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b7fe26aa396f4658989db07f27a9d96e"/>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 w:val="28"/>
                    <w:szCs w:val="28"/>
                    <w:lang w:bidi="en-US"/>
                  </w:rPr>
                </w:pPr>
                <w:r>
                  <w:rPr>
                    <w:rFonts w:eastAsia="Andale Sans UI" w:cs="Tahoma"/>
                    <w:b/>
                    <w:spacing w:val="20"/>
                    <w:sz w:val="26"/>
                    <w:szCs w:val="26"/>
                    <w:lang w:val="en-US"/>
                  </w:rPr>
                  <w:drawing>
                    <wp:inline distT="0" distB="0" distL="0" distR="0" wp14:anchorId="0FD90A3F" wp14:editId="146AC877">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 xml:space="preserve">tel. </w:t>
                </w:r>
                <w:r>
                  <w:rPr>
                    <w:rFonts w:ascii="Arial" w:eastAsia="Andale Sans UI" w:hAnsi="Arial" w:cs="Tahoma"/>
                    <w:b/>
                    <w:bCs/>
                    <w:spacing w:val="12"/>
                    <w:sz w:val="14"/>
                    <w:szCs w:val="14"/>
                    <w:lang w:val="pt-PT" w:bidi="en-US"/>
                  </w:rPr>
                  <w:t>8 </w:t>
                </w:r>
                <w:r>
                  <w:rPr>
                    <w:rFonts w:ascii="Arial" w:eastAsia="Andale Sans UI" w:hAnsi="Arial" w:cs="Tahoma"/>
                    <w:b/>
                    <w:bCs/>
                    <w:spacing w:val="12"/>
                    <w:sz w:val="14"/>
                    <w:szCs w:val="14"/>
                    <w:lang w:bidi="en-US"/>
                  </w:rPr>
                  <w:t>626</w:t>
                </w:r>
                <w:r>
                  <w:rPr>
                    <w:rFonts w:ascii="Arial" w:eastAsia="Andale Sans UI" w:hAnsi="Arial" w:cs="Tahoma"/>
                    <w:b/>
                    <w:bCs/>
                    <w:spacing w:val="12"/>
                    <w:sz w:val="14"/>
                    <w:szCs w:val="14"/>
                    <w:lang w:val="pt-PT" w:bidi="en-US"/>
                  </w:rPr>
                  <w:t xml:space="preserve"> </w:t>
                </w:r>
                <w:r>
                  <w:rPr>
                    <w:rFonts w:ascii="Arial" w:eastAsia="Andale Sans UI" w:hAnsi="Arial" w:cs="Tahoma"/>
                    <w:b/>
                    <w:bCs/>
                    <w:spacing w:val="12"/>
                    <w:sz w:val="14"/>
                    <w:szCs w:val="14"/>
                    <w:lang w:bidi="en-US"/>
                  </w:rPr>
                  <w:t>22 252, el. p. info@am.lt, https://am.lrv.lt.</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jc w:val="both"/>
                  <w:rPr>
                    <w:rFonts w:eastAsia="Andale Sans UI"/>
                    <w:szCs w:val="24"/>
                    <w:lang w:bidi="en-US"/>
                  </w:rPr>
                </w:pPr>
                <w:r>
                  <w:rPr>
                    <w:rFonts w:eastAsia="Andale Sans UI"/>
                    <w:szCs w:val="24"/>
                    <w:lang w:bidi="en-US"/>
                  </w:rPr>
                  <w:t>Adresatams pagal pridedamą sąrašą</w:t>
                </w: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r>
                  <w:rPr>
                    <w:rFonts w:eastAsia="Andale Sans UI"/>
                    <w:spacing w:val="10"/>
                    <w:szCs w:val="24"/>
                    <w:lang w:bidi="en-US"/>
                  </w:rPr>
                  <w:t xml:space="preserve">2023-  -</w:t>
                </w: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tabs>
                    <w:tab w:val="left" w:pos="2869"/>
                  </w:tabs>
                  <w:spacing w:line="276" w:lineRule="auto"/>
                  <w:ind w:right="57"/>
                  <w:jc w:val="both"/>
                  <w:rPr>
                    <w:rFonts w:eastAsia="Andale Sans UI"/>
                    <w:b/>
                    <w:caps/>
                    <w:szCs w:val="24"/>
                    <w:lang w:bidi="en-US"/>
                  </w:rPr>
                </w:pPr>
                <w:r>
                  <w:rPr>
                    <w:rFonts w:eastAsia="Andale Sans UI"/>
                    <w:b/>
                    <w:szCs w:val="24"/>
                    <w:lang w:bidi="en-US"/>
                  </w:rPr>
                  <w:t>DĖL TEISĖS AKTŲ PROJEKTŲ DERINIMO</w:t>
                </w:r>
              </w:p>
            </w:tc>
          </w:tr>
        </w:tbl>
        <w:p>
          <w:pPr>
            <w:spacing w:line="276" w:lineRule="auto"/>
            <w:jc w:val="both"/>
            <w:rPr>
              <w:rFonts w:eastAsia="Andale Sans UI" w:cs="Tahoma"/>
              <w:szCs w:val="24"/>
              <w:lang w:bidi="en-US"/>
            </w:rPr>
          </w:pPr>
        </w:p>
      </w:sdtContent>
    </w:sdt>
    <w:sdt>
      <w:sdtPr>
        <w:alias w:val="pastraipa"/>
        <w:tag w:val="part_303bd765562f4ac7b18c708d2e348ffa"/>
        <w:lock w:val="sdtLocked"/>
        <w:richText/>
      </w:sdtPr>
      <w:sdtContent>
        <w:p>
          <w:pPr>
            <w:shd w:val="clear" w:color="auto" w:fill="FFFFFF"/>
            <w:ind w:firstLine="567"/>
            <w:jc w:val="both"/>
            <w:textAlignment w:val="center"/>
            <w:rPr>
              <w:rFonts w:eastAsia="Andale Sans UI" w:cs="Tahoma"/>
              <w:szCs w:val="24"/>
              <w:lang w:bidi="en-US"/>
            </w:rPr>
          </w:pPr>
          <w:r>
            <w:rPr>
              <w:rFonts w:eastAsia="Andale Sans UI"/>
              <w:szCs w:val="24"/>
              <w:lang w:bidi="en-US"/>
            </w:rPr>
            <w:t xml:space="preserve">Aplinkos ministerija teikia išvadoms gauti Lietuvos Respublikos aplinkos ministro įsakymų „Dėl </w:t>
          </w:r>
          <w:r>
            <w:rPr>
              <w:rFonts w:eastAsia="Andale Sans UI" w:cs="Tahoma"/>
              <w:bCs/>
              <w:szCs w:val="24"/>
              <w:lang w:eastAsia="lt-LT" w:bidi="en-US"/>
            </w:rPr>
            <w:t>Pavojingųjų atliekų identifikavimo ir klasifikavimo metodikos</w:t>
          </w:r>
          <w:r>
            <w:rPr>
              <w:rFonts w:eastAsia="Andale Sans UI"/>
              <w:szCs w:val="24"/>
              <w:lang w:bidi="en-US"/>
            </w:rPr>
            <w:t xml:space="preserve"> patvirtinimo“ (toliau – metodikos projektas) ir „Dėl Lietuvos Respublikos </w:t>
          </w:r>
          <w:r>
            <w:rPr>
              <w:rFonts w:eastAsia="Andale Sans UI" w:cs="Tahoma"/>
              <w:color w:val="000000"/>
              <w:szCs w:val="24"/>
              <w:lang w:bidi="en-US"/>
            </w:rPr>
            <w:t xml:space="preserve">aplinkos ministro 1999 m. liepos 14 d. įsakymo Nr. 217 </w:t>
          </w:r>
          <w:r>
            <w:rPr>
              <w:rFonts w:eastAsia="Andale Sans UI"/>
              <w:szCs w:val="24"/>
              <w:lang w:bidi="en-US"/>
            </w:rPr>
            <w:t>„</w:t>
          </w:r>
          <w:r>
            <w:rPr>
              <w:rFonts w:eastAsia="Andale Sans UI" w:cs="Tahoma"/>
              <w:color w:val="000000"/>
              <w:szCs w:val="24"/>
              <w:lang w:bidi="en-US"/>
            </w:rPr>
            <w:t xml:space="preserve">Dėl Atliekų tvarkymo taisyklių patvirtinimo“ pakeitimo“ </w:t>
          </w:r>
          <w:r>
            <w:rPr>
              <w:rFonts w:eastAsia="Andale Sans UI" w:cs="Tahoma"/>
              <w:szCs w:val="24"/>
              <w:lang w:bidi="en-US"/>
            </w:rPr>
            <w:t>(toliau – ATT pakeitimo projektas) projektus (toliau kartu – projektai)</w:t>
          </w:r>
          <w:r>
            <w:rPr>
              <w:rFonts w:eastAsia="Andale Sans UI"/>
              <w:szCs w:val="24"/>
              <w:lang w:bidi="en-US"/>
            </w:rPr>
            <w:t>.</w:t>
          </w:r>
        </w:p>
      </w:sdtContent>
    </w:sdt>
    <w:sdt>
      <w:sdtPr>
        <w:alias w:val="pastraipa"/>
        <w:tag w:val="part_91d0a65544f64dff93a3795b379640d4"/>
        <w:lock w:val="sdtLocked"/>
        <w:richText/>
      </w:sdtPr>
      <w:sdtContent>
        <w:p>
          <w:pPr>
            <w:shd w:val="clear" w:color="auto" w:fill="FFFFFF"/>
            <w:ind w:firstLine="567"/>
            <w:jc w:val="both"/>
            <w:textAlignment w:val="center"/>
            <w:rPr>
              <w:rFonts w:eastAsia="Andale Sans UI"/>
              <w:szCs w:val="24"/>
              <w:lang w:bidi="en-US"/>
            </w:rPr>
          </w:pPr>
          <w:r>
            <w:rPr>
              <w:rFonts w:eastAsia="Andale Sans UI"/>
              <w:szCs w:val="24"/>
              <w:lang w:bidi="en-US"/>
            </w:rPr>
            <w:t>Pavojingųjų atliekų, kurių Lietuvoje kasmet susidaro vidutiniškai 167 tūkst. t, tvarkymas yra opi problema: kartais šios atliekos identifikuojamos netinkamai, todėl neužtikrinamas efektyvus susidarančių atliekų surinkimas ir tvarkymas. Netinkamai tvarkomos pavojingosios atliekos gali užteršti dirvožemį, prasiskverbti į gruntinius vandenis, pakenkti aplinkai ir žmonių sveikatai. Pagal galiojantį teisinį reglamentavimą ūkinės veiklos vykdytojas atsako už atliekų identifikavimą ir jų priskyrimą prie pavojingųjų ar nepavojingųjų atliekų. Trūkstant kompetencijos ir informacijos, kyla grėsmė, kad atliekos gali būti identifikuotos kaip nepavojingosios. Aplinkos apsaugos institucijoms, vykdančioms aplinkos apsaugos valstybinę kontrolę, kyla problemų identifikuojant atliekas ir priskiriant jas pavojingosioms ar nepavojingosioms atliekoms, todėl praktikoje kyla ginčai dėl teisingo ir vieningo nacionalinių ir Europos Sąjungos teisės aktų dėl atliekų klasifikavimo taikymo.</w:t>
          </w:r>
        </w:p>
      </w:sdtContent>
    </w:sdt>
    <w:sdt>
      <w:sdtPr>
        <w:alias w:val="pastraipa"/>
        <w:tag w:val="part_b8fbb75428b448ed92f554e2ad5aec5d"/>
        <w:lock w:val="sdtLocked"/>
        <w:richText/>
      </w:sdtPr>
      <w:sdtContent>
        <w:p>
          <w:pPr>
            <w:shd w:val="clear" w:color="auto" w:fill="FFFFFF"/>
            <w:ind w:firstLine="567"/>
            <w:jc w:val="both"/>
            <w:textAlignment w:val="center"/>
            <w:rPr>
              <w:rFonts w:eastAsia="Andale Sans UI"/>
              <w:szCs w:val="24"/>
              <w:shd w:val="clear" w:color="auto" w:fill="FFFFFF"/>
              <w:lang w:bidi="en-US"/>
            </w:rPr>
          </w:pPr>
          <w:r>
            <w:rPr>
              <w:rFonts w:eastAsia="Andale Sans UI"/>
              <w:szCs w:val="24"/>
              <w:lang w:bidi="en-US"/>
            </w:rPr>
            <w:t>Projektai parengti atsižvelgus į ekspertų siūlymus, pateiktus Aplinkos ministerijos užsakymu parengtoje studijoje</w:t>
          </w:r>
          <w:r>
            <w:rPr>
              <w:rFonts w:eastAsia="Andale Sans UI"/>
              <w:szCs w:val="24"/>
              <w:vertAlign w:val="superscript"/>
              <w:lang w:bidi="en-US"/>
            </w:rPr>
            <w:footnoteReference w:id="1"/>
          </w:r>
          <w:r>
            <w:rPr>
              <w:rFonts w:eastAsia="Andale Sans UI"/>
              <w:szCs w:val="24"/>
              <w:lang w:bidi="en-US"/>
            </w:rPr>
            <w:t xml:space="preserve"> dėl vieningos pavojingųjų atliekų identifikavimo metodikos (toliau – studija). Studija parengta norint valstybės, savivaldos institucijoms ir įstaigoms, ūkio subjektams sudaryti sąlygas teisingai ir vieningai taikyti nacionalinius ir Europos Sąjungos teisės aktus dėl atliekų klasifikavimo, taip siekiant užtikrinti tinkamą ir efektyvų pavojingųjų atliekų identifikavimą ir klasifikavimą, pavojingųjų atliekų saugų ir efektyvų surinkimą ir tvarkymą. </w:t>
          </w:r>
        </w:p>
      </w:sdtContent>
    </w:sdt>
    <w:sdt>
      <w:sdtPr>
        <w:alias w:val="pastraipa"/>
        <w:tag w:val="part_8f6b4730806a45b0824e1e9df139e73f"/>
        <w:lock w:val="sdtLocked"/>
        <w:richText/>
      </w:sdtPr>
      <w:sdtContent>
        <w:p>
          <w:pPr>
            <w:pBdr>
              <w:top w:val="nil"/>
              <w:left w:val="nil"/>
              <w:bottom w:val="nil"/>
              <w:right w:val="nil"/>
              <w:between w:val="nil"/>
            </w:pBdr>
            <w:tabs>
              <w:tab w:val="left" w:pos="993"/>
            </w:tabs>
            <w:suppressAutoHyphens/>
            <w:ind w:firstLine="567"/>
            <w:jc w:val="both"/>
            <w:rPr>
              <w:rFonts w:eastAsia="Andale Sans UI" w:cs="Tahoma"/>
              <w:color w:val="000000"/>
              <w:szCs w:val="24"/>
              <w:lang w:bidi="en-US"/>
            </w:rPr>
          </w:pPr>
          <w:r>
            <w:rPr>
              <w:rFonts w:eastAsia="Andale Sans UI" w:cs="Tahoma"/>
              <w:color w:val="000000"/>
              <w:szCs w:val="24"/>
              <w:lang w:bidi="en-US"/>
            </w:rPr>
            <w:t xml:space="preserve">Metodikos projektu siūloma nustatyti atliekų pavojingųjų savybių vertinimo, šių savybių nustatymo ir atliekų priskyrimo pavojingosioms atliekoms tvarką. Projekto priede pateikiama siūloma atliekų pavojingųjų savybių vertinimo ir atliekų klasifikavimo etapų struktūra, kurioje nurodyti trys atliekų pavojingųjų savybių vertinimo ir atliekų klasifikavimo etapai. Metodikos projektas parengtas atsižvelgus į </w:t>
          </w:r>
          <w:r>
            <w:rPr>
              <w:rFonts w:eastAsia="Andale Sans UI" w:cs="Tahoma"/>
              <w:color w:val="000000"/>
              <w:szCs w:val="24"/>
              <w:highlight w:val="white"/>
              <w:lang w:bidi="en-US"/>
            </w:rPr>
            <w:t xml:space="preserve">2014 m. gruodžio 18 d. Komisijos Reglamento </w:t>
          </w:r>
          <w:fldSimple w:instr="HYPERLINK http://eur-lex.europa.eu/legal-content/LIT/TXT/?uri=CELEX:32014R1357&amp;locale=lt \t _blank">
            <w:r>
              <w:rPr>
                <w:rFonts w:eastAsia="Andale Sans UI" w:cs="Tahoma"/>
                <w:color w:val="0000FF" w:themeColor="hyperlink"/>
                <w:szCs w:val="24"/>
                <w:highlight w:val="white"/>
                <w:lang w:bidi="en-US"/>
                <w:u w:val="single"/>
              </w:rPr>
              <w:t>(ES) Nr. 1357/2014</w:t>
            </w:r>
          </w:fldSimple>
          <w:r>
            <w:rPr>
              <w:rFonts w:eastAsia="Andale Sans UI" w:cs="Tahoma"/>
              <w:color w:val="000000"/>
              <w:szCs w:val="24"/>
              <w:highlight w:val="white"/>
              <w:lang w:bidi="en-US"/>
            </w:rPr>
            <w:t xml:space="preserve">, kuriuo pakeičiamas Europos Parlamento ir Tarybos direktyvos </w:t>
          </w:r>
          <w:fldSimple w:instr="HYPERLINK http://eur-lex.europa.eu/legal-content/LIT/TXT/?uri=CELEX:32008L0098&amp;locale=lt \t _blank">
            <w:r>
              <w:rPr>
                <w:rFonts w:eastAsia="Andale Sans UI" w:cs="Tahoma"/>
                <w:color w:val="0000FF" w:themeColor="hyperlink"/>
                <w:szCs w:val="24"/>
                <w:highlight w:val="white"/>
                <w:lang w:bidi="en-US"/>
                <w:u w:val="single"/>
              </w:rPr>
              <w:t>2008/98/EB</w:t>
            </w:r>
          </w:fldSimple>
          <w:r>
            <w:rPr>
              <w:rFonts w:eastAsia="Andale Sans UI" w:cs="Tahoma"/>
              <w:color w:val="000000"/>
              <w:szCs w:val="24"/>
              <w:highlight w:val="white"/>
              <w:lang w:bidi="en-US"/>
            </w:rPr>
            <w:t xml:space="preserve"> dėl atliekų ir panaikinančios kai kurios direktyvas III priedas</w:t>
          </w:r>
          <w:r>
            <w:rPr>
              <w:rFonts w:eastAsia="Andale Sans UI" w:cs="Tahoma"/>
              <w:color w:val="000000"/>
              <w:szCs w:val="24"/>
              <w:lang w:bidi="en-US"/>
            </w:rPr>
            <w:t xml:space="preserve">, 2014 m. gruodžio 18 d. Komisijos sprendimo, kuriuo iš dalies keičiamos Sprendimo </w:t>
          </w:r>
          <w:fldSimple w:instr="HYPERLINK http://eur-lex.europa.eu/legal-content/LIT/TXT/?uri=CELEX:3532D2000&amp;locale=lt \t _blank">
            <w:r>
              <w:rPr>
                <w:rFonts w:eastAsia="Andale Sans UI" w:cs="Tahoma"/>
                <w:color w:val="0000FF" w:themeColor="hyperlink"/>
                <w:szCs w:val="24"/>
                <w:lang w:bidi="en-US"/>
                <w:u w:val="single"/>
              </w:rPr>
              <w:t>2000/532/EB</w:t>
            </w:r>
          </w:fldSimple>
          <w:r>
            <w:rPr>
              <w:rFonts w:eastAsia="Andale Sans UI" w:cs="Tahoma"/>
              <w:color w:val="000000"/>
              <w:szCs w:val="24"/>
              <w:lang w:bidi="en-US"/>
            </w:rPr>
            <w:t xml:space="preserve"> nuostatos dėl atliekų sąrašo pagal Europos Parlamento ir Tarybos direktyvą </w:t>
          </w:r>
          <w:fldSimple w:instr="HYPERLINK http://eur-lex.europa.eu/legal-content/LIT/TXT/?uri=CELEX:32008L0098&amp;locale=lt \t _blank">
            <w:r>
              <w:rPr>
                <w:rFonts w:eastAsia="Andale Sans UI" w:cs="Tahoma"/>
                <w:color w:val="0000FF" w:themeColor="hyperlink"/>
                <w:szCs w:val="24"/>
                <w:lang w:bidi="en-US"/>
                <w:u w:val="single"/>
              </w:rPr>
              <w:t>2008/98/EB</w:t>
            </w:r>
          </w:fldSimple>
          <w:r>
            <w:rPr>
              <w:rFonts w:eastAsia="Andale Sans UI" w:cs="Tahoma"/>
              <w:color w:val="000000"/>
              <w:szCs w:val="24"/>
              <w:lang w:bidi="en-US"/>
            </w:rPr>
            <w:t xml:space="preserve">, nuostatas. </w:t>
          </w:r>
        </w:p>
      </w:sdtContent>
    </w:sdt>
    <w:sdt>
      <w:sdtPr>
        <w:alias w:val="pastraipa"/>
        <w:tag w:val="part_a69eb5301a8a49248f8dd98ad45a9d79"/>
        <w:lock w:val="sdtLocked"/>
        <w:richText/>
      </w:sdtPr>
      <w:sdtContent>
        <w:p>
          <w:pPr>
            <w:shd w:val="clear" w:color="auto" w:fill="FFFFFF"/>
            <w:ind w:firstLine="567"/>
            <w:jc w:val="both"/>
            <w:textAlignment w:val="center"/>
            <w:rPr>
              <w:rFonts w:eastAsia="Andale Sans UI"/>
              <w:szCs w:val="24"/>
              <w:lang w:bidi="en-US"/>
            </w:rPr>
          </w:pPr>
          <w:r>
            <w:rPr>
              <w:rFonts w:eastAsia="Andale Sans UI"/>
              <w:szCs w:val="24"/>
              <w:lang w:bidi="en-US"/>
            </w:rPr>
            <w:t xml:space="preserve">ATT pakeitimo projektu siūloma nustatyti reikalavimus namų ūkiuose susidarančioms pavojingųjų medžiagų atliekoms, nustatyti, kad </w:t>
          </w:r>
          <w:r>
            <w:rPr>
              <w:rFonts w:eastAsia="Andale Sans UI" w:cs="Tahoma"/>
              <w:color w:val="000000"/>
              <w:szCs w:val="24"/>
              <w:lang w:bidi="en-US"/>
            </w:rPr>
            <w:t xml:space="preserve">atliekų pavojingumas vertinamas vadovaujantis aplinkos ministro tvirtinama pavojingųjų atliekų identifikavimo ir klasifikavimo metodika (derinamu metodikos projektu), pripažįstamos netekusiomis galios nuostatos dėl </w:t>
          </w:r>
          <w:r>
            <w:rPr>
              <w:rFonts w:eastAsia="Andale Sans UI"/>
              <w:szCs w:val="24"/>
              <w:lang w:bidi="en-US"/>
            </w:rPr>
            <w:t xml:space="preserve">atliekų pavojingųjų savybių vertinimo, nes, vadovaujantis teisėkūros aiškumo ir nuoseklumo principais, jos perkeliamos į metodikos projektą. </w:t>
          </w:r>
        </w:p>
      </w:sdtContent>
    </w:sdt>
    <w:sdt>
      <w:sdtPr>
        <w:alias w:val="pastraipa"/>
        <w:tag w:val="part_d87fa00037174d9b8c6c2b9becec7263"/>
        <w:lock w:val="sdtLocked"/>
        <w:richText/>
      </w:sdtPr>
      <w:sdtContent>
        <w:p>
          <w:pPr>
            <w:shd w:val="clear" w:color="auto" w:fill="FFFFFF"/>
            <w:ind w:firstLine="567"/>
            <w:jc w:val="both"/>
            <w:textAlignment w:val="center"/>
            <w:rPr>
              <w:rFonts w:eastAsia="Andale Sans UI" w:cs="Tahoma"/>
              <w:szCs w:val="24"/>
              <w:lang w:bidi="en-US"/>
            </w:rPr>
          </w:pPr>
          <w:r>
            <w:rPr>
              <w:rFonts w:eastAsia="Andale Sans UI" w:cs="Tahoma"/>
              <w:szCs w:val="24"/>
              <w:lang w:bidi="en-US"/>
            </w:rPr>
            <w:t>Projektai neprieštarauja Aštuonioliktosios Lietuvos Respublikos Vyriausybės programai, kuriai pritarta Lietuvos Respublikos Seimo 2020 m. gruodžio 11 d. nutarimu Nr. XIV</w:t>
            <w:noBreakHyphen/>
            <w:t>72 „Dėl Aštuonioliktosios Lietuvos Respublikos Vyriausybės programos“.</w:t>
          </w:r>
        </w:p>
      </w:sdtContent>
    </w:sdt>
    <w:sdt>
      <w:sdtPr>
        <w:alias w:val="pastraipa"/>
        <w:tag w:val="part_f7eac26535ae424585d1fdce3019491b"/>
        <w:lock w:val="sdtLocked"/>
        <w:richText/>
      </w:sdtPr>
      <w:sdtContent>
        <w:p>
          <w:pPr>
            <w:shd w:val="clear" w:color="auto" w:fill="FFFFFF"/>
            <w:ind w:firstLine="567"/>
            <w:jc w:val="both"/>
            <w:textAlignment w:val="center"/>
            <w:rPr>
              <w:rFonts w:eastAsia="Andale Sans UI" w:cs="Tahoma"/>
              <w:szCs w:val="24"/>
              <w:lang w:bidi="en-US"/>
            </w:rPr>
          </w:pPr>
          <w:r>
            <w:rPr>
              <w:rFonts w:eastAsia="Andale Sans UI" w:cs="Tahoma"/>
              <w:szCs w:val="24"/>
              <w:lang w:bidi="en-US"/>
            </w:rPr>
            <w:t>Projektais neperkeliamos ir neįgyvendinamos Europos Sąjungos teisės aktų nuostatos.</w:t>
          </w:r>
        </w:p>
      </w:sdtContent>
    </w:sdt>
    <w:sdt>
      <w:sdtPr>
        <w:alias w:val="pastraipa"/>
        <w:tag w:val="part_b6757d5af6a04b088b03a454524db419"/>
        <w:lock w:val="sdtLocked"/>
        <w:richText/>
      </w:sdtPr>
      <w:sdtContent>
        <w:p>
          <w:pPr>
            <w:shd w:val="clear" w:color="auto" w:fill="FFFFFF"/>
            <w:ind w:firstLine="567"/>
            <w:jc w:val="both"/>
            <w:textAlignment w:val="center"/>
            <w:rPr>
              <w:rFonts w:eastAsia="Andale Sans UI" w:cs="Tahoma"/>
              <w:szCs w:val="24"/>
              <w:lang w:bidi="en-US"/>
            </w:rPr>
          </w:pPr>
          <w:r>
            <w:rPr>
              <w:rFonts w:eastAsia="Andale Sans UI" w:cs="Tahoma"/>
              <w:szCs w:val="24"/>
              <w:lang w:bidi="en-US"/>
            </w:rPr>
            <w:t>Projektai nenotifikuotini Europos Komisijai pagal Informacijos apie techninius reglamentus ir atitikties įvertinimo procedūras teikimo taisykles, patvirtintas Lietuvos Respublikos Vyriausybės 1999 m. gegužės 20 d. nutarimu Nr. 617 „Dėl Informacijos apie techninius reglamentus ir atitikties įvertinimo procedūras teikimo taisyklių patvirtinimo“.</w:t>
          </w:r>
        </w:p>
      </w:sdtContent>
    </w:sdt>
    <w:sdt>
      <w:sdtPr>
        <w:alias w:val="pastraipa"/>
        <w:tag w:val="part_fd18424634be4c05a6b79d717dc32419"/>
        <w:lock w:val="sdtLocked"/>
        <w:richText/>
      </w:sdtPr>
      <w:sdtContent>
        <w:p>
          <w:pPr>
            <w:shd w:val="clear" w:color="auto" w:fill="FFFFFF"/>
            <w:ind w:firstLine="567"/>
            <w:jc w:val="both"/>
            <w:textAlignment w:val="center"/>
            <w:rPr>
              <w:rFonts w:ascii="Times" w:eastAsia="Andale Sans UI" w:hAnsi="Times" w:cs="Tahoma"/>
              <w:szCs w:val="24"/>
              <w:lang w:bidi="en-US"/>
            </w:rPr>
          </w:pPr>
          <w:r>
            <w:rPr>
              <w:rFonts w:ascii="Times" w:eastAsia="Andale Sans UI" w:hAnsi="Times" w:cs="Tahoma"/>
              <w:szCs w:val="24"/>
              <w:lang w:bidi="en-US"/>
            </w:rPr>
            <w:t>Vadovaujantis Numatomo teisinio reguliavimo poveikio vertinimo metodikos, patvirtintos Vyriausybės 2003 m. vasario 26 d. nutarimu Nr. 276 „Dėl Numatomo teisinio reguliavimo poveikio vertinimo metodikos patvirtinimo“, 4 punktu, projektams numatomo teisinio reguliavimo poveikio vertinimas neatliekamas.</w:t>
          </w:r>
        </w:p>
      </w:sdtContent>
    </w:sdt>
    <w:sdt>
      <w:sdtPr>
        <w:alias w:val="pastraipa"/>
        <w:tag w:val="part_7dcf85de13a74ada9c33c358bd5a8e7e"/>
        <w:lock w:val="sdtLocked"/>
        <w:richText/>
      </w:sdtPr>
      <w:sdtContent>
        <w:p>
          <w:pPr>
            <w:shd w:val="clear" w:color="auto" w:fill="FFFFFF"/>
            <w:ind w:firstLine="567"/>
            <w:jc w:val="both"/>
            <w:textAlignment w:val="center"/>
            <w:rPr>
              <w:rFonts w:eastAsia="Andale Sans UI" w:cs="Tahoma"/>
              <w:szCs w:val="24"/>
              <w:lang w:bidi="en-US"/>
            </w:rPr>
          </w:pPr>
          <w:r>
            <w:rPr>
              <w:rFonts w:eastAsia="Andale Sans UI" w:cs="Tahoma"/>
              <w:szCs w:val="24"/>
              <w:lang w:bidi="en-US"/>
            </w:rPr>
            <w:t>Projektams įtraukti į teisės sistemą kitų teisės aktų priimti nereikės.</w:t>
          </w:r>
        </w:p>
      </w:sdtContent>
    </w:sdt>
    <w:sdt>
      <w:sdtPr>
        <w:alias w:val="pastraipa"/>
        <w:tag w:val="part_631a8ace1435432cb203ebdb811ba73b"/>
        <w:lock w:val="sdtLocked"/>
        <w:richText/>
      </w:sdtPr>
      <w:sdtContent>
        <w:p>
          <w:pPr>
            <w:shd w:val="clear" w:color="auto" w:fill="FFFFFF"/>
            <w:ind w:firstLine="567"/>
            <w:jc w:val="both"/>
            <w:textAlignment w:val="center"/>
            <w:rPr>
              <w:rFonts w:eastAsia="Andale Sans UI" w:cs="Tahoma"/>
              <w:szCs w:val="24"/>
              <w:lang w:bidi="en-US"/>
            </w:rPr>
          </w:pPr>
          <w:r>
            <w:rPr>
              <w:rFonts w:ascii="Times" w:eastAsia="Andale Sans UI" w:hAnsi="Times" w:cs="Tahoma"/>
              <w:szCs w:val="24"/>
              <w:lang w:bidi="en-US"/>
            </w:rPr>
            <w:t>Projektuose nėra naujų sąvokų.</w:t>
          </w:r>
        </w:p>
      </w:sdtContent>
    </w:sdt>
    <w:sdt>
      <w:sdtPr>
        <w:alias w:val="pastraipa"/>
        <w:tag w:val="part_d91f9b1ec9034f18a039229f0fc41704"/>
        <w:lock w:val="sdtLocked"/>
        <w:richText/>
      </w:sdtPr>
      <w:sdtContent>
        <w:p>
          <w:pPr>
            <w:ind w:firstLine="567"/>
            <w:jc w:val="both"/>
            <w:rPr>
              <w:iCs/>
              <w:color w:val="000000"/>
              <w:szCs w:val="24"/>
              <w:lang w:bidi="en-US"/>
            </w:rPr>
          </w:pPr>
          <w:r>
            <w:rPr>
              <w:rFonts w:eastAsia="Andale Sans UI" w:cs="Tahoma"/>
              <w:color w:val="000000"/>
              <w:szCs w:val="24"/>
              <w:lang w:bidi="en-US"/>
            </w:rPr>
            <w:t>Projektuose nereglamentuojamas asmens duomenų naudojimas.</w:t>
          </w:r>
        </w:p>
      </w:sdtContent>
    </w:sdt>
    <w:sdt>
      <w:sdtPr>
        <w:alias w:val="pastraipa"/>
        <w:tag w:val="part_a17ac7a3a5144237a7cc7a973d8ec19d"/>
        <w:lock w:val="sdtLocked"/>
        <w:richText/>
      </w:sdtPr>
      <w:sdtContent>
        <w:p>
          <w:pPr>
            <w:ind w:firstLine="567"/>
            <w:jc w:val="both"/>
            <w:rPr>
              <w:rFonts w:eastAsia="Andale Sans UI" w:cs="Tahoma"/>
              <w:szCs w:val="24"/>
              <w:lang w:bidi="en-US"/>
            </w:rPr>
          </w:pPr>
          <w:r>
            <w:rPr>
              <w:rFonts w:eastAsia="Andale Sans UI" w:cs="Tahoma"/>
              <w:szCs w:val="24"/>
              <w:lang w:bidi="en-US"/>
            </w:rPr>
            <w:t>Projektai skelbiami Lietuvos Respublikos Seimo kanceliarijos teisės aktų informacinėje sistemoje (TAIS).</w:t>
          </w:r>
        </w:p>
      </w:sdtContent>
    </w:sdt>
    <w:sdt>
      <w:sdtPr>
        <w:alias w:val="pastraipa"/>
        <w:tag w:val="part_160b146efa9147518d7cdf90297ad523"/>
        <w:lock w:val="sdtLocked"/>
        <w:richText/>
      </w:sdtPr>
      <w:sdtContent>
        <w:p>
          <w:pPr>
            <w:ind w:firstLine="567"/>
            <w:jc w:val="both"/>
            <w:rPr>
              <w:rFonts w:eastAsia="Andale Sans UI"/>
              <w:szCs w:val="24"/>
              <w:lang w:bidi="en-US"/>
            </w:rPr>
          </w:pPr>
          <w:r>
            <w:rPr>
              <w:rFonts w:eastAsia="Andale Sans UI" w:cs="Tahoma"/>
              <w:color w:val="000000"/>
              <w:szCs w:val="24"/>
              <w:lang w:bidi="en-US"/>
            </w:rPr>
            <w:t xml:space="preserve">Išvadą dėl projektų prašome pateikti per 10 darbo dienų nuo jų paskelbimo TAIS. </w:t>
          </w:r>
          <w:r>
            <w:rPr>
              <w:rFonts w:eastAsia="Andale Sans UI"/>
              <w:szCs w:val="24"/>
              <w:lang w:bidi="en-US"/>
            </w:rPr>
            <w:t xml:space="preserve">Per nurodytą terminą negavę pastabų ir pasiūlymų, laikysime, kad projektams pritarta. </w:t>
          </w:r>
        </w:p>
      </w:sdtContent>
    </w:sdt>
    <w:sdt>
      <w:sdtPr>
        <w:alias w:val="pastraipa"/>
        <w:tag w:val="part_42b9bd2155e04c46b3fefa3240886c47"/>
        <w:lock w:val="sdtLocked"/>
        <w:richText/>
      </w:sdtPr>
      <w:sdtContent>
        <w:p>
          <w:pPr>
            <w:ind w:firstLine="567"/>
            <w:jc w:val="both"/>
            <w:rPr>
              <w:rFonts w:eastAsia="Andale Sans UI"/>
              <w:szCs w:val="24"/>
              <w:lang w:bidi="en-US"/>
            </w:rPr>
          </w:pPr>
          <w:r>
            <w:rPr>
              <w:rFonts w:eastAsia="Andale Sans UI" w:cs="Tahoma"/>
              <w:szCs w:val="24"/>
              <w:lang w:bidi="en-US"/>
            </w:rPr>
            <w:t xml:space="preserve">Projektus parengė Aplinkos ministerijos Atliekų politikos grupės (grupės vadovė – Vilma Slavinskienė, tel. 8 698 75 027, el. p. </w:t>
          </w:r>
          <w:r>
            <w:rPr>
              <w:rFonts w:eastAsia="Andale Sans UI" w:cs="Tahoma"/>
              <w:color w:val="000080"/>
              <w:szCs w:val="24"/>
              <w:u w:val="single"/>
              <w:lang w:bidi="en-US"/>
            </w:rPr>
            <w:t>vilma.slavinskiene@am.lt</w:t>
          </w:r>
          <w:r>
            <w:rPr>
              <w:rFonts w:eastAsia="Andale Sans UI" w:cs="Tahoma"/>
              <w:szCs w:val="24"/>
              <w:lang w:bidi="en-US"/>
            </w:rPr>
            <w:t xml:space="preserve">) vyriausioji patarėja Jovita Surdokienė (tel. 8 696 54 712, el. p. </w:t>
          </w:r>
          <w:r>
            <w:rPr>
              <w:rFonts w:eastAsia="Andale Sans UI" w:cs="Tahoma"/>
              <w:color w:val="000080"/>
              <w:szCs w:val="24"/>
              <w:u w:val="single"/>
              <w:lang w:bidi="en-US"/>
            </w:rPr>
            <w:t>jovita.surdokiene@am.lt</w:t>
          </w:r>
          <w:r>
            <w:rPr>
              <w:rFonts w:eastAsia="Andale Sans UI" w:cs="Tahoma"/>
              <w:color w:val="000080"/>
              <w:szCs w:val="24"/>
              <w:u w:val="single"/>
              <w:lang w:bidi="en-US"/>
            </w:rPr>
            <w:t>)</w:t>
          </w:r>
          <w:r>
            <w:rPr>
              <w:rFonts w:eastAsia="Andale Sans UI" w:cs="Tahoma"/>
              <w:szCs w:val="24"/>
              <w:lang w:bidi="en-US"/>
            </w:rPr>
            <w:t xml:space="preserve"> ir patarėja Aistė Rakauskienė (tel. 8 696 80 518, el. p. </w:t>
          </w:r>
          <w:r>
            <w:rPr>
              <w:rFonts w:eastAsia="Andale Sans UI" w:cs="Tahoma"/>
              <w:color w:val="000080"/>
              <w:szCs w:val="24"/>
              <w:u w:val="single"/>
              <w:lang w:bidi="en-US"/>
            </w:rPr>
            <w:t>aiste.rakauskiene@am.lt</w:t>
          </w:r>
          <w:r>
            <w:rPr>
              <w:rFonts w:eastAsia="Andale Sans UI" w:cs="Tahoma"/>
              <w:color w:val="000080"/>
              <w:szCs w:val="24"/>
              <w:u w:val="single"/>
              <w:lang w:bidi="en-US"/>
            </w:rPr>
            <w:t>)</w:t>
          </w:r>
          <w:r>
            <w:rPr>
              <w:rFonts w:eastAsia="Andale Sans UI" w:cs="Tahoma"/>
              <w:szCs w:val="24"/>
              <w:lang w:bidi="en-US"/>
            </w:rPr>
            <w:t>.</w:t>
          </w:r>
        </w:p>
      </w:sdtContent>
    </w:sdt>
    <w:sdt>
      <w:sdtPr>
        <w:alias w:val="pastraipa"/>
        <w:tag w:val="part_a9ea13f308b749339b1c0b345c833f20"/>
        <w:lock w:val="sdtLocked"/>
        <w:richText/>
      </w:sdtPr>
      <w:sdtContent>
        <w:p>
          <w:pPr>
            <w:spacing w:line="276" w:lineRule="auto"/>
            <w:ind w:firstLine="567"/>
            <w:jc w:val="both"/>
            <w:rPr>
              <w:rFonts w:eastAsia="Andale Sans UI"/>
              <w:szCs w:val="24"/>
              <w:lang w:bidi="en-US"/>
            </w:rPr>
          </w:pPr>
          <w:r>
            <w:rPr>
              <w:rFonts w:eastAsia="Andale Sans UI"/>
              <w:szCs w:val="24"/>
              <w:lang w:bidi="en-US"/>
            </w:rPr>
            <w:t xml:space="preserve">PRIDEDAMA: </w:t>
          </w:r>
        </w:p>
        <w:sdt>
          <w:sdtPr>
            <w:alias w:val="1 p."/>
            <w:tag w:val="part_7024f654adac40b2944b9c3b2279a8c0"/>
            <w:lock w:val="sdtLocked"/>
            <w:richText/>
          </w:sdtPr>
          <w:sdtContent>
            <w:p>
              <w:pPr>
                <w:spacing w:line="276" w:lineRule="auto"/>
                <w:ind w:left="927" w:hanging="360"/>
                <w:jc w:val="both"/>
                <w:rPr>
                  <w:rFonts w:eastAsia="Andale Sans UI" w:cs="Tahoma"/>
                  <w:szCs w:val="24"/>
                  <w:lang w:bidi="en-US"/>
                </w:rPr>
              </w:pPr>
              <w:sdt>
                <w:sdtPr>
                  <w:alias w:val="Numeris"/>
                  <w:tag w:val="nr_7024f654adac40b2944b9c3b2279a8c0"/>
                  <w:lock w:val="sdtLocked"/>
                  <w:richText/>
                </w:sdtPr>
                <w:sdtContent>
                  <w:r>
                    <w:rPr>
                      <w:szCs w:val="24"/>
                      <w:lang w:eastAsia="lt-LT"/>
                    </w:rPr>
                    <w:t>1</w:t>
                  </w:r>
                </w:sdtContent>
              </w:sdt>
              <w:r>
                <w:rPr>
                  <w:szCs w:val="24"/>
                  <w:lang w:eastAsia="lt-LT"/>
                </w:rPr>
                <w:t>.</w:t>
                <w:tab/>
              </w:r>
              <w:r>
                <w:rPr>
                  <w:rFonts w:eastAsia="Andale Sans UI" w:cs="Tahoma"/>
                  <w:szCs w:val="24"/>
                  <w:lang w:bidi="en-US"/>
                </w:rPr>
                <w:t>Metodikos projektas, 6 lapai.</w:t>
              </w:r>
            </w:p>
          </w:sdtContent>
        </w:sdt>
        <w:sdt>
          <w:sdtPr>
            <w:alias w:val="2 p."/>
            <w:tag w:val="part_d6681a7a6f2e4f17a1e872416f18fae2"/>
            <w:lock w:val="sdtLocked"/>
            <w:richText/>
          </w:sdtPr>
          <w:sdtContent>
            <w:p>
              <w:pPr>
                <w:spacing w:line="276" w:lineRule="auto"/>
                <w:ind w:left="927" w:hanging="360"/>
                <w:jc w:val="both"/>
                <w:rPr>
                  <w:rFonts w:eastAsia="Andale Sans UI" w:cs="Tahoma"/>
                  <w:szCs w:val="24"/>
                  <w:lang w:bidi="en-US"/>
                </w:rPr>
              </w:pPr>
              <w:sdt>
                <w:sdtPr>
                  <w:alias w:val="Numeris"/>
                  <w:tag w:val="nr_d6681a7a6f2e4f17a1e872416f18fae2"/>
                  <w:lock w:val="sdtLocked"/>
                  <w:richText/>
                </w:sdtPr>
                <w:sdtContent>
                  <w:r>
                    <w:rPr>
                      <w:szCs w:val="24"/>
                      <w:lang w:eastAsia="lt-LT"/>
                    </w:rPr>
                    <w:t>2</w:t>
                  </w:r>
                </w:sdtContent>
              </w:sdt>
              <w:r>
                <w:rPr>
                  <w:szCs w:val="24"/>
                  <w:lang w:eastAsia="lt-LT"/>
                </w:rPr>
                <w:t>.</w:t>
                <w:tab/>
              </w:r>
              <w:r>
                <w:rPr>
                  <w:rFonts w:eastAsia="Andale Sans UI" w:cs="Tahoma"/>
                  <w:szCs w:val="24"/>
                  <w:lang w:bidi="en-US"/>
                </w:rPr>
                <w:t>Metodikos projekto priedai, 14 lapų.</w:t>
              </w:r>
            </w:p>
          </w:sdtContent>
        </w:sdt>
        <w:sdt>
          <w:sdtPr>
            <w:alias w:val="3 p."/>
            <w:tag w:val="part_5c03c28fb92647a7b08630bc8e23f6ad"/>
            <w:lock w:val="sdtLocked"/>
            <w:richText/>
          </w:sdtPr>
          <w:sdtContent>
            <w:p>
              <w:pPr>
                <w:spacing w:line="276" w:lineRule="auto"/>
                <w:ind w:left="927" w:hanging="360"/>
                <w:jc w:val="both"/>
                <w:rPr>
                  <w:rFonts w:eastAsia="Andale Sans UI" w:cs="Tahoma"/>
                  <w:szCs w:val="24"/>
                  <w:lang w:bidi="en-US"/>
                </w:rPr>
              </w:pPr>
              <w:sdt>
                <w:sdtPr>
                  <w:alias w:val="Numeris"/>
                  <w:tag w:val="nr_5c03c28fb92647a7b08630bc8e23f6ad"/>
                  <w:lock w:val="sdtLocked"/>
                  <w:richText/>
                </w:sdtPr>
                <w:sdtContent>
                  <w:r>
                    <w:rPr>
                      <w:szCs w:val="24"/>
                      <w:lang w:eastAsia="lt-LT"/>
                    </w:rPr>
                    <w:t>3</w:t>
                  </w:r>
                </w:sdtContent>
              </w:sdt>
              <w:r>
                <w:rPr>
                  <w:szCs w:val="24"/>
                  <w:lang w:eastAsia="lt-LT"/>
                </w:rPr>
                <w:t>.</w:t>
                <w:tab/>
              </w:r>
              <w:r>
                <w:rPr>
                  <w:rFonts w:eastAsia="Andale Sans UI" w:cs="Tahoma"/>
                  <w:szCs w:val="24"/>
                  <w:lang w:bidi="en-US"/>
                </w:rPr>
                <w:t>ATT projektas, 1 lapas.</w:t>
              </w:r>
            </w:p>
          </w:sdtContent>
        </w:sdt>
        <w:sdt>
          <w:sdtPr>
            <w:alias w:val="4 p."/>
            <w:tag w:val="part_13a56a072993411aabb6fc44f0f4ddaf"/>
            <w:lock w:val="sdtLocked"/>
            <w:richText/>
          </w:sdtPr>
          <w:sdtContent>
            <w:p>
              <w:pPr>
                <w:spacing w:line="276" w:lineRule="auto"/>
                <w:ind w:left="927" w:hanging="360"/>
                <w:jc w:val="both"/>
                <w:rPr>
                  <w:rFonts w:eastAsia="Andale Sans UI" w:cs="Tahoma"/>
                  <w:szCs w:val="24"/>
                  <w:lang w:bidi="en-US"/>
                </w:rPr>
              </w:pPr>
              <w:sdt>
                <w:sdtPr>
                  <w:alias w:val="Numeris"/>
                  <w:tag w:val="nr_13a56a072993411aabb6fc44f0f4ddaf"/>
                  <w:lock w:val="sdtLocked"/>
                  <w:richText/>
                </w:sdtPr>
                <w:sdtContent>
                  <w:r>
                    <w:rPr>
                      <w:szCs w:val="24"/>
                      <w:lang w:eastAsia="lt-LT"/>
                    </w:rPr>
                    <w:t>4</w:t>
                  </w:r>
                </w:sdtContent>
              </w:sdt>
              <w:r>
                <w:rPr>
                  <w:szCs w:val="24"/>
                  <w:lang w:eastAsia="lt-LT"/>
                </w:rPr>
                <w:t>.</w:t>
                <w:tab/>
              </w:r>
              <w:r>
                <w:rPr>
                  <w:rFonts w:eastAsia="Andale Sans UI" w:cs="Tahoma"/>
                  <w:szCs w:val="24"/>
                  <w:lang w:bidi="en-US"/>
                </w:rPr>
                <w:t>ATT projekto lyginamasis variantas, 2 lapai.</w:t>
              </w:r>
            </w:p>
          </w:sdtContent>
        </w:sdt>
        <w:sdt>
          <w:sdtPr>
            <w:alias w:val="5 p."/>
            <w:tag w:val="part_8f03a3bfb393418ca5e524a4255a0163"/>
            <w:lock w:val="sdtLocked"/>
            <w:richText/>
          </w:sdtPr>
          <w:sdtContent>
            <w:p>
              <w:pPr>
                <w:spacing w:line="276" w:lineRule="auto"/>
                <w:ind w:left="927" w:hanging="360"/>
                <w:jc w:val="both"/>
                <w:rPr>
                  <w:rFonts w:eastAsia="Andale Sans UI" w:cs="Tahoma"/>
                  <w:szCs w:val="24"/>
                  <w:lang w:bidi="en-US"/>
                </w:rPr>
              </w:pPr>
              <w:sdt>
                <w:sdtPr>
                  <w:alias w:val="Numeris"/>
                  <w:tag w:val="nr_8f03a3bfb393418ca5e524a4255a0163"/>
                  <w:lock w:val="sdtLocked"/>
                  <w:richText/>
                </w:sdtPr>
                <w:sdtContent>
                  <w:r>
                    <w:rPr>
                      <w:szCs w:val="24"/>
                      <w:lang w:eastAsia="lt-LT"/>
                    </w:rPr>
                    <w:t>5</w:t>
                  </w:r>
                </w:sdtContent>
              </w:sdt>
              <w:r>
                <w:rPr>
                  <w:szCs w:val="24"/>
                  <w:lang w:eastAsia="lt-LT"/>
                </w:rPr>
                <w:t>.</w:t>
                <w:tab/>
              </w:r>
              <w:r>
                <w:rPr>
                  <w:rFonts w:eastAsia="Andale Sans UI" w:cs="Tahoma"/>
                  <w:szCs w:val="24"/>
                  <w:lang w:bidi="en-US"/>
                </w:rPr>
                <w:t>Projektų antikorupcinio vertinimo pažyma, 7 lapai.</w:t>
              </w:r>
            </w:p>
            <w:p>
              <w:pPr>
                <w:spacing w:line="276" w:lineRule="auto"/>
                <w:ind w:firstLine="567"/>
                <w:jc w:val="both"/>
                <w:rPr>
                  <w:rFonts w:eastAsia="Andale Sans UI"/>
                  <w:szCs w:val="24"/>
                  <w:lang w:bidi="en-US"/>
                </w:rPr>
              </w:pPr>
            </w:p>
            <w:p>
              <w:pPr>
                <w:spacing w:line="276" w:lineRule="auto"/>
                <w:ind w:firstLine="567"/>
                <w:jc w:val="both"/>
                <w:rPr>
                  <w:rFonts w:eastAsia="Andale Sans UI"/>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679"/>
                <w:gridCol w:w="147"/>
              </w:tblGrid>
              <w:tr>
                <w:trPr>
                  <w:trHeight w:val="340"/>
                </w:trPr>
                <w:tc>
                  <w:tcPr>
                    <w:tcW w:w="4817" w:type="dxa"/>
                    <w:vAlign w:val="bottom"/>
                  </w:tcPr>
                  <w:p>
                    <w:pPr>
                      <w:suppressLineNumbers/>
                      <w:spacing w:line="276" w:lineRule="auto"/>
                      <w:jc w:val="both"/>
                      <w:rPr>
                        <w:rFonts w:eastAsia="Andale Sans UI"/>
                        <w:szCs w:val="24"/>
                        <w:lang w:bidi="en-US"/>
                      </w:rPr>
                    </w:pPr>
                    <w:r>
                      <w:rPr>
                        <w:rFonts w:eastAsia="Andale Sans UI"/>
                        <w:szCs w:val="24"/>
                        <w:lang w:bidi="en-US"/>
                      </w:rPr>
                      <w:t>Aplinkos viceministrė</w:t>
                    </w:r>
                  </w:p>
                </w:tc>
                <w:tc>
                  <w:tcPr>
                    <w:tcW w:w="4826" w:type="dxa"/>
                    <w:gridSpan w:val="2"/>
                    <w:vAlign w:val="bottom"/>
                  </w:tcPr>
                  <w:p>
                    <w:pPr>
                      <w:spacing w:line="276" w:lineRule="auto"/>
                      <w:ind w:right="34"/>
                      <w:jc w:val="right"/>
                      <w:rPr>
                        <w:rFonts w:eastAsia="Andale Sans UI"/>
                        <w:szCs w:val="24"/>
                        <w:lang w:bidi="en-US"/>
                      </w:rPr>
                    </w:pPr>
                    <w:r>
                      <w:rPr>
                        <w:rFonts w:eastAsia="Andale Sans UI"/>
                        <w:szCs w:val="24"/>
                        <w:lang w:bidi="en-US"/>
                      </w:rPr>
                      <w:t>Raminta Radavičienė</w:t>
                    </w:r>
                  </w:p>
                </w:tc>
              </w:tr>
              <w:tr>
                <w:trPr>
                  <w:gridAfter w:val="1"/>
                  <w:wAfter w:w="147" w:type="dxa"/>
                </w:trPr>
                <w:tc>
                  <w:tcPr>
                    <w:tcW w:w="9496" w:type="dxa"/>
                    <w:gridSpan w:val="2"/>
                  </w:tcPr>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tc>
              </w:tr>
            </w:tbl>
            <w:p>
              <w:pPr>
                <w:spacing w:line="276" w:lineRule="auto"/>
                <w:jc w:val="both"/>
                <w:rPr>
                  <w:rFonts w:eastAsia="Andale Sans UI"/>
                  <w:color w:val="000080"/>
                  <w:szCs w:val="24"/>
                  <w:u w:val="single"/>
                  <w:lang w:bidi="en-US"/>
                </w:rPr>
                <w:sectPr>
                  <w:headerReference w:type="even" r:id="rId14"/>
                  <w:headerReference w:type="default" r:id="rId15"/>
                  <w:footerReference w:type="even" r:id="rId16"/>
                  <w:footerReference w:type="default" r:id="rId17"/>
                  <w:headerReference w:type="first" r:id="rId18"/>
                  <w:footerReference w:type="first" r:id="rId19"/>
                  <w:footnotePr>
                    <w:pos w:val="beneathText"/>
                    <w:numRestart w:val="eachPage"/>
                  </w:footnotePr>
                  <w:endnotePr>
                    <w:numFmt w:val="decimal"/>
                  </w:endnotePr>
                  <w:pgSz w:w="11905" w:h="16837"/>
                  <w:pgMar w:top="1134" w:right="567" w:bottom="1134" w:left="1701" w:header="567" w:footer="232" w:gutter="0"/>
                  <w:cols w:space="1296"/>
                  <w:titlePg/>
                </w:sectPr>
              </w:pPr>
              <w:r>
                <w:rPr>
                  <w:rFonts w:eastAsia="Andale Sans UI"/>
                  <w:szCs w:val="24"/>
                  <w:lang w:bidi="en-US"/>
                </w:rPr>
                <w:t xml:space="preserve">A. Rakauskienė, mob. 8 696 80 518, el. p. </w:t>
              </w:r>
              <w:r>
                <w:rPr>
                  <w:rFonts w:eastAsia="Andale Sans UI"/>
                  <w:color w:val="000080"/>
                  <w:szCs w:val="24"/>
                  <w:u w:val="single"/>
                  <w:lang w:bidi="en-US"/>
                </w:rPr>
                <w:t>aiste.rakauskiene@am.lt</w:t>
              </w:r>
            </w:p>
            <w:p>
              <w:pPr>
                <w:suppressLineNumbers/>
                <w:tabs>
                  <w:tab w:val="center" w:pos="4800"/>
                  <w:tab w:val="right" w:pos="9601"/>
                </w:tabs>
                <w:jc w:val="both"/>
                <w:rPr>
                  <w:rFonts w:eastAsia="Andale Sans UI" w:cs="Tahoma"/>
                  <w:szCs w:val="24"/>
                  <w:lang w:bidi="en-US"/>
                </w:rPr>
              </w:pPr>
            </w:p>
            <w:p>
              <w:pPr>
                <w:spacing w:line="276" w:lineRule="auto"/>
                <w:jc w:val="both"/>
                <w:rPr>
                  <w:rFonts w:eastAsia="Andale Sans UI"/>
                  <w:color w:val="000080"/>
                  <w:sz w:val="22"/>
                  <w:szCs w:val="22"/>
                  <w:u w:val="single"/>
                  <w:lang w:bidi="en-US"/>
                </w:rPr>
              </w:pPr>
            </w:p>
            <w:p>
              <w:pPr>
                <w:spacing w:line="276" w:lineRule="auto"/>
                <w:jc w:val="center"/>
                <w:rPr>
                  <w:rFonts w:eastAsia="Andale Sans UI" w:cs="Tahoma"/>
                  <w:szCs w:val="24"/>
                  <w:lang w:bidi="en-US"/>
                </w:rPr>
              </w:pPr>
              <w:r>
                <w:rPr>
                  <w:rFonts w:eastAsia="Andale Sans UI" w:cs="Tahoma"/>
                  <w:szCs w:val="24"/>
                  <w:lang w:bidi="en-US"/>
                </w:rPr>
                <w:t>ADRESATŲ SĄRAŠAS</w:t>
              </w:r>
            </w:p>
            <w:p>
              <w:pPr>
                <w:rPr>
                  <w:color w:val="000000"/>
                  <w:sz w:val="22"/>
                  <w:szCs w:val="22"/>
                  <w:lang w:eastAsia="lt-LT"/>
                </w:rPr>
              </w:pPr>
            </w:p>
            <w:p>
              <w:pPr>
                <w:suppressLineNumbers/>
                <w:jc w:val="both"/>
                <w:rPr>
                  <w:rFonts w:eastAsia="Andale Sans UI"/>
                  <w:szCs w:val="24"/>
                  <w:lang w:bidi="en-US"/>
                </w:rPr>
              </w:pPr>
              <w:r>
                <w:rPr>
                  <w:rFonts w:eastAsia="Andale Sans UI"/>
                  <w:szCs w:val="24"/>
                  <w:lang w:bidi="en-US"/>
                </w:rPr>
                <w:t>Antrinių žaliavų ir atliekų surinkėjų, perdirbėjų asociacijai</w:t>
              </w:r>
            </w:p>
            <w:p>
              <w:pPr>
                <w:suppressLineNumbers/>
                <w:jc w:val="both"/>
                <w:rPr>
                  <w:rFonts w:eastAsia="Andale Sans UI"/>
                  <w:szCs w:val="24"/>
                  <w:lang w:bidi="en-US"/>
                </w:rPr>
              </w:pPr>
              <w:r>
                <w:rPr>
                  <w:rFonts w:eastAsia="Andale Sans UI"/>
                  <w:szCs w:val="24"/>
                  <w:lang w:bidi="en-US"/>
                </w:rPr>
                <w:t>Aplinkos apsaugos agentūrai</w:t>
              </w:r>
            </w:p>
            <w:p>
              <w:pPr>
                <w:suppressLineNumbers/>
                <w:jc w:val="both"/>
                <w:rPr>
                  <w:rFonts w:eastAsia="Andale Sans UI"/>
                  <w:szCs w:val="24"/>
                  <w:lang w:bidi="en-US"/>
                </w:rPr>
              </w:pPr>
              <w:r>
                <w:rPr>
                  <w:rFonts w:eastAsia="Andale Sans UI"/>
                  <w:szCs w:val="24"/>
                  <w:lang w:bidi="en-US"/>
                </w:rPr>
                <w:t>Aplinkos apsaugos departamentui prie Aplinkos ministerijos</w:t>
              </w:r>
            </w:p>
            <w:p>
              <w:pPr>
                <w:suppressLineNumbers/>
                <w:jc w:val="both"/>
                <w:rPr>
                  <w:rFonts w:eastAsia="Andale Sans UI"/>
                  <w:szCs w:val="24"/>
                  <w:lang w:bidi="en-US"/>
                </w:rPr>
              </w:pPr>
              <w:r>
                <w:rPr>
                  <w:rFonts w:eastAsia="Andale Sans UI"/>
                  <w:szCs w:val="24"/>
                  <w:lang w:bidi="en-US"/>
                </w:rPr>
                <w:t>Atliekų tvarkytojų ir turėtojų asociacijai</w:t>
              </w:r>
            </w:p>
            <w:p>
              <w:pPr>
                <w:suppressLineNumbers/>
                <w:jc w:val="both"/>
                <w:rPr>
                  <w:rFonts w:eastAsia="Andale Sans UI"/>
                  <w:szCs w:val="24"/>
                  <w:lang w:bidi="en-US"/>
                </w:rPr>
              </w:pPr>
              <w:r>
                <w:rPr>
                  <w:rFonts w:eastAsia="Andale Sans UI"/>
                  <w:szCs w:val="24"/>
                  <w:lang w:bidi="en-US"/>
                </w:rPr>
                <w:t>Ekonomikos ir inovacijų ministerijai</w:t>
              </w:r>
            </w:p>
            <w:p>
              <w:pPr>
                <w:rPr>
                  <w:szCs w:val="24"/>
                </w:rPr>
              </w:pPr>
              <w:r>
                <w:rPr>
                  <w:szCs w:val="24"/>
                </w:rPr>
                <w:t>Eksploatuoti netinkamų transporto priemonių tvarkytojų asociacijai</w:t>
              </w:r>
            </w:p>
          </w:sdtContent>
        </w:sdt>
        <w:sdt>
          <w:sdtPr>
            <w:alias w:val="signatura"/>
            <w:tag w:val="part_32080f6367e448779a57e6523f3e570d"/>
            <w:lock w:val="sdtLocked"/>
            <w:richText/>
          </w:sdtPr>
          <w:sdtContent>
            <w:p>
              <w:pPr>
                <w:suppressLineNumbers/>
                <w:jc w:val="both"/>
                <w:rPr>
                  <w:rFonts w:eastAsia="Andale Sans UI"/>
                  <w:szCs w:val="24"/>
                  <w:lang w:bidi="en-US"/>
                </w:rPr>
              </w:pPr>
              <w:r>
                <w:rPr>
                  <w:rFonts w:eastAsia="Andale Sans UI"/>
                  <w:szCs w:val="24"/>
                  <w:lang w:bidi="en-US"/>
                </w:rPr>
                <w:t>Lietuvos komunalininkų ir atliekų tvarkytojų asociacijai</w:t>
              </w:r>
            </w:p>
            <w:p>
              <w:pPr>
                <w:suppressLineNumbers/>
                <w:jc w:val="both"/>
                <w:rPr>
                  <w:rFonts w:eastAsia="Andale Sans UI"/>
                  <w:color w:val="000000"/>
                  <w:szCs w:val="24"/>
                  <w:lang w:bidi="en-US"/>
                </w:rPr>
              </w:pPr>
              <w:r>
                <w:rPr>
                  <w:rFonts w:eastAsia="Andale Sans UI"/>
                  <w:color w:val="000000"/>
                  <w:szCs w:val="24"/>
                  <w:lang w:bidi="en-US"/>
                </w:rPr>
                <w:t>Lietuvos pramonininkų konfederacijai</w:t>
              </w:r>
            </w:p>
            <w:p>
              <w:pPr>
                <w:suppressLineNumbers/>
                <w:jc w:val="both"/>
                <w:rPr>
                  <w:rFonts w:eastAsia="Andale Sans UI"/>
                  <w:color w:val="000000"/>
                  <w:szCs w:val="24"/>
                  <w:lang w:bidi="en-US"/>
                </w:rPr>
              </w:pPr>
              <w:r>
                <w:rPr>
                  <w:rFonts w:eastAsia="Andale Sans UI"/>
                  <w:color w:val="000000"/>
                  <w:szCs w:val="24"/>
                  <w:lang w:bidi="en-US"/>
                </w:rPr>
                <w:t>Lietuvos prekybos, pramonės ir amatų rūmų asociacijai</w:t>
              </w:r>
            </w:p>
            <w:p>
              <w:pPr>
                <w:suppressLineNumbers/>
                <w:jc w:val="both"/>
                <w:rPr>
                  <w:rFonts w:eastAsia="Andale Sans UI"/>
                  <w:szCs w:val="24"/>
                  <w:lang w:bidi="en-US"/>
                </w:rPr>
              </w:pPr>
              <w:r>
                <w:rPr>
                  <w:rFonts w:eastAsia="Andale Sans UI"/>
                  <w:szCs w:val="24"/>
                  <w:lang w:bidi="en-US"/>
                </w:rPr>
                <w:t>Lietuvos regioninių atliekų tvarkymo centrų asociacijai</w:t>
              </w:r>
            </w:p>
            <w:p>
              <w:pPr>
                <w:suppressLineNumbers/>
                <w:jc w:val="both"/>
                <w:rPr>
                  <w:rFonts w:eastAsia="Andale Sans UI"/>
                  <w:szCs w:val="24"/>
                  <w:lang w:bidi="en-US"/>
                </w:rPr>
              </w:pPr>
              <w:r>
                <w:rPr>
                  <w:rFonts w:eastAsia="Andale Sans UI"/>
                  <w:szCs w:val="24"/>
                  <w:lang w:bidi="en-US"/>
                </w:rPr>
                <w:t>Lietuvos Respublikos odontologų rūmams</w:t>
              </w:r>
            </w:p>
            <w:p>
              <w:pPr>
                <w:suppressLineNumbers/>
                <w:jc w:val="both"/>
                <w:rPr>
                  <w:rFonts w:eastAsia="Andale Sans UI"/>
                  <w:szCs w:val="24"/>
                  <w:lang w:bidi="en-US"/>
                </w:rPr>
              </w:pPr>
              <w:r>
                <w:rPr>
                  <w:rFonts w:eastAsia="Andale Sans UI"/>
                  <w:szCs w:val="24"/>
                  <w:lang w:bidi="en-US"/>
                </w:rPr>
                <w:t>Lietuvos savivaldybių asociacijai</w:t>
              </w:r>
            </w:p>
            <w:p>
              <w:pPr>
                <w:jc w:val="both"/>
                <w:rPr>
                  <w:rFonts w:eastAsia="Andale Sans UI"/>
                  <w:szCs w:val="24"/>
                  <w:lang w:bidi="en-US"/>
                </w:rPr>
              </w:pPr>
              <w:r>
                <w:rPr>
                  <w:rFonts w:eastAsia="Andale Sans UI"/>
                  <w:szCs w:val="24"/>
                  <w:lang w:bidi="en-US"/>
                </w:rPr>
                <w:t>Lietuvos savivaldybių komunalinių įmonių asociacijai</w:t>
              </w:r>
            </w:p>
            <w:p>
              <w:pPr>
                <w:suppressLineNumbers/>
                <w:jc w:val="both"/>
                <w:rPr>
                  <w:szCs w:val="24"/>
                  <w:lang w:bidi="en-US"/>
                </w:rPr>
              </w:pPr>
              <w:r>
                <w:rPr>
                  <w:szCs w:val="24"/>
                  <w:lang w:bidi="en-US"/>
                </w:rPr>
                <w:t>Lietuvos standartizacijos departamentui</w:t>
              </w:r>
            </w:p>
            <w:p>
              <w:pPr>
                <w:suppressLineNumbers/>
                <w:jc w:val="both"/>
                <w:rPr>
                  <w:rFonts w:eastAsia="Andale Sans UI"/>
                  <w:szCs w:val="24"/>
                  <w:lang w:bidi="en-US"/>
                </w:rPr>
              </w:pPr>
              <w:r>
                <w:rPr>
                  <w:rFonts w:eastAsia="Andale Sans UI"/>
                  <w:szCs w:val="24"/>
                  <w:lang w:bidi="en-US"/>
                </w:rPr>
                <w:t>Lietuvos verslo konfederacijai</w:t>
              </w:r>
            </w:p>
            <w:p>
              <w:pPr>
                <w:suppressLineNumbers/>
                <w:jc w:val="both"/>
                <w:rPr>
                  <w:rFonts w:eastAsia="Andale Sans UI"/>
                  <w:szCs w:val="24"/>
                  <w:lang w:bidi="en-US"/>
                </w:rPr>
              </w:pPr>
              <w:r>
                <w:rPr>
                  <w:rFonts w:eastAsia="Andale Sans UI"/>
                  <w:szCs w:val="24"/>
                  <w:lang w:bidi="en-US"/>
                </w:rPr>
                <w:t>Pakuotės atliekų perdirbėjų asociacijai</w:t>
              </w:r>
            </w:p>
            <w:p>
              <w:pPr>
                <w:suppressLineNumbers/>
                <w:jc w:val="both"/>
                <w:rPr>
                  <w:rFonts w:eastAsia="Andale Sans UI"/>
                  <w:szCs w:val="24"/>
                  <w:lang w:bidi="en-US"/>
                </w:rPr>
              </w:pPr>
              <w:r>
                <w:rPr>
                  <w:rFonts w:eastAsia="Andale Sans UI"/>
                  <w:szCs w:val="24"/>
                  <w:lang w:bidi="en-US"/>
                </w:rPr>
                <w:t>Pavojingųjų atliekų tvarkytojų asociacijai</w:t>
              </w:r>
            </w:p>
            <w:p>
              <w:pPr>
                <w:jc w:val="both"/>
                <w:rPr>
                  <w:rFonts w:eastAsia="Andale Sans UI" w:cs="Tahoma"/>
                  <w:szCs w:val="24"/>
                  <w:lang w:bidi="en-US"/>
                </w:rPr>
              </w:pPr>
              <w:r>
                <w:rPr>
                  <w:rFonts w:eastAsia="Andale Sans UI" w:cs="Tahoma"/>
                  <w:szCs w:val="24"/>
                  <w:lang w:bidi="en-US"/>
                </w:rPr>
                <w:t>Specialiųjų tyrimų tarnybai</w:t>
              </w:r>
            </w:p>
            <w:p>
              <w:pPr>
                <w:suppressLineNumbers/>
                <w:jc w:val="both"/>
                <w:rPr>
                  <w:rFonts w:eastAsia="Andale Sans UI"/>
                  <w:szCs w:val="24"/>
                  <w:lang w:bidi="en-US"/>
                </w:rPr>
              </w:pPr>
              <w:r>
                <w:rPr>
                  <w:rFonts w:eastAsia="Andale Sans UI"/>
                  <w:szCs w:val="24"/>
                  <w:lang w:bidi="en-US"/>
                </w:rPr>
                <w:t>Vyriausybės atstovams apskrityse</w:t>
              </w:r>
            </w:p>
            <w:p>
              <w:pPr>
                <w:suppressLineNumbers/>
                <w:jc w:val="both"/>
                <w:rPr>
                  <w:szCs w:val="24"/>
                  <w:lang w:bidi="en-US"/>
                </w:rPr>
              </w:pPr>
              <w:r>
                <w:rPr>
                  <w:szCs w:val="24"/>
                  <w:lang w:bidi="en-US"/>
                </w:rPr>
                <w:t>Žemės ūkio ministerijai</w:t>
              </w:r>
            </w:p>
          </w:sdtContent>
        </w:sdt>
      </w:sdtContent>
    </w:sdt>
    <w:sectPr>
      <w:footnotePr>
        <w:pos w:val="beneathText"/>
        <w:numRestart w:val="eachPage"/>
      </w:footnotePr>
      <w:endnotePr>
        <w:numFmt w:val="decimal"/>
      </w:endnotePr>
      <w:pgSz w:w="11905" w:h="16837"/>
      <w:pgMar w:top="1134" w:right="567" w:bottom="1134" w:left="1701" w:header="567" w:footer="232"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auto"/>
    <w:pitch w:val="default"/>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Times">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eastAsia="Andale Sans UI" w:cs="Tahoma"/>
        <w:szCs w:val="24"/>
        <w:lang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id="1">
    <w:p>
      <w:pPr>
        <w:suppressAutoHyphens/>
        <w:rPr>
          <w:sz w:val="20"/>
          <w:lang w:eastAsia="lt-LT"/>
        </w:rPr>
      </w:pPr>
      <w:r>
        <w:rPr>
          <w:sz w:val="20"/>
          <w:vertAlign w:val="superscript"/>
          <w:lang w:eastAsia="lt-LT"/>
        </w:rPr>
        <w:footnoteRef/>
      </w:r>
      <w:r>
        <w:rPr>
          <w:sz w:val="20"/>
          <w:lang w:eastAsia="lt-LT"/>
        </w:rPr>
        <w:t xml:space="preserve"> Studija dėl v</w:t>
      </w:r>
      <w:r>
        <w:rPr>
          <w:color w:val="000000"/>
          <w:sz w:val="20"/>
          <w:szCs w:val="24"/>
          <w:lang w:eastAsia="lt-LT"/>
        </w:rPr>
        <w:t xml:space="preserve">ieningos pavojingųjų atliekų identifikavimo metodikos sukūrimo. Prieiga per internetą: </w:t>
      </w:r>
      <w:r>
        <w:rPr>
          <w:color w:val="000080"/>
          <w:sz w:val="20"/>
          <w:szCs w:val="24"/>
          <w:u w:val="single"/>
          <w:lang w:eastAsia="lt-LT"/>
        </w:rPr>
        <w:t>https://pavojingosiosatliekos.lt/metodika/</w:t>
      </w:r>
      <w:r>
        <w:rPr>
          <w:color w:val="000000"/>
          <w:sz w:val="20"/>
          <w:szCs w:val="24"/>
          <w:lang w:eastAsia="lt-LT"/>
        </w:rPr>
        <w:t>.</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49153"/>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1C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74639060">
      <w:bodyDiv w:val="1"/>
      <w:marLeft w:val="0"/>
      <w:marRight w:val="0"/>
      <w:marTop w:val="0"/>
      <w:marBottom w:val="0"/>
      <w:divBdr>
        <w:top w:val="none" w:sz="0" w:space="0" w:color="auto"/>
        <w:left w:val="none" w:sz="0" w:space="0" w:color="auto"/>
        <w:bottom w:val="none" w:sz="0" w:space="0" w:color="auto"/>
        <w:right w:val="none" w:sz="0" w:space="0" w:color="auto"/>
      </w:divBdr>
      <w:divsChild>
        <w:div w:id="1385711416">
          <w:marLeft w:val="0"/>
          <w:marRight w:val="0"/>
          <w:marTop w:val="0"/>
          <w:marBottom w:val="0"/>
          <w:divBdr>
            <w:top w:val="none" w:sz="0" w:space="0" w:color="auto"/>
            <w:left w:val="none" w:sz="0" w:space="0" w:color="auto"/>
            <w:bottom w:val="none" w:sz="0" w:space="0" w:color="auto"/>
            <w:right w:val="none" w:sz="0" w:space="0" w:color="auto"/>
          </w:divBdr>
        </w:div>
        <w:div w:id="1321153274">
          <w:marLeft w:val="0"/>
          <w:marRight w:val="0"/>
          <w:marTop w:val="0"/>
          <w:marBottom w:val="0"/>
          <w:divBdr>
            <w:top w:val="none" w:sz="0" w:space="0" w:color="auto"/>
            <w:left w:val="none" w:sz="0" w:space="0" w:color="auto"/>
            <w:bottom w:val="none" w:sz="0" w:space="0" w:color="auto"/>
            <w:right w:val="none" w:sz="0" w:space="0" w:color="auto"/>
          </w:divBdr>
        </w:div>
        <w:div w:id="714935033">
          <w:marLeft w:val="0"/>
          <w:marRight w:val="0"/>
          <w:marTop w:val="0"/>
          <w:marBottom w:val="0"/>
          <w:divBdr>
            <w:top w:val="none" w:sz="0" w:space="0" w:color="auto"/>
            <w:left w:val="none" w:sz="0" w:space="0" w:color="auto"/>
            <w:bottom w:val="none" w:sz="0" w:space="0" w:color="auto"/>
            <w:right w:val="none" w:sz="0" w:space="0" w:color="auto"/>
          </w:divBdr>
        </w:div>
        <w:div w:id="1930458049">
          <w:marLeft w:val="0"/>
          <w:marRight w:val="0"/>
          <w:marTop w:val="0"/>
          <w:marBottom w:val="0"/>
          <w:divBdr>
            <w:top w:val="none" w:sz="0" w:space="0" w:color="auto"/>
            <w:left w:val="none" w:sz="0" w:space="0" w:color="auto"/>
            <w:bottom w:val="none" w:sz="0" w:space="0" w:color="auto"/>
            <w:right w:val="none" w:sz="0" w:space="0" w:color="auto"/>
          </w:divBdr>
        </w:div>
        <w:div w:id="1553613686">
          <w:marLeft w:val="0"/>
          <w:marRight w:val="0"/>
          <w:marTop w:val="0"/>
          <w:marBottom w:val="0"/>
          <w:divBdr>
            <w:top w:val="none" w:sz="0" w:space="0" w:color="auto"/>
            <w:left w:val="none" w:sz="0" w:space="0" w:color="auto"/>
            <w:bottom w:val="none" w:sz="0" w:space="0" w:color="auto"/>
            <w:right w:val="none" w:sz="0" w:space="0" w:color="auto"/>
          </w:divBdr>
        </w:div>
        <w:div w:id="561216081">
          <w:marLeft w:val="0"/>
          <w:marRight w:val="0"/>
          <w:marTop w:val="0"/>
          <w:marBottom w:val="0"/>
          <w:divBdr>
            <w:top w:val="none" w:sz="0" w:space="0" w:color="auto"/>
            <w:left w:val="none" w:sz="0" w:space="0" w:color="auto"/>
            <w:bottom w:val="none" w:sz="0" w:space="0" w:color="auto"/>
            <w:right w:val="none" w:sz="0" w:space="0" w:color="auto"/>
          </w:divBdr>
        </w:div>
        <w:div w:id="772478404">
          <w:marLeft w:val="0"/>
          <w:marRight w:val="0"/>
          <w:marTop w:val="0"/>
          <w:marBottom w:val="0"/>
          <w:divBdr>
            <w:top w:val="none" w:sz="0" w:space="0" w:color="auto"/>
            <w:left w:val="none" w:sz="0" w:space="0" w:color="auto"/>
            <w:bottom w:val="none" w:sz="0" w:space="0" w:color="auto"/>
            <w:right w:val="none" w:sz="0" w:space="0" w:color="auto"/>
          </w:divBdr>
        </w:div>
        <w:div w:id="165903898">
          <w:marLeft w:val="0"/>
          <w:marRight w:val="0"/>
          <w:marTop w:val="0"/>
          <w:marBottom w:val="0"/>
          <w:divBdr>
            <w:top w:val="none" w:sz="0" w:space="0" w:color="auto"/>
            <w:left w:val="none" w:sz="0" w:space="0" w:color="auto"/>
            <w:bottom w:val="none" w:sz="0" w:space="0" w:color="auto"/>
            <w:right w:val="none" w:sz="0" w:space="0" w:color="auto"/>
          </w:divBdr>
        </w:div>
        <w:div w:id="1415587610">
          <w:marLeft w:val="0"/>
          <w:marRight w:val="0"/>
          <w:marTop w:val="0"/>
          <w:marBottom w:val="0"/>
          <w:divBdr>
            <w:top w:val="none" w:sz="0" w:space="0" w:color="auto"/>
            <w:left w:val="none" w:sz="0" w:space="0" w:color="auto"/>
            <w:bottom w:val="none" w:sz="0" w:space="0" w:color="auto"/>
            <w:right w:val="none" w:sz="0" w:space="0" w:color="auto"/>
          </w:divBdr>
        </w:div>
        <w:div w:id="313991690">
          <w:marLeft w:val="0"/>
          <w:marRight w:val="0"/>
          <w:marTop w:val="0"/>
          <w:marBottom w:val="0"/>
          <w:divBdr>
            <w:top w:val="none" w:sz="0" w:space="0" w:color="auto"/>
            <w:left w:val="none" w:sz="0" w:space="0" w:color="auto"/>
            <w:bottom w:val="none" w:sz="0" w:space="0" w:color="auto"/>
            <w:right w:val="none" w:sz="0" w:space="0" w:color="auto"/>
          </w:divBdr>
        </w:div>
        <w:div w:id="2092316619">
          <w:marLeft w:val="0"/>
          <w:marRight w:val="0"/>
          <w:marTop w:val="0"/>
          <w:marBottom w:val="0"/>
          <w:divBdr>
            <w:top w:val="none" w:sz="0" w:space="0" w:color="auto"/>
            <w:left w:val="none" w:sz="0" w:space="0" w:color="auto"/>
            <w:bottom w:val="none" w:sz="0" w:space="0" w:color="auto"/>
            <w:right w:val="none" w:sz="0" w:space="0" w:color="auto"/>
          </w:divBdr>
        </w:div>
        <w:div w:id="1991011720">
          <w:marLeft w:val="0"/>
          <w:marRight w:val="0"/>
          <w:marTop w:val="0"/>
          <w:marBottom w:val="0"/>
          <w:divBdr>
            <w:top w:val="none" w:sz="0" w:space="0" w:color="auto"/>
            <w:left w:val="none" w:sz="0" w:space="0" w:color="auto"/>
            <w:bottom w:val="none" w:sz="0" w:space="0" w:color="auto"/>
            <w:right w:val="none" w:sz="0" w:space="0" w:color="auto"/>
          </w:divBdr>
        </w:div>
      </w:divsChild>
    </w:div>
    <w:div w:id="1260867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customXml" Target="../customXml/item5.xml"/>
  <Relationship Id="rId21" Type="http://schemas.openxmlformats.org/officeDocument/2006/relationships/fontTable" Target="fontTable.xml"/>
  <Relationship Id="rId22" Type="http://schemas.openxmlformats.org/officeDocument/2006/relationships/theme" Target="theme/theme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95f9818deb4644f1a548453d1346c443" PartId="b7fe26aa396f4658989db07f27a9d96e"/>
  <Part Type="pastraipa" DocPartId="70ff18dd6f664d9fa9b387acf28f25cb" PartId="303bd765562f4ac7b18c708d2e348ffa"/>
  <Part Type="pastraipa" DocPartId="fb8f00848fb94a568a2968a40d5bbb5b" PartId="91d0a65544f64dff93a3795b379640d4"/>
  <Part Type="pastraipa" DocPartId="4b8a602bf5854251a74574bbd1a239aa" PartId="b8fbb75428b448ed92f554e2ad5aec5d"/>
  <Part Type="pastraipa" DocPartId="a3b02f72d3ee4c9984fa04e67ec8793a" PartId="8f6b4730806a45b0824e1e9df139e73f"/>
  <Part Type="pastraipa" DocPartId="54e5a6597f244529bbfd95af31403a52" PartId="a69eb5301a8a49248f8dd98ad45a9d79"/>
  <Part Type="pastraipa" DocPartId="8da4f4ad65884ad0817bc5a1c8cd3819" PartId="d87fa00037174d9b8c6c2b9becec7263"/>
  <Part Type="pastraipa" DocPartId="04fafe9792934de7abe7c91850074544" PartId="f7eac26535ae424585d1fdce3019491b"/>
  <Part Type="pastraipa" DocPartId="b3926060d7e94ce897d6a03cd2ccedbe" PartId="b6757d5af6a04b088b03a454524db419"/>
  <Part Type="pastraipa" DocPartId="69d5b9edb9ae47ecaf619c6192b18da2" PartId="fd18424634be4c05a6b79d717dc32419"/>
  <Part Type="pastraipa" DocPartId="54a35ddaf80b428bb0579ec97efe105c" PartId="7dcf85de13a74ada9c33c358bd5a8e7e"/>
  <Part Type="pastraipa" DocPartId="075e667d403e4140a2117401e9d004ab" PartId="631a8ace1435432cb203ebdb811ba73b"/>
  <Part Type="pastraipa" DocPartId="f116283195f340b1945ab68af7d87769" PartId="d91f9b1ec9034f18a039229f0fc41704"/>
  <Part Type="pastraipa" DocPartId="a4192801c6ce437f9ad46d45a8a65b2e" PartId="a17ac7a3a5144237a7cc7a973d8ec19d"/>
  <Part Type="pastraipa" DocPartId="e145cd523046406386546d462f3411cf" PartId="160b146efa9147518d7cdf90297ad523"/>
  <Part Type="pastraipa" DocPartId="a7afc2a9860a4ba0826620ae5e29cbe7" PartId="42b9bd2155e04c46b3fefa3240886c47"/>
  <Part Type="pastraipa" DocPartId="fa0955e3bbf9455db29d2d5f9c2ed92e" PartId="a9ea13f308b749339b1c0b345c833f20">
    <Part Type="punktas" Nr="1" Abbr="1 p." DocPartId="0fa2505b08794575a78119b09c3c1eed" PartId="7024f654adac40b2944b9c3b2279a8c0"/>
    <Part Type="punktas" Nr="2" Abbr="2 p." DocPartId="89a79952b09648ce85897afe5bd5df82" PartId="d6681a7a6f2e4f17a1e872416f18fae2"/>
    <Part Type="punktas" Nr="3" Abbr="3 p." DocPartId="25bbea2f56ad4efc89f1b990ea58deba" PartId="5c03c28fb92647a7b08630bc8e23f6ad"/>
    <Part Type="punktas" Nr="4" Abbr="4 p." DocPartId="ed9ba5e098fc44559685737dbbf24bef" PartId="13a56a072993411aabb6fc44f0f4ddaf"/>
    <Part Type="punktas" Nr="5" Abbr="5 p." DocPartId="ffcb30ac731b49669729009e28b02be3" PartId="8f03a3bfb393418ca5e524a4255a0163"/>
    <Part Type="signatura" DocPartId="d34c5dff81154a33bcbc2724fd0ffaa5" PartId="32080f6367e448779a57e6523f3e570d"/>
  </Part>
</Parts>
</file>

<file path=customXml/itemProps1.xml><?xml version="1.0" encoding="utf-8"?>
<ds:datastoreItem xmlns:ds="http://schemas.openxmlformats.org/officeDocument/2006/customXml" ds:itemID="{27A7A9AC-B0FE-402F-A465-E3FC5008A02D}">
  <ds:schemaRefs>
    <ds:schemaRef ds:uri="http://schemas.microsoft.com/sharepoint/v3/contenttype/forms"/>
  </ds:schemaRefs>
</ds:datastoreItem>
</file>

<file path=customXml/itemProps2.xml><?xml version="1.0" encoding="utf-8"?>
<ds:datastoreItem xmlns:ds="http://schemas.openxmlformats.org/officeDocument/2006/customXml" ds:itemID="{3CEEC1AF-A755-460B-B808-D7F8B2D79F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4E8F6C4-63A4-488B-988F-9ADEBFC1A1A8}">
  <ds:schemaRefs>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5aad5d0-9c26-490e-8743-a6c7ceabd501"/>
    <ds:schemaRef ds:uri="http://www.w3.org/XML/1998/namespace"/>
    <ds:schemaRef ds:uri="http://purl.org/dc/dcmitype/"/>
  </ds:schemaRefs>
</ds:datastoreItem>
</file>

<file path=customXml/itemProps4.xml><?xml version="1.0" encoding="utf-8"?>
<ds:datastoreItem xmlns:ds="http://schemas.openxmlformats.org/officeDocument/2006/customXml" ds:itemID="{0356734D-D4A9-44CB-874F-01767E8498D9}">
  <ds:schemaRefs>
    <ds:schemaRef ds:uri="http://schemas.openxmlformats.org/officeDocument/2006/bibliography"/>
  </ds:schemaRefs>
</ds:datastoreItem>
</file>

<file path=customXml/itemProps5.xml><?xml version="1.0" encoding="utf-8"?>
<ds:datastoreItem xmlns:ds="http://schemas.openxmlformats.org/officeDocument/2006/customXml" ds:itemID="{4DF96526-B656-4101-9405-D314876A107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785</Words>
  <Characters>5933</Characters>
  <Application>Microsoft Office Word</Application>
  <DocSecurity>4</DocSecurity>
  <Lines>131</Lines>
  <Paragraphs>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6655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2023-05-26T10:56:00Z</dcterms:created>
  <dcterms:modified xsi:type="dcterms:W3CDTF">2023-05-26T10:56:00Z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