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d078448b9ae4cd9a824a3ae51785a0c"/>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suppressAutoHyphens/>
            <w:jc w:val="center"/>
            <w:rPr>
              <w:b/>
              <w:bCs/>
              <w:color w:val="000000"/>
              <w:kern w:val="2"/>
              <w:szCs w:val="24"/>
              <w:lang w:eastAsia="zh-CN"/>
            </w:rPr>
          </w:pPr>
          <w:r>
            <w:rPr>
              <w:b/>
              <w:bCs/>
              <w:color w:val="000000"/>
              <w:kern w:val="2"/>
              <w:szCs w:val="24"/>
              <w:lang w:eastAsia="zh-CN"/>
            </w:rPr>
            <w:t>ŠIAULIŲ MIESTO SAVIVALDYBĖS ADMINISTRACIJOS</w:t>
          </w:r>
        </w:p>
        <w:sdt>
          <w:sdtPr>
            <w:alias w:val="skyrius"/>
            <w:tag w:val="part_264d3ecb562946b6a95df88726f54b2d"/>
            <w:lock w:val="sdtLocked"/>
            <w:richText/>
          </w:sdtPr>
          <w:sdtContent>
            <w:p>
              <w:pPr>
                <w:suppressAutoHyphens/>
                <w:jc w:val="center"/>
                <w:rPr>
                  <w:b/>
                  <w:bCs/>
                  <w:kern w:val="2"/>
                  <w:szCs w:val="24"/>
                  <w:lang w:eastAsia="zh-CN"/>
                </w:rPr>
              </w:pPr>
              <w:r>
                <w:rPr>
                  <w:b/>
                  <w:bCs/>
                  <w:kern w:val="2"/>
                  <w:szCs w:val="24"/>
                  <w:lang w:eastAsia="zh-CN"/>
                </w:rPr>
                <w:t>KULTŪROS SKYRIUS</w:t>
              </w:r>
            </w:p>
            <w:p>
              <w:pPr>
                <w:suppressAutoHyphens/>
                <w:jc w:val="center"/>
                <w:rPr>
                  <w:kern w:val="2"/>
                  <w:szCs w:val="24"/>
                  <w:lang w:eastAsia="zh-CN"/>
                </w:rPr>
              </w:pPr>
            </w:p>
            <w:p>
              <w:pPr>
                <w:jc w:val="center"/>
                <w:rPr>
                  <w:rFonts w:eastAsia="Calibri"/>
                  <w:b/>
                  <w:bCs/>
                  <w:szCs w:val="24"/>
                </w:rPr>
              </w:pPr>
              <w:sdt>
                <w:sdtPr>
                  <w:alias w:val="Pavadinimas"/>
                  <w:tag w:val="title_264d3ecb562946b6a95df88726f54b2d"/>
                  <w:lock w:val="sdtLocked"/>
                  <w:richText/>
                </w:sdtPr>
                <w:sdtContent>
                  <w:r>
                    <w:rPr>
                      <w:rFonts w:eastAsia="Calibri"/>
                      <w:b/>
                      <w:bCs/>
                      <w:szCs w:val="24"/>
                    </w:rPr>
                    <w:t xml:space="preserve">DĖL ŠIAULIŲ MIESTO KONCERTINĖS ĮSTAIGOS „SAULĖ“ TEIKIAMŲ ATLYGINTINŲ PASLAUGŲ SĄRAŠO PATVIRTINIMO </w:t>
                  </w:r>
                </w:sdtContent>
              </w:sdt>
            </w:p>
            <w:p>
              <w:pPr>
                <w:rPr>
                  <w:sz w:val="18"/>
                  <w:szCs w:val="18"/>
                </w:rPr>
              </w:pPr>
            </w:p>
            <w:sdt>
              <w:sdtPr>
                <w:alias w:val="poskyris"/>
                <w:tag w:val="part_d888dc4f6b7943f196d34a4cb0fbbfea"/>
                <w:lock w:val="sdtLocked"/>
                <w:richText/>
              </w:sdtPr>
              <w:sdtContent>
                <w:p>
                  <w:pPr>
                    <w:jc w:val="center"/>
                    <w:rPr>
                      <w:rFonts w:eastAsia="Calibri"/>
                      <w:b/>
                      <w:bCs/>
                      <w:szCs w:val="24"/>
                    </w:rPr>
                  </w:pPr>
                  <w:sdt>
                    <w:sdtPr>
                      <w:alias w:val="Pavadinimas"/>
                      <w:tag w:val="title_d888dc4f6b7943f196d34a4cb0fbbfea"/>
                      <w:lock w:val="sdtLocked"/>
                      <w:richText/>
                    </w:sdtPr>
                    <w:sdtContent>
                      <w:r>
                        <w:rPr>
                          <w:rFonts w:eastAsia="Calibri"/>
                          <w:b/>
                          <w:bCs/>
                          <w:szCs w:val="24"/>
                        </w:rPr>
                        <w:t>AIŠKINAMASIS RAŠTAS</w:t>
                      </w:r>
                    </w:sdtContent>
                  </w:sdt>
                </w:p>
                <w:p>
                  <w:pPr>
                    <w:rPr>
                      <w:sz w:val="18"/>
                      <w:szCs w:val="18"/>
                    </w:rPr>
                  </w:pPr>
                </w:p>
                <w:p>
                  <w:pPr>
                    <w:jc w:val="center"/>
                    <w:rPr>
                      <w:szCs w:val="24"/>
                    </w:rPr>
                  </w:pPr>
                  <w:r>
                    <w:rPr>
                      <w:szCs w:val="24"/>
                    </w:rPr>
                    <w:t>2024-04-22</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center"/>
                    <w:rPr>
                      <w:rFonts w:eastAsia="Lucida Sans Unicode"/>
                      <w:iCs/>
                      <w:sz w:val="22"/>
                      <w:szCs w:val="22"/>
                      <w:lang w:eastAsia="lt-LT"/>
                    </w:rPr>
                  </w:pPr>
                </w:p>
              </w:sdtContent>
            </w:sdt>
            <w:sdt>
              <w:sdtPr>
                <w:alias w:val="poskyris"/>
                <w:tag w:val="part_3ef84aeb3fd1445cb0f4f1053cca219c"/>
                <w:lock w:val="sdtLocked"/>
                <w:richText/>
              </w:sdtPr>
              <w:sdtContent>
                <w:p>
                  <w:pPr>
                    <w:widowControl w:val="0"/>
                    <w:ind w:firstLine="720"/>
                    <w:jc w:val="both"/>
                    <w:rPr>
                      <w:b/>
                      <w:szCs w:val="24"/>
                      <w:lang w:eastAsia="lt-LT"/>
                    </w:rPr>
                  </w:pPr>
                  <w:sdt>
                    <w:sdtPr>
                      <w:alias w:val="Pavadinimas"/>
                      <w:tag w:val="title_3ef84aeb3fd1445cb0f4f1053cca219c"/>
                      <w:lock w:val="sdtLocked"/>
                      <w:richText/>
                    </w:sdtPr>
                    <w:sdtContent>
                      <w:r>
                        <w:rPr>
                          <w:b/>
                          <w:szCs w:val="24"/>
                          <w:lang w:eastAsia="lt-LT"/>
                        </w:rPr>
                        <w:t xml:space="preserve">Parengto sprendimo projekto tikslai ir uždaviniai. </w:t>
                      </w:r>
                    </w:sdtContent>
                  </w:sdt>
                </w:p>
                <w:p>
                  <w:pPr>
                    <w:ind w:firstLine="720"/>
                    <w:jc w:val="both"/>
                    <w:rPr>
                      <w:rFonts w:eastAsia="Calibri"/>
                      <w:szCs w:val="24"/>
                    </w:rPr>
                  </w:pPr>
                  <w:r>
                    <w:rPr>
                      <w:rFonts w:eastAsia="Calibri"/>
                      <w:szCs w:val="24"/>
                    </w:rPr>
                    <w:t>Sprendimo projekto tikslas yra patvirtinti Šiaulių miesto koncertinės įstaigos „Saulė“ teikiamų atlygintinų paslaugų sąrašą.</w:t>
                  </w:r>
                </w:p>
              </w:sdtContent>
            </w:sdt>
            <w:sdt>
              <w:sdtPr>
                <w:alias w:val="poskyris"/>
                <w:tag w:val="part_2f33d69b8b234619a6e97c950f88de33"/>
                <w:lock w:val="sdtLocked"/>
                <w:richText/>
              </w:sdtPr>
              <w:sdtContent>
                <w:p>
                  <w:pPr>
                    <w:ind w:firstLine="720"/>
                    <w:jc w:val="both"/>
                    <w:rPr>
                      <w:szCs w:val="24"/>
                    </w:rPr>
                  </w:pPr>
                  <w:sdt>
                    <w:sdtPr>
                      <w:alias w:val="Pavadinimas"/>
                      <w:tag w:val="title_2f33d69b8b234619a6e97c950f88de33"/>
                      <w:lock w:val="sdtLocked"/>
                      <w:richText/>
                    </w:sdtPr>
                    <w:sdtContent>
                      <w:r>
                        <w:rPr>
                          <w:b/>
                          <w:szCs w:val="24"/>
                        </w:rPr>
                        <w:t xml:space="preserve">Dabartinis sprendimo projekte aptariamų klausimų reguliavimas. </w:t>
                      </w:r>
                    </w:sdtContent>
                  </w:sdt>
                </w:p>
                <w:p>
                  <w:pPr>
                    <w:ind w:firstLine="720"/>
                    <w:jc w:val="both"/>
                    <w:rPr>
                      <w:szCs w:val="24"/>
                    </w:rPr>
                  </w:pPr>
                  <w:r>
                    <w:rPr>
                      <w:szCs w:val="24"/>
                    </w:rPr>
                    <w:t>Dabar galiojantis Šiaulių miesto koncertinės įstaigos „Saulė“ (toliau – Koncertinė įstaiga) teikiamų atlygintinų paslaugų sąrašas (toliau – paslaugų sąrašas), yra patvirtintas Šiaulių miesto savivaldybės tarybos 2016 m. vasario 25 d. sprendimo Nr. T-55 „Dėl Šiaulių miesto koncertinės įstaigos „Saulė“ teikiamų atlygintinų paslaugų sąrašo patvirtinimo“ 1 punktu (Šiaulių miesto savivaldybės tarybos 2019 m. rugsėjo 5 d. sprendimo Nr. T-354 redakcija). Sprendimo projektas parengtas atsižvelgiant Šiaulių miesto koncertinės įstaigos „Saulė“ 2024-04-15 raštą Nr. 58-(1.5.) „Dėl Šiaulių miesto koncertinės įstaigos „Saulė“ teikiamų atlygintinų paslaugų sąrašo pakeitimo“.</w:t>
                  </w:r>
                </w:p>
              </w:sdtContent>
            </w:sdt>
            <w:sdt>
              <w:sdtPr>
                <w:alias w:val="poskyris"/>
                <w:tag w:val="part_fdf569d05766490a887ac54a18ce3d8a"/>
                <w:lock w:val="sdtLocked"/>
                <w:richText/>
              </w:sdtPr>
              <w:sdtContent>
                <w:p>
                  <w:pPr>
                    <w:ind w:firstLine="624"/>
                    <w:jc w:val="both"/>
                    <w:rPr>
                      <w:rFonts w:eastAsia="Calibri"/>
                      <w:b/>
                      <w:color w:val="000000"/>
                      <w:szCs w:val="24"/>
                    </w:rPr>
                  </w:pPr>
                  <w:sdt>
                    <w:sdtPr>
                      <w:alias w:val="Pavadinimas"/>
                      <w:tag w:val="title_fdf569d05766490a887ac54a18ce3d8a"/>
                      <w:lock w:val="sdtLocked"/>
                      <w:richText/>
                    </w:sdtPr>
                    <w:sdtContent>
                      <w:r>
                        <w:rPr>
                          <w:rFonts w:eastAsia="Calibri"/>
                          <w:b/>
                          <w:color w:val="000000"/>
                          <w:szCs w:val="24"/>
                        </w:rPr>
                        <w:t xml:space="preserve">Sprendimo projekte numatytos naujos teisinio reglamentavimo nuostatos. </w:t>
                      </w:r>
                    </w:sdtContent>
                  </w:sdt>
                </w:p>
                <w:p>
                  <w:pPr>
                    <w:ind w:firstLine="624"/>
                    <w:jc w:val="both"/>
                    <w:rPr>
                      <w:rFonts w:eastAsia="Calibri"/>
                      <w:szCs w:val="24"/>
                    </w:rPr>
                  </w:pPr>
                  <w:r>
                    <w:rPr>
                      <w:rFonts w:eastAsia="Calibri"/>
                      <w:szCs w:val="24"/>
                    </w:rPr>
                    <w:t>Koncertinė įstaiga, atsižvelgdama į po pastato rekonstrukcijos ir remonto planuojamą kultūrinę veiklą, peržiūrėjo, pakeitė ir papildė paslaugų sąrašą.</w:t>
                  </w:r>
                </w:p>
                <w:p>
                  <w:pPr>
                    <w:ind w:firstLine="624"/>
                    <w:jc w:val="both"/>
                    <w:rPr>
                      <w:rFonts w:eastAsia="Calibri"/>
                      <w:szCs w:val="24"/>
                    </w:rPr>
                  </w:pPr>
                  <w:r>
                    <w:rPr>
                      <w:rFonts w:eastAsia="Calibri"/>
                      <w:szCs w:val="24"/>
                    </w:rPr>
                    <w:t>Siūloma įvesti į paslaugų sąrašą naują paslaugos formuluotę dėl bilietų pardavimo į Koncertinės įstaigos organizuojamus renginius ir patikslinti buvusį paslaugos pavadinimą (lyginamojo varianto 1, 1.1 eilutės). Taip pat siūloma išplėsti taikomų nuolaidų spektrą renginių bilietams, kad įstaigos siūlomos paslaugos būtų prieinamos kuo įvairesnėms visuomenės grupėms (lyg. var. 1.3, 1.4 eil.), įskaitant ir virtualios „Šiauliečio kortelės“ savininkus, taikant jiems 10 proc. nuolaidą bilietui (lyg. var. 1.2 eil.).</w:t>
                  </w:r>
                </w:p>
                <w:p>
                  <w:pPr>
                    <w:ind w:firstLine="624"/>
                    <w:jc w:val="both"/>
                    <w:rPr>
                      <w:rFonts w:eastAsia="Calibri"/>
                      <w:szCs w:val="24"/>
                    </w:rPr>
                  </w:pPr>
                  <w:r>
                    <w:rPr>
                      <w:rFonts w:eastAsia="Calibri"/>
                      <w:szCs w:val="24"/>
                    </w:rPr>
                    <w:t xml:space="preserve">Keičiama paslauga „Meninių programų atlikimas“, koreguojant esamus paslaugos variantų pavadinimus ir juose įrašant „(turimas repertuaras)“ (lyg. var. 2.1, 2.3, 2.5, 2.7 eil.). Siūloma nustatyti naujus konkurencingus įkainius, nes esami įkainiai yra žemi, lyginant su kitų šalies koncertinių įstaigų kainomis, pvz. šiai dienai Koncertinės įstaigos pučiamųjų orkestro programa kainuoja 579 Eur, siūloma nauja kaina – 1500 Eur, biudžetinėms įstaigoms ši programa kainuoja 145 Eur, siūloma – 300 Eur. </w:t>
                  </w:r>
                </w:p>
                <w:p>
                  <w:pPr>
                    <w:ind w:firstLine="624"/>
                    <w:jc w:val="both"/>
                    <w:rPr>
                      <w:rFonts w:eastAsia="Calibri"/>
                      <w:szCs w:val="24"/>
                    </w:rPr>
                  </w:pPr>
                  <w:r>
                    <w:rPr>
                      <w:rFonts w:eastAsia="Calibri"/>
                      <w:szCs w:val="24"/>
                    </w:rPr>
                    <w:t xml:space="preserve">Taip pat siūloma įvesti naujas paslaugas: „kamerinio orkestro „Camerata Solaris“ programa (naujai rengiamas repertuaras)“, „pučiamųjų orkestro programa (naujai rengiamas repertuaras)“, „bigbendo programa (naujai rengiamas repertuaras)“, „kamerinio „Camerata Solaris“  arba pučiamųjų orkestrų, arba bigbendo programa Šiaulių miesto savivaldybės biudžetinėms įstaigoms (naujai rengiamas repertuaras)“ (lyg. var. 2.2, 2.4, 2.6, 2.8 eil.). Šios paslaugos įvedamos atsižvelgiant į esančią paklausą, nes yra užsakovų, pageidaujančių, kad būtų parengta nauja programa, kurios užsakymo metu nėra orkestrų repertuare. Tokių paslaugų siūlomas įkainis </w:t>
                  </w:r>
                  <w:r>
                    <w:rPr>
                      <w:rFonts w:ascii="Calibri" w:eastAsia="Calibri" w:hAnsi="Calibri"/>
                      <w:sz w:val="22"/>
                      <w:szCs w:val="22"/>
                    </w:rPr>
                    <w:t xml:space="preserve">– </w:t>
                  </w:r>
                  <w:r>
                    <w:rPr>
                      <w:rFonts w:eastAsia="Calibri"/>
                      <w:szCs w:val="24"/>
                    </w:rPr>
                    <w:t xml:space="preserve">3000 Eur, biudžetinėms įstaigoms – 600 Eur. Esamų paslaugų kainų pokytis bei naujų paslaugų kainos siūlomos atsižvelgiant į rinkos kainas ir įvertinus analogiškų koncertinių įstaigų bei profesionalių kolektyvų, tokių kaip Klaipėdos kamerinio orkestro, Lietuvos kamerinio orkestro, Vilniaus Didžiojo universiteto kamerinio orkestro, Panevėžio pučiamųjų instrumentų orkestro „Garsas“, Kauno pučiamųjų instrumentų orkestro „Ąžuolynas“, Palangos pučiamųjų orkestro, Kauno bigbendo, Vilniaus bigbendo ir kt. analogiškų kolektyvų teikiamų paslaugų vertes. </w:t>
                  </w:r>
                </w:p>
                <w:p>
                  <w:pPr>
                    <w:ind w:firstLine="624"/>
                    <w:jc w:val="both"/>
                    <w:rPr>
                      <w:rFonts w:eastAsia="Calibri"/>
                      <w:szCs w:val="24"/>
                    </w:rPr>
                  </w:pPr>
                  <w:r>
                    <w:rPr>
                      <w:rFonts w:eastAsia="Calibri"/>
                      <w:szCs w:val="24"/>
                    </w:rPr>
                    <w:t xml:space="preserve">Po rekonstrukcijos išaugęs Koncertinės įstaigos patrauklumo koeficientas, padidėjusios komunalinių paslaugų kainos ir  darbo užmokesčio pokytis įtakoja patalpų (Koncertų, „Vitražų“ salės) nuomos Koncertinėje įstaigoje (Tilžės g. 140) kainų perskaičiavimą (lyg. var. 3.1, 3.2 eil.). Pastačius naują priestatą su repeticijų, grimo patalpomis buvo įrengta ir nedidelė konferencijų erdvė, kuri yra patraukli susitikimų vieta, todėl siūloma įvesti naują patalpų nuomos paslaugą „Konferencijų patalpa“ (lyg. var. 3.3 eil.). </w:t>
                  </w:r>
                </w:p>
                <w:p>
                  <w:pPr>
                    <w:ind w:firstLine="624"/>
                    <w:jc w:val="both"/>
                    <w:rPr>
                      <w:rFonts w:eastAsia="Calibri"/>
                      <w:szCs w:val="24"/>
                    </w:rPr>
                  </w:pPr>
                  <w:r>
                    <w:rPr>
                      <w:rFonts w:eastAsia="Calibri"/>
                      <w:szCs w:val="24"/>
                    </w:rPr>
                    <w:t xml:space="preserve">Siekiant efektyviai valdyti nuomojamų salių laiką, siūloma įvesti naują paslaugą „pasiruošimas renginiui“ (lyg. var. 3.1.1, 3.2.1 eil.), taip skatinant patalpų nuomininkų atsakingumą ruošiantis renginiui. Įkainis skaičiuojamas 50 proc. mažesnis nei pagrindinė patalpų nuomos kaina. Patalpų nuomos kaina apskaičiuojama vadovaujantis Šiaulių miesto savivaldybės tarybos 2018 m. liepos 5 d. sprendimu Nr. T-248 „Dėl Šiaulių miesto savivaldybės švietimo, kultūros ir sporto biudžetinių ir viešųjų įstaigų, kurių savininkė yra Šiaulių miesto savivaldybė, teikiamų atlygintinų paslaugų kainos dydžio nustatymo metodikos patvirtinimo“ (2020-05-07 sprendimo Nr. T-148 redakcija). </w:t>
                  </w:r>
                </w:p>
                <w:p>
                  <w:pPr>
                    <w:ind w:firstLine="624"/>
                    <w:jc w:val="both"/>
                    <w:rPr>
                      <w:rFonts w:eastAsia="Calibri"/>
                      <w:szCs w:val="24"/>
                    </w:rPr>
                  </w:pPr>
                  <w:r>
                    <w:rPr>
                      <w:rFonts w:eastAsia="Calibri"/>
                      <w:szCs w:val="24"/>
                    </w:rPr>
                    <w:t xml:space="preserve">Įvertinus analogiškų paslaugų kainas rinkoje ir biudžetinių įstaigų darbo praktiką, papildytas paslaugų sąrašas, atskirai įtraukiant naujas įgarsinimo ir apšvietimo paslaugas Koncertinės įstaigos patalpose (lyg. var. 4, 5 eil.). Tokiu būdu suteikiama galimybė vartotojui pasirinkti norimą paslaugų paketą (patalpų nuoma su įranga arba patalpų nuoma be įrangos). </w:t>
                  </w:r>
                </w:p>
                <w:p>
                  <w:pPr>
                    <w:ind w:firstLine="624"/>
                    <w:jc w:val="both"/>
                    <w:rPr>
                      <w:rFonts w:eastAsia="Calibri"/>
                      <w:szCs w:val="24"/>
                    </w:rPr>
                  </w:pPr>
                  <w:r>
                    <w:rPr>
                      <w:rFonts w:eastAsia="Calibri"/>
                      <w:szCs w:val="24"/>
                    </w:rPr>
                    <w:t>Atsisakoma nebeaktualių paslaugų, kurios neatspindi šios dienos tendencijų ir galimybių (lyg. var. 3, 3.1, 3.2, 4.1.1, 4.1.2, 4.1.3, 4.1.4, 4.1.5, 4.1.6, 4.3, 5.2, 5.3, 6, 6.1, 6.2 eil.).</w:t>
                  </w:r>
                </w:p>
                <w:p>
                  <w:pPr>
                    <w:ind w:firstLine="624"/>
                    <w:jc w:val="both"/>
                    <w:rPr>
                      <w:bCs/>
                      <w:szCs w:val="24"/>
                      <w:lang w:eastAsia="lt-LT"/>
                    </w:rPr>
                  </w:pPr>
                  <w:r>
                    <w:rPr>
                      <w:rFonts w:eastAsia="Calibri"/>
                      <w:szCs w:val="24"/>
                    </w:rPr>
                    <w:t xml:space="preserve">Keičiamas paslaugos „Bilietų platinimas“ pavadinimas, vietoje jo įrašant „Kitos paslaugos“ (lyg. var. 6 eil.). Taip pat, </w:t>
                  </w:r>
                  <w:r>
                    <w:rPr>
                      <w:bCs/>
                      <w:szCs w:val="24"/>
                      <w:lang w:eastAsia="lt-LT"/>
                    </w:rPr>
                    <w:t xml:space="preserve">atsižvelgiant į Koncertinės įstaigos galimybes bei stebimą vartotojų poreikį įsigyti atributikos, susijusios su Koncertinės įstaigos  ir jos renginių (festivalių, koncertų, kultūrinių iniciatyvų ir pan.) simbolika, siūloma įvesti naują paslaugą </w:t>
                  </w:r>
                  <w:r>
                    <w:rPr>
                      <w:rFonts w:eastAsia="Calibri"/>
                      <w:szCs w:val="24"/>
                    </w:rPr>
                    <w:t>„prekių su Šiaulių miesto koncertinės įstaigos „Saulė“ simbolika pardavimo paslauga (pieštukų, tušinukų, magnetukų, padėkliukų, raktų pakabukų, ženkliukų, sagių, maišelių, marškinėlių, kalendorių, nedidelių leidinių, kompaktinių plokštelių ir pan.)“</w:t>
                  </w:r>
                  <w:r>
                    <w:rPr>
                      <w:bCs/>
                      <w:szCs w:val="24"/>
                      <w:lang w:eastAsia="lt-LT"/>
                    </w:rPr>
                    <w:t xml:space="preserve"> (lyg. var. 6.2 eil.). Įvedus šią paslaugą, vartotojams bus suteikta galimybė įsigyti ir orkestrų repertuaro kompaktines plokšteles. Paslaugų kainos apskaičiuotos atsižvelgiant į kitų biudžetinių įstaigų gerąją patirtį teikiant analogiškas paslaugas. </w:t>
                  </w:r>
                </w:p>
                <w:p>
                  <w:pPr>
                    <w:ind w:firstLine="624"/>
                    <w:jc w:val="both"/>
                    <w:rPr>
                      <w:rFonts w:eastAsia="Calibri"/>
                      <w:szCs w:val="24"/>
                    </w:rPr>
                  </w:pPr>
                  <w:r>
                    <w:rPr>
                      <w:rFonts w:eastAsia="Calibri"/>
                      <w:szCs w:val="24"/>
                    </w:rPr>
                    <w:t xml:space="preserve">Atsižvelgiant į praktikoje stebimą kompleksinių paslaugų poreikį, siūloma įvesti naujas paslaugas: „transporto (kolektyvo narių vežimas, techninės įrangos pervežimas) organizavimas“, „renginio organizavimas“, „atlikėjo (solistas, grupė, orkestras ir kt.) organizavimas“ (lyg. var. 6.3, 6.4, 6.5 eil.), šių paslaugų kainą skaičiuojant pagal paslaugos teikėjo (-ų) pateiktus įkainius. </w:t>
                  </w:r>
                </w:p>
                <w:p>
                  <w:pPr>
                    <w:widowControl w:val="0"/>
                    <w:spacing w:line="100" w:lineRule="atLeast"/>
                    <w:ind w:firstLine="624"/>
                    <w:jc w:val="both"/>
                    <w:rPr>
                      <w:b/>
                      <w:szCs w:val="24"/>
                      <w:lang w:eastAsia="lt-LT"/>
                    </w:rPr>
                  </w:pPr>
                  <w:r>
                    <w:rPr>
                      <w:b/>
                      <w:szCs w:val="24"/>
                      <w:lang w:eastAsia="lt-LT"/>
                    </w:rPr>
                    <w:t xml:space="preserve">Priėmus sprendimą, galimos pasekmės. </w:t>
                  </w:r>
                  <w:r>
                    <w:rPr>
                      <w:szCs w:val="24"/>
                      <w:lang w:eastAsia="lt-LT"/>
                    </w:rPr>
                    <w:t xml:space="preserve">Priėmus sprendimą, neigiamų pasekmių nenumatoma. Teigiamos pasekmės – patvirtinus pakeistą </w:t>
                  </w:r>
                  <w:r>
                    <w:rPr>
                      <w:szCs w:val="24"/>
                      <w:lang w:eastAsia="lt-LT" w:bidi="he-IL"/>
                    </w:rPr>
                    <w:t xml:space="preserve">Šiaulių miesto koncertinės įstaigos teikiamų atlygintinų paslaugų sąrašą, dėl įvestų naujų paslaugų bus patenkinti paslaugų vartotojų poreikiai, bus išbrauktos nebeaktualios paslaugos, atnaujintos kitų paslaugų kainos, atsižvelgiant į infliaciją ir rinkos situaciją, taip pat bus suteikiamos papildomos nuolaidos </w:t>
                  </w:r>
                  <w:r>
                    <w:rPr>
                      <w:szCs w:val="24"/>
                      <w:lang w:eastAsia="lt-LT"/>
                    </w:rPr>
                    <w:t>Šiaulių miesto gyventojams, naudojantiems virtualią „Šiauliečio kortelę“.</w:t>
                  </w:r>
                  <w:r>
                    <w:rPr>
                      <w:szCs w:val="24"/>
                      <w:lang w:eastAsia="lt-LT" w:bidi="he-IL"/>
                    </w:rPr>
                    <w:t xml:space="preserve"> </w:t>
                  </w:r>
                </w:p>
                <w:p>
                  <w:pPr>
                    <w:ind w:firstLine="624"/>
                    <w:jc w:val="both"/>
                    <w:rPr>
                      <w:b/>
                      <w:szCs w:val="24"/>
                    </w:rPr>
                  </w:pPr>
                  <w:r>
                    <w:rPr>
                      <w:b/>
                      <w:szCs w:val="24"/>
                    </w:rPr>
                    <w:t xml:space="preserve">Priėmus sprendimą, keičiami ar pripažįstami negaliojančiais teisės aktai. </w:t>
                  </w:r>
                  <w:r>
                    <w:rPr>
                      <w:bCs/>
                      <w:szCs w:val="24"/>
                    </w:rPr>
                    <w:t xml:space="preserve">Priėmus sprendimą, bus pripažintas netekusiu galios </w:t>
                  </w:r>
                  <w:r>
                    <w:rPr>
                      <w:szCs w:val="24"/>
                    </w:rPr>
                    <w:t>Šiaulių miesto savivaldybės tarybos 2016 m. vasario 25 d. sprendimo Nr. T-55 „Dėl Šiaulių miesto koncertinės įstaigos „Saulė“ teikiamų atlygintinų paslaugų sąrašo patvirtinimo“.</w:t>
                  </w:r>
                </w:p>
                <w:p>
                  <w:pPr>
                    <w:ind w:firstLine="624"/>
                    <w:jc w:val="both"/>
                    <w:rPr>
                      <w:b/>
                      <w:bCs/>
                      <w:color w:val="000000"/>
                      <w:szCs w:val="24"/>
                    </w:rPr>
                  </w:pPr>
                  <w:r>
                    <w:rPr>
                      <w:b/>
                      <w:bCs/>
                      <w:color w:val="000000"/>
                      <w:szCs w:val="24"/>
                    </w:rPr>
                    <w:t xml:space="preserve">Sprendimui įgyvendinti reikalingi priimti papildomi teisės aktai. </w:t>
                  </w:r>
                  <w:r>
                    <w:rPr>
                      <w:color w:val="000000"/>
                      <w:szCs w:val="24"/>
                    </w:rPr>
                    <w:t>Priėmus sprendimą, keisti galiojančių teisės aktų nereikės.</w:t>
                  </w:r>
                </w:p>
                <w:p>
                  <w:pPr>
                    <w:ind w:firstLine="624"/>
                    <w:jc w:val="both"/>
                    <w:rPr>
                      <w:rFonts w:eastAsia="Calibri"/>
                      <w:b/>
                      <w:szCs w:val="24"/>
                    </w:rPr>
                  </w:pPr>
                  <w:r>
                    <w:rPr>
                      <w:rFonts w:eastAsia="Calibri"/>
                      <w:b/>
                      <w:szCs w:val="24"/>
                    </w:rPr>
                    <w:t xml:space="preserve">Sprendimui įgyvendinti reikalingos lėšos. </w:t>
                  </w:r>
                  <w:r>
                    <w:rPr>
                      <w:rFonts w:eastAsia="Calibri"/>
                      <w:szCs w:val="24"/>
                    </w:rPr>
                    <w:t xml:space="preserve">Sprendimui įgyvendinti papildomų lėšų </w:t>
                  </w:r>
                  <w:r>
                    <w:rPr>
                      <w:color w:val="262626"/>
                      <w:szCs w:val="24"/>
                      <w:lang w:val="pt-BR"/>
                    </w:rPr>
                    <w:t>nereikės.</w:t>
                  </w:r>
                </w:p>
                <w:p>
                  <w:pPr>
                    <w:shd w:val="clear" w:color="auto" w:fill="FFFFFF"/>
                    <w:ind w:firstLine="624"/>
                    <w:jc w:val="both"/>
                    <w:rPr>
                      <w:color w:val="262626"/>
                      <w:szCs w:val="24"/>
                      <w:shd w:val="clear" w:color="auto" w:fill="FFFFFF"/>
                    </w:rPr>
                  </w:pPr>
                  <w:r>
                    <w:rPr>
                      <w:rFonts w:eastAsia="Calibri"/>
                      <w:b/>
                      <w:szCs w:val="24"/>
                    </w:rPr>
                    <w:t>Sprendimo projekto antikorupcinis vertinimas.</w:t>
                  </w:r>
                  <w:r>
                    <w:rPr>
                      <w:color w:val="262626"/>
                      <w:szCs w:val="24"/>
                      <w:shd w:val="clear" w:color="auto" w:fill="FFFFFF"/>
                    </w:rPr>
                    <w:t xml:space="preserve"> Antikorupcinis vertinimas nebuvo atliekamas, nes šis projektas nėra susiję nei su vienu atveju, nurodytu Lietuvos Respublikos korupcijos prevencijos įstatymo 8 straipsnio 1 dalyje. </w:t>
                  </w:r>
                </w:p>
                <w:p>
                  <w:pPr>
                    <w:suppressAutoHyphens/>
                    <w:ind w:firstLine="624"/>
                    <w:jc w:val="both"/>
                    <w:rPr>
                      <w:b/>
                      <w:kern w:val="2"/>
                      <w:szCs w:val="24"/>
                      <w:shd w:val="clear" w:color="auto" w:fill="FFFFFF"/>
                      <w:lang w:eastAsia="zh-CN"/>
                    </w:rPr>
                  </w:pPr>
                  <w:r>
                    <w:rPr>
                      <w:b/>
                      <w:kern w:val="2"/>
                      <w:szCs w:val="24"/>
                      <w:shd w:val="clear" w:color="auto" w:fill="FFFFFF"/>
                      <w:lang w:eastAsia="zh-CN"/>
                    </w:rPr>
                    <w:t>N</w:t>
                  </w:r>
                  <w:r>
                    <w:rPr>
                      <w:rFonts w:eastAsia="Calibri"/>
                      <w:b/>
                      <w:kern w:val="2"/>
                      <w:szCs w:val="24"/>
                      <w:lang w:eastAsia="zh-CN"/>
                    </w:rPr>
                    <w:t xml:space="preserve">umatomo teisinio reguliavimo poveikio vertinimas. </w:t>
                  </w:r>
                  <w:r>
                    <w:rPr>
                      <w:rFonts w:eastAsia="Calibri"/>
                      <w:bCs/>
                      <w:kern w:val="2"/>
                      <w:szCs w:val="24"/>
                      <w:lang w:eastAsia="zh-CN"/>
                    </w:rPr>
                    <w:t>Neatliekamas.</w:t>
                  </w:r>
                </w:p>
                <w:p>
                  <w:pPr>
                    <w:suppressAutoHyphens/>
                    <w:ind w:firstLine="624"/>
                    <w:jc w:val="both"/>
                    <w:rPr>
                      <w:kern w:val="2"/>
                      <w:szCs w:val="24"/>
                      <w:shd w:val="clear" w:color="auto" w:fill="FFFFFF"/>
                      <w:lang w:eastAsia="zh-CN"/>
                    </w:rPr>
                  </w:pPr>
                  <w:r>
                    <w:rPr>
                      <w:b/>
                      <w:bCs/>
                      <w:color w:val="000000"/>
                      <w:kern w:val="2"/>
                      <w:szCs w:val="24"/>
                      <w:lang w:eastAsia="lt-LT"/>
                    </w:rPr>
                    <w:t>Sprendimo projektą parengė</w:t>
                  </w:r>
                  <w:r>
                    <w:rPr>
                      <w:color w:val="000000"/>
                      <w:kern w:val="2"/>
                      <w:szCs w:val="24"/>
                      <w:lang w:eastAsia="lt-LT"/>
                    </w:rPr>
                    <w:t xml:space="preserve"> Savivaldybės administracijos Kultūros skyrius. Tiesioginis rengėjas – Kultūros</w:t>
                  </w:r>
                  <w:r>
                    <w:rPr>
                      <w:kern w:val="2"/>
                      <w:szCs w:val="24"/>
                      <w:shd w:val="clear" w:color="auto" w:fill="FFFFFF"/>
                      <w:lang w:eastAsia="zh-CN"/>
                    </w:rPr>
                    <w:t xml:space="preserve"> skyriaus vyr. specialistė Edita Ramanauskienė</w:t>
                  </w:r>
                  <w:r>
                    <w:rPr>
                      <w:kern w:val="2"/>
                      <w:szCs w:val="24"/>
                      <w:lang w:eastAsia="zh-CN"/>
                    </w:rPr>
                    <w:t xml:space="preserve"> tel. (8 41) 500 532</w:t>
                  </w:r>
                  <w:r>
                    <w:rPr>
                      <w:kern w:val="2"/>
                      <w:szCs w:val="24"/>
                      <w:shd w:val="clear" w:color="auto" w:fill="FFFFFF"/>
                      <w:lang w:eastAsia="zh-CN"/>
                    </w:rPr>
                    <w:t>. Projekto iniciatorius – Šiaulių miesto koncertinės įstaigos vadovas Vaidotas Katutis.</w:t>
                  </w:r>
                </w:p>
                <w:p>
                  <w:pPr>
                    <w:suppressAutoHyphens/>
                    <w:jc w:val="both"/>
                    <w:rPr>
                      <w:kern w:val="2"/>
                      <w:szCs w:val="24"/>
                      <w:lang w:eastAsia="zh-CN"/>
                    </w:rPr>
                  </w:pPr>
                </w:p>
              </w:sdtContent>
            </w:sdt>
          </w:sdtContent>
        </w:sdt>
        <w:sdt>
          <w:sdtPr>
            <w:alias w:val="signatura"/>
            <w:tag w:val="part_14241e8292f84ed8a85ccd710ebeb5a5"/>
            <w:lock w:val="sdtLocked"/>
            <w:richText/>
          </w:sdtPr>
          <w:sdtContent>
            <w:p>
              <w:pPr>
                <w:suppressAutoHyphens/>
                <w:jc w:val="both"/>
                <w:rPr>
                  <w:color w:val="000000"/>
                  <w:kern w:val="2"/>
                  <w:szCs w:val="24"/>
                  <w:lang w:eastAsia="lt-LT"/>
                </w:rPr>
              </w:pPr>
              <w:r>
                <w:rPr>
                  <w:kern w:val="2"/>
                  <w:szCs w:val="24"/>
                  <w:lang w:eastAsia="zh-CN"/>
                </w:rPr>
                <w:t xml:space="preserve">Skyriaus vedėja </w:t>
                <w:tab/>
                <w:tab/>
                <w:tab/>
                <w:tab/>
                <w:t xml:space="preserve">                                                        Daina Kinčinaitienė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lang w:val="en-US"/>
      </w:rPr>
      <mc:AlternateContent>
        <mc:Choice Requires="wps">
          <w:drawing>
            <wp:anchor distT="0" distB="0" distL="0" distR="0" simplePos="0" relativeHeight="2" behindDoc="1" locked="0" layoutInCell="1" allowOverlap="1" wp14:anchorId="3A7069D8" wp14:editId="3A7069D9">
              <wp:simplePos x="0" y="0"/>
              <wp:positionH relativeFrom="margin">
                <wp:align>center</wp:align>
              </wp:positionH>
              <wp:positionV relativeFrom="paragraph">
                <wp:posOffset>635</wp:posOffset>
              </wp:positionV>
              <wp:extent cx="76200" cy="170180"/>
              <wp:effectExtent l="0" t="0" r="0" b="0"/>
              <wp:wrapSquare wrapText="largest"/>
              <wp:docPr id="1" name="Frame1"/>
              <wp:cNvGraphicFramePr/>
              <a:graphic xmlns:a="http://schemas.openxmlformats.org/drawingml/2006/main">
                <a:graphicData uri="http://schemas.microsoft.com/office/word/2010/wordprocessingShape">
                  <wps:wsp>
                    <wps:cNvSpPr/>
                    <wps:spPr>
                      <a:xfrm>
                        <a:off x="0" y="0"/>
                        <a:ext cx="75600" cy="169560"/>
                      </a:xfrm>
                      <a:prstGeom prst="rect">
                        <a:avLst/>
                      </a:prstGeom>
                      <a:noFill/>
                      <a:ln>
                        <a:noFill/>
                      </a:ln>
                    </wps:spPr>
                    <wps:style>
                      <a:lnRef idx="0">
                        <a:scrgbClr r="0" g="0" b="0"/>
                      </a:lnRef>
                      <a:fillRef idx="0">
                        <a:scrgbClr r="0" g="0" b="0"/>
                      </a:fillRef>
                      <a:effectRef idx="0">
                        <a:scrgbClr r="0" g="0" b="0"/>
                      </a:effectRef>
                      <a:fontRef idx="minor"/>
                    </wps:style>
                    <wps:txbx>
                      <w:txbxContent>
                        <w:p>
                          <w:pPr>
                            <w:tabs>
                              <w:tab w:val="center" w:pos="4819"/>
                              <w:tab w:val="right" w:pos="9638"/>
                            </w:tabs>
                            <w:spacing w:after="200" w:line="276" w:lineRule="auto"/>
                            <w:rPr>
                              <w:rFonts w:ascii="Calibri" w:eastAsia="Calibri" w:hAnsi="Calibri"/>
                              <w:sz w:val="22"/>
                              <w:szCs w:val="22"/>
                            </w:rPr>
                          </w:pPr>
                          <w:r>
                            <w:rPr>
                              <w:rFonts w:ascii="Calibri" w:eastAsia="Calibri" w:hAnsi="Calibri"/>
                              <w:color w:val="000000"/>
                              <w:sz w:val="22"/>
                              <w:szCs w:val="22"/>
                            </w:rPr>
                            <w:fldChar w:fldCharType="begin"/>
                          </w:r>
                          <w:r>
                            <w:rPr>
                              <w:rFonts w:ascii="Calibri" w:eastAsia="Calibri" w:hAnsi="Calibri"/>
                              <w:sz w:val="22"/>
                              <w:szCs w:val="22"/>
                            </w:rPr>
                            <w:instrText>PAGE</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txbxContent>
                    </wps:txbx>
                    <wps:bodyPr lIns="0" tIns="0" rIns="0" bIns="0">
                      <a:spAutoFit/>
                    </wps:bodyPr>
                  </wps:wsp>
                </a:graphicData>
              </a:graphic>
            </wp:anchor>
          </w:drawing>
        </mc:Choice>
        <mc:Fallback>
          <w:pict>
            <v:rect w14:anchorId="3A7069D8" id="Frame1" o:spid="_x0000_s1026" style="position:absolute;margin-left:0;margin-top:.05pt;width:6pt;height:13.4pt;z-index:-503316478;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4BhvTzgEAAAoEAAAOAAAAZHJzL2Uyb0RvYy54bWysU9tu2zAMfR/QfxD03sgpsGwz4hTFihQF hq1Ytw+QZSkWoBsoNXb+fpTsuO321KEvEkXxHJGH1PZ6tIYcJUTtXUPXq4oS6YTvtDs09Pev/eVn SmLiruPGO9nQk4z0enfxYTuEWl753ptOAkESF+shNLRPKdSMRdFLy+PKB+nwUnmwPOERDqwDPiC7 NeyqqjZs8NAF8ELGiN7b6ZLuCr9SUqQfSkWZiGko5pbKCmVt88p2W14fgIdeizkN/h9ZWK4dPrpQ 3fLEyRPof6isFuCjV2klvGVeKS1kqQGrWVd/VfPY8yBLLShODItM8f1oxffjAxDdYe8ocdxii/aA 2zorM4RYY8BjeID5FNHMZY4KbN6xADIWNU+LmnJMRKDz08dNhZILvFlvvuAhU7JnbICY7qS3JBsN BexVkZAfv8U0hZ5D8lPO77Ux6Oe1ca8cyJk9LKc7JVisdDJyiv4pFZZY8syOKODQfjVApjnAQcU0 z9NQyBCQAxU++EbsDMloWcbvjfgFVN73Li14q52HIuGL6rKZxnac29P67oTtNPcORySP+9mAs9HO RtEh3DwlVLWInZkm+KwkDlxp1/w58kS/PJeo5y+8+wMAAP//AwBQSwMEFAAGAAgAAAAhALP3z43Y AAAAAwEAAA8AAABkcnMvZG93bnJldi54bWxMj8FOwzAQRO9I/IO1SFwQdcihakM2FULqDQk1cIDb Nl7iQLyOYrcJfD3OCY6zs5p5U+5m16szj6HzgnC3ykCxNN500iK8vuxvN6BCJDHUe2GEbw6wqy4v SiqMn+TA5zq2KoVIKAjBxjgUWofGsqOw8gNL8j786CgmObbajDSlcNfrPMvW2lEnqcHSwI+Wm6/6 5BD2z28dy48+3Gw3k/9s8vfaPg2I11fzwz2oyHP8e4YFP6FDlZiO/iQmqB4hDYnLVS1entQRIV9v QVel/s9e/QIAAP//AwBQSwECLQAUAAYACAAAACEAtoM4kv4AAADhAQAAEwAAAAAAAAAAAAAAAAAA AAAAW0NvbnRlbnRfVHlwZXNdLnhtbFBLAQItABQABgAIAAAAIQA4/SH/1gAAAJQBAAALAAAAAAAA AAAAAAAAAC8BAABfcmVscy8ucmVsc1BLAQItABQABgAIAAAAIQC4BhvTzgEAAAoEAAAOAAAAAAAA AAAAAAAAAC4CAABkcnMvZTJvRG9jLnhtbFBLAQItABQABgAIAAAAIQCz98+N2AAAAAMBAAAPAAAA AAAAAAAAAAAAACgEAABkcnMvZG93bnJldi54bWxQSwUGAAAAAAQABADzAAAALQUAAAAA " filled="f" stroked="f">
              <v:textbox style="mso-fit-shape-to-text:t" inset="0,0,0,0">
                <w:txbxContent>
                  <w:p w14:paraId="3A7069DA" w14:textId="77777777">
                    <w:pPr>
                      <w:tabs>
                        <w:tab w:val="center" w:leader="none" w:pos="4819"/>
                        <w:tab w:val="right" w:leader="none" w:pos="9638"/>
                      </w:tabs>
                      <w:spacing w:after="200" w:line="276"/>
                      <w:rPr>
                        <w:rFonts w:ascii="Calibri" w:hAnsi="Calibri" w:eastAsia="Calibri" w:cs="Times New Roman"/>
                        <w:sz w:val="22"/>
                        <w:szCs w:val="22"/>
                      </w:rPr>
                    </w:pPr>
                    <w:r>
                      <w:rPr>
                        <w:rFonts w:ascii="Calibri" w:hAnsi="Calibri" w:eastAsia="Calibri" w:cs="Times New Roman"/>
                        <w:color w:val="000000"/>
                        <w:sz w:val="22"/>
                        <w:szCs w:val="22"/>
                      </w:rPr>
                      <w:fldChar w:fldCharType="begin"/>
                    </w:r>
                    <w:r>
                      <w:rPr>
                        <w:rFonts w:ascii="Calibri" w:hAnsi="Calibri" w:eastAsia="Calibri" w:cs="Times New Roman"/>
                        <w:sz w:val="22"/>
                        <w:szCs w:val="22"/>
                      </w:rPr>
                      <w:instrText>PAGE</w:instrText>
                    </w:r>
                    <w:r>
                      <w:rPr>
                        <w:rFonts w:ascii="Calibri" w:hAnsi="Calibri" w:eastAsia="Calibri" w:cs="Times New Roman"/>
                        <w:sz w:val="22"/>
                        <w:szCs w:val="22"/>
                      </w:rPr>
                      <w:fldChar w:fldCharType="separate"/>
                    </w:r>
                    <w:r>
                      <w:rPr>
                        <w:rFonts w:ascii="Calibri" w:hAnsi="Calibri" w:eastAsia="Calibri" w:cs="Times New Roman"/>
                        <w:sz w:val="22"/>
                        <w:szCs w:val="22"/>
                      </w:rPr>
                      <w:t>2</w:t>
                    </w:r>
                    <w:r>
                      <w:rPr>
                        <w:rFonts w:ascii="Calibri" w:hAnsi="Calibri" w:eastAsia="Calibri" w:cs="Times New Roman"/>
                        <w:sz w:val="22"/>
                        <w:szCs w:val="22"/>
                      </w:rPr>
                      <w:fldChar w:fldCharType="end"/>
                    </w:r>
                  </w:p>
                </w:txbxContent>
              </v:textbox>
              <w10:wrap type="square" side="largest" anchorx="margin"/>
            </v:rect>
          </w:pict>
        </mc:Fallback>
      </mc:AlternateConten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1F8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D500DD1-0805-4617-AE53-35DDA3A2F34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59066906">
      <w:bodyDiv w:val="1"/>
      <w:marLeft w:val="0"/>
      <w:marRight w:val="0"/>
      <w:marTop w:val="0"/>
      <w:marBottom w:val="0"/>
      <w:divBdr>
        <w:top w:val="none" w:sz="0" w:space="0" w:color="auto"/>
        <w:left w:val="none" w:sz="0" w:space="0" w:color="auto"/>
        <w:bottom w:val="none" w:sz="0" w:space="0" w:color="auto"/>
        <w:right w:val="none" w:sz="0" w:space="0" w:color="auto"/>
      </w:divBdr>
    </w:div>
    <w:div w:id="17456429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8ead637c62443c7a094236b85b122f1" PartId="ad078448b9ae4cd9a824a3ae51785a0c">
    <Part Type="skyrius" Nr="999" Title="DĖL ŠIAULIŲ MIESTO KONCERTINĖS ĮSTAIGOS „SAULĖ“ TEIKIAMŲ ATLYGINTINŲ PASLAUGŲ SĄRAŠO PATVIRTINIMO" DocPartId="6eaef8d149a849038b98dbb0bb4bf695" PartId="264d3ecb562946b6a95df88726f54b2d">
      <Part Type="poskyris" Title="AIŠKINAMASIS RAŠTAS" DocPartId="1e2537de4e8f415f9e581d8421873ada" PartId="d888dc4f6b7943f196d34a4cb0fbbfea"/>
      <Part Type="poskyris" Title="Parengto sprendimo projekto tikslai ir uždaviniai." DocPartId="0f31a4f0d6fa43aab45b1a0a1c30c5f9" PartId="3ef84aeb3fd1445cb0f4f1053cca219c"/>
      <Part Type="poskyris" Title="Dabartinis sprendimo projekte aptariamų klausimų reguliavimas." DocPartId="d96da04274af4e71926e35f306b2afe1" PartId="2f33d69b8b234619a6e97c950f88de33"/>
      <Part Type="poskyris" Title="Sprendimo projekte numatytos naujos teisinio reglamentavimo nuostatos." DocPartId="85cc33d0e67b4a038752703e21f5263d" PartId="fdf569d05766490a887ac54a18ce3d8a"/>
    </Part>
    <Part Type="signatura" DocPartId="a7f6766507374123948dce9dd7e8cda5" PartId="14241e8292f84ed8a85ccd710ebeb5a5"/>
  </Part>
</Parts>
</file>

<file path=customXml/itemProps1.xml><?xml version="1.0" encoding="utf-8"?>
<ds:datastoreItem xmlns:ds="http://schemas.openxmlformats.org/officeDocument/2006/customXml" ds:itemID="{064A8328-5C41-4189-8F55-AB14CBCD7A4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983</Words>
  <Characters>7240</Characters>
  <Application>Microsoft Office Word</Application>
  <DocSecurity>4</DocSecurity>
  <Lines>103</Lines>
  <Paragraphs>33</Paragraphs>
  <ScaleCrop>false</ScaleCrop>
  <HeadingPairs>
    <vt:vector size="2" baseType="variant">
      <vt:variant>
        <vt:lpstr>Pavadinimas</vt:lpstr>
      </vt:variant>
      <vt:variant>
        <vt:i4>1</vt:i4>
      </vt:variant>
    </vt:vector>
  </HeadingPairs>
  <TitlesOfParts>
    <vt:vector size="1" baseType="lpstr">
      <vt:lpstr>ŠIAULIŲ MIESTO SAVIVALDYBĖS ADMINISTRACIJOS</vt:lpstr>
    </vt:vector>
  </TitlesOfParts>
  <Company/>
  <LinksUpToDate>false</LinksUpToDate>
  <CharactersWithSpaces>8190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2024-05-03T06:44:00Z</dcterms:created>
  <dc:creator>Arunas</dc:creator>
  <dc:language>lt-LT</dc:language>
  <lastModifiedBy>adlibuser</lastModifiedBy>
  <lastPrinted>2024-04-18T08:37:00Z</lastPrinted>
  <dcterms:modified xsi:type="dcterms:W3CDTF">2024-05-03T06:44:00Z</dcterms:modified>
  <revision>2</revision>
  <dc:title>ŠIAULIŲ MIESTO SAVIVALDYBĖS ADMINISTRACIJOS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DocumentEncoding">
    <vt:lpwstr>utf-8</vt:lpwstr>
  </property>
  <property fmtid="{D5CDD505-2E9C-101B-9397-08002B2CF9AE}" pid="5" name="HTML">
    <vt:bool>true</vt:bool>
  </property>
  <property fmtid="{D5CDD505-2E9C-101B-9397-08002B2CF9AE}" pid="6" name="HyperlinksChanged">
    <vt:bool>false</vt:bool>
  </property>
  <property fmtid="{D5CDD505-2E9C-101B-9397-08002B2CF9AE}" pid="7" name="LinksUpToDate">
    <vt:bool>false</vt:bool>
  </property>
  <property fmtid="{D5CDD505-2E9C-101B-9397-08002B2CF9AE}" pid="8" name="ScaleCrop">
    <vt:bool>false</vt:bool>
  </property>
  <property fmtid="{D5CDD505-2E9C-101B-9397-08002B2CF9AE}" pid="9" name="ShareDoc">
    <vt:bool>false</vt:bool>
  </property>
</Properties>
</file>