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e3a9c3b7c54e76a99a8b8ef2b9ac2e"/>
        <w:lock w:val="sdtLocked"/>
        <w:richText/>
      </w:sdtPr>
      <w:sdtContent>
        <w:p w14:paraId="01286B58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/>
              <w:color w:val="000000"/>
              <w:szCs w:val="24"/>
              <w:lang w:eastAsia="lt-LT"/>
            </w:rPr>
          </w:pPr>
        </w:p>
        <w:p w14:paraId="27E32C0D" w14:textId="77777777">
          <w:pPr>
            <w:widowControl w:val="0"/>
            <w:tabs>
              <w:tab w:val="left" w:pos="960"/>
            </w:tabs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lt-LT"/>
            </w:rPr>
          </w:pPr>
        </w:p>
        <w:p w14:paraId="2F943A1A" w14:textId="75CBD624">
          <w:pPr>
            <w:widowControl w:val="0"/>
            <w:tabs>
              <w:tab w:val="left" w:pos="960"/>
            </w:tabs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lt-LT"/>
            </w:rPr>
          </w:pP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913d941933d14d51805976a1a427f499"/>
            <w:lock w:val="sdtLocked"/>
            <w:richText/>
          </w:sdtPr>
          <w:sdtContent>
            <w:p w14:paraId="2F943A1C" w14:textId="572325DF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  <w:t>EKONOMIKOS SKYRIUS</w:t>
              </w:r>
            </w:p>
            <w:p w14:paraId="2F943A1D" w14:textId="77777777">
              <w:pPr>
                <w:widowControl w:val="0"/>
                <w:suppressAutoHyphens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913d941933d14d51805976a1a427f499"/>
                <w:lock w:val="sdtLocked"/>
                <w:richText/>
              </w:sdtPr>
              <w:sdtContent>
                <w:p w14:paraId="2F943A1E" w14:textId="77777777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  <w:t>SPRENDIMO</w:t>
                  </w:r>
                </w:p>
                <w:p w14:paraId="44A99D15" w14:textId="7A70BCAA">
                  <w:pPr>
                    <w:widowControl w:val="0"/>
                    <w:suppressAutoHyphens/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DĖL ŠIAULIŲ MIESTO SAVIVALDYBĖS TARYBOS 2023 M. KOVO 30 D. SPRENDIMO NR. T-99 „DĖL ŠIAULIŲ MIESTO SAVIVALDYBĖS SMULKIOJO IR VIDUTINIO VERSLO RĖMIMO NUOSTATŲ PATVIRTINIMO“ PAKEITIMO</w:t>
                  </w:r>
                </w:p>
                <w:p w14:paraId="2F943A21" w14:textId="77777777">
                  <w:pPr>
                    <w:widowControl w:val="0"/>
                    <w:suppressAutoHyphens/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2F943A22" w14:textId="77777777">
              <w:pPr>
                <w:widowControl w:val="0"/>
                <w:suppressAutoHyphens/>
                <w:ind w:firstLine="2867"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</w:p>
            <w:p w14:paraId="2F943A23" w14:textId="0612D5B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2025 m. gegužės 2 d.</w:t>
              </w:r>
            </w:p>
            <w:p w14:paraId="2F943A24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Šiauliai</w:t>
              </w:r>
            </w:p>
            <w:p w14:paraId="2F943A25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2F943A26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 w:val="16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da93b6cf2e4f451c96c35a5e781cc851"/>
                <w:lock w:val="sdtLocked"/>
                <w:richText/>
              </w:sdtPr>
              <w:sdtContent>
                <w:p w14:paraId="54231ED0" w14:textId="77777777">
                  <w:pPr>
                    <w:widowControl w:val="0"/>
                    <w:suppressAutoHyphens/>
                    <w:spacing w:line="100" w:lineRule="atLeast"/>
                    <w:ind w:firstLine="720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a93b6cf2e4f451c96c35a5e781cc85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uždaviniai.</w:t>
                      </w:r>
                    </w:sdtContent>
                  </w:sdt>
                </w:p>
                <w:p w14:paraId="733CA4B8" w14:textId="0E939E1D">
                  <w:pPr>
                    <w:widowControl w:val="0"/>
                    <w:spacing w:line="100" w:lineRule="atLeast"/>
                    <w:ind w:firstLine="720"/>
                    <w:jc w:val="both"/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iCs/>
                      <w:color w:val="000000"/>
                      <w:lang w:eastAsia="lt-LT"/>
                    </w:rPr>
                    <w:t xml:space="preserve">Sprendimo projekto tikslas – </w:t>
                  </w:r>
                  <w:r>
                    <w:rPr>
                      <w:bCs/>
                      <w:iCs/>
                      <w:lang w:eastAsia="lt-LT"/>
                    </w:rPr>
                    <w:t>pakeisti Šiaulių miesto savivaldybės smulkiojo ir vidutinio verslo rėmimo nuostatų (toliau – Nuostatai) 4, 7, 12, 20, 32 punktus ir 9.9, 10.4, 30.2 papunkčius ir papildyti 9.10 papunkčiu. Nuostatai keičiami atsižvelgiant</w:t>
                  </w:r>
                  <w:r>
                    <w:rPr>
                      <w:bCs/>
                      <w:iCs/>
                      <w:color w:val="000000"/>
                      <w:lang w:eastAsia="lt-LT"/>
                    </w:rPr>
                    <w:t xml:space="preserve"> </w:t>
                  </w:r>
                  <w:r>
                    <w:rPr>
                      <w:bCs/>
                      <w:iCs/>
                      <w:lang w:eastAsia="lt-LT"/>
                    </w:rPr>
                    <w:t xml:space="preserve">į 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>Šiaulių miesto savivaldybės smulkiojo ir vidutinio verslo rėmimo darbo grupės (toliau – Darbo grupė) priimtus protokolinius sprendimus (</w:t>
                  </w:r>
                  <w:r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  <w:t xml:space="preserve">2025 m. vasario 14 d., 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 xml:space="preserve">Nr. VM-26; </w:t>
                  </w:r>
                  <w:r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  <w:t>2025 m. balandžio 3 d.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>, Nr. VM-82;</w:t>
                  </w:r>
                  <w:r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  <w:t xml:space="preserve"> 2025 m. gegužės 2 d.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 xml:space="preserve">, Nr. VM-134) ir </w:t>
                  </w:r>
                  <w:r>
                    <w:rPr>
                      <w:rFonts w:eastAsia="Lucida Sans Unicode"/>
                      <w:bCs/>
                      <w:iCs/>
                      <w:color w:val="000000"/>
                      <w:lang w:eastAsia="lt-LT"/>
                    </w:rPr>
                    <w:t>Ekonominės veiklos rūšių klasifikatorių (EVRK 2.1 red.)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 xml:space="preserve"> (toliau – </w:t>
                  </w:r>
                  <w:r>
                    <w:rPr>
                      <w:rFonts w:eastAsia="Lucida Sans Unicode"/>
                      <w:bCs/>
                      <w:iCs/>
                      <w:color w:val="000000"/>
                      <w:lang w:eastAsia="lt-LT"/>
                    </w:rPr>
                    <w:t>Ekonominės veiklos rūšių klasifikatorius</w:t>
                  </w:r>
                  <w:r>
                    <w:rPr>
                      <w:rFonts w:eastAsia="Lucida Sans Unicode"/>
                      <w:bCs/>
                      <w:iCs/>
                      <w:lang w:eastAsia="lt-LT"/>
                    </w:rPr>
                    <w:t xml:space="preserve">), patvirtintą </w:t>
                  </w:r>
                  <w:r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  <w:t xml:space="preserve">2024 m. gruodžio 3 d. Valstybės duomenų agentūros generalinio direktoriaus įsakymu Nr. DĮ-266 „Dėl ekonominės veiklos rūšių klasifikatoriaus (EVRK 2.1 RED.) patvirtinimo“. </w:t>
                  </w:r>
                </w:p>
              </w:sdtContent>
            </w:sdt>
            <w:sdt>
              <w:sdtPr>
                <w:alias w:val="poskyris"/>
                <w:tag w:val="part_2c9c4ce4121d4bfc82a45cfd6ec8642b"/>
                <w:lock w:val="sdtLocked"/>
                <w:richText/>
              </w:sdtPr>
              <w:sdtContent>
                <w:p w14:paraId="2F943A2A" w14:textId="594B7221">
                  <w:pPr>
                    <w:widowControl w:val="0"/>
                    <w:spacing w:line="100" w:lineRule="atLeast"/>
                    <w:ind w:firstLine="709"/>
                    <w:jc w:val="both"/>
                    <w:rPr>
                      <w:rFonts w:eastAsia="Lucida Sans Unicode"/>
                      <w:b/>
                      <w:bCs/>
                      <w:i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c9c4ce4121d4bfc82a45cfd6ec864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1BDE9BC0" w14:textId="0BEA2C8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Šiaulių miesto savivaldybės smulkiojo ir vidutinio verslo rėmimą reglamentuoja nuostatai</w:t>
                  </w:r>
                  <w:r>
                    <w:rPr>
                      <w:rFonts w:eastAsia="Arial Unicode MS"/>
                      <w:strike/>
                      <w:color w:val="000000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Arial Unicode MS"/>
                      <w:color w:val="000000"/>
                      <w:szCs w:val="24"/>
                      <w:lang w:eastAsia="ar-SA"/>
                    </w:rPr>
                    <w:t>patvirtinti Šiaulių miesto savivaldybės tarybos 2023 m. kovo 30 d. sprendimu Nr. T-99 „</w:t>
                  </w: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Dėl</w:t>
                  </w:r>
                  <w:r>
                    <w:rPr>
                      <w:bCs/>
                      <w:iCs/>
                      <w:color w:val="000000"/>
                      <w:szCs w:val="24"/>
                      <w:lang w:eastAsia="lt-LT"/>
                    </w:rPr>
                    <w:t xml:space="preserve"> Šiaulių miesto savivaldybės smulkiojo ir vidutinio verslo rėmimo nuostatų patvirtinimo“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.  </w:t>
                  </w: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07b16d8a9af44322a3a6d86a5a9e810b"/>
                <w:lock w:val="sdtLocked"/>
                <w:richText/>
              </w:sdtPr>
              <w:sdtContent>
                <w:p w14:paraId="2F943A2D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7b16d8a9af44322a3a6d86a5a9e810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. </w:t>
                      </w:r>
                    </w:sdtContent>
                  </w:sdt>
                </w:p>
                <w:p w14:paraId="44D43253" w14:textId="797E9AD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Įgyvendinant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Šiaulių miesto 2025</w:t>
                  </w: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–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2033 metų strateginį plėtros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planą, patvirtintą Šiaulių miesto savivaldybės tarybos 2024 m. birželio 6 d. sprendimu Nr. T-202 „Dėl Šiaulių miesto 2025</w:t>
                  </w:r>
                  <w:r>
                    <w:rPr>
                      <w:rFonts w:eastAsia="Lucida Sans Unicode" w:hint="cs"/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2033 metų strateginio plėtros plano patvirtinimo“ pakeistas Nuostatų 4 punktas, pakeičiant „Miesto ekonominės plėtros programos“ pavadinimą ir numerį. </w:t>
                  </w:r>
                </w:p>
                <w:p w14:paraId="6D5C02D0" w14:textId="5CFAED05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Atsižvelgiant į 2025 m.  balandžio 3 d.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Darbo grupės protokolinį sprendimą Nr. VM-82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keičiamas Nuostatų 9.9 papunktis, kuriame patikslintos tinkamos finansuoti išlaidos, įtraukiant interneto svetainės kūrimo išlaidas. </w:t>
                  </w:r>
                </w:p>
                <w:p w14:paraId="583E60F5" w14:textId="6E1F1AE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Atsižvelgiant į 2025 m. vasario 14 d.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Darbo grupės protokolinį sprendimą Nr. VM-26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Nuostatai papildomi nauju, 9.10 papunkčiu: „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9.10. Komercinės paskirties patalpų nuomos dalinis išlaidų padengimas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“. Pakeistas Nuostatų: 12 punktas, 20 punktas ir 30.2 papunktis, kuriuose nurodomas teisinis reglamentavimas, kai parama teikiama pagal 9.10 papunktį. </w:t>
                  </w:r>
                </w:p>
                <w:p w14:paraId="25AA6C35" w14:textId="160606C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trike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Koreguojamas 10.4 papunktis, siekiant aiškesnio reglamentavimo.</w:t>
                  </w:r>
                </w:p>
                <w:p w14:paraId="4DB05DFD" w14:textId="674741A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Atsižvelgiant į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Ekonominės veiklos rūšių klasifikatorių (EVRK 2.1 red.) pakeistas Nuostatų 32 punktas, </w:t>
                  </w: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 xml:space="preserve">kuriame nurodomi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Ekonominės veiklos rūšių klasifikatoriaus kodai.</w:t>
                  </w:r>
                </w:p>
                <w:p w14:paraId="2F943A38" w14:textId="6C85910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 xml:space="preserve">Priėmus sprendimą, galimos pasekmės </w:t>
                  </w:r>
                  <w:r>
                    <w:rPr>
                      <w:rFonts w:eastAsia="Lucida Sans Unicode"/>
                      <w:i/>
                      <w:szCs w:val="24"/>
                      <w:shd w:val="clear" w:color="auto" w:fill="FFFFFF"/>
                      <w:lang w:eastAsia="lt-LT"/>
                    </w:rPr>
                    <w:t>(nurodomos tiek teigiamos, tiek neigiamos galimos pasekmės)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</w:p>
                <w:p w14:paraId="55DEB779" w14:textId="6481656B">
                  <w:pPr>
                    <w:widowControl w:val="0"/>
                    <w:tabs>
                      <w:tab w:val="left" w:pos="850"/>
                    </w:tabs>
                    <w:spacing w:line="100" w:lineRule="atLeast"/>
                    <w:ind w:firstLine="720"/>
                    <w:jc w:val="both"/>
                    <w:rPr>
                      <w:rFonts w:eastAsia="Lucida Sans Unicode"/>
                      <w:bCs/>
                      <w:iCs/>
                      <w:color w:val="000000"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lang w:eastAsia="lt-LT"/>
                    </w:rPr>
                    <w:t xml:space="preserve">Priėmus sprendimą, teigiamos pasekmės: </w:t>
                  </w:r>
                  <w:r>
                    <w:rPr>
                      <w:rFonts w:eastAsia="Lucida Sans Unicode"/>
                      <w:bCs/>
                      <w:iCs/>
                      <w:color w:val="000000"/>
                      <w:lang w:eastAsia="lt-LT"/>
                    </w:rPr>
                    <w:t xml:space="preserve">įgyvendintas </w:t>
                  </w:r>
                  <w:r>
                    <w:rPr>
                      <w:rFonts w:eastAsia="Lucida Sans Unicode"/>
                      <w:bCs/>
                      <w:iCs/>
                      <w:shd w:val="clear" w:color="auto" w:fill="FFFFFF"/>
                      <w:lang w:eastAsia="lt-LT"/>
                    </w:rPr>
                    <w:t xml:space="preserve">2024 m. gruodžio 3 d. Valstybės duomenų agentūros generalinis direktoriaus įsakymas Nr. DĮ-266 „Dėl ekonominės veiklos rūšių klasifikatoriaus (EVRK 2.1 RED.) patvirtinimo“, smulkiojo ir vidutinio verslo subjektams pasiūloma nauja finansavimo priemonė.  </w:t>
                  </w:r>
                </w:p>
                <w:p w14:paraId="2F943A3B" w14:textId="7A2E7400">
                  <w:pPr>
                    <w:widowControl w:val="0"/>
                    <w:tabs>
                      <w:tab w:val="left" w:pos="850"/>
                    </w:tabs>
                    <w:spacing w:line="100" w:lineRule="atLeast"/>
                    <w:ind w:firstLine="709"/>
                    <w:jc w:val="both"/>
                    <w:rPr>
                      <w:rFonts w:eastAsia="Lucida Sans Unicode"/>
                      <w:iCs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lang w:eastAsia="lt-LT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e8153c5ca33e4efeaf85f65429bcf450"/>
                <w:lock w:val="sdtLocked"/>
                <w:richText/>
              </w:sdtPr>
              <w:sdtContent>
                <w:p w14:paraId="63DCBD3F" w14:textId="0835A61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e8153c5ca33e4efeaf85f65429bcf45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0C8C224E" w14:textId="6F9AFD1B">
                  <w:pPr>
                    <w:widowControl w:val="0"/>
                    <w:suppressAutoHyphens/>
                    <w:ind w:firstLine="709"/>
                    <w:jc w:val="both"/>
                    <w:rPr>
                      <w:bCs/>
                      <w:strike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hd w:val="clear" w:color="auto" w:fill="FFFFFF"/>
                      <w:lang w:eastAsia="lt-LT"/>
                    </w:rPr>
                    <w:t xml:space="preserve">Šie potvarkiai bus keičiami: Šiaulių miesto savivaldybės mero 2024 m. kovo 29 d. potvarkis Nr. M-458 „Dėl verslo projektų konkurso organizavimo ir verslo projektų konkurso „Parama inovatyviam verslui“ organizavimo tvarkos aprašų ir paraiškų formų patvirtinimo“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Šiaulių miesto savivaldybės mero 2023 m. birželio 20 d. potvarkis Nr. M-468 „Dėl sutarčių formų patvirtinimo“ </w:t>
                  </w:r>
                  <w:r>
                    <w:rPr>
                      <w:rFonts w:eastAsia="Lucida Sans Unicode"/>
                      <w:color w:val="000000"/>
                      <w:shd w:val="clear" w:color="auto" w:fill="FFFFFF"/>
                      <w:lang w:eastAsia="lt-LT"/>
                    </w:rPr>
                    <w:t>su visais pakeitimais ir papildymais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6e9507c320441ea894694b81e962b28"/>
                <w:lock w:val="sdtLocked"/>
                <w:richText/>
              </w:sdtPr>
              <w:sdtContent>
                <w:p w14:paraId="2F943A3F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6e9507c320441ea894694b81e962b2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2F943A40" w14:textId="73147352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Papildomų teisės aktų sprendimo įgyvendinimui priimti nereikia. </w:t>
                  </w:r>
                </w:p>
                <w:p w14:paraId="2F943A42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i/>
                      <w:szCs w:val="24"/>
                      <w:shd w:val="clear" w:color="auto" w:fill="FFFFFF"/>
                      <w:lang w:eastAsia="lt-LT"/>
                    </w:rPr>
                    <w:t xml:space="preserve"> (nurodoma, kiek biudžeto lėšų pareikalaus ar leis sutaupyti sprendimo įgyvendinimas)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</w:p>
                <w:p w14:paraId="73AF2082" w14:textId="58ED0773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 xml:space="preserve">Sprendimui įgyvendinti papildomos lėšos nereikalingos. </w:t>
                  </w:r>
                </w:p>
                <w:p w14:paraId="2F943A45" w14:textId="77777777">
                  <w:pPr>
                    <w:widowControl w:val="0"/>
                    <w:tabs>
                      <w:tab w:val="left" w:pos="-112"/>
                    </w:tabs>
                    <w:suppressAutoHyphens/>
                    <w:ind w:firstLine="709"/>
                    <w:jc w:val="both"/>
                    <w:rPr>
                      <w:rFonts w:eastAsia="HG Mincho Light J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szCs w:val="24"/>
                      <w:shd w:val="clear" w:color="auto" w:fill="FFFFFF"/>
                      <w:lang w:eastAsia="ar-SA"/>
                    </w:rPr>
                    <w:t xml:space="preserve">Sprendimo projekto antikorupcinis vertinimas </w:t>
                  </w:r>
                  <w:r>
                    <w:rPr>
                      <w:rFonts w:eastAsia="HG Mincho Light J"/>
                      <w:i/>
                      <w:szCs w:val="24"/>
                      <w:shd w:val="clear" w:color="auto" w:fill="FFFFFF"/>
                      <w:lang w:eastAsia="ar-SA"/>
                    </w:rPr>
                    <w:t>(jei tokį vertinimą reikia atlikti, nurodoma, kad pridedama Antikorupcinio vertinimo pažyma)</w:t>
                  </w:r>
                  <w:r>
                    <w:rPr>
                      <w:rFonts w:eastAsia="HG Mincho Light J"/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  <w:p w14:paraId="78292F17" w14:textId="0361E80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Pridedama </w:t>
                  </w:r>
                  <w:r>
                    <w:rPr>
                      <w:rFonts w:eastAsia="HG Mincho Light J"/>
                      <w:szCs w:val="24"/>
                      <w:shd w:val="clear" w:color="auto" w:fill="FFFFFF"/>
                      <w:lang w:eastAsia="ar-SA"/>
                    </w:rPr>
                    <w:t>Antikorupcinio vertinimo pažyma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2F943A48" w14:textId="5202D219">
                  <w:pPr>
                    <w:widowControl w:val="0"/>
                    <w:tabs>
                      <w:tab w:val="left" w:pos="-112"/>
                    </w:tabs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Ekonomikos skyrius. Tiesioginis rengėjas – vyr. specialistė Jūratė Marcišauskienė, tel. (+370 41) 596277. </w:t>
                  </w:r>
                </w:p>
                <w:p w14:paraId="2F943A49" w14:textId="77777777">
                  <w:pPr>
                    <w:keepNext/>
                    <w:widowControl w:val="0"/>
                    <w:tabs>
                      <w:tab w:val="left" w:pos="-112"/>
                      <w:tab w:val="left" w:pos="0"/>
                    </w:tabs>
                    <w:suppressAutoHyphens/>
                    <w:ind w:firstLine="709"/>
                    <w:jc w:val="both"/>
                    <w:outlineLvl w:val="1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</w:p>
                <w:p w14:paraId="2F943A4A" w14:textId="77777777">
                  <w:pPr>
                    <w:keepNext/>
                    <w:widowControl w:val="0"/>
                    <w:tabs>
                      <w:tab w:val="left" w:pos="-112"/>
                      <w:tab w:val="left" w:pos="0"/>
                    </w:tabs>
                    <w:suppressAutoHyphens/>
                    <w:jc w:val="both"/>
                    <w:outlineLvl w:val="1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</w:p>
                <w:p w14:paraId="2F943A4B" w14:textId="77777777">
                  <w:pPr>
                    <w:widowControl w:val="0"/>
                    <w:tabs>
                      <w:tab w:val="left" w:pos="850"/>
                    </w:tabs>
                    <w:spacing w:line="100" w:lineRule="atLeast"/>
                    <w:jc w:val="both"/>
                    <w:rPr>
                      <w:rFonts w:eastAsia="Courier New" w:cs="Courier New"/>
                      <w:b/>
                      <w:bCs/>
                      <w:iCs/>
                      <w:sz w:val="22"/>
                      <w:szCs w:val="22"/>
                      <w:lang w:eastAsia="lt-LT"/>
                    </w:rPr>
                  </w:pPr>
                </w:p>
                <w:p w14:paraId="2F943A4C" w14:textId="77777777">
                  <w:pPr>
                    <w:widowControl w:val="0"/>
                    <w:tabs>
                      <w:tab w:val="left" w:pos="850"/>
                    </w:tabs>
                    <w:spacing w:line="100" w:lineRule="atLeast"/>
                    <w:jc w:val="both"/>
                    <w:rPr>
                      <w:rFonts w:eastAsia="Courier New" w:cs="Courier New"/>
                      <w:b/>
                      <w:bCs/>
                      <w:iCs/>
                      <w:sz w:val="22"/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95de88159f24a78a1c7647df5698335"/>
            <w:lock w:val="sdtLocked"/>
            <w:richText/>
          </w:sdtPr>
          <w:sdtContent>
            <w:p w14:paraId="2F943A4D" w14:textId="07EFD3B9">
              <w:pPr>
                <w:widowControl w:val="0"/>
                <w:suppressAutoHyphens/>
                <w:spacing w:line="100" w:lineRule="atLeast"/>
                <w:jc w:val="both"/>
                <w:rPr>
                  <w:rFonts w:eastAsia="Lucida Sans Unicode" w:cs="Tahoma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szCs w:val="24"/>
                  <w:lang w:eastAsia="lt-LT"/>
                </w:rPr>
                <w:t xml:space="preserve">Vedėja </w:t>
                <w:tab/>
                <w:tab/>
                <w:tab/>
                <w:t xml:space="preserve">          </w:t>
                <w:tab/>
                <w:tab/>
                <w:tab/>
                <w:tab/>
                <w:t xml:space="preserve">        Aistė Petkuvienė</w:t>
              </w:r>
            </w:p>
            <w:p w14:paraId="2F943A4E" w14:textId="77777777">
              <w:pPr>
                <w:widowControl w:val="0"/>
                <w:tabs>
                  <w:tab w:val="left" w:pos="993"/>
                </w:tabs>
                <w:suppressAutoHyphens/>
                <w:ind w:left="709"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851" w:right="423" w:bottom="709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2ED565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separator/>
      </w:r>
    </w:p>
  </w:endnote>
  <w:endnote w:type="continuationSeparator" w:id="0">
    <w:p w14:paraId="487D1C44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G Mincho Light J">
    <w:altName w:val="Cambria"/>
    <w:charset w:val="BA"/>
    <w:family w:val="auto"/>
    <w:pitch w:val="variable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EA133A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0F09A1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498A39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7ED774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separator/>
      </w:r>
    </w:p>
  </w:footnote>
  <w:footnote w:type="continuationSeparator" w:id="0">
    <w:p w14:paraId="0AF97912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43A53" w14:textId="77777777">
    <w:pPr>
      <w:framePr w:wrap="auto" w:vAnchor="text" w:hAnchor="margin" w:xAlign="center" w:y="1"/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  <w:r>
      <w:rPr>
        <w:rFonts w:eastAsia="Lucida Sans Unicode"/>
        <w:color w:val="000000"/>
        <w:szCs w:val="24"/>
        <w:lang w:eastAsia="lt-LT"/>
      </w:rPr>
      <w:fldChar w:fldCharType="begin"/>
    </w:r>
    <w:r>
      <w:rPr>
        <w:rFonts w:eastAsia="Lucida Sans Unicode"/>
        <w:color w:val="000000"/>
        <w:szCs w:val="24"/>
        <w:lang w:eastAsia="lt-LT"/>
      </w:rPr>
      <w:instrText xml:space="preserve">PAGE  </w:instrText>
    </w:r>
    <w:r>
      <w:rPr>
        <w:rFonts w:eastAsia="Lucida Sans Unicode"/>
        <w:color w:val="000000"/>
        <w:szCs w:val="24"/>
        <w:lang w:eastAsia="lt-LT"/>
      </w:rPr>
      <w:fldChar w:fldCharType="end"/>
    </w:r>
  </w:p>
  <w:p w14:paraId="2F943A54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43A55" w14:textId="63BD0657">
    <w:pPr>
      <w:framePr w:wrap="auto" w:vAnchor="text" w:hAnchor="margin" w:xAlign="center" w:y="1"/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  <w:r>
      <w:rPr>
        <w:rFonts w:eastAsia="Lucida Sans Unicode"/>
        <w:color w:val="000000"/>
        <w:szCs w:val="24"/>
        <w:lang w:eastAsia="lt-LT"/>
      </w:rPr>
      <w:fldChar w:fldCharType="begin"/>
    </w:r>
    <w:r>
      <w:rPr>
        <w:rFonts w:eastAsia="Lucida Sans Unicode"/>
        <w:color w:val="000000"/>
        <w:szCs w:val="24"/>
        <w:lang w:eastAsia="lt-LT"/>
      </w:rPr>
      <w:instrText xml:space="preserve">PAGE  </w:instrText>
    </w:r>
    <w:r>
      <w:rPr>
        <w:rFonts w:eastAsia="Lucida Sans Unicode"/>
        <w:color w:val="000000"/>
        <w:szCs w:val="24"/>
        <w:lang w:eastAsia="lt-LT"/>
      </w:rPr>
      <w:fldChar w:fldCharType="separate"/>
    </w:r>
    <w:r>
      <w:rPr>
        <w:rFonts w:eastAsia="Lucida Sans Unicode"/>
        <w:color w:val="000000"/>
        <w:szCs w:val="24"/>
        <w:lang w:eastAsia="lt-LT"/>
      </w:rPr>
      <w:t>3</w:t>
    </w:r>
    <w:r>
      <w:rPr>
        <w:rFonts w:eastAsia="Lucida Sans Unicode"/>
        <w:color w:val="000000"/>
        <w:szCs w:val="24"/>
        <w:lang w:eastAsia="lt-LT"/>
      </w:rPr>
      <w:fldChar w:fldCharType="end"/>
    </w:r>
  </w:p>
  <w:p w14:paraId="2F943A56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155D5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34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43A1A"/>
  <w15:chartTrackingRefBased/>
  <w15:docId w15:val="{A1976F97-85C0-4A9B-8CC5-E75332EC7D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40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3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4729fc29bda456fab9e4f209159b25f" PartId="93e3a9c3b7c54e76a99a8b8ef2b9ac2e">
    <Part Type="skyrius" Nr="999" Title="SPRENDIMO DĖL ŠIAULIŲ MIESTO SAVIVALDYBĖS TARYBOS 2023 M. KOVO 30 D. SPRENDIMO NR. T-99 „DĖL ŠIAULIŲ MIESTO SAVIVALDYBĖS SMULKIOJO IR VIDUTINIO VERSLO RĖMIMO NUOSTATŲ PATVIRTINIMO“ PAKEITIMO AIŠKINAMASIS RAŠTAS" DocPartId="a3dc634613a343e29d6bac75630a8429" PartId="913d941933d14d51805976a1a427f499">
      <Part Type="poskyris" Title="Parengto sprendimo projekto tikslai ir uždaviniai." DocPartId="0c3b3e1ef4744d3aafbbd28ca9ac7ed5" PartId="da93b6cf2e4f451c96c35a5e781cc851"/>
      <Part Type="poskyris" Title="Dabartinis sprendimo projekte aptariamų klausimų reguliavimas." DocPartId="e1b26763d4184dd5916cad981f9c793c" PartId="2c9c4ce4121d4bfc82a45cfd6ec8642b"/>
      <Part Type="poskyris" Title="Sprendimo projekte numatytos naujos teisinio reglamentavimo nuostatos." DocPartId="ca58c879febb4919ac319c70fb48e34a" PartId="07b16d8a9af44322a3a6d86a5a9e810b"/>
      <Part Type="poskyris" Title="Priėmus sprendimą, keičiami ar pripažįstami negaliojančiais teisės aktai." DocPartId="717ad73814724ca1bf3e369fa6a0ccd5" PartId="e8153c5ca33e4efeaf85f65429bcf450"/>
      <Part Type="poskyris" Title="Sprendimui įgyvendinti reikalingi priimti papildomi teisės aktai." DocPartId="cc27da7df44942389754ff72546dc4ca" PartId="96e9507c320441ea894694b81e962b28"/>
    </Part>
    <Part Type="signatura" DocPartId="c212f396eb1a4375b50981ef6fd98dac" PartId="d95de88159f24a78a1c7647df5698335"/>
  </Part>
</Parts>
</file>

<file path=customXml/itemProps1.xml><?xml version="1.0" encoding="utf-8"?>
<ds:datastoreItem xmlns:ds="http://schemas.openxmlformats.org/officeDocument/2006/customXml" ds:itemID="{340BA91F-9D6C-4848-933B-99AF0A23A3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AD334E-F043-4089-B095-5DF30ADBB4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537</Words>
  <Characters>3804</Characters>
  <Application>Microsoft Office Word</Application>
  <DocSecurity>4</DocSecurity>
  <Lines>71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m.savivaldybe</Company>
  <LinksUpToDate>false</LinksUpToDate>
  <CharactersWithSpaces>4307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2025-06-16T07:14:00Z</dcterms:created>
  <dc:creator>dovile</dc:creator>
  <lastModifiedBy>adlibuser</lastModifiedBy>
  <lastPrinted>2023-06-21T05:11:00Z</lastPrinted>
  <dcterms:modified xsi:type="dcterms:W3CDTF">2025-06-16T07:14:00Z</dcterms:modified>
  <revision>2</revision>
  <dc:title>Projektas</dc:title>
</coreProperties>
</file>