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a53b4cd131d4679919028a6f721fb1d"/>
        <w:lock w:val="sdtLocked"/>
        <w:richText/>
      </w:sdtPr>
      <w:sdtContent>
        <w:p>
          <w:pPr>
            <w:widowControl w:val="0"/>
            <w:tabs>
              <w:tab w:val="center" w:pos="4819"/>
              <w:tab w:val="right" w:pos="9638"/>
            </w:tabs>
            <w:suppressAutoHyphens/>
            <w:rPr>
              <w:rFonts w:eastAsia="Lucida Sans Unicode"/>
              <w:kern w:val="1"/>
              <w:szCs w:val="24"/>
              <w:lang w:eastAsia="lt-LT"/>
            </w:rPr>
          </w:pPr>
        </w:p>
        <w:p>
          <w:pPr>
            <w:widowControl w:val="0"/>
            <w:suppressAutoHyphens/>
            <w:jc w:val="center"/>
            <w:rPr>
              <w:rFonts w:eastAsia="Lucida Sans Unicode"/>
              <w:b/>
              <w:caps/>
              <w:kern w:val="24"/>
              <w:szCs w:val="24"/>
              <w:lang w:eastAsia="lt-LT"/>
            </w:rPr>
          </w:pPr>
          <w:r>
            <w:rPr>
              <w:rFonts w:eastAsia="Lucida Sans Unicode"/>
              <w:b/>
              <w:caps/>
              <w:kern w:val="24"/>
              <w:szCs w:val="24"/>
              <w:lang w:eastAsia="lt-LT"/>
            </w:rPr>
            <w:t>LIETUVOS RESPUBLIKOS APLINKOS MINISTRO ĮSAKYMO „DĖL 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APRAŠO PATVIRTINIMO“ PROJEKTO</w:t>
          </w:r>
        </w:p>
        <w:p>
          <w:pPr>
            <w:widowControl w:val="0"/>
            <w:suppressAutoHyphens/>
            <w:jc w:val="center"/>
            <w:rPr>
              <w:rFonts w:eastAsia="Lucida Sans Unicode"/>
              <w:b/>
              <w:kern w:val="24"/>
              <w:szCs w:val="24"/>
              <w:lang w:eastAsia="lt-LT"/>
            </w:rPr>
          </w:pPr>
          <w:r>
            <w:rPr>
              <w:rFonts w:eastAsia="Lucida Sans Unicode"/>
              <w:b/>
              <w:kern w:val="1"/>
              <w:szCs w:val="24"/>
              <w:lang w:eastAsia="lt-LT"/>
            </w:rPr>
            <w:t>DERINIMO PAŽYMA</w:t>
          </w:r>
        </w:p>
        <w:p>
          <w:pPr>
            <w:widowControl w:val="0"/>
            <w:suppressAutoHyphens/>
            <w:rPr>
              <w:rFonts w:eastAsia="Lucida Sans Unicode"/>
              <w:kern w:val="1"/>
              <w:sz w:val="22"/>
              <w:szCs w:val="22"/>
              <w:lang w:eastAsia="lt-LT"/>
            </w:rPr>
          </w:pPr>
        </w:p>
        <w:tbl>
          <w:tblPr>
            <w:tblW w:w="1545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843"/>
            <w:gridCol w:w="5327"/>
            <w:gridCol w:w="8281"/>
          </w:tblGrid>
          <w:tr>
            <w:tc>
              <w:tcPr>
                <w:tcW w:w="1843" w:type="dxa"/>
              </w:tcPr>
              <w:p>
                <w:pPr>
                  <w:widowControl w:val="0"/>
                  <w:suppressAutoHyphens/>
                  <w:jc w:val="center"/>
                  <w:rPr>
                    <w:rFonts w:eastAsia="Lucida Sans Unicode"/>
                    <w:b/>
                    <w:iCs/>
                    <w:kern w:val="1"/>
                    <w:sz w:val="22"/>
                    <w:szCs w:val="22"/>
                    <w:lang w:eastAsia="lt-LT"/>
                  </w:rPr>
                </w:pPr>
                <w:r>
                  <w:rPr>
                    <w:rFonts w:eastAsia="Lucida Sans Unicode"/>
                    <w:b/>
                    <w:iCs/>
                    <w:kern w:val="1"/>
                    <w:sz w:val="22"/>
                    <w:szCs w:val="22"/>
                    <w:lang w:eastAsia="lt-LT"/>
                  </w:rPr>
                  <w:t>Institucija,</w:t>
                </w:r>
              </w:p>
              <w:p>
                <w:pPr>
                  <w:widowControl w:val="0"/>
                  <w:suppressAutoHyphens/>
                  <w:jc w:val="center"/>
                  <w:rPr>
                    <w:rFonts w:eastAsia="Lucida Sans Unicode"/>
                    <w:b/>
                    <w:i/>
                    <w:iCs/>
                    <w:kern w:val="1"/>
                    <w:sz w:val="22"/>
                    <w:szCs w:val="22"/>
                    <w:lang w:eastAsia="lt-LT"/>
                  </w:rPr>
                </w:pPr>
                <w:r>
                  <w:rPr>
                    <w:rFonts w:eastAsia="Lucida Sans Unicode"/>
                    <w:b/>
                    <w:iCs/>
                    <w:kern w:val="1"/>
                    <w:sz w:val="22"/>
                    <w:szCs w:val="22"/>
                    <w:lang w:eastAsia="lt-LT"/>
                  </w:rPr>
                  <w:t>rašto data ir Nr.</w:t>
                </w:r>
              </w:p>
            </w:tc>
            <w:tc>
              <w:tcPr>
                <w:tcW w:w="5327" w:type="dxa"/>
              </w:tcPr>
              <w:p>
                <w:pPr>
                  <w:widowControl w:val="0"/>
                  <w:suppressAutoHyphens/>
                  <w:jc w:val="center"/>
                  <w:rPr>
                    <w:b/>
                    <w:kern w:val="1"/>
                    <w:sz w:val="22"/>
                    <w:szCs w:val="22"/>
                    <w:lang w:eastAsia="ar-SA"/>
                  </w:rPr>
                </w:pPr>
                <w:r>
                  <w:rPr>
                    <w:b/>
                    <w:kern w:val="1"/>
                    <w:sz w:val="22"/>
                    <w:szCs w:val="22"/>
                    <w:lang w:eastAsia="ar-SA"/>
                  </w:rPr>
                  <w:t>Pastabos ir pasiūlymai</w:t>
                </w:r>
              </w:p>
            </w:tc>
            <w:tc>
              <w:tcPr>
                <w:tcW w:w="8281" w:type="dxa"/>
              </w:tcPr>
              <w:p>
                <w:pPr>
                  <w:widowControl w:val="0"/>
                  <w:suppressAutoHyphens/>
                  <w:jc w:val="center"/>
                  <w:rPr>
                    <w:b/>
                    <w:kern w:val="1"/>
                    <w:sz w:val="22"/>
                    <w:szCs w:val="22"/>
                    <w:lang w:eastAsia="ar-SA"/>
                  </w:rPr>
                </w:pPr>
                <w:r>
                  <w:rPr>
                    <w:rFonts w:eastAsia="Lucida Sans Unicode"/>
                    <w:b/>
                    <w:kern w:val="1"/>
                    <w:sz w:val="22"/>
                    <w:szCs w:val="22"/>
                    <w:lang w:eastAsia="lt-LT"/>
                  </w:rPr>
                  <w:t>Žyma apie pastabas ir pasiūlymus</w:t>
                </w: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UAB „VAATC“, (2022-01-18; Nr. 1.13.-22/11)</w:t>
                </w:r>
              </w:p>
            </w:tc>
            <w:tc>
              <w:tcPr>
                <w:tcW w:w="5327" w:type="dxa"/>
              </w:tcPr>
              <w:p>
                <w:pPr>
                  <w:widowControl w:val="0"/>
                  <w:suppressAutoHyphens/>
                  <w:jc w:val="both"/>
                  <w:rPr>
                    <w:bCs/>
                    <w:kern w:val="1"/>
                    <w:sz w:val="22"/>
                    <w:szCs w:val="22"/>
                    <w:lang w:eastAsia="ar-SA"/>
                  </w:rPr>
                </w:pPr>
                <w:r>
                  <w:rPr>
                    <w:bCs/>
                    <w:kern w:val="1"/>
                    <w:sz w:val="22"/>
                    <w:szCs w:val="22"/>
                    <w:lang w:eastAsia="ar-SA"/>
                  </w:rPr>
                  <w:t>Projekto 17 punkte siūloma nustatyti, kad Aplinkos apsaugos agentūra banko ar kitos kredito įstaigos, draudimo įmonės gali prašyti reikalaujamą dokumente nurodytą sumą ar jos dalį pervesti tiesiogiai savivaldybei arba pakuočių atliekų tvarkytojui. Nėra aišku kokios aplinkybės sąlygotų tokio prašymo pateikimą. Siūlytina įvertinti galimybę nustatyti, jog toks prašymas pateikiamas visuomet.</w:t>
                </w: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Atsižvelgta iš dalies.</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 xml:space="preserve">Tvarkos aprašo projekto 17 punkte nebenumatoma galimybė Aplinkos apsaugos agentūrai kreiptis į banką ar kitos kredito įstaigą, draudimo įmonę ir prašyti reikalaujamą dokumente nurodytą sumą ar jos dalį pervesti tiesiogiai savivaldybei (arba savivaldybės pavedimu – komunalinių atliekų tvarkymo sistemos administratoriui) arba pakuočių atliekų tvarkytojui. Tvarkos aprašo 18 punkte numatoma, kad Aplinkos apsaugos agentūra gautą banko garantijos ir (ar) laidavimo draudimo išmoką, atėmusi jai taikomus banko operacijų atlikimo mokesčius, perves  savivaldybei (arba savivaldybės pavedimu – komunalinių atliekų tvarkymo sistemos administratoriui) ar pakuočių atliekų tvarkytojui pati.</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tabs>
                    <w:tab w:val="left" w:pos="1276"/>
                  </w:tabs>
                  <w:suppressAutoHyphens/>
                  <w:jc w:val="both"/>
                  <w:rPr>
                    <w:rFonts w:eastAsia="Calibri"/>
                    <w:kern w:val="1"/>
                    <w:sz w:val="22"/>
                    <w:szCs w:val="22"/>
                    <w:lang w:eastAsia="lt-LT"/>
                  </w:rPr>
                </w:pPr>
                <w:r>
                  <w:rPr>
                    <w:rFonts w:eastAsia="Calibri"/>
                    <w:kern w:val="1"/>
                    <w:sz w:val="22"/>
                    <w:szCs w:val="22"/>
                    <w:lang w:eastAsia="lt-LT"/>
                  </w:rPr>
                  <w:t xml:space="preserve">Projekto 18 punkte siūloma nustatyti, kad pagal dokumentą gautos lėšos privalo būti naudojamos tik pakuočių atliekų tvarkymo finansavimui dokumento galiojimo laikotarpiu. Nėra aišku kodėl lėšų naudojimo terminas apribojamas minimu laikotarpiu. Manytina, jog gautos lėšos turi būti naudojamos paskirčiai, kuri buvo nurodyta kreipiantis dėl lėšų pagal dokumentą išmokėjimo. Pastebėtina, kad ši sąlyga pakartojama 22.3. ir 23.4. papunkčiuose, bet jos nelieka 24.3. papunktyje. </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Atsižvelgta iš dalies.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Tvarkos aprašo projekto 18 punkte nebenumatoma, kad pagal dokumentą gautos lėšos privalo būti naudojamos tik pakuočių atliekų tvarkymo finansavimui dokumento galiojimo laikotarpiu, o Tvarkos aprašo projekto 25.4 ir 26.4 (pirmoje projekto redakcijoje buvę 22.4 ir 23.4) papunkčiuose ši sąlyga, t. y., kad lėšos privalo būti naudojamos tik dokumento galiojimo laikotarpiu, pakeista ir papildomai nustatoma išimtis: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„gautinos lėšos [...] yra skirtos naudoti dokumento galiojimo laikotarpiu, išskyrus atvejus, kai kreipimasis yra teikiamas likus 44 darbo dienoms iki dokumento galiojimo laikotarpio pabaigos arba kai yra teikiamas po dokumento galiojimo laikotarpio pabaigos pagal Tvarkos aprašo 7.8 papunktį,  ir skirtos finansuoti pakuočių atliekų tvarkymą, pateikiant tokių lėšų poreikį ir dydį pagrindžiančius dokumentus.“</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suppressAutoHyphens/>
                  <w:jc w:val="both"/>
                  <w:rPr>
                    <w:bCs/>
                    <w:kern w:val="1"/>
                    <w:sz w:val="22"/>
                    <w:szCs w:val="22"/>
                    <w:lang w:eastAsia="ar-SA"/>
                  </w:rPr>
                </w:pPr>
                <w:r>
                  <w:rPr>
                    <w:rFonts w:eastAsia="Calibri"/>
                    <w:kern w:val="1"/>
                    <w:sz w:val="22"/>
                    <w:szCs w:val="22"/>
                    <w:lang w:eastAsia="lt-LT"/>
                  </w:rPr>
                  <w:t xml:space="preserve">Siūlytina pakeisti Projekto 23.1 – 23.3. papunkčius juos apjungiant į vieną punktą, vadovaujantis Įstatymu nustatantį, jog Aplinkos apsaugos agentūrai turi būti įrodoma, kad Organizacijos nevykdo  pakuočių atliekų tvarkymo organizavimo ir finansavimo sutartyje numatyto įsipareigojimo finansuoti pakuočių atliekų rūšiuojamojo surinkimo sistemos veikimą pagal aplinkos ministro nustatytus būtinuosius reikalavimus.</w:t>
                </w:r>
              </w:p>
            </w:tc>
            <w:tc>
              <w:tcPr>
                <w:tcW w:w="8281" w:type="dxa"/>
              </w:tcPr>
              <w:p>
                <w:pPr>
                  <w:widowControl w:val="0"/>
                  <w:suppressAutoHyphens/>
                  <w:jc w:val="both"/>
                  <w:rPr>
                    <w:rFonts w:eastAsia="Lucida Sans Unicode"/>
                    <w:b/>
                    <w:color w:val="000000"/>
                    <w:kern w:val="1"/>
                    <w:sz w:val="22"/>
                    <w:szCs w:val="22"/>
                    <w:lang w:eastAsia="lt-LT"/>
                  </w:rPr>
                </w:pPr>
                <w:r>
                  <w:rPr>
                    <w:rFonts w:eastAsia="Lucida Sans Unicode"/>
                    <w:b/>
                    <w:color w:val="000000"/>
                    <w:kern w:val="1"/>
                    <w:sz w:val="22"/>
                    <w:szCs w:val="22"/>
                    <w:lang w:eastAsia="lt-LT"/>
                  </w:rPr>
                  <w:t>Neatsižvelgta.</w:t>
                </w:r>
              </w:p>
              <w:p>
                <w:pPr>
                  <w:widowControl w:val="0"/>
                  <w:suppressAutoHyphens/>
                  <w:jc w:val="both"/>
                  <w:rPr>
                    <w:rFonts w:eastAsia="Lucida Sans Unicode"/>
                    <w:bCs/>
                    <w:kern w:val="1"/>
                    <w:sz w:val="22"/>
                    <w:szCs w:val="22"/>
                    <w:lang w:eastAsia="lt-LT"/>
                  </w:rPr>
                </w:pPr>
                <w:r>
                  <w:rPr>
                    <w:rFonts w:eastAsia="Lucida Sans Unicode"/>
                    <w:bCs/>
                    <w:color w:val="000000"/>
                    <w:kern w:val="1"/>
                    <w:sz w:val="22"/>
                    <w:szCs w:val="22"/>
                    <w:lang w:eastAsia="lt-LT"/>
                  </w:rPr>
                  <w:t xml:space="preserve">Siūloma apjungianti nuostata yra numatyta Tvarkos aprašo projekto 15.2 punkte. Kreipimųsi pagrįstumo kriterijai, numatyti Tvarkos aprašo IV skyriuje, skirti konkretizuoti atvejus, kuomet savivaldybė </w:t>
                </w:r>
                <w:r>
                  <w:rPr>
                    <w:rFonts w:eastAsia="Lucida Sans Unicode"/>
                    <w:kern w:val="1"/>
                    <w:sz w:val="22"/>
                    <w:szCs w:val="22"/>
                    <w:lang w:eastAsia="lt-LT"/>
                  </w:rPr>
                  <w:t xml:space="preserve">(arba savivaldybės pavedimu – komunalinių atliekų tvarkymo sistemos administratorius) </w:t>
                </w:r>
                <w:r>
                  <w:rPr>
                    <w:rFonts w:eastAsia="Lucida Sans Unicode"/>
                    <w:bCs/>
                    <w:color w:val="000000"/>
                    <w:kern w:val="1"/>
                    <w:sz w:val="22"/>
                    <w:szCs w:val="22"/>
                    <w:lang w:eastAsia="lt-LT"/>
                  </w:rPr>
                  <w:t xml:space="preserve">gali kreiptis į Aplinkos apsaugos agentūrą dėl banko garantijos ir (ar) laidavimo draudimo išmokos, nurodo, ką </w:t>
                </w:r>
                <w:r>
                  <w:rPr>
                    <w:rFonts w:eastAsia="Lucida Sans Unicode"/>
                    <w:kern w:val="1"/>
                    <w:sz w:val="22"/>
                    <w:szCs w:val="22"/>
                    <w:lang w:eastAsia="lt-LT"/>
                  </w:rPr>
                  <w:t xml:space="preserve">savivaldybė (arba savivaldybės pavedimu – komunalinių atliekų tvarkymo sistemos administratorius) turi įrodyti, kokius dokumentus pateikti, kad kreipimasis būtų laikomas pagrįstu ir Aplinkos apsaugos agentūrai atsirastų pagrindas kreiptis į banką ar kitą kredito įstaigą, draudimo įmonę dėl </w:t>
                </w:r>
                <w:r>
                  <w:rPr>
                    <w:rFonts w:eastAsia="Lucida Sans Unicode"/>
                    <w:bCs/>
                    <w:color w:val="000000"/>
                    <w:kern w:val="1"/>
                    <w:sz w:val="22"/>
                    <w:szCs w:val="22"/>
                    <w:lang w:eastAsia="lt-LT"/>
                  </w:rPr>
                  <w:t xml:space="preserve"> banko garantijos ir (ar) laidavimo draudimo išmokos.</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tabs>
                    <w:tab w:val="left" w:pos="1276"/>
                  </w:tabs>
                  <w:suppressAutoHyphens/>
                  <w:jc w:val="both"/>
                  <w:rPr>
                    <w:rFonts w:eastAsia="Calibri"/>
                    <w:kern w:val="1"/>
                    <w:sz w:val="22"/>
                    <w:szCs w:val="22"/>
                    <w:lang w:eastAsia="lt-LT"/>
                  </w:rPr>
                </w:pPr>
                <w:r>
                  <w:rPr>
                    <w:rFonts w:eastAsia="Calibri"/>
                    <w:kern w:val="1"/>
                    <w:sz w:val="22"/>
                    <w:szCs w:val="22"/>
                    <w:lang w:eastAsia="lt-LT"/>
                  </w:rPr>
                  <w:t xml:space="preserve">Projekto 26 punkte siūloma nustatyti, kad Organizacijos motyvus dėl skunde nurodytų prievolių vykdymo turi teisę pateikti per 7 darbo dienas nuo skundo gavimo Organizacijoje dienos. Pastebėtina, kad pagal Projekto 25 punktą  Aplinkos apsaugos agentūrai turi būti pateikiami skundo kopijos išsiuntimą Organizacijai pagrindžiantys dokumentai. Siekiant išvengti nepagrįsto vilkinimo bei perteklinių duomenų kaupimo, siūlytina Projekto 26 punkte nustatytą motyvų pateikimo terminą skaičiuoti nuo skundo kopijos išsiuntimo dienos, kartu aiškiai apibrėžiant, jog skundo kopija turi būti išsiunčiama Organizacijų skelbiamu korespondencijos teikimui skirtu elektroninio pašto adresu. </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Atsižvelgta iš dalies.</w:t>
                </w:r>
              </w:p>
              <w:p>
                <w:pPr>
                  <w:widowControl w:val="0"/>
                  <w:suppressAutoHyphens/>
                  <w:jc w:val="both"/>
                  <w:rPr>
                    <w:rFonts w:eastAsia="Lucida Sans Unicode"/>
                    <w:bCs/>
                    <w:color w:val="000000"/>
                    <w:kern w:val="1"/>
                    <w:sz w:val="22"/>
                    <w:szCs w:val="22"/>
                    <w:lang w:eastAsia="lt-LT"/>
                  </w:rPr>
                </w:pPr>
                <w:r>
                  <w:rPr>
                    <w:rFonts w:eastAsia="Lucida Sans Unicode"/>
                    <w:bCs/>
                    <w:color w:val="000000"/>
                    <w:kern w:val="1"/>
                    <w:sz w:val="22"/>
                    <w:szCs w:val="22"/>
                    <w:lang w:eastAsia="lt-LT"/>
                  </w:rPr>
                  <w:t xml:space="preserve">Vadovaujantis viešojo administravimo įstatymu ir siekiant, kad savivaldybės </w:t>
                </w:r>
                <w:r>
                  <w:rPr>
                    <w:rFonts w:eastAsia="Lucida Sans Unicode"/>
                    <w:kern w:val="1"/>
                    <w:sz w:val="22"/>
                    <w:szCs w:val="22"/>
                    <w:lang w:eastAsia="lt-LT"/>
                  </w:rPr>
                  <w:t>(arba savivaldybių pavedimu – komunalinių atliekų tvarkymo sistemos administratoriai) ar pakuočių atliekų tvarkytojai</w:t>
                </w:r>
                <w:r>
                  <w:rPr>
                    <w:rFonts w:eastAsia="Lucida Sans Unicode"/>
                    <w:bCs/>
                    <w:color w:val="000000"/>
                    <w:kern w:val="1"/>
                    <w:sz w:val="22"/>
                    <w:szCs w:val="22"/>
                    <w:lang w:eastAsia="lt-LT"/>
                  </w:rPr>
                  <w:t xml:space="preserve"> nepiktnaudžiautų savo turimomis teisėmis,  Organizacijoms turi būti sudaroma galimybė pateikti savo motyvus. Atsižvelgiant į tai, svarbu, kad kreipimosi kopija Organizacijai būtų įteikta tinkamai, kad būtų galima nustatyti kreipimosi kopijos gavimo laiką. Kreipimosi kopijos siuntimas el. paštu ir termino pateikti motyvus pradžios skaičiavimas ne nuo kreipimosi kopijos gavimo, o nuo kreipimosi išsiuntimo, nėra laikytinas tinkamu. </w:t>
                </w:r>
              </w:p>
              <w:p>
                <w:pPr>
                  <w:widowControl w:val="0"/>
                  <w:suppressAutoHyphens/>
                  <w:jc w:val="both"/>
                  <w:rPr>
                    <w:rFonts w:eastAsia="Lucida Sans Unicode"/>
                    <w:bCs/>
                    <w:kern w:val="1"/>
                    <w:sz w:val="22"/>
                    <w:szCs w:val="22"/>
                    <w:lang w:eastAsia="lt-LT"/>
                  </w:rPr>
                </w:pPr>
                <w:r>
                  <w:rPr>
                    <w:rFonts w:eastAsia="Lucida Sans Unicode"/>
                    <w:bCs/>
                    <w:color w:val="000000"/>
                    <w:kern w:val="1"/>
                    <w:sz w:val="22"/>
                    <w:szCs w:val="22"/>
                    <w:lang w:eastAsia="lt-LT"/>
                  </w:rPr>
                  <w:t>Tvarkos aprašo projekto 28 punkte (</w:t>
                </w:r>
                <w:r>
                  <w:rPr>
                    <w:rFonts w:eastAsia="Lucida Sans Unicode"/>
                    <w:kern w:val="1"/>
                    <w:sz w:val="22"/>
                    <w:szCs w:val="22"/>
                    <w:lang w:eastAsia="lt-LT"/>
                  </w:rPr>
                  <w:t xml:space="preserve">pirmoje projekto redakcijoje </w:t>
                </w:r>
                <w:r>
                  <w:rPr>
                    <w:rFonts w:eastAsia="Lucida Sans Unicode"/>
                    <w:bCs/>
                    <w:color w:val="000000"/>
                    <w:kern w:val="1"/>
                    <w:sz w:val="22"/>
                    <w:szCs w:val="22"/>
                    <w:lang w:eastAsia="lt-LT"/>
                  </w:rPr>
                  <w:t xml:space="preserve">buvęs 25) detalizuojami tinkami kreipimosi  įteikimo būdai: „pasirinktinai: tiesiogiai pasirašytinai, patvirtinant dokumentų gavimą; per E. pristatymo sistemą; registruotu paštu; per antstolį; per kurjerį“.</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tabs>
                    <w:tab w:val="left" w:pos="1418"/>
                  </w:tabs>
                  <w:suppressAutoHyphens/>
                  <w:jc w:val="both"/>
                  <w:rPr>
                    <w:rFonts w:eastAsia="Calibri"/>
                    <w:kern w:val="1"/>
                    <w:sz w:val="22"/>
                    <w:szCs w:val="22"/>
                    <w:lang w:eastAsia="lt-LT"/>
                  </w:rPr>
                </w:pPr>
                <w:r>
                  <w:rPr>
                    <w:rFonts w:eastAsia="Calibri"/>
                    <w:kern w:val="1"/>
                    <w:sz w:val="22"/>
                    <w:szCs w:val="22"/>
                    <w:lang w:eastAsia="lt-LT"/>
                  </w:rPr>
                  <w:t xml:space="preserve">Siekiant mažinti administracinę naštą bei paspartinti skundų nagrinėjimo procedūrą, siūlytina tobulinti Projektą nustatant, kad savivaldybių skundas visais atvejais yra tenkinamas, jei nėra gaunami Organizacijos motyvai dėl skunde nurodytų prievolių vykdymo. </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color w:val="000000"/>
                    <w:kern w:val="1"/>
                    <w:sz w:val="22"/>
                    <w:szCs w:val="22"/>
                    <w:lang w:eastAsia="lt-LT"/>
                  </w:rPr>
                </w:pPr>
                <w:r>
                  <w:rPr>
                    <w:rFonts w:eastAsia="Lucida Sans Unicode"/>
                    <w:b/>
                    <w:color w:val="000000"/>
                    <w:kern w:val="1"/>
                    <w:sz w:val="22"/>
                    <w:szCs w:val="22"/>
                    <w:lang w:eastAsia="lt-LT"/>
                  </w:rPr>
                  <w:t>Neatsižvelgta.</w:t>
                </w:r>
              </w:p>
              <w:p>
                <w:pPr>
                  <w:widowControl w:val="0"/>
                  <w:suppressAutoHyphens/>
                  <w:jc w:val="both"/>
                  <w:rPr>
                    <w:rFonts w:eastAsia="Lucida Sans Unicode"/>
                    <w:bCs/>
                    <w:kern w:val="1"/>
                    <w:sz w:val="22"/>
                    <w:szCs w:val="22"/>
                    <w:lang w:eastAsia="lt-LT"/>
                  </w:rPr>
                </w:pPr>
                <w:r>
                  <w:rPr>
                    <w:rFonts w:eastAsia="Lucida Sans Unicode"/>
                    <w:bCs/>
                    <w:color w:val="000000"/>
                    <w:kern w:val="1"/>
                    <w:sz w:val="22"/>
                    <w:szCs w:val="22"/>
                    <w:lang w:eastAsia="lt-LT"/>
                  </w:rPr>
                  <w:t xml:space="preserve">Vadovaujantis viešojo administravimo įstatymu ir siekiant, kad savivaldybės </w:t>
                </w:r>
                <w:r>
                  <w:rPr>
                    <w:rFonts w:eastAsia="Lucida Sans Unicode"/>
                    <w:kern w:val="1"/>
                    <w:sz w:val="22"/>
                    <w:szCs w:val="22"/>
                    <w:lang w:eastAsia="lt-LT"/>
                  </w:rPr>
                  <w:t>(arba savivaldybių pavedimu – komunalinių atliekų tvarkymo sistemos administratoriai) ar pakuočių atliekų tvarkytojai</w:t>
                </w:r>
                <w:r>
                  <w:rPr>
                    <w:rFonts w:eastAsia="Lucida Sans Unicode"/>
                    <w:bCs/>
                    <w:color w:val="000000"/>
                    <w:kern w:val="1"/>
                    <w:sz w:val="22"/>
                    <w:szCs w:val="22"/>
                    <w:lang w:eastAsia="lt-LT"/>
                  </w:rPr>
                  <w:t xml:space="preserve"> nepiktnaudžiautų savo turimomis teisėmis, Aplinkos apsaugos agentūra privalo pateikti pagrįstą ir motyvuotą reikalavimą dėl banko garantijos ir (ar) laidavimo draudimo išmokos, todėl savivaldybių </w:t>
                </w:r>
                <w:r>
                  <w:rPr>
                    <w:rFonts w:eastAsia="Lucida Sans Unicode"/>
                    <w:kern w:val="1"/>
                    <w:sz w:val="22"/>
                    <w:szCs w:val="22"/>
                    <w:lang w:eastAsia="lt-LT"/>
                  </w:rPr>
                  <w:t>(arba savivaldybių pavedimu – komunalinių atliekų tvarkymo sistemos administratorių)</w:t>
                </w:r>
                <w:r>
                  <w:rPr>
                    <w:rFonts w:eastAsia="Lucida Sans Unicode"/>
                    <w:bCs/>
                    <w:color w:val="000000"/>
                    <w:kern w:val="1"/>
                    <w:sz w:val="22"/>
                    <w:szCs w:val="22"/>
                    <w:lang w:eastAsia="lt-LT"/>
                  </w:rPr>
                  <w:t xml:space="preserve"> kreipimaisi turi atitikti Tvarkos aprašo projekto IV skyriaus pagrįstumo kriterijus, turi būti pagrįsti ir negali būti tenkinami vien dėl to, kad jie yra pateikti (nevertinant jų pagrįstumo), o Organizacijų motyvai nėra gauti.</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tabs>
                    <w:tab w:val="left" w:pos="1276"/>
                  </w:tabs>
                  <w:suppressAutoHyphens/>
                  <w:jc w:val="both"/>
                  <w:rPr>
                    <w:rFonts w:eastAsia="Calibri"/>
                    <w:kern w:val="1"/>
                    <w:sz w:val="22"/>
                    <w:szCs w:val="22"/>
                    <w:lang w:eastAsia="lt-LT"/>
                  </w:rPr>
                </w:pPr>
                <w:r>
                  <w:rPr>
                    <w:rFonts w:eastAsia="Calibri"/>
                    <w:kern w:val="1"/>
                    <w:sz w:val="22"/>
                    <w:szCs w:val="22"/>
                    <w:lang w:eastAsia="lt-LT"/>
                  </w:rPr>
                  <w:t>Siūlytina nustatyti terminą, per kurį Aplinkos apsaugos agentūra turi priimti sprendimą dėl skundo ir lėšų panaudojimo. Įvertinant poreikį spręsti šiuos klausimus kuo sparčiau, siūlytina nustatyti, kad dėl lėšų panaudojimo pagal skundą, negavus Organizacijų motyvų, kreipiamasi per 2 darbo dienas, o tokius motyvus gavus, skundas išnagrinėjamas ne vėliau kaip per 5 darbo dienas nuo motyvų gavimo, o dėl lėšų panaudojimo kreipiamasi per 2 darbo dienas skundą patenkinus.</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color w:val="000000"/>
                    <w:kern w:val="1"/>
                    <w:sz w:val="22"/>
                    <w:szCs w:val="22"/>
                    <w:lang w:eastAsia="lt-LT"/>
                  </w:rPr>
                </w:pPr>
                <w:r>
                  <w:rPr>
                    <w:rFonts w:eastAsia="Lucida Sans Unicode"/>
                    <w:b/>
                    <w:color w:val="000000"/>
                    <w:kern w:val="1"/>
                    <w:sz w:val="22"/>
                    <w:szCs w:val="22"/>
                    <w:lang w:eastAsia="lt-LT"/>
                  </w:rPr>
                  <w:t xml:space="preserve">Atsižvelgta iš dalies. </w:t>
                </w:r>
              </w:p>
              <w:p>
                <w:pPr>
                  <w:widowControl w:val="0"/>
                  <w:suppressAutoHyphens/>
                  <w:jc w:val="both"/>
                  <w:rPr>
                    <w:rFonts w:eastAsia="Lucida Sans Unicode"/>
                    <w:bCs/>
                    <w:color w:val="000000"/>
                    <w:kern w:val="1"/>
                    <w:sz w:val="22"/>
                    <w:szCs w:val="22"/>
                    <w:lang w:eastAsia="lt-LT"/>
                  </w:rPr>
                </w:pPr>
                <w:r>
                  <w:rPr>
                    <w:rFonts w:eastAsia="Lucida Sans Unicode"/>
                    <w:bCs/>
                    <w:color w:val="000000"/>
                    <w:kern w:val="1"/>
                    <w:sz w:val="22"/>
                    <w:szCs w:val="22"/>
                    <w:lang w:eastAsia="lt-LT"/>
                  </w:rPr>
                  <w:t>Tvarkos aprašo 16 punkte numatoma:</w:t>
                </w:r>
              </w:p>
              <w:p>
                <w:pPr>
                  <w:widowControl w:val="0"/>
                  <w:suppressAutoHyphens/>
                  <w:jc w:val="both"/>
                  <w:rPr>
                    <w:rFonts w:eastAsia="Lucida Sans Unicode"/>
                    <w:bCs/>
                    <w:color w:val="000000"/>
                    <w:kern w:val="1"/>
                    <w:sz w:val="22"/>
                    <w:szCs w:val="22"/>
                    <w:lang w:eastAsia="lt-LT"/>
                  </w:rPr>
                </w:pPr>
                <w:r>
                  <w:rPr>
                    <w:rFonts w:eastAsia="Lucida Sans Unicode"/>
                    <w:bCs/>
                    <w:color w:val="000000"/>
                    <w:kern w:val="1"/>
                    <w:sz w:val="22"/>
                    <w:szCs w:val="22"/>
                    <w:lang w:eastAsia="lt-LT"/>
                  </w:rPr>
                  <w:t xml:space="preserve">„16. Kai pagal Tvarkos aprašo IV skyriaus nuostatas nustatoma (Aplinkos apsaugos agentūra vertina jai pateiktos informacijos, pagrindžiančių dokumentų ir motyvų visumą), kad savivaldybės (arba savivaldybės pavedimu – komunalinių atliekų tvarkymo sistemos administratoriaus) ar pakuočių atliekų tvarkytojo kreipimasis yra pagrįstas ir Organizacija neįvykdė ar įvykdė dalį Tvarkos aprašo  15 punkte nurodytų prievolių, Aplinkos apsaugos agentūra pagal turimą galiojantį dokumentą </w:t>
                </w:r>
                <w:r>
                  <w:rPr>
                    <w:rFonts w:eastAsia="Lucida Sans Unicode"/>
                    <w:b/>
                    <w:color w:val="000000"/>
                    <w:kern w:val="1"/>
                    <w:sz w:val="22"/>
                    <w:szCs w:val="22"/>
                    <w:lang w:eastAsia="lt-LT"/>
                  </w:rPr>
                  <w:t>ne vėliau kaip per 10 darbo dienų nuo motyvų pagal Tvarkos aprašo 29 punktą gavimo, o tokių negavus, per 5 darbo dienas nuo termino pateikti motyvus pabaigos</w:t>
                </w:r>
                <w:r>
                  <w:rPr>
                    <w:rFonts w:eastAsia="Lucida Sans Unicode"/>
                    <w:bCs/>
                    <w:color w:val="000000"/>
                    <w:kern w:val="1"/>
                    <w:sz w:val="22"/>
                    <w:szCs w:val="22"/>
                    <w:u w:val="single"/>
                    <w:lang w:eastAsia="lt-LT"/>
                  </w:rPr>
                  <w:t>,</w:t>
                </w:r>
                <w:r>
                  <w:rPr>
                    <w:rFonts w:eastAsia="Lucida Sans Unicode"/>
                    <w:bCs/>
                    <w:color w:val="000000"/>
                    <w:kern w:val="1"/>
                    <w:sz w:val="22"/>
                    <w:szCs w:val="22"/>
                    <w:lang w:eastAsia="lt-LT"/>
                  </w:rPr>
                  <w:t xml:space="preserve">  kreipiasi į dokumentą išdavusį banką ar kitą kredito įstaigą, draudimo įmonę, reikalaudama dokumente nurodytą sumą ar jos dalį pervesti Aplinkos apsaugos agentūrai, kuri naudos šias lėšas pagal Lietuvos Respublikos valstybės biudžeto ir savivaldybių biudžetų sudarymo ir vykdymo taisyklių, patvirtintų Lietuvos Respublikos Vyriausybės 2001 m. gegužės 14 d. nutarimu Nr.543 „Dėl Lietuvos Respublikos valstybės biudžeto ir savivaldybių biudžetų sudarymo ir vykdymo taisyklių patvirtinimo“ 55 punkte įtvirtintą tvarką, arba į Lietuvos Respublikos valstybės biudžetą kaip Atliekų tvarkymo įstatyme nurodytos Atliekų prevencijos ir tvarkymo programos lėšas.</w:t>
                </w:r>
              </w:p>
              <w:p>
                <w:pPr>
                  <w:widowControl w:val="0"/>
                  <w:suppressAutoHyphens/>
                  <w:jc w:val="both"/>
                  <w:rPr>
                    <w:rFonts w:eastAsia="Lucida Sans Unicode"/>
                    <w:bCs/>
                    <w:kern w:val="1"/>
                    <w:sz w:val="22"/>
                    <w:szCs w:val="22"/>
                    <w:lang w:eastAsia="lt-LT"/>
                  </w:rPr>
                </w:pPr>
                <w:r>
                  <w:rPr>
                    <w:rFonts w:eastAsia="Lucida Sans Unicode"/>
                    <w:bCs/>
                    <w:color w:val="000000"/>
                    <w:kern w:val="1"/>
                    <w:sz w:val="22"/>
                    <w:szCs w:val="22"/>
                    <w:lang w:eastAsia="lt-LT"/>
                  </w:rPr>
                  <w:t xml:space="preserve">Tvarkos aprašo 18 punkte numatyta, kad „Aplinkos apsaugos agentūra gautą banko garantijos ir (ar) laidavimo draudimo išmoką, atėmusi jai taikomus banko operacijų atlikimo mokesčius, </w:t>
                </w:r>
                <w:r>
                  <w:rPr>
                    <w:rFonts w:eastAsia="Lucida Sans Unicode"/>
                    <w:b/>
                    <w:color w:val="000000"/>
                    <w:kern w:val="1"/>
                    <w:sz w:val="22"/>
                    <w:szCs w:val="22"/>
                    <w:lang w:eastAsia="lt-LT"/>
                  </w:rPr>
                  <w:t>ne vėliau kaip per 2 darbo dienas</w:t>
                </w:r>
                <w:r>
                  <w:rPr>
                    <w:rFonts w:eastAsia="Lucida Sans Unicode"/>
                    <w:bCs/>
                    <w:color w:val="000000"/>
                    <w:kern w:val="1"/>
                    <w:sz w:val="22"/>
                    <w:szCs w:val="22"/>
                    <w:lang w:eastAsia="lt-LT"/>
                  </w:rPr>
                  <w:t xml:space="preserve"> perveda kreipimąsi pateikusiai savivaldybei (arba savivaldybės pavedimu – komunalinių atliekų tvarkymo sistemos administratoriui) ar pakuočių atliekų tvarkytojui.“.</w:t>
                </w: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Specialiųjų tyrimų tarnyba (2022-01-24; Nr. 4-01-548)</w:t>
                </w:r>
              </w:p>
            </w:tc>
            <w:tc>
              <w:tcPr>
                <w:tcW w:w="5327" w:type="dxa"/>
              </w:tcPr>
              <w:p>
                <w:pPr>
                  <w:widowControl w:val="0"/>
                  <w:suppressAutoHyphens/>
                  <w:jc w:val="both"/>
                  <w:rPr>
                    <w:rFonts w:eastAsia="Lucida Sans Unicode"/>
                    <w:kern w:val="1"/>
                    <w:sz w:val="22"/>
                    <w:szCs w:val="22"/>
                    <w:lang w:eastAsia="lt-LT"/>
                  </w:rPr>
                </w:pPr>
                <w:r>
                  <w:rPr>
                    <w:rFonts w:eastAsia="Lucida Sans Unicode"/>
                    <w:kern w:val="1"/>
                    <w:sz w:val="22"/>
                    <w:szCs w:val="22"/>
                    <w:lang w:eastAsia="lt-LT"/>
                  </w:rPr>
                  <w:t>Lietuvos Respublikos pakuočių ir pakuočių atliekų tvarkymo įstatymo (toliau – Įstatymas) 10 straipsnio 5</w:t>
                </w:r>
                <w:r>
                  <w:rPr>
                    <w:rFonts w:eastAsia="Lucida Sans Unicode"/>
                    <w:kern w:val="1"/>
                    <w:sz w:val="22"/>
                    <w:szCs w:val="22"/>
                    <w:vertAlign w:val="superscript"/>
                    <w:lang w:eastAsia="lt-LT"/>
                  </w:rPr>
                  <w:t>1</w:t>
                </w:r>
                <w:r>
                  <w:rPr>
                    <w:rFonts w:eastAsia="Lucida Sans Unicode"/>
                    <w:kern w:val="1"/>
                    <w:sz w:val="22"/>
                    <w:szCs w:val="22"/>
                    <w:lang w:eastAsia="lt-LT"/>
                  </w:rPr>
                  <w:t xml:space="preserve"> dalies nuostatos nustato, kad „Organizacija privalo Vyriausybės ar jos įgaliotos institucijos nustatyta tvarka ir terminais licencijas išduodančiai institucijai pateikti banko garantiją ar laidavimo draudimo sutartį, įrodančią, kad bus finansuojamas komunalinių atliekų sraute susidarančių pakuočių atliekų tvarkymas“.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Taigi, Įstatymo nuostatos nustato reikalavimą organizacijai pateikti tik vieną iš alternatyvių organizacijos pareigų įvykdymo finansavimą užtikrinančių (toliau – užtikrinimas) dokumentų – arba banko garantiją, arba laidavimo draudimo sutartį. Tuo tarpu Projektu siūlomos nuostatos  gali būti suvokiamos, kad organizacijos dėl to paties užtikrinimo gali pateikti ne vieną dokumentą, bet abiejų rūšių dokumentus (banko garantiją ir laidavimo draudimo sutartį). Kadangi minėtoje situacijoje Projektu siūlomos nuostatos gali būti vertinamos kaip išplečiančios Įstatymu nustatytą teisinį reglamentavimą, siekiant teisinio aiškumo siūlytume apsvarstyti Projektu siūlomų nuostatų konkretinimo tikslingumą.</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 xml:space="preserve">Neatsižvelgta.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Pakuočių ir pakuočių atliekų tvarkymo įstatymo 10 straipsnio 5</w:t>
                </w:r>
                <w:r>
                  <w:rPr>
                    <w:rFonts w:eastAsia="Lucida Sans Unicode"/>
                    <w:kern w:val="1"/>
                    <w:sz w:val="22"/>
                    <w:szCs w:val="22"/>
                    <w:vertAlign w:val="superscript"/>
                    <w:lang w:eastAsia="lt-LT"/>
                  </w:rPr>
                  <w:t xml:space="preserve">1 </w:t>
                </w:r>
                <w:r>
                  <w:rPr>
                    <w:rFonts w:eastAsia="Lucida Sans Unicode"/>
                    <w:kern w:val="1"/>
                    <w:sz w:val="22"/>
                    <w:szCs w:val="22"/>
                    <w:lang w:eastAsia="lt-LT"/>
                  </w:rPr>
                  <w:t xml:space="preserve">dalyje yra numatytas banko garantijos ar laidavimo draudimo sutarties pateikimo tikslas, t. y. įrodyti, kad bus finansuojamas pakuočių atliekų tvarkymas, taip pat nurodyta banko garantijos ar laidavimo draudimo suma: „Organizacija privalo Vyriausybės ar jos įgaliotos institucijos nustatyta tvarka ir terminais licencijas išduodančiai institucijai pateikti banko garantiją ar laidavimo draudimo sutartį, </w:t>
                </w:r>
                <w:r>
                  <w:rPr>
                    <w:rFonts w:eastAsia="Lucida Sans Unicode"/>
                    <w:b/>
                    <w:bCs/>
                    <w:kern w:val="1"/>
                    <w:sz w:val="22"/>
                    <w:szCs w:val="22"/>
                    <w:lang w:eastAsia="lt-LT"/>
                  </w:rPr>
                  <w:t>įrodančią, kad bus finansuojamas</w:t>
                </w:r>
                <w:r>
                  <w:rPr>
                    <w:rFonts w:eastAsia="Lucida Sans Unicode"/>
                    <w:kern w:val="1"/>
                    <w:sz w:val="22"/>
                    <w:szCs w:val="22"/>
                    <w:lang w:eastAsia="lt-LT"/>
                  </w:rPr>
                  <w:t xml:space="preserve"> komunalinių atliekų sraute susidarančių pakuočių atliekų tvarkymas, įskaitant pakuočių atliekų rūšiuojamojo surinkimo sistemos infrastruktūrą, jos įrengimą, atnaujinimą, priežiūrą ir plėtrą, šių paslaugų ir veiklų administravimą, </w:t>
                </w:r>
                <w:r>
                  <w:rPr>
                    <w:rFonts w:eastAsia="Lucida Sans Unicode"/>
                    <w:b/>
                    <w:bCs/>
                    <w:kern w:val="1"/>
                    <w:sz w:val="22"/>
                    <w:szCs w:val="22"/>
                    <w:lang w:eastAsia="lt-LT"/>
                  </w:rPr>
                  <w:t>sumai, lygiai 1/4</w:t>
                </w:r>
                <w:r>
                  <w:rPr>
                    <w:rFonts w:eastAsia="Lucida Sans Unicode"/>
                    <w:kern w:val="1"/>
                    <w:sz w:val="22"/>
                    <w:szCs w:val="22"/>
                    <w:lang w:eastAsia="lt-LT"/>
                  </w:rPr>
                  <w:t xml:space="preserve"> komunalinių atliekų sraute susidarančių pakuočių atliekų rūšiuojamajam surinkimui, vežimui, paruošimui naudoti, įskaitant pradinį apdorojimą, ir naudojimui bei Vyriausybės nustatytų pakuočių atliekų tvarkymo užduočių vykdymui skirtos </w:t>
                </w:r>
                <w:r>
                  <w:rPr>
                    <w:rFonts w:eastAsia="Lucida Sans Unicode"/>
                    <w:b/>
                    <w:bCs/>
                    <w:kern w:val="1"/>
                    <w:sz w:val="22"/>
                    <w:szCs w:val="22"/>
                    <w:lang w:eastAsia="lt-LT"/>
                  </w:rPr>
                  <w:t xml:space="preserve">lėšų sumos, nurodytos organizacijos metinėje ataskaitoje </w:t>
                </w:r>
                <w:r>
                  <w:rPr>
                    <w:rFonts w:eastAsia="Lucida Sans Unicode"/>
                    <w:kern w:val="1"/>
                    <w:sz w:val="22"/>
                    <w:szCs w:val="22"/>
                    <w:lang w:eastAsia="lt-LT"/>
                  </w:rPr>
                  <w:t>apie praėjusių ataskaitinių metų atliekų tvarkymo veiklos organizavimo plano vykdymą ir atliekų tvarkymo finansavimo schemoje ir visuomenės švietimo ir informavimo atliekų tvarkymo klausimais programoje numatytų priemonių įgyvendinimą. Tokių dokumentų sudarymo, pateikimo ir jų reikalavimų vykdymo tvarką, lėšų, gautų pagal šiuos dokumentus, kaupimo, naudojimo ir grąžinimo tvarką nustato Vyriausybė ar jos įgaliota institucija.“.</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Atsižvelgiant į Pakuočių ir pakuočių atliekų tvarkymo įstatymo 10 straipsnio 5</w:t>
                </w:r>
                <w:r>
                  <w:rPr>
                    <w:rFonts w:eastAsia="Lucida Sans Unicode"/>
                    <w:kern w:val="1"/>
                    <w:sz w:val="22"/>
                    <w:szCs w:val="22"/>
                    <w:vertAlign w:val="superscript"/>
                    <w:lang w:eastAsia="lt-LT"/>
                  </w:rPr>
                  <w:t xml:space="preserve">1 </w:t>
                </w:r>
                <w:r>
                  <w:rPr>
                    <w:rFonts w:eastAsia="Lucida Sans Unicode"/>
                    <w:kern w:val="1"/>
                    <w:sz w:val="22"/>
                    <w:szCs w:val="22"/>
                    <w:lang w:eastAsia="lt-LT"/>
                  </w:rPr>
                  <w:t xml:space="preserve">dalyje numatytą banko garantijos ar laidavimo draudimo sutarties pateikimo tikslą, nurodytą banko garantijos ar laidavimo draudimo sumą,  Tvarkos aprašo projekte siūloma nustatyti galimybę </w:t>
                </w:r>
                <w:r>
                  <w:rPr>
                    <w:rFonts w:eastAsia="Lucida Sans Unicode"/>
                    <w:b/>
                    <w:bCs/>
                    <w:kern w:val="1"/>
                    <w:sz w:val="22"/>
                    <w:szCs w:val="22"/>
                    <w:lang w:eastAsia="lt-LT"/>
                  </w:rPr>
                  <w:t>pateikti banko garantiją arba laidavimo draudimo sutartį</w:t>
                </w:r>
                <w:r>
                  <w:rPr>
                    <w:rFonts w:eastAsia="Lucida Sans Unicode"/>
                    <w:kern w:val="1"/>
                    <w:sz w:val="22"/>
                    <w:szCs w:val="22"/>
                    <w:lang w:eastAsia="lt-LT"/>
                  </w:rPr>
                  <w:t xml:space="preserve"> atitinkamai pagal Pakuočių ir pakuočių atliekų tvarkymo įstatymo 10 straipsnio 5</w:t>
                </w:r>
                <w:r>
                  <w:rPr>
                    <w:rFonts w:eastAsia="Lucida Sans Unicode"/>
                    <w:kern w:val="1"/>
                    <w:sz w:val="22"/>
                    <w:szCs w:val="22"/>
                    <w:vertAlign w:val="superscript"/>
                    <w:lang w:eastAsia="lt-LT"/>
                  </w:rPr>
                  <w:t xml:space="preserve">1 </w:t>
                </w:r>
                <w:r>
                  <w:rPr>
                    <w:rFonts w:eastAsia="Lucida Sans Unicode"/>
                    <w:kern w:val="1"/>
                    <w:sz w:val="22"/>
                    <w:szCs w:val="22"/>
                    <w:lang w:eastAsia="lt-LT"/>
                  </w:rPr>
                  <w:t xml:space="preserve">dalyje įtvirtintas nuostatas apskaičiuotai sumai, </w:t>
                </w:r>
                <w:r>
                  <w:rPr>
                    <w:rFonts w:eastAsia="Lucida Sans Unicode"/>
                    <w:b/>
                    <w:bCs/>
                    <w:kern w:val="1"/>
                    <w:sz w:val="22"/>
                    <w:szCs w:val="22"/>
                    <w:lang w:eastAsia="lt-LT"/>
                  </w:rPr>
                  <w:t xml:space="preserve">arba pateikti banko garantiją ir laidavimo draudimo sutartį, kurių bendra suma turės atitikti  sumą,</w:t>
                </w:r>
                <w:r>
                  <w:rPr>
                    <w:rFonts w:eastAsia="Lucida Sans Unicode"/>
                    <w:kern w:val="1"/>
                    <w:sz w:val="22"/>
                    <w:szCs w:val="22"/>
                    <w:lang w:eastAsia="lt-LT"/>
                  </w:rPr>
                  <w:t xml:space="preserve"> kuri lygi 1/4 komunalinių atliekų sraute susidarančių pakuočių atliekų rūšiuojamajam surinkimui, vežimui, paruošimui naudoti, įskaitant pradinį apdorojimą, ir naudojimui bei Vyriausybės nustatytų pakuočių atliekų tvarkymo užduočių vykdymui skirtai lėšų sumai, nurodytai organizacijos metinėje ataskaitoje apie praėjusių ataskaitinių metų atliekų tvarkymo veiklos organizavimo plano vykdymą ir atliekų tvarkymo finansavimo schemoje ir visuomenės švietimo ir informavimo atliekų tvarkymo klausimais programoje numatytų priemonių įgyvendinimą.</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Kartu pateikiant banko garantiją ir laidavimo draudimo sutartį, kurių bendra suma bus lygi alternatyviai teikiamai banko garantijai arba laidavimo draudimo sutarčiai, galėtų būti užtikrinamas dar didesnis stabilumas, ypač jei reikalavimas pervesti lėšas pagal vieną iš dokumentų (pvz., laidavimo draudimo sutartį) nebūtų vykdomas, būtų ginčijamas teisme, tuomet kitos rūšies dokumentas (pvz., banko garantija) padėtų atitinkama dokumento sumos dydžio neviršijančia suma finansuoti pakuočių atliekų tvarkymą.</w:t>
                </w:r>
              </w:p>
              <w:p>
                <w:pPr>
                  <w:widowControl w:val="0"/>
                  <w:suppressAutoHyphens/>
                  <w:ind w:firstLine="57"/>
                  <w:jc w:val="both"/>
                  <w:rPr>
                    <w:rFonts w:eastAsia="Lucida Sans Unicode"/>
                    <w:bCs/>
                    <w:kern w:val="1"/>
                    <w:sz w:val="22"/>
                    <w:szCs w:val="22"/>
                    <w:lang w:eastAsia="lt-LT"/>
                  </w:rPr>
                </w:pP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Lietuvos regioninių atliekų tvarkymo centrų asociacija (2022-01-24; Nr. IS-03)</w:t>
                </w:r>
              </w:p>
            </w:tc>
            <w:tc>
              <w:tcPr>
                <w:tcW w:w="5327" w:type="dxa"/>
              </w:tcPr>
              <w:p>
                <w:pPr>
                  <w:widowControl w:val="0"/>
                  <w:suppressAutoHyphens/>
                  <w:jc w:val="both"/>
                  <w:rPr>
                    <w:bCs/>
                    <w:kern w:val="1"/>
                    <w:sz w:val="22"/>
                    <w:szCs w:val="22"/>
                    <w:lang w:eastAsia="ar-SA"/>
                  </w:rPr>
                </w:pPr>
                <w:r>
                  <w:rPr>
                    <w:rFonts w:eastAsia="Lucida Sans Unicode"/>
                    <w:color w:val="000000"/>
                    <w:kern w:val="1"/>
                    <w:sz w:val="22"/>
                    <w:szCs w:val="22"/>
                    <w:shd w:val="clear" w:color="auto" w:fill="FFFFFF"/>
                    <w:lang w:eastAsia="lt-LT"/>
                  </w:rPr>
                  <w:t>7.3 punkte apibrėžtas garantijos laikotarpis užtikrina tik teorinę interesų apsaugą, bet neužtikrina nuostolių padengimo periode po ketvirčio GIO ir toliau nevykdant įsipareigojimų. Dėl šios priežasties nors formaliai terminas tinkamas, siūlytina išplėsti savivaldybių interesų apsaugą, nustatant ilgesnį garantijos sumos skaičiavimo laikotarpį.</w:t>
                </w: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 xml:space="preserve">Neatsižvelgta. </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Tvarkos aprašo 7.3 punktas parengtas vadovaujantis Lietuvos Respublikos pakuočių ir pakuočių atliekų tvarkymo įstatymo 10 str. 5</w:t>
                </w:r>
                <w:r>
                  <w:rPr>
                    <w:rFonts w:eastAsia="Lucida Sans Unicode"/>
                    <w:kern w:val="1"/>
                    <w:sz w:val="22"/>
                    <w:szCs w:val="22"/>
                    <w:vertAlign w:val="superscript"/>
                    <w:lang w:eastAsia="lt-LT"/>
                  </w:rPr>
                  <w:t>1</w:t>
                </w:r>
                <w:r>
                  <w:rPr>
                    <w:rFonts w:eastAsia="Lucida Sans Unicode"/>
                    <w:kern w:val="1"/>
                    <w:sz w:val="22"/>
                    <w:szCs w:val="22"/>
                    <w:lang w:eastAsia="lt-LT"/>
                  </w:rPr>
                  <w:t xml:space="preserve"> d., kurioje numatyta, kad „Sumai, lygiai 1/4 komunalinių atliekų sraute susidarančių pakuočių atliekų rūšiuojamajam surinkimui, vežimui, paruošimui naudoti, įskaitant pradinį apdorojimą, ir naudojimui bei Vyriausybės nustatytų pakuočių atliekų tvarkymo užduočių vykdymui skirtos lėšų sumos, </w:t>
                </w:r>
                <w:r>
                  <w:rPr>
                    <w:rFonts w:eastAsia="Lucida Sans Unicode"/>
                    <w:b/>
                    <w:bCs/>
                    <w:kern w:val="1"/>
                    <w:sz w:val="22"/>
                    <w:szCs w:val="22"/>
                    <w:lang w:eastAsia="lt-LT"/>
                  </w:rPr>
                  <w:t>nurodytos organizacijos metinėje ataskaitoje apie praėjusių ataskaitinių metų</w:t>
                </w:r>
                <w:r>
                  <w:rPr>
                    <w:rFonts w:eastAsia="Lucida Sans Unicode"/>
                    <w:kern w:val="1"/>
                    <w:sz w:val="22"/>
                    <w:szCs w:val="22"/>
                    <w:lang w:eastAsia="lt-LT"/>
                  </w:rPr>
                  <w:t xml:space="preserve"> atliekų tvarkymo veiklos organizavimo plano vykdymą ir atliekų tvarkymo finansavimo schemoje ir visuomenės švietimo ir informavimo atliekų tvarkymo klausimais programoje numatytų priemonių įgyvendinimą“.</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suppressAutoHyphens/>
                  <w:jc w:val="both"/>
                  <w:rPr>
                    <w:bCs/>
                    <w:kern w:val="1"/>
                    <w:sz w:val="22"/>
                    <w:szCs w:val="22"/>
                    <w:lang w:eastAsia="ar-SA"/>
                  </w:rPr>
                </w:pPr>
                <w:r>
                  <w:rPr>
                    <w:rFonts w:eastAsia="Lucida Sans Unicode"/>
                    <w:color w:val="000000"/>
                    <w:kern w:val="1"/>
                    <w:sz w:val="22"/>
                    <w:szCs w:val="22"/>
                    <w:shd w:val="clear" w:color="auto" w:fill="FFFFFF"/>
                    <w:lang w:eastAsia="lt-LT"/>
                  </w:rPr>
                  <w:t>Aplinkos apsaugos agentūrai 17 punkte nustatoma galimai per plati diskrecija parenkant subjektą, kuriam pervestinos garantijos lėšos: vienu atveju lėšos pasiekia savivaldybę, kitu- komercinį subjektą.</w:t>
                </w: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Atsižvelgta iš dalies.</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 xml:space="preserve">Įsakymo projekto 17 punkte nebenumatoma galimybė Aplinkos apsaugos agentūrai  kreiptis į banką ar kitą kredito įstaigą, draudimo įmonę ir prašyti reikalaujamą dokumente nurodytą sumą ar jos dalį pervesti tiesiogiai savivaldybei (arba savivaldybės pavedimu – komunalinių atliekų tvarkymo sistemos administratoriui) arba pakuočių atliekų tvarkytojui.</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suppressAutoHyphens/>
                  <w:jc w:val="both"/>
                  <w:rPr>
                    <w:bCs/>
                    <w:kern w:val="1"/>
                    <w:sz w:val="22"/>
                    <w:szCs w:val="22"/>
                    <w:lang w:eastAsia="ar-SA"/>
                  </w:rPr>
                </w:pPr>
                <w:r>
                  <w:rPr>
                    <w:rFonts w:eastAsia="Lucida Sans Unicode"/>
                    <w:color w:val="000000"/>
                    <w:kern w:val="1"/>
                    <w:sz w:val="22"/>
                    <w:szCs w:val="22"/>
                    <w:shd w:val="clear" w:color="auto" w:fill="FFFFFF"/>
                    <w:lang w:eastAsia="lt-LT"/>
                  </w:rPr>
                  <w:t>Tvarkos aprašo 22.1 punktas: pagal PPTAĮ pakuočių atliekų tvarkymo organizavimo ir finansavimo sutarties sąlygas tvirtina aplinkos ministras. Atsižvelgiant į tai, reikalavimas savivaldybei arba administratoriui įrodyti sutarties atitikimą galimai perteklinis. Siūlytina svarstyti nustatyti pareigą patikrinti, ar sutartis atitinka Būtinuosius reikalavimus- Aplinkos apsaugos agentūrai.</w:t>
                </w: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 xml:space="preserve">Neatsižvelgta. </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Lietuvos Respublikos aplinkos ministro įsakymo „Dėl pakuočių atliekų, susidarančių komunaliniame atliekų sraute, rūšiuojamojo surinkimo ir vežimo paslaugos teikimo būtinųjų reikalavimų ir pakuočių atliekų tvarkymo organizavimo ir finansavimo sutarties būtinųjų sąlygų patvirtinimo“ projekto VIII skyriuje bus numatytos pagrindinės, t. y. būtinosios pakuočių atliekų tvarkymo organizavimo ir finansavimo sutarties sąlygos. Pakuočių atliekų tvarkymo organizavimo ir finansavimo sutarties šalys turės galimybę į sutartį įtraukti ir kitų sutarties nuostatų, todėl būtent sutarties šalys geriausiai žinos, kurios sutarties sąlygos yra būtinosios, o kurios yra papildomos, todėl reikalavimas nėra perteklinis.</w:t>
                </w: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Vilniaus miesto savivaldybės administracija (2022-01-24; Nr. A51-10244/22(3.3.2.26E-ENE))</w:t>
                </w:r>
              </w:p>
            </w:tc>
            <w:tc>
              <w:tcPr>
                <w:tcW w:w="5327" w:type="dxa"/>
              </w:tcPr>
              <w:p>
                <w:pPr>
                  <w:widowControl w:val="0"/>
                  <w:suppressAutoHyphens/>
                  <w:jc w:val="both"/>
                  <w:rPr>
                    <w:bCs/>
                    <w:kern w:val="1"/>
                    <w:sz w:val="22"/>
                    <w:szCs w:val="22"/>
                    <w:lang w:eastAsia="ar-SA"/>
                  </w:rPr>
                </w:pPr>
                <w:r>
                  <w:rPr>
                    <w:rFonts w:eastAsia="Lucida Sans Unicode"/>
                    <w:kern w:val="1"/>
                    <w:sz w:val="22"/>
                    <w:szCs w:val="22"/>
                    <w:lang w:eastAsia="lt-LT"/>
                  </w:rPr>
                  <w:t>Atkreipiame dėmesį, kad nėra aprašyta situacija jeigu Organizacijos iki liepos 1 d. nepateikia dokumento originalo. Neaišku kokių veiksmų tokiu atveju imtųsi Aplinkos apsaugos agentūra. Siūlome papildyti punktą aptariant situaciją kai Organizacijos nepateikia laiku dokumento originalo.</w:t>
                </w: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 xml:space="preserve">Neatsižvelgta.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Lietuvos Respublikos atliekų tvarkymo įstatymo nuostatos numato galimas aplinkybes, jeigu Organizacija laiku nepateiktų dokumento originalo:</w:t>
                </w:r>
              </w:p>
              <w:p>
                <w:pPr>
                  <w:widowControl w:val="0"/>
                  <w:shd w:val="clear" w:color="auto" w:fill="FFFFFF"/>
                  <w:suppressAutoHyphens/>
                  <w:jc w:val="both"/>
                  <w:textAlignment w:val="baseline"/>
                  <w:rPr>
                    <w:color w:val="000000"/>
                    <w:kern w:val="1"/>
                    <w:sz w:val="22"/>
                    <w:szCs w:val="22"/>
                    <w:bdr w:val="none" w:sz="0" w:space="0" w:color="auto" w:frame="1"/>
                    <w:lang w:eastAsia="lt-LT"/>
                  </w:rPr>
                </w:pPr>
                <w:r>
                  <w:rPr>
                    <w:rFonts w:eastAsia="Lucida Sans Unicode"/>
                    <w:kern w:val="1"/>
                    <w:sz w:val="22"/>
                    <w:szCs w:val="22"/>
                    <w:lang w:eastAsia="lt-LT"/>
                  </w:rPr>
                  <w:t>-34</w:t>
                </w:r>
                <w:r>
                  <w:rPr>
                    <w:rFonts w:eastAsia="Lucida Sans Unicode"/>
                    <w:kern w:val="1"/>
                    <w:sz w:val="22"/>
                    <w:szCs w:val="22"/>
                    <w:vertAlign w:val="superscript"/>
                    <w:lang w:eastAsia="lt-LT"/>
                  </w:rPr>
                  <w:t>26</w:t>
                </w:r>
                <w:r>
                  <w:rPr>
                    <w:rFonts w:eastAsia="Lucida Sans Unicode"/>
                    <w:kern w:val="1"/>
                    <w:sz w:val="22"/>
                    <w:szCs w:val="22"/>
                    <w:lang w:eastAsia="lt-LT"/>
                  </w:rPr>
                  <w:t xml:space="preserve"> straipsnio [</w:t>
                </w:r>
                <w:r>
                  <w:rPr>
                    <w:rFonts w:cs="Calibri"/>
                    <w:color w:val="000000"/>
                    <w:kern w:val="1"/>
                    <w:sz w:val="22"/>
                    <w:szCs w:val="22"/>
                    <w:bdr w:val="none" w:sz="0" w:space="0" w:color="auto" w:frame="1"/>
                    <w:lang w:eastAsia="lt-LT"/>
                  </w:rPr>
                  <w:t>Gaminių ir pakuočių atliekų tvarkymo organizavimo licencijuojamos veiklos sąlygos</w:t>
                </w:r>
                <w:r>
                  <w:rPr>
                    <w:rFonts w:eastAsia="Lucida Sans Unicode"/>
                    <w:kern w:val="1"/>
                    <w:sz w:val="22"/>
                    <w:szCs w:val="22"/>
                    <w:lang w:eastAsia="lt-LT"/>
                  </w:rPr>
                  <w:t xml:space="preserve">] 1 dalies 7 punkte numatyta, kad </w:t>
                </w:r>
                <w:r>
                  <w:rPr>
                    <w:color w:val="000000"/>
                    <w:kern w:val="1"/>
                    <w:sz w:val="22"/>
                    <w:szCs w:val="22"/>
                    <w:bdr w:val="none" w:sz="0" w:space="0" w:color="auto" w:frame="1"/>
                    <w:lang w:eastAsia="lt-LT"/>
                  </w:rPr>
                  <w:t xml:space="preserve"> „Licencijos turėtojas privalo laikytis šių licencijuojamos veiklos sąlygų: [..]</w:t>
                </w:r>
                <w:r>
                  <w:rPr>
                    <w:rFonts w:cs="Calibri"/>
                    <w:color w:val="000000"/>
                    <w:kern w:val="1"/>
                    <w:sz w:val="22"/>
                    <w:szCs w:val="22"/>
                    <w:bdr w:val="none" w:sz="0" w:space="0" w:color="auto" w:frame="1"/>
                    <w:lang w:eastAsia="lt-LT"/>
                  </w:rPr>
                  <w:t xml:space="preserve"> </w:t>
                </w:r>
                <w:r>
                  <w:rPr>
                    <w:color w:val="000000"/>
                    <w:kern w:val="1"/>
                    <w:sz w:val="22"/>
                    <w:szCs w:val="22"/>
                    <w:bdr w:val="none" w:sz="0" w:space="0" w:color="auto" w:frame="1"/>
                    <w:lang w:eastAsia="lt-LT"/>
                  </w:rPr>
                  <w:t xml:space="preserve">7) Vyriausybės ar jos įgaliotos institucijos nustatyta tvarka ir terminais licencijas išduodančiai institucijai </w:t>
                </w:r>
                <w:r>
                  <w:rPr>
                    <w:b/>
                    <w:bCs/>
                    <w:color w:val="000000"/>
                    <w:kern w:val="1"/>
                    <w:sz w:val="22"/>
                    <w:szCs w:val="22"/>
                    <w:bdr w:val="none" w:sz="0" w:space="0" w:color="auto" w:frame="1"/>
                    <w:lang w:eastAsia="lt-LT"/>
                  </w:rPr>
                  <w:t>kiekvienais metais pateikti dokumentą, įrodantį, kad</w:t>
                </w:r>
                <w:r>
                  <w:rPr>
                    <w:color w:val="000000"/>
                    <w:kern w:val="1"/>
                    <w:sz w:val="22"/>
                    <w:szCs w:val="22"/>
                    <w:bdr w:val="none" w:sz="0" w:space="0" w:color="auto" w:frame="1"/>
                    <w:lang w:eastAsia="lt-LT"/>
                  </w:rPr>
                  <w:t xml:space="preserve"> elektros ir elektroninės įrangos, alyvos, baterijų ir akumuliatorių, </w:t>
                </w:r>
                <w:r>
                  <w:rPr>
                    <w:b/>
                    <w:bCs/>
                    <w:color w:val="000000"/>
                    <w:kern w:val="1"/>
                    <w:sz w:val="22"/>
                    <w:szCs w:val="22"/>
                    <w:bdr w:val="none" w:sz="0" w:space="0" w:color="auto" w:frame="1"/>
                    <w:lang w:eastAsia="lt-LT"/>
                  </w:rPr>
                  <w:t>pakuočių atliekų</w:t>
                </w:r>
                <w:r>
                  <w:rPr>
                    <w:color w:val="000000"/>
                    <w:kern w:val="1"/>
                    <w:sz w:val="22"/>
                    <w:szCs w:val="22"/>
                    <w:bdr w:val="none" w:sz="0" w:space="0" w:color="auto" w:frame="1"/>
                    <w:lang w:eastAsia="lt-LT"/>
                  </w:rPr>
                  <w:t xml:space="preserve"> ar eksploatuoti netinkamų transporto priemonių </w:t>
                </w:r>
                <w:r>
                  <w:rPr>
                    <w:b/>
                    <w:bCs/>
                    <w:color w:val="000000"/>
                    <w:kern w:val="1"/>
                    <w:sz w:val="22"/>
                    <w:szCs w:val="22"/>
                    <w:bdr w:val="none" w:sz="0" w:space="0" w:color="auto" w:frame="1"/>
                    <w:lang w:eastAsia="lt-LT"/>
                  </w:rPr>
                  <w:t>tvarkymas bus finansuojamas</w:t>
                </w:r>
                <w:r>
                  <w:rPr>
                    <w:color w:val="000000"/>
                    <w:kern w:val="1"/>
                    <w:sz w:val="22"/>
                    <w:szCs w:val="22"/>
                    <w:bdr w:val="none" w:sz="0" w:space="0" w:color="auto" w:frame="1"/>
                    <w:lang w:eastAsia="lt-LT"/>
                  </w:rPr>
                  <w:t xml:space="preserve"> (taikoma elektros ir elektroninės įrangos, alyvos, baterijų ir akumuliatorių, pakuočių atliekų ar eksploatuoti netinkamų transporto priemonių tvarkymo organizavimo licencijų turėtojams);“</w:t>
                </w:r>
              </w:p>
              <w:p>
                <w:pPr>
                  <w:widowControl w:val="0"/>
                  <w:shd w:val="clear" w:color="auto" w:fill="FFFFFF"/>
                  <w:suppressAutoHyphens/>
                  <w:jc w:val="both"/>
                  <w:textAlignment w:val="baseline"/>
                  <w:rPr>
                    <w:color w:val="000000"/>
                    <w:kern w:val="1"/>
                    <w:sz w:val="22"/>
                    <w:szCs w:val="22"/>
                    <w:bdr w:val="none" w:sz="0" w:space="0" w:color="auto" w:frame="1"/>
                    <w:lang w:eastAsia="lt-LT"/>
                  </w:rPr>
                </w:pPr>
                <w:r>
                  <w:rPr>
                    <w:color w:val="000000"/>
                    <w:kern w:val="1"/>
                    <w:sz w:val="22"/>
                    <w:szCs w:val="22"/>
                    <w:bdr w:val="none" w:sz="0" w:space="0" w:color="auto" w:frame="1"/>
                    <w:lang w:eastAsia="lt-LT"/>
                  </w:rPr>
                  <w:t>-</w:t>
                </w:r>
                <w:r>
                  <w:rPr>
                    <w:rFonts w:eastAsia="Lucida Sans Unicode"/>
                    <w:kern w:val="1"/>
                    <w:szCs w:val="24"/>
                    <w:lang w:eastAsia="lt-LT"/>
                  </w:rPr>
                  <w:t xml:space="preserve"> </w:t>
                </w:r>
                <w:r>
                  <w:rPr>
                    <w:color w:val="000000"/>
                    <w:kern w:val="1"/>
                    <w:sz w:val="22"/>
                    <w:szCs w:val="22"/>
                    <w:bdr w:val="none" w:sz="0" w:space="0" w:color="auto" w:frame="1"/>
                    <w:lang w:eastAsia="lt-LT"/>
                  </w:rPr>
                  <w:t>Atliekų tvarkymo įstatymo 34</w:t>
                </w:r>
                <w:r>
                  <w:rPr>
                    <w:color w:val="000000"/>
                    <w:kern w:val="1"/>
                    <w:sz w:val="22"/>
                    <w:szCs w:val="22"/>
                    <w:bdr w:val="none" w:sz="0" w:space="0" w:color="auto" w:frame="1"/>
                    <w:vertAlign w:val="superscript"/>
                    <w:lang w:eastAsia="lt-LT"/>
                  </w:rPr>
                  <w:t>28</w:t>
                </w:r>
                <w:r>
                  <w:rPr>
                    <w:color w:val="000000"/>
                    <w:kern w:val="1"/>
                    <w:sz w:val="22"/>
                    <w:szCs w:val="22"/>
                    <w:bdr w:val="none" w:sz="0" w:space="0" w:color="auto" w:frame="1"/>
                    <w:lang w:eastAsia="lt-LT"/>
                  </w:rPr>
                  <w:t xml:space="preserve"> str. [įspėjimas apie galimą gaminių ir pakuočių atliekų tvarkymo organizavimo licencijos galiojimo sustabdymą ir licencijos galiojimo sustabdymas] numato, kad: 1. Licencijos turėtojas įspėjamas apie galimą licencijos galiojimo sustabdymą, jeigu (netaikoma šio straipsnio 6 dalyje nurodytu atveju): 1) </w:t>
                </w:r>
                <w:r>
                  <w:rPr>
                    <w:b/>
                    <w:bCs/>
                    <w:color w:val="000000"/>
                    <w:kern w:val="1"/>
                    <w:sz w:val="22"/>
                    <w:szCs w:val="22"/>
                    <w:bdr w:val="none" w:sz="0" w:space="0" w:color="auto" w:frame="1"/>
                    <w:lang w:eastAsia="lt-LT"/>
                  </w:rPr>
                  <w:t>nustatoma, kad licencijos turėtojas nesilaiko licencijuojamos veiklos sąlygų</w:t>
                </w:r>
                <w:r>
                  <w:rPr>
                    <w:color w:val="000000"/>
                    <w:kern w:val="1"/>
                    <w:sz w:val="22"/>
                    <w:szCs w:val="22"/>
                    <w:bdr w:val="none" w:sz="0" w:space="0" w:color="auto" w:frame="1"/>
                    <w:lang w:eastAsia="lt-LT"/>
                  </w:rPr>
                  <w:t>;</w:t>
                </w:r>
              </w:p>
              <w:p>
                <w:pPr>
                  <w:widowControl w:val="0"/>
                  <w:shd w:val="clear" w:color="auto" w:fill="FFFFFF"/>
                  <w:suppressAutoHyphens/>
                  <w:jc w:val="both"/>
                  <w:textAlignment w:val="baseline"/>
                  <w:rPr>
                    <w:color w:val="000000"/>
                    <w:kern w:val="1"/>
                    <w:sz w:val="22"/>
                    <w:szCs w:val="22"/>
                    <w:bdr w:val="none" w:sz="0" w:space="0" w:color="auto" w:frame="1"/>
                    <w:lang w:eastAsia="lt-LT"/>
                  </w:rPr>
                </w:pPr>
                <w:r>
                  <w:rPr>
                    <w:color w:val="000000"/>
                    <w:kern w:val="1"/>
                    <w:sz w:val="22"/>
                    <w:szCs w:val="22"/>
                    <w:bdr w:val="none" w:sz="0" w:space="0" w:color="auto" w:frame="1"/>
                    <w:lang w:eastAsia="lt-LT"/>
                  </w:rPr>
                  <w:t xml:space="preserve">2. Licencijas išduodanti institucija, nustačiusi šio straipsnio 1 dalyje nurodytas aplinkybes ir (ar) pažeidimus ar gavusi apie juos informacijos, per 5 darbo dienas </w:t>
                </w:r>
                <w:r>
                  <w:rPr>
                    <w:b/>
                    <w:bCs/>
                    <w:color w:val="000000"/>
                    <w:kern w:val="1"/>
                    <w:sz w:val="22"/>
                    <w:szCs w:val="22"/>
                    <w:bdr w:val="none" w:sz="0" w:space="0" w:color="auto" w:frame="1"/>
                    <w:lang w:eastAsia="lt-LT"/>
                  </w:rPr>
                  <w:t>įspėja licencijos turėtoją apie galimą licencijos galiojimo sustabdymą</w:t>
                </w:r>
                <w:r>
                  <w:rPr>
                    <w:color w:val="000000"/>
                    <w:kern w:val="1"/>
                    <w:sz w:val="22"/>
                    <w:szCs w:val="22"/>
                    <w:bdr w:val="none" w:sz="0" w:space="0" w:color="auto" w:frame="1"/>
                    <w:lang w:eastAsia="lt-LT"/>
                  </w:rPr>
                  <w:t xml:space="preserve"> ir nurodo terminą, per kurį būtina pašalinti nustatytas aplinkybes ir (ar) pažeidimus ir pateikti dokumentus, įrodančius, kad išnyko įspėjime nurodytos aplinkybės ir (ar) panaikinti įspėjime nurodyti pažeidimai. [..]</w:t>
                </w:r>
              </w:p>
              <w:p>
                <w:pPr>
                  <w:widowControl w:val="0"/>
                  <w:shd w:val="clear" w:color="auto" w:fill="FFFFFF"/>
                  <w:suppressAutoHyphens/>
                  <w:jc w:val="both"/>
                  <w:textAlignment w:val="baseline"/>
                  <w:rPr>
                    <w:color w:val="000000"/>
                    <w:kern w:val="1"/>
                    <w:sz w:val="22"/>
                    <w:szCs w:val="22"/>
                    <w:bdr w:val="none" w:sz="0" w:space="0" w:color="auto" w:frame="1"/>
                    <w:lang w:eastAsia="lt-LT"/>
                  </w:rPr>
                </w:pPr>
                <w:r>
                  <w:rPr>
                    <w:color w:val="000000"/>
                    <w:kern w:val="1"/>
                    <w:sz w:val="22"/>
                    <w:szCs w:val="22"/>
                    <w:bdr w:val="none" w:sz="0" w:space="0" w:color="auto" w:frame="1"/>
                    <w:lang w:eastAsia="lt-LT"/>
                  </w:rPr>
                  <w:t xml:space="preserve">4. Jeigu licencijos turėtojas per įspėjime nurodytą terminą nepateikia dokumentų, įrodančių, kad išnyko įspėjime nurodytos aplinkybės ir (ar) panaikinti įspėjime nurodyti pažeidimai, </w:t>
                </w:r>
                <w:r>
                  <w:rPr>
                    <w:b/>
                    <w:bCs/>
                    <w:color w:val="000000"/>
                    <w:kern w:val="1"/>
                    <w:sz w:val="22"/>
                    <w:szCs w:val="22"/>
                    <w:bdr w:val="none" w:sz="0" w:space="0" w:color="auto" w:frame="1"/>
                    <w:lang w:eastAsia="lt-LT"/>
                  </w:rPr>
                  <w:t>licencijas išduodanti institucija ne vėliau kaip per 5 darbo dienas nuo įspėjime nurodyto termino pabaigos priima sprendimą sustabdyti licencijos galiojimą</w:t>
                </w:r>
                <w:r>
                  <w:rPr>
                    <w:color w:val="000000"/>
                    <w:kern w:val="1"/>
                    <w:sz w:val="22"/>
                    <w:szCs w:val="22"/>
                    <w:bdr w:val="none" w:sz="0" w:space="0" w:color="auto" w:frame="1"/>
                    <w:lang w:eastAsia="lt-LT"/>
                  </w:rPr>
                  <w:t>.“</w:t>
                </w:r>
              </w:p>
              <w:p>
                <w:pPr>
                  <w:widowControl w:val="0"/>
                  <w:suppressAutoHyphens/>
                  <w:jc w:val="both"/>
                  <w:rPr>
                    <w:rFonts w:eastAsia="Lucida Sans Unicode"/>
                    <w:bCs/>
                    <w:kern w:val="1"/>
                    <w:sz w:val="22"/>
                    <w:szCs w:val="22"/>
                    <w:lang w:eastAsia="lt-LT"/>
                  </w:rPr>
                </w:pPr>
              </w:p>
            </w:tc>
          </w:tr>
          <w:tr>
            <w:tc>
              <w:tcPr>
                <w:tcW w:w="1843" w:type="dxa"/>
              </w:tcPr>
              <w:p>
                <w:pPr>
                  <w:widowControl w:val="0"/>
                  <w:suppressAutoHyphens/>
                  <w:rPr>
                    <w:rFonts w:eastAsia="Lucida Sans Unicode"/>
                    <w:bCs/>
                    <w:iCs/>
                    <w:kern w:val="1"/>
                    <w:sz w:val="22"/>
                    <w:szCs w:val="22"/>
                    <w:lang w:eastAsia="lt-LT"/>
                  </w:rPr>
                </w:pPr>
              </w:p>
            </w:tc>
            <w:tc>
              <w:tcPr>
                <w:tcW w:w="5327" w:type="dxa"/>
              </w:tcPr>
              <w:p>
                <w:pPr>
                  <w:jc w:val="both"/>
                  <w:rPr>
                    <w:rFonts w:eastAsia="Lucida Sans Unicode"/>
                    <w:kern w:val="1"/>
                    <w:sz w:val="22"/>
                    <w:szCs w:val="22"/>
                    <w:lang w:eastAsia="lt-LT"/>
                  </w:rPr>
                </w:pPr>
                <w:r>
                  <w:rPr>
                    <w:rFonts w:eastAsia="Lucida Sans Unicode"/>
                    <w:kern w:val="1"/>
                    <w:sz w:val="22"/>
                    <w:szCs w:val="22"/>
                    <w:lang w:eastAsia="lt-LT"/>
                  </w:rPr>
                  <w:t xml:space="preserve">Aprašo 14 punktu nustatyta, kad kai Aplinkos apsaugos agentūra konstatuoja, kad yra įvykdyti teisės aktų reikalavimai ir dokumentas laikomas pateiktu, apie tai raštu per 10 darbo dienų informuoja Organizaciją. Siūlome šitą punktą papildyti, kad informuojamos ne tik Organizacijos, bet ir savivaldybės kaip suinteresuota šalis. </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 xml:space="preserve">Atsižvelgta iš dalies.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Tvarkos aprašo 14 punkte papildomai numatyta, kad informacija yra paskelbiama Aplinkos apsaugos agentūros internetiniame puslapyje.</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 xml:space="preserve">„[...] paskelbia šią informaciją viešai Aplinkos apsaugos agentūros interneto svetainėje“. </w:t>
                </w:r>
              </w:p>
            </w:tc>
          </w:tr>
          <w:tr>
            <w:tc>
              <w:tcPr>
                <w:tcW w:w="1843" w:type="dxa"/>
              </w:tcPr>
              <w:p>
                <w:pPr>
                  <w:widowControl w:val="0"/>
                  <w:suppressAutoHyphens/>
                  <w:rPr>
                    <w:rFonts w:eastAsia="Lucida Sans Unicode"/>
                    <w:bCs/>
                    <w:iCs/>
                    <w:kern w:val="1"/>
                    <w:sz w:val="22"/>
                    <w:szCs w:val="22"/>
                    <w:lang w:eastAsia="lt-LT"/>
                  </w:rPr>
                </w:pPr>
              </w:p>
            </w:tc>
            <w:tc>
              <w:tcPr>
                <w:tcW w:w="5327" w:type="dxa"/>
              </w:tcPr>
              <w:p>
                <w:pPr>
                  <w:jc w:val="both"/>
                  <w:rPr>
                    <w:rFonts w:eastAsia="Lucida Sans Unicode"/>
                    <w:kern w:val="1"/>
                    <w:sz w:val="22"/>
                    <w:szCs w:val="22"/>
                    <w:lang w:eastAsia="lt-LT"/>
                  </w:rPr>
                </w:pPr>
                <w:r>
                  <w:rPr>
                    <w:rFonts w:eastAsia="Lucida Sans Unicode"/>
                    <w:kern w:val="1"/>
                    <w:sz w:val="22"/>
                    <w:szCs w:val="22"/>
                    <w:lang w:eastAsia="lt-LT"/>
                  </w:rPr>
                  <w:t xml:space="preserve">Pagal </w:t>
                </w:r>
                <w:r>
                  <w:rPr>
                    <w:rFonts w:eastAsia="Lucida Sans Unicode"/>
                    <w:color w:val="000000"/>
                    <w:kern w:val="1"/>
                    <w:sz w:val="22"/>
                    <w:szCs w:val="22"/>
                    <w:lang w:eastAsia="lt-LT"/>
                  </w:rPr>
                  <w:t xml:space="preserve">Aprašo </w:t>
                </w:r>
                <w:r>
                  <w:rPr>
                    <w:rFonts w:eastAsia="Lucida Sans Unicode"/>
                    <w:kern w:val="1"/>
                    <w:sz w:val="22"/>
                    <w:szCs w:val="22"/>
                    <w:lang w:eastAsia="lt-LT"/>
                  </w:rPr>
                  <w:t xml:space="preserve">18 punktą pagal dokumentą gautos lėšos privalo būti naudojamos tik pakuočių atliekų tvarkymo finansavimui dokumento galiojimo laikotarpiu. Svarbu paminėti, kad gautos lėšos turi būti naudojamos numatytai paskirčiai, t. y. privalo būti naudojamos tik pakuočių atliekų tvarkymui. Nėra aišku kodėl gautų lėšų naudojimo terminas galimas tik dokumento galiojimo laikotarpiu, juk svarbu, kad jos būtų naudojamos pagal paskirtį. Atitinkamai, peržiūrėjimo reikalauja ir 22.4, 23.4  bei 24.3 papunkčio nuostatos.</w:t>
                </w:r>
              </w:p>
              <w:p>
                <w:pPr>
                  <w:jc w:val="both"/>
                  <w:rPr>
                    <w:rFonts w:eastAsia="Lucida Sans Unicode"/>
                    <w:kern w:val="1"/>
                    <w:sz w:val="22"/>
                    <w:szCs w:val="22"/>
                    <w:lang w:eastAsia="lt-LT"/>
                  </w:rPr>
                </w:pPr>
              </w:p>
              <w:p>
                <w:pPr>
                  <w:jc w:val="both"/>
                  <w:rPr>
                    <w:rFonts w:eastAsia="Lucida Sans Unicode"/>
                    <w:kern w:val="1"/>
                    <w:sz w:val="22"/>
                    <w:szCs w:val="22"/>
                    <w:lang w:eastAsia="lt-LT"/>
                  </w:rPr>
                </w:pPr>
              </w:p>
              <w:p>
                <w:pPr>
                  <w:widowControl w:val="0"/>
                  <w:suppressAutoHyphens/>
                  <w:jc w:val="both"/>
                  <w:rPr>
                    <w:bCs/>
                    <w:kern w:val="1"/>
                    <w:sz w:val="22"/>
                    <w:szCs w:val="22"/>
                    <w:lang w:eastAsia="ar-SA"/>
                  </w:rPr>
                </w:pPr>
                <w:r>
                  <w:rPr>
                    <w:rFonts w:eastAsia="Lucida Sans Unicode"/>
                    <w:kern w:val="1"/>
                    <w:sz w:val="22"/>
                    <w:szCs w:val="22"/>
                    <w:lang w:eastAsia="lt-LT"/>
                  </w:rPr>
                  <w:t xml:space="preserve">Dar kartą atkreipiame dėmesį, kad svarbiausia yra užtikrinti, kad dokumento lėšos būtų naudojamos pagal jo tikslinę paskirtį. Nurodomas konkretus dokumento lėšų naudojimo terminas, kuriuo laikotarpiu gali būti naudojamos lėšos gali apskritai sudaryti sąlygas, kad tokios lėšos bus nepanaudotos, būtent dėl dokumento termino pasibaigimo. Atsižvelgiant į tai siūlome tikslinti Aprašo 22.4 papunktyje  ir 23.4 papunkčiuose nurodytą sąlygą, kad gautinos lėšos pagal Aprašo 15.1 papunktį bus naudojamos dokumento galiojimo laikotarpiu.</w:t>
                </w: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 xml:space="preserve">Atsižvelgta iš dalies.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Vadovaujantis viešojo administravimo įstatymu, kurio nuostatos įpareigoja Aplinkos apsaugos agentūra pateikti pagrįstą ir motyvuotą reikalavimą dėl banko garantijos ar laidavimo draudimo sutarties panaudojimo,  ir siekiant, kad savivaldybės (arba savivaldybių pavedimu – komunalinių atliekų tvarkymo sistemos administratoriai) nepiktnaudžiautų savo turimomis teisėmis, kad banko garantijos ar laidavimo draudimo sutarties panaudojimas netaptų lėšų kaupimo priemonė (pvz., išlaidoms kurios bus tik po metų, ar vėlesniame laikotarpyje), kad banko garantijos ar laidavimo sutarties panaudojimas neįgautų nubaudimo formos, o būtų skirtas nuostoliams padengti, atsiskaityti su pakuočių atliekų tvarkytojais, teiksiančiais pakuočių atliekų surinkimo ir vežimo paslaugas pagal finansavimo ir organizavimo sutartį, lėšos turi būti naudojamos ne tik nurodytai paskirčiai (pakuočių atliekų tvarkymo finansavimui), tačiau turi būti skirtos naudoti dokumento galiojimo laikotarpiu.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Tvarkos aprašo projekto 25.4 ir 26.4 (pirmoje projekto redakcijoje buvę 22.4 ir 23.4) papunkčiuose ši  sąlyga, t. y., kad lėšos privalo būti naudojamos tik dokumento galiojimo laikotarpiu, pakeista ir papildomai nustatoma išimtis: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„gautinos lėšos [...] yra skirtos naudoti dokumento galiojimo laikotarpiu, išskyrus atvejus, kai kreipimasis yra teikiamas likus 44 darbo dienoms iki dokumento galiojimo laikotarpio pabaigos arba kai yra teikiamas po dokumento galiojimo laikotarpio pabaigos pagal Tvarkos aprašo 7.8 papunktį,  ir skirtos finansuoti pakuočių atliekų tvarkymą, pateikiant tokių lėšų poreikį ir dydį pagrindžiančius dokumentus.“</w:t>
                </w:r>
              </w:p>
              <w:p>
                <w:pPr>
                  <w:widowControl w:val="0"/>
                  <w:suppressAutoHyphens/>
                  <w:jc w:val="both"/>
                  <w:rPr>
                    <w:rFonts w:eastAsia="Lucida Sans Unicode"/>
                    <w:bCs/>
                    <w:kern w:val="1"/>
                    <w:sz w:val="22"/>
                    <w:szCs w:val="22"/>
                    <w:lang w:eastAsia="lt-LT"/>
                  </w:rPr>
                </w:pP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suppressAutoHyphens/>
                  <w:jc w:val="both"/>
                  <w:rPr>
                    <w:bCs/>
                    <w:kern w:val="1"/>
                    <w:sz w:val="22"/>
                    <w:szCs w:val="22"/>
                    <w:lang w:eastAsia="ar-SA"/>
                  </w:rPr>
                </w:pPr>
                <w:r>
                  <w:rPr>
                    <w:rFonts w:eastAsia="Lucida Sans Unicode"/>
                    <w:kern w:val="1"/>
                    <w:sz w:val="22"/>
                    <w:szCs w:val="22"/>
                    <w:lang w:eastAsia="lt-LT"/>
                  </w:rPr>
                  <w:t>Taip pat nėra suprantama kodėl pakuočių atliekų rūšiuojamojo surinkimo infrastruktūros, jos įrengimo, priežiūros, atnaujinimo ir plėtros nefinansavimo pareigos pažeidimo nustatymas siejamas su savivaldybės administravimo paslaugos teikimo įgyvendinimu.</w:t>
                </w: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 xml:space="preserve">Atsižvelgta iš dalies.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Pakuočių atliekų rūšiuojamojo surinkimo infrastruktūra, jos įrengimas, priežiūra, atnaujinimas ir plėtra pagal būtinuosius reikalavimus yra tiesiogiai susijęs su savivaldybių (arba savivaldybių pavedimu – komunalinių atliekų tvarkymo sistemos administratorių) vykdomu pakuočių atliekų rūšiuojamojo surinkimo infrastruktūros, jos įrengimo, priežiūros, atnaujinimo ir plėtros administravimu.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Savivaldybės (arba savivaldybių pavedimu – komunalinių atliekų tvarkymo sistemos administratoriai) negali reikalauti Organizacijų finansuoti pakuočių atliekų rūšiuojamojo surinkimo infrastruktūrą, jos įrengimą, priežiūrą, atnaujinimą ir plėtrą pagal būtinuosius reikalavimus, jeigu pačios neužtikrina, kad pakuočių atliekų rūšiuojamojo surinkimo infrastruktūra, jos įrengimas, priežiūra, atnaujinimas ir plėtra atitiktų būtinuosius reikalavimus.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Atsižvelgiant į tai, Tvarkos aprašo 26.3 papunktis tikslinamas taip:</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„pakuočių atliekų rūšiuojamojo surinkimo infrastruktūra, jos įrengimas, priežiūra, atnaujinimas ir plėtra nefinansuojama pagal savivaldybių pateiktą(-us) pareikalavimą (-us) Organizacijai, kuris (-ie) neturi viršyti Būtinųjų reikalavimų,  pateikiant tai pagrindžiančius dokumentus.“. </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 xml:space="preserve">Tvarkos aprašas papildomas 32.3. punktu ir jo papunkčiais, kuriuose nurodoma, kokie pagrindžiantys dokumentai turi būti pateikiami. </w:t>
                </w:r>
              </w:p>
            </w:tc>
          </w:tr>
          <w:tr>
            <w:tc>
              <w:tcPr>
                <w:tcW w:w="1843" w:type="dxa"/>
              </w:tcPr>
              <w:p>
                <w:pPr>
                  <w:widowControl w:val="0"/>
                  <w:suppressAutoHyphens/>
                  <w:rPr>
                    <w:rFonts w:eastAsia="Lucida Sans Unicode"/>
                    <w:bCs/>
                    <w:iCs/>
                    <w:kern w:val="1"/>
                    <w:sz w:val="22"/>
                    <w:szCs w:val="22"/>
                    <w:lang w:eastAsia="lt-LT"/>
                  </w:rPr>
                </w:pPr>
              </w:p>
            </w:tc>
            <w:tc>
              <w:tcPr>
                <w:tcW w:w="5327" w:type="dxa"/>
              </w:tcPr>
              <w:p>
                <w:pPr>
                  <w:jc w:val="both"/>
                  <w:rPr>
                    <w:rFonts w:eastAsia="Lucida Sans Unicode"/>
                    <w:kern w:val="1"/>
                    <w:sz w:val="22"/>
                    <w:szCs w:val="22"/>
                    <w:lang w:eastAsia="lt-LT"/>
                  </w:rPr>
                </w:pPr>
                <w:r>
                  <w:rPr>
                    <w:rFonts w:eastAsia="Lucida Sans Unicode"/>
                    <w:kern w:val="1"/>
                    <w:sz w:val="22"/>
                    <w:szCs w:val="22"/>
                    <w:lang w:eastAsia="lt-LT"/>
                  </w:rPr>
                  <w:t>Manome, kad tokia nustatyta tvarka apkrauna savivaldybes perteklinių duomenų kaupimu, ir taip didina administracinę naštą tiek duomenų kaupimu tiek laiko gaišimu. Siūlome nustatytą motyvų pateikimo terminą (7 darbo dienos) skaičiuoti nuo skundo kopijos išsiuntimo dienos. Taip pat kaip jau minėjome turi būti tiksliai nurodyta kokiu būdu ir kokiomis priemonėmis skundas turi būti išsiųstas Organizacijoms ir koks siuntimo būdas yra tinkamas (pvz. Organizacijų skelbiamu korespondencijos teikimui skirtu elektroninio pašto adresu).</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color w:val="000000"/>
                    <w:kern w:val="1"/>
                    <w:sz w:val="22"/>
                    <w:szCs w:val="22"/>
                    <w:lang w:eastAsia="lt-LT"/>
                  </w:rPr>
                </w:pPr>
                <w:r>
                  <w:rPr>
                    <w:rFonts w:eastAsia="Lucida Sans Unicode"/>
                    <w:b/>
                    <w:color w:val="000000"/>
                    <w:kern w:val="1"/>
                    <w:sz w:val="22"/>
                    <w:szCs w:val="22"/>
                    <w:lang w:eastAsia="lt-LT"/>
                  </w:rPr>
                  <w:t>Neatsižvelgta.</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Vadovaujantis viešojo administravimo įstatymu ir siekiant, kad savivaldybės (arba savivaldybių pavedimu – komunalinių atliekų tvarkymo sistemos administratoriai) ar pakuočių atliekų tvarkytojai nepiktnaudžiautų savo turimomis teisėmis,  Organizacijoms turi būti sudaroma galimybė pateikti savo motyvus. Atsižvelgiant į tai, svarbu, kad </w:t>
                </w:r>
                <w:r>
                  <w:rPr>
                    <w:rFonts w:eastAsia="Lucida Sans Unicode"/>
                    <w:bCs/>
                    <w:color w:val="000000"/>
                    <w:kern w:val="1"/>
                    <w:sz w:val="22"/>
                    <w:szCs w:val="22"/>
                    <w:lang w:eastAsia="lt-LT"/>
                  </w:rPr>
                  <w:t>kreipimosi</w:t>
                </w:r>
                <w:r>
                  <w:rPr>
                    <w:rFonts w:eastAsia="Lucida Sans Unicode"/>
                    <w:kern w:val="1"/>
                    <w:sz w:val="22"/>
                    <w:szCs w:val="22"/>
                    <w:lang w:eastAsia="lt-LT"/>
                  </w:rPr>
                  <w:t xml:space="preserve"> kopija Organizacijai būtų įteikta tinkamai, kad būtų galima nustatyti </w:t>
                </w:r>
                <w:r>
                  <w:rPr>
                    <w:rFonts w:eastAsia="Lucida Sans Unicode"/>
                    <w:bCs/>
                    <w:color w:val="000000"/>
                    <w:kern w:val="1"/>
                    <w:sz w:val="22"/>
                    <w:szCs w:val="22"/>
                    <w:lang w:eastAsia="lt-LT"/>
                  </w:rPr>
                  <w:t>kreipimosi</w:t>
                </w:r>
                <w:r>
                  <w:rPr>
                    <w:rFonts w:eastAsia="Lucida Sans Unicode"/>
                    <w:kern w:val="1"/>
                    <w:sz w:val="22"/>
                    <w:szCs w:val="22"/>
                    <w:lang w:eastAsia="lt-LT"/>
                  </w:rPr>
                  <w:t xml:space="preserve"> kopijos gavimo laiką. </w:t>
                </w:r>
                <w:r>
                  <w:rPr>
                    <w:rFonts w:eastAsia="Lucida Sans Unicode"/>
                    <w:bCs/>
                    <w:color w:val="000000"/>
                    <w:kern w:val="1"/>
                    <w:sz w:val="22"/>
                    <w:szCs w:val="22"/>
                    <w:lang w:eastAsia="lt-LT"/>
                  </w:rPr>
                  <w:t>Kreipimosi</w:t>
                </w:r>
                <w:r>
                  <w:rPr>
                    <w:rFonts w:eastAsia="Lucida Sans Unicode"/>
                    <w:kern w:val="1"/>
                    <w:sz w:val="22"/>
                    <w:szCs w:val="22"/>
                    <w:lang w:eastAsia="lt-LT"/>
                  </w:rPr>
                  <w:t xml:space="preserve"> kopijos siuntimas el. paštu ir termino pateikti motyvus pradžios skaičiavimas ne nuo </w:t>
                </w:r>
                <w:r>
                  <w:rPr>
                    <w:rFonts w:eastAsia="Lucida Sans Unicode"/>
                    <w:bCs/>
                    <w:color w:val="000000"/>
                    <w:kern w:val="1"/>
                    <w:sz w:val="22"/>
                    <w:szCs w:val="22"/>
                    <w:lang w:eastAsia="lt-LT"/>
                  </w:rPr>
                  <w:t>kreipimosi</w:t>
                </w:r>
                <w:r>
                  <w:rPr>
                    <w:rFonts w:eastAsia="Lucida Sans Unicode"/>
                    <w:kern w:val="1"/>
                    <w:sz w:val="22"/>
                    <w:szCs w:val="22"/>
                    <w:lang w:eastAsia="lt-LT"/>
                  </w:rPr>
                  <w:t xml:space="preserve"> kopijos gavimo, o nuo </w:t>
                </w:r>
                <w:r>
                  <w:rPr>
                    <w:rFonts w:eastAsia="Lucida Sans Unicode"/>
                    <w:bCs/>
                    <w:color w:val="000000"/>
                    <w:kern w:val="1"/>
                    <w:sz w:val="22"/>
                    <w:szCs w:val="22"/>
                    <w:lang w:eastAsia="lt-LT"/>
                  </w:rPr>
                  <w:t>kreipimosi</w:t>
                </w:r>
                <w:r>
                  <w:rPr>
                    <w:rFonts w:eastAsia="Lucida Sans Unicode"/>
                    <w:kern w:val="1"/>
                    <w:sz w:val="22"/>
                    <w:szCs w:val="22"/>
                    <w:lang w:eastAsia="lt-LT"/>
                  </w:rPr>
                  <w:t xml:space="preserve"> išsiuntimo, nėra laikytinas tinkamu. </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 xml:space="preserve">Tvarkos aprašo projekto 28  punkte detalizuojami tinkami </w:t>
                </w:r>
                <w:r>
                  <w:rPr>
                    <w:rFonts w:eastAsia="Lucida Sans Unicode"/>
                    <w:bCs/>
                    <w:color w:val="000000"/>
                    <w:kern w:val="1"/>
                    <w:sz w:val="22"/>
                    <w:szCs w:val="22"/>
                    <w:lang w:eastAsia="lt-LT"/>
                  </w:rPr>
                  <w:t xml:space="preserve"> kreipimosi</w:t>
                </w:r>
                <w:r>
                  <w:rPr>
                    <w:rFonts w:eastAsia="Lucida Sans Unicode"/>
                    <w:kern w:val="1"/>
                    <w:sz w:val="22"/>
                    <w:szCs w:val="22"/>
                    <w:lang w:eastAsia="lt-LT"/>
                  </w:rPr>
                  <w:t xml:space="preserve"> įteikimo būdai: „[..] (</w:t>
                </w:r>
                <w:r>
                  <w:rPr>
                    <w:rFonts w:eastAsia="Lucida Sans Unicode"/>
                    <w:bCs/>
                    <w:color w:val="000000"/>
                    <w:kern w:val="1"/>
                    <w:sz w:val="22"/>
                    <w:szCs w:val="22"/>
                    <w:lang w:eastAsia="lt-LT"/>
                  </w:rPr>
                  <w:t>„pasirinktinai: tiesiogiai pasirašytinai, patvirtinant dokumentų gavimą; per E. pristatymo sistemą; registruotu paštu; per antstolį; per kurjerį“</w:t>
                </w:r>
                <w:r>
                  <w:rPr>
                    <w:rFonts w:eastAsia="Lucida Sans Unicode"/>
                    <w:kern w:val="1"/>
                    <w:sz w:val="22"/>
                    <w:szCs w:val="22"/>
                    <w:lang w:eastAsia="lt-LT"/>
                  </w:rPr>
                  <w:t>).</w:t>
                </w:r>
              </w:p>
            </w:tc>
          </w:tr>
          <w:tr>
            <w:tc>
              <w:tcPr>
                <w:tcW w:w="1843" w:type="dxa"/>
              </w:tcPr>
              <w:p>
                <w:pPr>
                  <w:widowControl w:val="0"/>
                  <w:suppressAutoHyphens/>
                  <w:rPr>
                    <w:rFonts w:eastAsia="Lucida Sans Unicode"/>
                    <w:bCs/>
                    <w:iCs/>
                    <w:kern w:val="1"/>
                    <w:sz w:val="22"/>
                    <w:szCs w:val="22"/>
                    <w:lang w:eastAsia="lt-LT"/>
                  </w:rPr>
                </w:pPr>
              </w:p>
            </w:tc>
            <w:tc>
              <w:tcPr>
                <w:tcW w:w="5327" w:type="dxa"/>
              </w:tcPr>
              <w:p>
                <w:pPr>
                  <w:jc w:val="both"/>
                  <w:rPr>
                    <w:rFonts w:eastAsia="Lucida Sans Unicode"/>
                    <w:kern w:val="1"/>
                    <w:sz w:val="22"/>
                    <w:szCs w:val="22"/>
                    <w:lang w:eastAsia="lt-LT"/>
                  </w:rPr>
                </w:pPr>
                <w:r>
                  <w:rPr>
                    <w:rFonts w:eastAsia="Lucida Sans Unicode"/>
                    <w:kern w:val="1"/>
                    <w:sz w:val="22"/>
                    <w:szCs w:val="22"/>
                    <w:lang w:eastAsia="lt-LT"/>
                  </w:rPr>
                  <w:t>Siekiant užtikrinti sklandų ir savalaikį savivaldybės skundų nagrinėjimą siūlome įtvirtinti nuostatą, kurioje būtų nurodyta, kad negavus Organizacijos pateiktų motyvų dėl pateikto skundo, savivaldybių skundai visada tenkinami.</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color w:val="000000"/>
                    <w:kern w:val="1"/>
                    <w:sz w:val="22"/>
                    <w:szCs w:val="22"/>
                    <w:lang w:eastAsia="lt-LT"/>
                  </w:rPr>
                </w:pPr>
                <w:r>
                  <w:rPr>
                    <w:rFonts w:eastAsia="Lucida Sans Unicode"/>
                    <w:b/>
                    <w:color w:val="000000"/>
                    <w:kern w:val="1"/>
                    <w:sz w:val="22"/>
                    <w:szCs w:val="22"/>
                    <w:lang w:eastAsia="lt-LT"/>
                  </w:rPr>
                  <w:t>Neatsižvelgta.</w:t>
                </w:r>
              </w:p>
              <w:p>
                <w:pPr>
                  <w:widowControl w:val="0"/>
                  <w:suppressAutoHyphens/>
                  <w:jc w:val="both"/>
                  <w:rPr>
                    <w:rFonts w:eastAsia="Lucida Sans Unicode"/>
                    <w:bCs/>
                    <w:kern w:val="1"/>
                    <w:sz w:val="22"/>
                    <w:szCs w:val="22"/>
                    <w:lang w:eastAsia="lt-LT"/>
                  </w:rPr>
                </w:pPr>
                <w:r>
                  <w:rPr>
                    <w:rFonts w:eastAsia="Lucida Sans Unicode"/>
                    <w:bCs/>
                    <w:color w:val="000000"/>
                    <w:kern w:val="1"/>
                    <w:sz w:val="22"/>
                    <w:szCs w:val="22"/>
                    <w:lang w:eastAsia="lt-LT"/>
                  </w:rPr>
                  <w:t xml:space="preserve">Vadovaujantis viešojo administravimo įstatymu ir siekiant, kad savivaldybės </w:t>
                </w:r>
                <w:r>
                  <w:rPr>
                    <w:rFonts w:eastAsia="Lucida Sans Unicode"/>
                    <w:kern w:val="1"/>
                    <w:sz w:val="22"/>
                    <w:szCs w:val="22"/>
                    <w:lang w:eastAsia="lt-LT"/>
                  </w:rPr>
                  <w:t>(arba savivaldybių pavedimu – komunalinių atliekų tvarkymo sistemos administratoriai) ar pakuočių atliekų tvarkytojai</w:t>
                </w:r>
                <w:r>
                  <w:rPr>
                    <w:rFonts w:eastAsia="Lucida Sans Unicode"/>
                    <w:bCs/>
                    <w:color w:val="000000"/>
                    <w:kern w:val="1"/>
                    <w:sz w:val="22"/>
                    <w:szCs w:val="22"/>
                    <w:lang w:eastAsia="lt-LT"/>
                  </w:rPr>
                  <w:t xml:space="preserve"> nepiktnaudžiautų savo turimomis teisėmis, Aplinkos apsaugos agentūra privalo pateikti pagrįstą ir motyvuotą reikalavimą dėl  banko garantijos ir (ar) laidavimo draudimo išmokos, todėl savivaldybių </w:t>
                </w:r>
                <w:r>
                  <w:rPr>
                    <w:rFonts w:eastAsia="Lucida Sans Unicode"/>
                    <w:kern w:val="1"/>
                    <w:sz w:val="22"/>
                    <w:szCs w:val="22"/>
                    <w:lang w:eastAsia="lt-LT"/>
                  </w:rPr>
                  <w:t>(arba savivaldybių pavedimu – komunalinių atliekų tvarkymo sistemos administratorių)</w:t>
                </w:r>
                <w:r>
                  <w:rPr>
                    <w:rFonts w:eastAsia="Lucida Sans Unicode"/>
                    <w:bCs/>
                    <w:color w:val="000000"/>
                    <w:kern w:val="1"/>
                    <w:sz w:val="22"/>
                    <w:szCs w:val="22"/>
                    <w:lang w:eastAsia="lt-LT"/>
                  </w:rPr>
                  <w:t xml:space="preserve"> kreipimaisi turi atitikti Tvarkos aprašo projekto IV skyriaus pagrįstumo kriterijus, turi būti pagrįsti ir negali būti tenkinami vien dėl to, kad jie yra pateikti  (nevertinant jų pagrįstumo), o Organizacijų motyvai nėra gauti.</w:t>
                </w: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Pakuočių tvarkymo organizacija, VšĮ (2022-01-24, Nr. S-21-010)</w:t>
                </w:r>
              </w:p>
            </w:tc>
            <w:tc>
              <w:tcPr>
                <w:tcW w:w="5327" w:type="dxa"/>
              </w:tcPr>
              <w:p>
                <w:pPr>
                  <w:widowControl w:val="0"/>
                  <w:suppressAutoHyphens/>
                  <w:jc w:val="both"/>
                  <w:rPr>
                    <w:bCs/>
                    <w:kern w:val="1"/>
                    <w:sz w:val="22"/>
                    <w:szCs w:val="22"/>
                    <w:lang w:eastAsia="ar-SA"/>
                  </w:rPr>
                </w:pPr>
                <w:r>
                  <w:rPr>
                    <w:rFonts w:eastAsia="Lucida Sans Unicode"/>
                    <w:kern w:val="1"/>
                    <w:sz w:val="22"/>
                    <w:szCs w:val="22"/>
                    <w:lang w:eastAsia="lt-LT"/>
                  </w:rPr>
                  <w:t>Neaiški skundų nagrinėjimo ir sprendimų priėmimo procedūra. Projekto 16 punkte nustatyta, kad „Kai pagal Tvarkos aprašo IV skyriaus nuostatas nustatoma, kad savivaldybės (arba savivaldybės pavedimu – komunalinių atliekų tvarkymo sistemos administratoriaus) ar pakuočių atliekų tvarkytojo skundas yra pagrįstas ir Organizacija neįvykdė ar įvykdė dalį Tvarkos aprašo 15 punkte nurodytų prievolių &lt;...&gt;“. Manytina, kad tokie kriterijai kaip „pagrįstas“, „neįvykdė ar įvykdė dalį prievolių“ yra subjektyvaus vertinamojo pobūdžio, todėl neįneša jokio aiškumo, o leidžia situaciją vertinti subjektyviai.</w:t>
                </w: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 xml:space="preserve">Neatsižvelgta.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Tvarkos aprašo 16 punktas patikslintas taip:</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“Kai pagal Tvarkos aprašo IV skyriaus nuostatas nustatoma (</w:t>
                </w:r>
                <w:r>
                  <w:rPr>
                    <w:rFonts w:eastAsia="Lucida Sans Unicode"/>
                    <w:b/>
                    <w:bCs/>
                    <w:kern w:val="1"/>
                    <w:sz w:val="22"/>
                    <w:szCs w:val="22"/>
                    <w:lang w:eastAsia="lt-LT"/>
                  </w:rPr>
                  <w:t>Aplinkos apsaugos agentūra vertina jai pateiktos informacijos, pagrindžiančių dokumentų ir motyvų visumą</w:t>
                </w:r>
                <w:r>
                  <w:rPr>
                    <w:rFonts w:eastAsia="Lucida Sans Unicode"/>
                    <w:kern w:val="1"/>
                    <w:sz w:val="22"/>
                    <w:szCs w:val="22"/>
                    <w:lang w:eastAsia="lt-LT"/>
                  </w:rPr>
                  <w:t xml:space="preserve">), kad savivaldybės (arba savivaldybės pavedimu – komunalinių atliekų tvarkymo sistemos administratoriaus) ar pakuočių atliekų tvarkytojo kreipimasis yra pagrįstas ir Organizacija neįvykdė ar įvykdė dalį Tvarkos aprašo 15 punkte nurodytų prievolių, Aplinkos apsaugos agentūra pagal turimą galiojantį dokumentą ne vėliau kaip per 10 darbo dienų nuo motyvų pagal Tvarkos aprašo 29 punktą gavimo, o tokių negavus, per 5 darbo dienas nuo termino pateikti motyvus pabaigos,  kreipiasi į dokumentą išdavusį banką ar kitą kredito įstaigą, draudimo įmonę, reikalaudama dokumente nurodytą sumą ar jos dalį pervesti Aplinkos apsaugos agentūrai, kuri naudos šias lėšas pagal Lietuvos Respublikos valstybės biudžeto ir savivaldybių biudžetų sudarymo ir vykdymo taisyklių, patvirtintų Lietuvos Respublikos Vyriausybės 2001 m. gegužės 14 d. nutarimu Nr.543 „Dėl Lietuvos Respublikos valstybės biudžeto ir savivaldybių biudžetų sudarymo ir vykdymo taisyklių patvirtinimo“ 55 punkte įtvirtintą tvarką, arba į Lietuvos Respublikos valstybės biudžetą kaip Atliekų tvarkymo įstatyme nurodytos Atliekų prevencijos ir tvarkymo programos lėšas.</w:t>
                </w:r>
              </w:p>
              <w:p>
                <w:pPr>
                  <w:widowControl w:val="0"/>
                  <w:suppressAutoHyphens/>
                  <w:jc w:val="both"/>
                  <w:rPr>
                    <w:rFonts w:eastAsia="Lucida Sans Unicode"/>
                    <w:bCs/>
                    <w:color w:val="000000"/>
                    <w:kern w:val="1"/>
                    <w:sz w:val="22"/>
                    <w:szCs w:val="22"/>
                    <w:lang w:eastAsia="lt-LT"/>
                  </w:rPr>
                </w:pPr>
                <w:r>
                  <w:rPr>
                    <w:rFonts w:eastAsia="Lucida Sans Unicode"/>
                    <w:kern w:val="1"/>
                    <w:sz w:val="22"/>
                    <w:szCs w:val="22"/>
                    <w:lang w:eastAsia="lt-LT"/>
                  </w:rPr>
                  <w:t xml:space="preserve">Tvarkos aprašo 16 punktas nukreipia į Tvarkos aprašo IV skyrių, kuriame, be kita ko, yra </w:t>
                </w:r>
                <w:r>
                  <w:rPr>
                    <w:rFonts w:eastAsia="Lucida Sans Unicode"/>
                    <w:bCs/>
                    <w:color w:val="000000"/>
                    <w:kern w:val="1"/>
                    <w:sz w:val="22"/>
                    <w:szCs w:val="22"/>
                    <w:lang w:eastAsia="lt-LT"/>
                  </w:rPr>
                  <w:t xml:space="preserve">numatyti kreipimųsi pagrįstumo kriterijai, kurie yra skirti konkretizuoti atvejus, kuomet savivaldybė </w:t>
                </w:r>
                <w:r>
                  <w:rPr>
                    <w:rFonts w:eastAsia="Lucida Sans Unicode"/>
                    <w:kern w:val="1"/>
                    <w:sz w:val="22"/>
                    <w:szCs w:val="22"/>
                    <w:lang w:eastAsia="lt-LT"/>
                  </w:rPr>
                  <w:t xml:space="preserve">(arba savivaldybės pavedimu – komunalinių atliekų tvarkymo sistemos administratorius) </w:t>
                </w:r>
                <w:r>
                  <w:rPr>
                    <w:rFonts w:eastAsia="Lucida Sans Unicode"/>
                    <w:bCs/>
                    <w:color w:val="000000"/>
                    <w:kern w:val="1"/>
                    <w:sz w:val="22"/>
                    <w:szCs w:val="22"/>
                    <w:lang w:eastAsia="lt-LT"/>
                  </w:rPr>
                  <w:t xml:space="preserve">  gali kreiptis į Aplinkos apsaugos agentūrą dėl banko garantijos ir (ar) laidavimo draudimo išmokos, nurodo, ką </w:t>
                </w:r>
                <w:r>
                  <w:rPr>
                    <w:rFonts w:eastAsia="Lucida Sans Unicode"/>
                    <w:kern w:val="1"/>
                    <w:sz w:val="22"/>
                    <w:szCs w:val="22"/>
                    <w:lang w:eastAsia="lt-LT"/>
                  </w:rPr>
                  <w:t xml:space="preserve">savivaldybė (arba savivaldybės pavedimu – komunalinių atliekų tvarkymo sistemos administratorius) turi įrodyti, kokius dokumentus pateikti, kad kreipimasis būtų laikomas pagrįstu ir Aplinkos apsaugos agentūrai atsirastų pagrindas kreiptis į banką ar kitą kredito įstaigą, draudimo įmonę dėl </w:t>
                </w:r>
                <w:r>
                  <w:rPr>
                    <w:rFonts w:eastAsia="Lucida Sans Unicode"/>
                    <w:bCs/>
                    <w:color w:val="000000"/>
                    <w:kern w:val="1"/>
                    <w:sz w:val="22"/>
                    <w:szCs w:val="22"/>
                    <w:lang w:eastAsia="lt-LT"/>
                  </w:rPr>
                  <w:t xml:space="preserve">banko garantijos ir (ar) laidavimo draudimo išmokos. </w:t>
                </w:r>
                <w:r>
                  <w:rPr>
                    <w:rFonts w:eastAsia="Lucida Sans Unicode"/>
                    <w:kern w:val="1"/>
                    <w:sz w:val="22"/>
                    <w:szCs w:val="22"/>
                    <w:lang w:eastAsia="lt-LT"/>
                  </w:rPr>
                  <w:t>Taip pat Tvarkos aprašo IV skyriaus 29 punkte numatyta, kad Organizacijos gali pateikti motyvus, kurie yra vertinami, atliekant nustatymą, ar kreipimasis yra pagrįstas.</w:t>
                </w:r>
              </w:p>
              <w:p>
                <w:pPr>
                  <w:widowControl w:val="0"/>
                  <w:suppressAutoHyphens/>
                  <w:jc w:val="both"/>
                  <w:rPr>
                    <w:rFonts w:eastAsia="Lucida Sans Unicode"/>
                    <w:bCs/>
                    <w:kern w:val="1"/>
                    <w:sz w:val="22"/>
                    <w:szCs w:val="22"/>
                    <w:lang w:eastAsia="lt-LT"/>
                  </w:rPr>
                </w:pP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suppressAutoHyphens/>
                  <w:jc w:val="both"/>
                  <w:rPr>
                    <w:bCs/>
                    <w:kern w:val="1"/>
                    <w:sz w:val="22"/>
                    <w:szCs w:val="22"/>
                    <w:lang w:eastAsia="ar-SA"/>
                  </w:rPr>
                </w:pPr>
                <w:r>
                  <w:rPr>
                    <w:rFonts w:eastAsia="Lucida Sans Unicode"/>
                    <w:kern w:val="1"/>
                    <w:sz w:val="22"/>
                    <w:szCs w:val="22"/>
                    <w:lang w:eastAsia="lt-LT"/>
                  </w:rPr>
                  <w:t>Projekto 26 punkte nustatytas nepagrįstai trumpas 7 d. d. terminas Organizacijai pateikti atsiliepimą, kai tuo tarpu skundą teikiančiam subjektui nenustatyti terminai per kokį terminą nuo tariamo pažeidimo jis turi kreiptis į AAA.</w:t>
                </w: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 xml:space="preserve">Neatsižvelgta. </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 xml:space="preserve">Organizacijos, nevykdydamos  Pakuočių ir pakuočių atliekų tvarkymo įstatyme numatytų prievolių, dėl kurių nevykdymo pagal Tvarkos aprašo nuostatas atsiranda teisė kreiptis pagal dokumentą dėl banko garantijos ir (ar) laidavimo draudimo išmokos, gali iš anksto pasiruošti galimiems savivaldybių (arba savivaldybių pavedimu – komunalinių atliekų tvarkymo sistemos administratorių) arba pakuočių atliekų tvarkytojų kreipimamsi s, pvz., Organizacija, nepasirašiusi savivaldybės įteiktos organizavimo ir finansavimo sutarties, be jau Tvarkos apraše numatytų 7 darbo dienų, turi 22 darbo dienas pasirengti motyvus (atsižvelgiant į </w:t>
                </w:r>
                <w:r>
                  <w:rPr>
                    <w:rFonts w:eastAsia="Lucida Sans Unicode"/>
                    <w:bCs/>
                    <w:color w:val="000000"/>
                    <w:kern w:val="1"/>
                    <w:sz w:val="22"/>
                    <w:szCs w:val="22"/>
                    <w:lang w:eastAsia="lt-LT"/>
                  </w:rPr>
                  <w:t>kreipimosi</w:t>
                </w:r>
                <w:r>
                  <w:rPr>
                    <w:rFonts w:eastAsia="Lucida Sans Unicode"/>
                    <w:kern w:val="1"/>
                    <w:sz w:val="22"/>
                    <w:szCs w:val="22"/>
                    <w:lang w:eastAsia="lt-LT"/>
                  </w:rPr>
                  <w:t xml:space="preserve"> pagrįstumo kriterijus), kodėl ji nepasirašo organizavimo ir finansavimo sutarties. </w:t>
                </w: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Lietuvos bankas (2022-01-25; Nr. S 2022/(34.74.E-4200)-12-402)</w:t>
                </w:r>
              </w:p>
            </w:tc>
            <w:tc>
              <w:tcPr>
                <w:tcW w:w="5327" w:type="dxa"/>
              </w:tcPr>
              <w:p>
                <w:pPr>
                  <w:widowControl w:val="0"/>
                  <w:suppressAutoHyphens/>
                  <w:jc w:val="both"/>
                  <w:rPr>
                    <w:rFonts w:eastAsia="Lucida Sans Unicode"/>
                    <w:kern w:val="1"/>
                    <w:sz w:val="22"/>
                    <w:szCs w:val="22"/>
                    <w:lang w:eastAsia="lt-LT"/>
                  </w:rPr>
                </w:pPr>
                <w:r>
                  <w:rPr>
                    <w:rFonts w:eastAsia="Lucida Sans Unicode"/>
                    <w:kern w:val="1"/>
                    <w:sz w:val="22"/>
                    <w:szCs w:val="22"/>
                    <w:lang w:eastAsia="lt-LT"/>
                  </w:rPr>
                  <w:t>Aprašo projekto 4.2 papunktyje nurodoma, kad nurodytos organizacijos kaip vieną iš dokumentų privalo pateikti laidavimo draudimo sutartį, įskaitant laidavimo draudimo liudijimą (polisą) ir laidavimo draudimo raštą. Norėtume pažymėti, kad teisės aktai griežtai neapibrėžia draudimo sutarties sudėtinių dalių, todėl praktikoje draudimo sutartį gali sudaryti vienas arba keli dokumentai. Įprastai draudimo sutartį sudaro draudimo liudijimas (polisas), nustatantis tam tikras individualias draudimo sutarties sąlygas ir patvirtinantis draudimo sutarties egzistavimą (Lietuvos Respublikos civilinio kodekso 6.989 straipsnio 2 dalis), bei draudimo taisyklės, nustatančios standartines draudimo sutarties sąlygas (Lietuvos Respublikos draudimo įstatymo 2 straipsnio 28 dalis). Savo ruožtu laidavimo draudimo raštas nėra kaip nors apibrėžtas draudimo veiklą reglamentuojančiuose teisės aktuose ir įprastuose draudimo santykiuose dažniausiai nėra naudojamas. Nors egzistuoja praktika, kad iš rangovo, paslaugos teikėjo ar tam tikros veiklos vykdytojo kartu su laidavimo draudimo sutartimi (draudimo liudijimu) yra reikalaujama pateikti laidavimo raštą, tačiau tokia praktika dažnai kelia neaiškumų dėl skirtingo prievolių įvykdymo užtikrinimo priemonių pobūdžio</w:t>
                </w:r>
                <w:r>
                  <w:rPr>
                    <w:rFonts w:eastAsia="Lucida Sans Unicode"/>
                    <w:kern w:val="1"/>
                    <w:sz w:val="22"/>
                    <w:szCs w:val="22"/>
                    <w:vertAlign w:val="superscript"/>
                    <w:lang w:eastAsia="lt-LT"/>
                  </w:rPr>
                  <w:footnoteReference w:id="1"/>
                </w:r>
                <w:r>
                  <w:rPr>
                    <w:rFonts w:eastAsia="Lucida Sans Unicode"/>
                    <w:kern w:val="1"/>
                    <w:sz w:val="22"/>
                    <w:szCs w:val="22"/>
                    <w:lang w:eastAsia="lt-LT"/>
                  </w:rPr>
                  <w:t>. Atsižvelgiant į tai, siūlytume Apraše atsisakyti laidavimo draudimo sutarties dalių vardijimo ir Aprašo projekto 4.2 papunktį išdėstyti taip:</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„4.2. laidavimo draudimo sutartį</w:t>
                </w:r>
                <w:r>
                  <w:rPr>
                    <w:rFonts w:eastAsia="Lucida Sans Unicode"/>
                    <w:strike/>
                    <w:kern w:val="1"/>
                    <w:sz w:val="22"/>
                    <w:szCs w:val="22"/>
                    <w:lang w:eastAsia="lt-LT"/>
                  </w:rPr>
                  <w:t>, įskaitant laidavimo draudimo liudijimą (polisą) ir laidavimo draudimo raštą (toliau – laidavimo draudimo sutartis)</w:t>
                </w:r>
                <w:r>
                  <w:rPr>
                    <w:rFonts w:eastAsia="Lucida Sans Unicode"/>
                    <w:kern w:val="1"/>
                    <w:sz w:val="22"/>
                    <w:szCs w:val="22"/>
                    <w:lang w:eastAsia="lt-LT"/>
                  </w:rPr>
                  <w:t>“.</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Atsižvelgta iš dalies.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Minėtoje Lietuvos Aukščiausiojo Teismo 2008 m. liepos 4 d. nutartyje civilinėje byloje Nr. 3K-3-320/2008 LAT pasisakė, kad „Laidavimo draudimo sutarties forma yra paprasta rašytinė, bet turi savo specifiką: </w:t>
                </w:r>
                <w:r>
                  <w:rPr>
                    <w:rFonts w:eastAsia="Lucida Sans Unicode"/>
                    <w:b/>
                    <w:bCs/>
                    <w:kern w:val="1"/>
                    <w:sz w:val="22"/>
                    <w:szCs w:val="22"/>
                    <w:lang w:eastAsia="lt-LT"/>
                  </w:rPr>
                  <w:t>jos sudėtinės dalys yra</w:t>
                </w:r>
                <w:r>
                  <w:rPr>
                    <w:rFonts w:eastAsia="Lucida Sans Unicode"/>
                    <w:kern w:val="1"/>
                    <w:sz w:val="22"/>
                    <w:szCs w:val="22"/>
                    <w:lang w:eastAsia="lt-LT"/>
                  </w:rPr>
                  <w:t xml:space="preserve"> draudiko parengtos draudimo taisyklės, draudimo liudijimas (polisas), individuali draudimo sutartis, jei ji sudaryta (Draudimo įstatymo 78 straipsnis), draudėjo prašymas sudaryti draudimo sutartį </w:t>
                </w:r>
                <w:r>
                  <w:rPr>
                    <w:rFonts w:eastAsia="Lucida Sans Unicode"/>
                    <w:b/>
                    <w:bCs/>
                    <w:kern w:val="1"/>
                    <w:sz w:val="22"/>
                    <w:szCs w:val="22"/>
                    <w:u w:val="single"/>
                    <w:lang w:eastAsia="lt-LT"/>
                  </w:rPr>
                  <w:t>ir paprastai – laidavimo raštas.</w:t>
                </w:r>
                <w:r>
                  <w:rPr>
                    <w:rFonts w:eastAsia="Lucida Sans Unicode"/>
                    <w:b/>
                    <w:bCs/>
                    <w:kern w:val="1"/>
                    <w:sz w:val="22"/>
                    <w:szCs w:val="22"/>
                    <w:lang w:eastAsia="lt-LT"/>
                  </w:rPr>
                  <w:t xml:space="preserve"> </w:t>
                </w:r>
                <w:r>
                  <w:rPr>
                    <w:rFonts w:eastAsia="Lucida Sans Unicode"/>
                    <w:kern w:val="1"/>
                    <w:sz w:val="22"/>
                    <w:szCs w:val="22"/>
                    <w:lang w:eastAsia="lt-LT"/>
                  </w:rPr>
                  <w:t xml:space="preserve">Draudimo liudijimas (polisas) patvirtina laidavimo draudimo sutarties sudarymą (Draudimo įstatymo 2 straipsnio 18 dalis). Draudiko išduoti laidavimo raštai, atsižvelgiant į tai, kad laidavimo sandoriais gali būti tik sutartys, neatitinka laidavimo sutarties esmės, nes teisiškai jie kvalifikuotini kaip vienašaliai sandoriai“.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Vieno iš Lietuvoje veikiančio draudiko laidavimo draudimo taisyklėse numatyta:</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w:t>
                </w:r>
                <w:r>
                  <w:rPr>
                    <w:rFonts w:eastAsia="Lucida Sans Unicode"/>
                    <w:b/>
                    <w:bCs/>
                    <w:kern w:val="1"/>
                    <w:sz w:val="22"/>
                    <w:szCs w:val="22"/>
                    <w:lang w:eastAsia="lt-LT"/>
                  </w:rPr>
                  <w:t>Draudimo sutartis</w:t>
                </w:r>
                <w:r>
                  <w:rPr>
                    <w:rFonts w:eastAsia="Lucida Sans Unicode"/>
                    <w:kern w:val="1"/>
                    <w:sz w:val="22"/>
                    <w:szCs w:val="22"/>
                    <w:lang w:eastAsia="lt-LT"/>
                  </w:rPr>
                  <w:t xml:space="preserve"> (laidavimo draudimo sutartis) – [...] Draudimo sutartį sudaro šios draudimo taisyklės, draudimo liudijimas ir jo priedai, </w:t>
                </w:r>
                <w:r>
                  <w:rPr>
                    <w:rFonts w:eastAsia="Lucida Sans Unicode"/>
                    <w:b/>
                    <w:bCs/>
                    <w:kern w:val="1"/>
                    <w:sz w:val="22"/>
                    <w:szCs w:val="22"/>
                    <w:lang w:eastAsia="lt-LT"/>
                  </w:rPr>
                  <w:t>laidavimo draudimo raštas</w:t>
                </w:r>
                <w:r>
                  <w:rPr>
                    <w:rFonts w:eastAsia="Lucida Sans Unicode"/>
                    <w:kern w:val="1"/>
                    <w:sz w:val="22"/>
                    <w:szCs w:val="22"/>
                    <w:lang w:eastAsia="lt-LT"/>
                  </w:rPr>
                  <w:t xml:space="preserve"> ir prašymas (anketa) sudaryti draudimo sutartį, jei toks buvo teiktas“;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w:t>
                </w:r>
                <w:r>
                  <w:rPr>
                    <w:rFonts w:eastAsia="Lucida Sans Unicode"/>
                    <w:b/>
                    <w:bCs/>
                    <w:kern w:val="1"/>
                    <w:sz w:val="22"/>
                    <w:szCs w:val="22"/>
                    <w:lang w:eastAsia="lt-LT"/>
                  </w:rPr>
                  <w:t>Laidavimo draudimo raštas</w:t>
                </w:r>
                <w:r>
                  <w:rPr>
                    <w:rFonts w:eastAsia="Lucida Sans Unicode"/>
                    <w:kern w:val="1"/>
                    <w:sz w:val="22"/>
                    <w:szCs w:val="22"/>
                    <w:lang w:eastAsia="lt-LT"/>
                  </w:rPr>
                  <w:t>- Naudos gavėjui išduodamas dokumentas, patvirtinantis Draudiko įsipareigojimą atsakyti Naudos gavėjui draudimo liudijime ir laidavimo draudimo rašte nurodytos sumos ribose, jeigu Draudėjas prieš Naudos gavėją neįvykdys savo prievolės ar jos dalies“.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Atsižvelgiant į tai, Tvarkos aprašo 4.2 patikslinamas taip:</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„laidavimo draudimo sutartį, įskaitant laidavimo draudimo liudijimą (polisą) ir laidavimo draudimo raštą, </w:t>
                </w:r>
                <w:r>
                  <w:rPr>
                    <w:rFonts w:eastAsia="Lucida Sans Unicode"/>
                    <w:b/>
                    <w:bCs/>
                    <w:kern w:val="1"/>
                    <w:sz w:val="22"/>
                    <w:szCs w:val="22"/>
                    <w:lang w:eastAsia="lt-LT"/>
                  </w:rPr>
                  <w:t>jei toks yra išduodamas</w:t>
                </w:r>
                <w:r>
                  <w:rPr>
                    <w:rFonts w:eastAsia="Lucida Sans Unicode"/>
                    <w:kern w:val="1"/>
                    <w:sz w:val="22"/>
                    <w:szCs w:val="22"/>
                    <w:lang w:eastAsia="lt-LT"/>
                  </w:rPr>
                  <w:t xml:space="preserve"> (toliau – laidavimo draudimo sutartis).</w:t>
                </w:r>
              </w:p>
            </w:tc>
          </w:tr>
          <w:tr>
            <w:tc>
              <w:tcPr>
                <w:tcW w:w="1843" w:type="dxa"/>
              </w:tcPr>
              <w:p>
                <w:pPr>
                  <w:widowControl w:val="0"/>
                  <w:suppressAutoHyphens/>
                  <w:rPr>
                    <w:rFonts w:eastAsia="Lucida Sans Unicode"/>
                    <w:bCs/>
                    <w:iCs/>
                    <w:kern w:val="1"/>
                    <w:sz w:val="22"/>
                    <w:szCs w:val="22"/>
                    <w:lang w:eastAsia="lt-LT"/>
                  </w:rPr>
                </w:pPr>
              </w:p>
            </w:tc>
            <w:tc>
              <w:tcPr>
                <w:tcW w:w="5327" w:type="dxa"/>
              </w:tcPr>
              <w:p>
                <w:pPr>
                  <w:widowControl w:val="0"/>
                  <w:suppressAutoHyphens/>
                  <w:jc w:val="both"/>
                  <w:rPr>
                    <w:rFonts w:eastAsia="Lucida Sans Unicode"/>
                    <w:kern w:val="1"/>
                    <w:sz w:val="22"/>
                    <w:szCs w:val="22"/>
                    <w:lang w:eastAsia="lt-LT"/>
                  </w:rPr>
                </w:pPr>
                <w:r>
                  <w:rPr>
                    <w:rFonts w:eastAsia="Lucida Sans Unicode"/>
                    <w:kern w:val="1"/>
                    <w:sz w:val="22"/>
                    <w:szCs w:val="22"/>
                    <w:lang w:eastAsia="lt-LT"/>
                  </w:rPr>
                  <w:t>Minėtos Aprašo projekto 7.6 papunkčio nuostatos, Lietuvos banko vertinimu, laikytinos neatitinkančiomis draudimo sutarties ir su ja susijusios draudiko prievolės pobūdžio, apibrėžto nurodytomis teisės normomis bei draudimo teisės doktrina, todėl tikslintinos taip:</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„7.6. </w:t>
                </w:r>
                <w:r>
                  <w:rPr>
                    <w:rFonts w:eastAsia="Lucida Sans Unicode"/>
                    <w:b/>
                    <w:bCs/>
                    <w:kern w:val="1"/>
                    <w:sz w:val="22"/>
                    <w:szCs w:val="22"/>
                    <w:lang w:eastAsia="lt-LT"/>
                  </w:rPr>
                  <w:t xml:space="preserve">užtikrina banko garantijos ir (ar) laidavimo draudimo išmokos išmokėjimą Tvarkos aprašo 15 punkte nustatytais atvejais </w:t>
                </w:r>
                <w:r>
                  <w:rPr>
                    <w:rFonts w:eastAsia="Lucida Sans Unicode"/>
                    <w:strike/>
                    <w:kern w:val="1"/>
                    <w:sz w:val="22"/>
                    <w:szCs w:val="22"/>
                    <w:lang w:eastAsia="lt-LT"/>
                  </w:rPr>
                  <w:t>sudarytos su banko ir (ar) draudimo įmonės įsipareigojimu neatšaukiamai nedelsiant, bet ne vėliau kaip per 10 darbo dienų, besąlygiškai sumokėti sumą naudos gavėjui, gavus pirmą naudos gavėjo raštišką reikalavimą mokėti (originalą). Sudarytos su neprivalomumu naudos gavėjui tokį reikalavimą pagrįsti, tik naudos gavėjo pareiga bankui ir (ar) draudimo įmonei nurodyti, kad reikalavimas kyla iš Tvarkos aprašo15 punkto, nurodant, kurio 15.1-15.3 papunkčio(-ių) prievolės Organizacijos neįvykdė</w:t>
                </w:r>
                <w:r>
                  <w:rPr>
                    <w:rFonts w:eastAsia="Lucida Sans Unicode"/>
                    <w:kern w:val="1"/>
                    <w:sz w:val="22"/>
                    <w:szCs w:val="22"/>
                    <w:lang w:eastAsia="lt-LT"/>
                  </w:rPr>
                  <w:t>.“</w:t>
                </w:r>
              </w:p>
              <w:p>
                <w:pPr>
                  <w:widowControl w:val="0"/>
                  <w:suppressAutoHyphens/>
                  <w:jc w:val="both"/>
                  <w:rPr>
                    <w:bCs/>
                    <w:kern w:val="1"/>
                    <w:sz w:val="22"/>
                    <w:szCs w:val="22"/>
                    <w:lang w:eastAsia="ar-SA"/>
                  </w:rPr>
                </w:pPr>
              </w:p>
            </w:tc>
            <w:tc>
              <w:tcPr>
                <w:tcW w:w="8281" w:type="dxa"/>
              </w:tcPr>
              <w:p>
                <w:pPr>
                  <w:jc w:val="both"/>
                  <w:rPr>
                    <w:rFonts w:eastAsia="Calibri"/>
                    <w:b/>
                    <w:bCs/>
                    <w:sz w:val="22"/>
                    <w:szCs w:val="22"/>
                  </w:rPr>
                </w:pPr>
                <w:r>
                  <w:rPr>
                    <w:rFonts w:eastAsia="Calibri"/>
                    <w:b/>
                    <w:bCs/>
                    <w:sz w:val="22"/>
                    <w:szCs w:val="22"/>
                  </w:rPr>
                  <w:t>Neatsižvelgta.</w:t>
                </w:r>
              </w:p>
              <w:p>
                <w:pPr>
                  <w:rPr>
                    <w:sz w:val="18"/>
                    <w:szCs w:val="18"/>
                  </w:rPr>
                </w:pPr>
              </w:p>
              <w:p>
                <w:pPr>
                  <w:jc w:val="both"/>
                  <w:rPr>
                    <w:rFonts w:eastAsia="Calibri"/>
                    <w:b/>
                    <w:bCs/>
                    <w:sz w:val="22"/>
                    <w:szCs w:val="22"/>
                  </w:rPr>
                </w:pPr>
                <w:r>
                  <w:rPr>
                    <w:rFonts w:eastAsia="Calibri"/>
                    <w:sz w:val="22"/>
                    <w:szCs w:val="22"/>
                  </w:rPr>
                  <w:t>Tvarkos aprašo nuostatos buvo tikslintos atsižvelgiant į Lietuvos draudikų asociacijos pastabą: „Atkreipiame dėmesį į tai, jog laidavimo draudimo paskirtis yra atlyginti laidavimo draudimo rašte nurodyto naudos gavėjo nuostolius, kai draudėjas dėl nemokumo/ bankroto ar kitų priežasčių nėra pajėgus vykdyti prisiimtų įsipareigojimų. Šiuo atveju laidavimo draudimas, kaip draudimo paslauga, galėtų užtikrinti tik Aplinkos apsaugos agentūros patiriamų nuostolių kompensavimą, kai gamintojų ir importuotojų organizacija, privalanti finansuoti komunalinių atliekų sraute susidarančių pakuočių atliekų tvarkymą, dėl nemokumo/ bankroto ar kitų priežasčių nepajėgi vykdyti prisiimtų įsipareigojimų.</w:t>
                </w:r>
              </w:p>
              <w:p>
                <w:pPr>
                  <w:rPr>
                    <w:sz w:val="18"/>
                    <w:szCs w:val="18"/>
                  </w:rPr>
                </w:pPr>
              </w:p>
              <w:p>
                <w:pPr>
                  <w:jc w:val="both"/>
                  <w:rPr>
                    <w:rFonts w:eastAsia="Calibri"/>
                    <w:sz w:val="22"/>
                    <w:szCs w:val="22"/>
                  </w:rPr>
                </w:pPr>
                <w:r>
                  <w:rPr>
                    <w:rFonts w:eastAsia="Calibri"/>
                    <w:sz w:val="22"/>
                    <w:szCs w:val="22"/>
                  </w:rPr>
                  <w:t>Siekiant įgyvendinti laidavimo draudimui keliamą reikalavimą atlyginti patirtus nuostolius, siūlome papildyti Projekto 7.6 p., nustatant, kad Aplinkos apsaugos agentūra, kreipdamasi dėl laidavimo draudimo sumos išmokėjimo, draudimo bendrovei turėtų nurodyti ne tik informaciją, kokios organizacijos prievolės nebuvo vykdomos, bet ir pateikti savivaldybės (arba savivaldybių pavedimu – komunalinių atliekų tvarkymo sistemos administratoriaus) kreipimosi į Aplinkos apsaugos agentūrą kopiją dėl draudimo sumos panaudojimo, kai organizacija nevykdo konkrečių numatytų prievolių, kartu su lėšų poreikį ir dydį pagrindžiančiais dokumentais, kaip tai numatyta Projekto 22, 23, 24 p.“.</w:t>
                </w:r>
              </w:p>
              <w:p>
                <w:pPr>
                  <w:rPr>
                    <w:sz w:val="18"/>
                    <w:szCs w:val="18"/>
                  </w:rPr>
                </w:pPr>
              </w:p>
              <w:p>
                <w:pPr>
                  <w:jc w:val="both"/>
                  <w:rPr>
                    <w:rFonts w:eastAsia="Calibri"/>
                    <w:sz w:val="22"/>
                    <w:szCs w:val="22"/>
                  </w:rPr>
                </w:pPr>
                <w:r>
                  <w:rPr>
                    <w:rFonts w:eastAsia="Calibri"/>
                    <w:sz w:val="22"/>
                    <w:szCs w:val="22"/>
                  </w:rPr>
                  <w:t xml:space="preserve">Atsižvelgiant į Lietuvos draudikų asociacijos pastabą buvo atlikti tokie Tvarkos aprašo patikslinimai: </w:t>
                </w:r>
              </w:p>
              <w:p>
                <w:pPr>
                  <w:rPr>
                    <w:sz w:val="18"/>
                    <w:szCs w:val="18"/>
                  </w:rPr>
                </w:pPr>
              </w:p>
              <w:p>
                <w:pPr>
                  <w:jc w:val="both"/>
                  <w:rPr>
                    <w:rFonts w:eastAsia="Calibri"/>
                    <w:sz w:val="22"/>
                    <w:szCs w:val="22"/>
                  </w:rPr>
                </w:pPr>
                <w:r>
                  <w:rPr>
                    <w:rFonts w:eastAsia="Calibri"/>
                    <w:sz w:val="22"/>
                    <w:szCs w:val="22"/>
                  </w:rPr>
                  <w:t xml:space="preserve">-„7.7. nereikalauja naudos gavėjo tokį raštišką reikalavimą mokėti (originalą) pagrįsti, tik numatant naudos gavėjo pareigą bankui ar kitai kredito įstaigai, ar draudimo įmonei nurodyti, kad reikalavimas kyla iš Tvarkos aprašo 15 punkto, nurodant, kurio(-ių)  15.1-15.3 papunkčio(-ių) prievolės(-ių)  Organizacijos neįvykdė, </w:t>
                </w:r>
                <w:r>
                  <w:rPr>
                    <w:rFonts w:eastAsia="Calibri"/>
                    <w:b/>
                    <w:bCs/>
                    <w:sz w:val="22"/>
                    <w:szCs w:val="22"/>
                  </w:rPr>
                  <w:t>ir kartu pateikti Tvarkos aprašo 19 punkte nurodytus dokumentus.</w:t>
                </w:r>
                <w:r>
                  <w:rPr>
                    <w:rFonts w:eastAsia="Calibri"/>
                    <w:sz w:val="22"/>
                    <w:szCs w:val="22"/>
                  </w:rPr>
                  <w:t>“.</w:t>
                </w:r>
              </w:p>
              <w:p>
                <w:pPr>
                  <w:rPr>
                    <w:sz w:val="18"/>
                    <w:szCs w:val="18"/>
                  </w:rPr>
                </w:pP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 „19. Aplinkos apsaugos agentūra, kreipdamasi į banką ar kitą kredito įstaigą, draudimo įmonę dėl banko garantijos ir (ar) laidavimo draudimo išmokos, privalo pateikti savivaldybės (arba savivaldybių pavedimu – komunalinių atliekų tvarkymo sistemos administratoriaus) arba atliekų tvarkytojo kreipimosi į Aplinkos apsaugos agentūrą kopiją dėl garantijos ir (ar) draudimo išmokos, kai Organizacija nevykdo konkrečių numatytų prievolių, kartu su lėšų poreikį ir dydį pagrindžiančiais dokumentais, kaip tai numatyta šio Tvarkos aprašo 25-27 punktuose ir</w:t>
                </w:r>
                <w:r>
                  <w:rPr>
                    <w:rFonts w:eastAsia="Lucida Sans Unicode"/>
                    <w:color w:val="000000"/>
                    <w:kern w:val="1"/>
                    <w:sz w:val="22"/>
                    <w:szCs w:val="22"/>
                    <w:lang w:eastAsia="lt-LT"/>
                  </w:rPr>
                  <w:t>V skyriuje</w:t>
                </w:r>
                <w:r>
                  <w:rPr>
                    <w:rFonts w:eastAsia="Lucida Sans Unicode"/>
                    <w:kern w:val="1"/>
                    <w:sz w:val="22"/>
                    <w:szCs w:val="22"/>
                    <w:lang w:eastAsia="lt-LT"/>
                  </w:rPr>
                  <w:t>.“.</w:t>
                </w: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Žaliasis taškas, VšĮ (2022-01-25; Nr. SR-22-30)</w:t>
                </w:r>
              </w:p>
            </w:tc>
            <w:tc>
              <w:tcPr>
                <w:tcW w:w="5327" w:type="dxa"/>
              </w:tcPr>
              <w:p>
                <w:pPr>
                  <w:jc w:val="both"/>
                  <w:rPr>
                    <w:rFonts w:cs="Arial"/>
                    <w:color w:val="000000"/>
                    <w:kern w:val="1"/>
                    <w:sz w:val="22"/>
                    <w:szCs w:val="22"/>
                    <w:lang w:eastAsia="lt-LT"/>
                  </w:rPr>
                </w:pPr>
                <w:r>
                  <w:rPr>
                    <w:rFonts w:cs="Arial"/>
                    <w:color w:val="000000"/>
                    <w:kern w:val="1"/>
                    <w:sz w:val="22"/>
                    <w:szCs w:val="22"/>
                    <w:lang w:eastAsia="lt-LT"/>
                  </w:rPr>
                  <w:t xml:space="preserve">Tikslintinos Projekto 8 punkto nuostatos nustatant, kad: </w:t>
                </w:r>
              </w:p>
              <w:p>
                <w:pPr>
                  <w:widowControl w:val="0"/>
                  <w:suppressAutoHyphens/>
                  <w:jc w:val="both"/>
                  <w:rPr>
                    <w:bCs/>
                    <w:kern w:val="1"/>
                    <w:sz w:val="22"/>
                    <w:szCs w:val="22"/>
                    <w:lang w:eastAsia="ar-SA"/>
                  </w:rPr>
                </w:pPr>
                <w:r>
                  <w:rPr>
                    <w:rFonts w:cs="Arial"/>
                    <w:color w:val="000000"/>
                    <w:kern w:val="1"/>
                    <w:sz w:val="22"/>
                    <w:szCs w:val="22"/>
                    <w:lang w:eastAsia="lt-LT"/>
                  </w:rPr>
                  <w:t xml:space="preserve">„Lužd. – metinės licenciją turinčios Organizacijos lėšos, skirtos Lietuvos Respublikos Vyriausybės 2006 m. lapkričio 24 d. nutarimu Nr.1168 „Dėl gaminių ir pakuočių atliekų naudojimo ir (ar) perdirbimo užduočių patvirtinimo“ nustatytų pakuočių atliekų tvarkymo užduočių vykdymui </w:t>
                </w:r>
                <w:r>
                  <w:rPr>
                    <w:rFonts w:cs="Arial"/>
                    <w:b/>
                    <w:bCs/>
                    <w:color w:val="000000"/>
                    <w:kern w:val="1"/>
                    <w:sz w:val="22"/>
                    <w:szCs w:val="22"/>
                    <w:lang w:eastAsia="lt-LT"/>
                  </w:rPr>
                  <w:t>(tiek kiek neapima Latl nurodytų lėšų)</w:t>
                </w:r>
                <w:r>
                  <w:rPr>
                    <w:rFonts w:cs="Arial"/>
                    <w:color w:val="000000"/>
                    <w:kern w:val="1"/>
                    <w:sz w:val="22"/>
                    <w:szCs w:val="22"/>
                    <w:lang w:eastAsia="lt-LT"/>
                  </w:rPr>
                  <w:t>, nurodytos licenciją turinčios Organizacijos metinėje ataskaitoje apie praėjusius ataskaitinius metus“, kadangi lėšos skirtos pakuočių atliekų tvarkymo užduočių vykdymui gali apimti ir lėšas, kurios skiriamos pakuočių atliekų tvarkymui (komunalinių atliekų sraute susidarančių pakuočių atliekų rūšiuojamajam surinkimui, vežimui, paruošimui naudoti, įskaitant pradinį naudojimą, ir naudojimui) (Latl).</w:t>
                </w:r>
              </w:p>
            </w:tc>
            <w:tc>
              <w:tcPr>
                <w:tcW w:w="8281" w:type="dxa"/>
              </w:tcPr>
              <w:p>
                <w:pPr>
                  <w:widowControl w:val="0"/>
                  <w:suppressAutoHyphens/>
                  <w:jc w:val="both"/>
                  <w:rPr>
                    <w:rFonts w:eastAsia="Lucida Sans Unicode"/>
                    <w:b/>
                    <w:kern w:val="1"/>
                    <w:sz w:val="22"/>
                    <w:szCs w:val="22"/>
                    <w:lang w:eastAsia="lt-LT"/>
                  </w:rPr>
                </w:pPr>
                <w:r>
                  <w:rPr>
                    <w:rFonts w:eastAsia="Lucida Sans Unicode"/>
                    <w:b/>
                    <w:kern w:val="1"/>
                    <w:sz w:val="22"/>
                    <w:szCs w:val="22"/>
                    <w:lang w:eastAsia="lt-LT"/>
                  </w:rPr>
                  <w:t xml:space="preserve">Neatsižvelgta. </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Pagal Gamintojų ir importuotojų organizacijos veiklos organizavimo plano, finansavimo schemos ir švietimo programos rengimo, derinimo ir ataskaitų bei informacijos apie jų vykdymą teikimo tvarkos aprašo, patvirtinto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(Tvarkos aprašas D1-57), 28.11 papunktį, Organizacijos metinėje ataskaitoje turi būti pateikta: „lėšos, skirtos gaminių ar pakuočių atliekų tvarkymui (nurodant, kiek sumokėta nustatyta tvarka parinktiems atliekų tvarkytojams už suteiktas gaminių ar pakuočių atliekų tvarkymo (surinkimo, vežimo, paruošimo naudoti, naudojimo) paslaugas, elektros ir elektroninės įrangos atliekų tvarkymo atveju atskirai nurodant, kiek lėšų skirta buitinės elektros ir elektroninės įrangos atliekų surinkimo savivaldybių įrengtose didelių gabaritų atliekų surinkimo aikštelėse ir šių aikštelių eksploatavimo daliniam finansavimui, </w:t>
                </w:r>
                <w:r>
                  <w:rPr>
                    <w:rFonts w:eastAsia="Lucida Sans Unicode"/>
                    <w:b/>
                    <w:bCs/>
                    <w:kern w:val="1"/>
                    <w:sz w:val="22"/>
                    <w:szCs w:val="22"/>
                    <w:lang w:eastAsia="lt-LT"/>
                  </w:rPr>
                  <w:t xml:space="preserve">pakuočių atliekų tvarkymo atveju </w:t>
                </w:r>
                <w:r>
                  <w:rPr>
                    <w:rFonts w:eastAsia="Lucida Sans Unicode"/>
                    <w:b/>
                    <w:bCs/>
                    <w:kern w:val="1"/>
                    <w:sz w:val="22"/>
                    <w:szCs w:val="22"/>
                    <w:u w:val="single"/>
                    <w:lang w:eastAsia="lt-LT"/>
                  </w:rPr>
                  <w:t>atskirai nurodant</w:t>
                </w:r>
                <w:r>
                  <w:rPr>
                    <w:rFonts w:eastAsia="Lucida Sans Unicode"/>
                    <w:kern w:val="1"/>
                    <w:sz w:val="22"/>
                    <w:szCs w:val="22"/>
                    <w:lang w:eastAsia="lt-LT"/>
                  </w:rPr>
                  <w:t>, kiek lėšų skirta komunalinių atliekų sraute susidarančių pakuočių atliekų rūšiuojamajam surinkimui, vežimui, paruošimui naudoti ir naudojimui) ir Lietuvos Respublikos Vyriausybės nustatytų gaminių ar pakuočių atliekų tvarkymo užduočių vykdymui;“.</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Jeigu lėšos skirtos pakuočių atliekų tvarkymo užduočių vykdymui gali apimti ir lėšas, kurios skiriamos pakuočių atliekų tvarkymui, reikia tikslinti ne Tvarkos aprašo nuostatas, o Tvarkos aprašo D1-57 nuostatas, arba apskaitoje išskirti, kad atitinkama suma yra įtraukta tiek į lėšas, skirtas pakuočių atliekų tvarkymui, tiek ir lėšas skirtas pakuočių atliekų tvarkymo užduočių vykdymui.</w:t>
                </w:r>
              </w:p>
              <w:p>
                <w:pPr>
                  <w:widowControl w:val="0"/>
                  <w:suppressAutoHyphens/>
                  <w:jc w:val="both"/>
                  <w:rPr>
                    <w:rFonts w:eastAsia="Lucida Sans Unicode"/>
                    <w:bCs/>
                    <w:kern w:val="1"/>
                    <w:sz w:val="22"/>
                    <w:szCs w:val="22"/>
                    <w:lang w:eastAsia="lt-LT"/>
                  </w:rPr>
                </w:pPr>
              </w:p>
            </w:tc>
          </w:tr>
          <w:tr>
            <w:tc>
              <w:tcPr>
                <w:tcW w:w="1843" w:type="dxa"/>
              </w:tcPr>
              <w:p>
                <w:pPr>
                  <w:widowControl w:val="0"/>
                  <w:suppressAutoHyphens/>
                  <w:rPr>
                    <w:rFonts w:eastAsia="Lucida Sans Unicode"/>
                    <w:bCs/>
                    <w:iCs/>
                    <w:kern w:val="1"/>
                    <w:sz w:val="22"/>
                    <w:szCs w:val="22"/>
                    <w:lang w:eastAsia="lt-LT"/>
                  </w:rPr>
                </w:pPr>
              </w:p>
            </w:tc>
            <w:tc>
              <w:tcPr>
                <w:tcW w:w="5327" w:type="dxa"/>
              </w:tcPr>
              <w:p>
                <w:pPr>
                  <w:jc w:val="both"/>
                  <w:rPr>
                    <w:rFonts w:cs="Arial"/>
                    <w:color w:val="000000"/>
                    <w:kern w:val="1"/>
                    <w:sz w:val="22"/>
                    <w:szCs w:val="22"/>
                    <w:lang w:eastAsia="lt-LT"/>
                  </w:rPr>
                </w:pPr>
                <w:r>
                  <w:rPr>
                    <w:rFonts w:cs="Arial"/>
                    <w:color w:val="000000"/>
                    <w:kern w:val="1"/>
                    <w:sz w:val="22"/>
                    <w:szCs w:val="22"/>
                    <w:lang w:eastAsia="lt-LT"/>
                  </w:rPr>
                  <w:t xml:space="preserve">Tikslintinas Projekto 18 punktas nustatant, kad: „Klaidos ar permokos atveju pagal Tvarkos aprašą pervestos lėšos grąžinamos </w:t>
                </w:r>
                <w:r>
                  <w:rPr>
                    <w:rFonts w:cs="Arial"/>
                    <w:b/>
                    <w:bCs/>
                    <w:color w:val="000000"/>
                    <w:kern w:val="1"/>
                    <w:sz w:val="22"/>
                    <w:szCs w:val="22"/>
                    <w:lang w:eastAsia="lt-LT"/>
                  </w:rPr>
                  <w:t>Organizacijai</w:t>
                </w:r>
                <w:r>
                  <w:rPr>
                    <w:rFonts w:cs="Arial"/>
                    <w:color w:val="000000"/>
                    <w:kern w:val="1"/>
                    <w:sz w:val="22"/>
                    <w:szCs w:val="22"/>
                    <w:lang w:eastAsia="lt-LT"/>
                  </w:rPr>
                  <w:t>,</w:t>
                </w:r>
                <w:r>
                  <w:rPr>
                    <w:rFonts w:eastAsia="Lucida Sans Unicode"/>
                    <w:kern w:val="1"/>
                    <w:szCs w:val="24"/>
                    <w:lang w:eastAsia="lt-LT"/>
                  </w:rPr>
                  <w:t xml:space="preserve"> </w:t>
                </w:r>
                <w:r>
                  <w:rPr>
                    <w:rFonts w:cs="Arial"/>
                    <w:color w:val="000000"/>
                    <w:kern w:val="1"/>
                    <w:sz w:val="22"/>
                    <w:szCs w:val="22"/>
                    <w:lang w:eastAsia="lt-LT"/>
                  </w:rPr>
                  <w:t>kadangi tuo atveju, jei per klaidą buvo pervestos didesnės lėšos, nei buvo faktinis poreikis, tokios lėšos turi būti grąžinamos Organizacijai, pagal kurios pateiktą garantą- buvo išreikalautos, o ne pervedamos į valstybės biudžetą.“</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Atsižvelgta iš dalies.</w:t>
                </w:r>
              </w:p>
              <w:p>
                <w:pPr>
                  <w:widowControl w:val="0"/>
                  <w:suppressAutoHyphens/>
                  <w:jc w:val="both"/>
                  <w:rPr>
                    <w:rFonts w:eastAsia="Lucida Sans Unicode"/>
                    <w:bCs/>
                    <w:kern w:val="1"/>
                    <w:sz w:val="22"/>
                    <w:szCs w:val="22"/>
                    <w:lang w:eastAsia="lt-LT"/>
                  </w:rPr>
                </w:pPr>
                <w:r>
                  <w:rPr>
                    <w:rFonts w:eastAsia="Lucida Sans Unicode"/>
                    <w:kern w:val="1"/>
                    <w:sz w:val="22"/>
                    <w:szCs w:val="22"/>
                    <w:lang w:eastAsia="lt-LT"/>
                  </w:rPr>
                  <w:t>Tvarkos aprašo 21 punkte numatoma, kad „Klaidos ar permokos atveju pagal Tvarkos aprašą pervestos lėšos grąžinamos Aplinkos apsaugos agentūrai arba bankui ar kitai kredito įstaigai, draudimo įmonei (atsižvelgiant, kuris subjektas klaidos ar permokos atveju pervedė lėšas).“.</w:t>
                </w:r>
              </w:p>
            </w:tc>
          </w:tr>
          <w:tr>
            <w:tc>
              <w:tcPr>
                <w:tcW w:w="1843" w:type="dxa"/>
              </w:tcPr>
              <w:p>
                <w:pPr>
                  <w:widowControl w:val="0"/>
                  <w:suppressAutoHyphens/>
                  <w:rPr>
                    <w:rFonts w:eastAsia="Lucida Sans Unicode"/>
                    <w:bCs/>
                    <w:iCs/>
                    <w:kern w:val="1"/>
                    <w:sz w:val="22"/>
                    <w:szCs w:val="22"/>
                    <w:lang w:eastAsia="lt-LT"/>
                  </w:rPr>
                </w:pPr>
              </w:p>
            </w:tc>
            <w:tc>
              <w:tcPr>
                <w:tcW w:w="5327" w:type="dxa"/>
              </w:tcPr>
              <w:p>
                <w:pPr>
                  <w:jc w:val="both"/>
                  <w:rPr>
                    <w:rFonts w:cs="Arial"/>
                    <w:color w:val="000000"/>
                    <w:kern w:val="1"/>
                    <w:sz w:val="22"/>
                    <w:szCs w:val="22"/>
                    <w:lang w:eastAsia="lt-LT"/>
                  </w:rPr>
                </w:pPr>
                <w:r>
                  <w:rPr>
                    <w:rFonts w:cs="Arial"/>
                    <w:color w:val="000000"/>
                    <w:kern w:val="1"/>
                    <w:sz w:val="22"/>
                    <w:szCs w:val="22"/>
                    <w:lang w:eastAsia="lt-LT"/>
                  </w:rPr>
                  <w:t>Tikslintinas Projekto 23.4 punktas, nustatant, kad: „gautinos lėšos pagal Tvarkos aprašo 15.2 papunktį bus naudojamos dokumento galiojimo laikotarpiu ir skirtos finansuoti pakuočių atliekų tvarkymą, ir tokių lėšų poreikis ir dydis pagrindžiamas tai įrodančiais dokumentais,</w:t>
                </w:r>
                <w:r>
                  <w:rPr>
                    <w:rFonts w:cs="Arial"/>
                    <w:b/>
                    <w:bCs/>
                    <w:color w:val="000000"/>
                    <w:kern w:val="1"/>
                    <w:sz w:val="22"/>
                    <w:szCs w:val="22"/>
                    <w:lang w:eastAsia="lt-LT"/>
                  </w:rPr>
                  <w:t xml:space="preserve"> įskaitant, bet neapsiribojant atliekų sutvarkymą įrodančiais dokumentais</w:t>
                </w:r>
                <w:r>
                  <w:rPr>
                    <w:rFonts w:cs="Arial"/>
                    <w:color w:val="000000"/>
                    <w:kern w:val="1"/>
                    <w:sz w:val="22"/>
                    <w:szCs w:val="22"/>
                    <w:lang w:eastAsia="lt-LT"/>
                  </w:rPr>
                  <w:t>“</w:t>
                </w:r>
              </w:p>
              <w:p>
                <w:pPr>
                  <w:jc w:val="both"/>
                  <w:rPr>
                    <w:rFonts w:cs="Arial"/>
                    <w:color w:val="000000"/>
                    <w:kern w:val="1"/>
                    <w:sz w:val="22"/>
                    <w:szCs w:val="22"/>
                    <w:lang w:eastAsia="lt-LT"/>
                  </w:rPr>
                </w:pPr>
              </w:p>
              <w:p>
                <w:pPr>
                  <w:jc w:val="both"/>
                  <w:rPr>
                    <w:rFonts w:cs="Arial"/>
                    <w:color w:val="000000"/>
                    <w:kern w:val="1"/>
                    <w:sz w:val="22"/>
                    <w:szCs w:val="22"/>
                    <w:lang w:eastAsia="lt-LT"/>
                  </w:rPr>
                </w:pPr>
                <w:r>
                  <w:rPr>
                    <w:rFonts w:cs="Arial"/>
                    <w:color w:val="000000"/>
                    <w:kern w:val="1"/>
                    <w:sz w:val="22"/>
                    <w:szCs w:val="22"/>
                    <w:lang w:eastAsia="lt-LT"/>
                  </w:rPr>
                  <w:t>ir Projekto 24.3 punktas nustatant, kad: „gautinos lėšos pagal Tvarkos aprašo 15.3 papunktį skirtos finansuoti pakuočių atliekų tvarkymą ir tokių lėšų poreikis ir dydis pagrindžiamas tai įrodančiais dokumentais,</w:t>
                </w:r>
                <w:r>
                  <w:rPr>
                    <w:rFonts w:cs="Arial"/>
                    <w:b/>
                    <w:bCs/>
                    <w:color w:val="000000"/>
                    <w:kern w:val="1"/>
                    <w:sz w:val="22"/>
                    <w:szCs w:val="22"/>
                    <w:lang w:eastAsia="lt-LT"/>
                  </w:rPr>
                  <w:t xml:space="preserve"> įskaitant, bet neapsiribojant atliekų sutvarkymą įrodančiais dokumentais</w:t>
                </w:r>
                <w:r>
                  <w:rPr>
                    <w:rFonts w:cs="Arial"/>
                    <w:color w:val="000000"/>
                    <w:kern w:val="1"/>
                    <w:sz w:val="22"/>
                    <w:szCs w:val="22"/>
                    <w:lang w:eastAsia="lt-LT"/>
                  </w:rPr>
                  <w:t>“,</w:t>
                </w:r>
              </w:p>
              <w:p>
                <w:pPr>
                  <w:jc w:val="both"/>
                  <w:rPr>
                    <w:rFonts w:cs="Arial"/>
                    <w:color w:val="000000"/>
                    <w:kern w:val="1"/>
                    <w:sz w:val="22"/>
                    <w:szCs w:val="22"/>
                    <w:lang w:eastAsia="lt-LT"/>
                  </w:rPr>
                </w:pPr>
              </w:p>
              <w:p>
                <w:pPr>
                  <w:widowControl w:val="0"/>
                  <w:suppressAutoHyphens/>
                  <w:jc w:val="both"/>
                  <w:rPr>
                    <w:bCs/>
                    <w:kern w:val="1"/>
                    <w:sz w:val="22"/>
                    <w:szCs w:val="22"/>
                    <w:lang w:eastAsia="ar-SA"/>
                  </w:rPr>
                </w:pPr>
                <w:r>
                  <w:rPr>
                    <w:rFonts w:cs="Arial"/>
                    <w:color w:val="000000"/>
                    <w:kern w:val="1"/>
                    <w:sz w:val="22"/>
                    <w:szCs w:val="22"/>
                    <w:lang w:eastAsia="lt-LT"/>
                  </w:rPr>
                  <w:t>kadangi atliekų tvarkytojai, teikdami pakuočių atliekų tvarkymo paslaugas, privalo kolektyvaus atliekų tvarkymo organizacijoms išduoti atliekų sutvarkymą įrodančius dokumentus, kurie yra pagrindas pastarosioms įvykdyti Vyriausybės nustatytas pakuočių atliekų tvarkymo užduotis.</w:t>
                </w: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Atsižvelgta iš dalies.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Lietuvos Respublikos aplinkos ministro įsakymo „Dėl pakuočių atliekų, susidarančių komunaliniame atliekų sraute, rūšiuojamojo surinkimo ir vežimo paslaugos teikimo būtinųjų reikalavimų ir pakuočių atliekų tvarkymo organizavimo ir finansavimo sutarties būtinųjų sąlygų patvirtinimo“ projekto VIII skyriuje numatytos pakuočių atliekų tvarkymo organizavimo ir finansavimo sutarties būtinosios sąlygos. 47.3.1 punkte skelbiama, kad pakuočių atliekų tvarkymo organizavimo ir finansavimo sutartyje turi būti toks įtvirtintas įsipareigojimas:  </w:t>
                </w:r>
                <w:r>
                  <w:rPr>
                    <w:rFonts w:cs="Arial"/>
                    <w:color w:val="000000"/>
                    <w:kern w:val="1"/>
                    <w:sz w:val="22"/>
                    <w:szCs w:val="22"/>
                    <w:lang w:eastAsia="lt-LT"/>
                  </w:rPr>
                  <w:t>„</w:t>
                </w:r>
                <w:r>
                  <w:rPr>
                    <w:rFonts w:eastAsia="Lucida Sans Unicode"/>
                    <w:kern w:val="1"/>
                    <w:sz w:val="22"/>
                    <w:szCs w:val="22"/>
                    <w:lang w:eastAsia="lt-LT"/>
                  </w:rPr>
                  <w:t xml:space="preserve">surinkimo paslaugą teikiančio atliekų tvarkytojo įsipareigojimas vežti rūšiavimo konteineriuose surinktas atliekas organizacijų parinktiems pakuočių atliekų tvarkytojams ir pakuočių atliekų tvarkymo organizavimo ir finansavimo sutartyje nustatyta tvarka per nustatytus terminus, </w:t>
                </w:r>
                <w:r>
                  <w:rPr>
                    <w:rFonts w:eastAsia="Lucida Sans Unicode"/>
                    <w:b/>
                    <w:bCs/>
                    <w:kern w:val="1"/>
                    <w:sz w:val="22"/>
                    <w:szCs w:val="22"/>
                    <w:lang w:eastAsia="lt-LT"/>
                  </w:rPr>
                  <w:t>išrašyti pakuočių atliekų sutvarkymą įrodančius dokumentus</w:t>
                </w:r>
                <w:r>
                  <w:rPr>
                    <w:rFonts w:eastAsia="Lucida Sans Unicode"/>
                    <w:kern w:val="1"/>
                    <w:sz w:val="22"/>
                    <w:szCs w:val="22"/>
                    <w:lang w:eastAsia="lt-LT"/>
                  </w:rPr>
                  <w:t xml:space="preserve"> </w:t>
                </w:r>
                <w:r>
                  <w:rPr>
                    <w:rFonts w:eastAsia="Lucida Sans Unicode"/>
                    <w:b/>
                    <w:bCs/>
                    <w:kern w:val="1"/>
                    <w:sz w:val="22"/>
                    <w:szCs w:val="22"/>
                    <w:lang w:eastAsia="lt-LT"/>
                  </w:rPr>
                  <w:t>netaikant papildomo mokesčio</w:t>
                </w:r>
                <w:r>
                  <w:rPr>
                    <w:rFonts w:eastAsia="Lucida Sans Unicode"/>
                    <w:kern w:val="1"/>
                    <w:sz w:val="22"/>
                    <w:szCs w:val="22"/>
                    <w:lang w:eastAsia="lt-LT"/>
                  </w:rPr>
                  <w:t>;”, t. y. pakuočių atliekų sutvarkymą įrodančių dokumentų išrašymo Organizacijai įsipareigojimas turės būti numatytas pakuočių atliekų tvarkymo organizavimo ir finansavimo sutartyje. O pakuočių atliekų sutvarkymą įrodančių dokumentų išrašymo tvarką reglamentuoja „Gaminių ir (ar) pakuočių atliekų sutvarkymą įrodančių dokumentų išrašymo tvarkos aprašas“, patvirtintas 2013 m. gegužės 20 d. aplinkos ministro įsakymu Nr.D1-359 (Lietuvos Respublikos aplinkos ministro 2017 m. spalio 10 d. įsakymo Nr. D1-833 redakcija).</w:t>
                </w:r>
              </w:p>
              <w:p>
                <w:pPr>
                  <w:widowControl w:val="0"/>
                  <w:suppressAutoHyphens/>
                  <w:jc w:val="both"/>
                  <w:rPr>
                    <w:rFonts w:eastAsia="Lucida Sans Unicode"/>
                    <w:kern w:val="1"/>
                    <w:sz w:val="22"/>
                    <w:szCs w:val="22"/>
                    <w:lang w:eastAsia="lt-LT"/>
                  </w:rPr>
                </w:pP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Vertinant Tvarkos aprašo nuostatų santykį su Organizacijai išrašytais pakuočių atliekų sutvarkymą įrodančiais dokumentais, galima teigti, kad Organizacijai išrašytų pakuočių atliekų sutvarkymą įrodančių dokumentų pateikimas Aplinkos apsaugos agentūrai kartu su kreipimusi suponuoja ne lėšų naudojimo dokumento galiojimo laikotarpiu poreikio pagrindimą (Tvarkos aprašo 26.4, 27.3 papunkčiai (pirmoje projekto redakcijoje buvę 23.4, 24.3 papunkčiai)), o suteiktų paslaugų pagrindimą (pagal Tvarkos aprašo 26.1 ir 27.1 papunkčius).</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 xml:space="preserve">Atsižvelgiant į tai, Tvarkos aprašo 32.1.3 ir 33.3 papunkčiuse numatyta: </w:t>
                </w:r>
              </w:p>
              <w:p>
                <w:pPr>
                  <w:widowControl w:val="0"/>
                  <w:tabs>
                    <w:tab w:val="center" w:pos="1522"/>
                  </w:tabs>
                  <w:suppressAutoHyphens/>
                  <w:jc w:val="both"/>
                  <w:rPr>
                    <w:rFonts w:eastAsia="Lucida Sans Unicode"/>
                    <w:kern w:val="1"/>
                    <w:sz w:val="22"/>
                    <w:szCs w:val="22"/>
                    <w:lang w:eastAsia="lt-LT"/>
                  </w:rPr>
                </w:pPr>
                <w:r>
                  <w:rPr>
                    <w:rFonts w:eastAsia="Lucida Sans Unicode"/>
                    <w:kern w:val="1"/>
                    <w:sz w:val="22"/>
                    <w:szCs w:val="22"/>
                    <w:lang w:eastAsia="lt-LT"/>
                  </w:rPr>
                  <w:t xml:space="preserve">-„ 32.1.3.  pakuočių atliekų surinkėjo (-ų)išrašytus pakuočių atliekų sutvarkymą įrodančius dokumentus”;</w:t>
                  <w:tab/>
                </w:r>
              </w:p>
              <w:p>
                <w:pPr>
                  <w:widowControl w:val="0"/>
                  <w:tabs>
                    <w:tab w:val="center" w:pos="1522"/>
                  </w:tabs>
                  <w:suppressAutoHyphens/>
                  <w:jc w:val="both"/>
                  <w:rPr>
                    <w:rFonts w:eastAsia="Lucida Sans Unicode"/>
                    <w:kern w:val="1"/>
                    <w:sz w:val="22"/>
                    <w:szCs w:val="22"/>
                    <w:lang w:eastAsia="lt-LT"/>
                  </w:rPr>
                </w:pPr>
                <w:r>
                  <w:rPr>
                    <w:rFonts w:eastAsia="Lucida Sans Unicode"/>
                    <w:kern w:val="1"/>
                    <w:sz w:val="22"/>
                    <w:szCs w:val="22"/>
                    <w:lang w:eastAsia="lt-LT"/>
                  </w:rPr>
                  <w:t xml:space="preserve">-„ 33.3.  pakuočių atliekų tvarkytojo (-ų)išrašytus pakuočių atliekų sutvarkymą įrodančius dokumentus”.</w:t>
                  <w:tab/>
                </w:r>
              </w:p>
              <w:p>
                <w:pPr>
                  <w:widowControl w:val="0"/>
                  <w:suppressAutoHyphens/>
                  <w:jc w:val="both"/>
                  <w:rPr>
                    <w:rFonts w:eastAsia="Lucida Sans Unicode"/>
                    <w:bCs/>
                    <w:kern w:val="1"/>
                    <w:sz w:val="22"/>
                    <w:szCs w:val="22"/>
                    <w:lang w:eastAsia="lt-LT"/>
                  </w:rPr>
                </w:pPr>
              </w:p>
            </w:tc>
          </w:tr>
          <w:tr>
            <w:tc>
              <w:tcPr>
                <w:tcW w:w="1843" w:type="dxa"/>
              </w:tcPr>
              <w:p>
                <w:pPr>
                  <w:widowControl w:val="0"/>
                  <w:suppressAutoHyphens/>
                  <w:rPr>
                    <w:rFonts w:eastAsia="Lucida Sans Unicode"/>
                    <w:bCs/>
                    <w:iCs/>
                    <w:kern w:val="1"/>
                    <w:sz w:val="22"/>
                    <w:szCs w:val="22"/>
                    <w:lang w:eastAsia="lt-LT"/>
                  </w:rPr>
                </w:pPr>
                <w:r>
                  <w:rPr>
                    <w:rFonts w:eastAsia="Lucida Sans Unicode"/>
                    <w:bCs/>
                    <w:iCs/>
                    <w:kern w:val="1"/>
                    <w:sz w:val="22"/>
                    <w:szCs w:val="22"/>
                    <w:lang w:eastAsia="lt-LT"/>
                  </w:rPr>
                  <w:t>Lietuvos savivaldybių asociacija (2022-01-27; Nr. (6)-SD-55)</w:t>
                </w:r>
              </w:p>
            </w:tc>
            <w:tc>
              <w:tcPr>
                <w:tcW w:w="5327" w:type="dxa"/>
              </w:tcPr>
              <w:p>
                <w:pPr>
                  <w:widowControl w:val="0"/>
                  <w:suppressAutoHyphens/>
                  <w:jc w:val="both"/>
                  <w:rPr>
                    <w:rFonts w:eastAsia="Lucida Sans Unicode"/>
                    <w:color w:val="000000"/>
                    <w:kern w:val="1"/>
                    <w:sz w:val="22"/>
                    <w:szCs w:val="22"/>
                    <w:lang w:eastAsia="lt-LT"/>
                  </w:rPr>
                </w:pPr>
                <w:r>
                  <w:rPr>
                    <w:rFonts w:eastAsia="Lucida Sans Unicode"/>
                    <w:color w:val="000000"/>
                    <w:kern w:val="1"/>
                    <w:sz w:val="22"/>
                    <w:szCs w:val="22"/>
                    <w:lang w:eastAsia="en-GB"/>
                  </w:rPr>
                  <w:t xml:space="preserve">Savivaldybės siūlo koreguoti Projekto 7.3 papunktį, Organizacijos lėšų sumą banko garantijai ar laidavimo draudimui gauti, didinant iki 75 proc. (3/4) </w:t>
                </w:r>
                <w:r>
                  <w:rPr>
                    <w:rFonts w:eastAsia="Lucida Sans Unicode"/>
                    <w:kern w:val="1"/>
                    <w:sz w:val="22"/>
                    <w:szCs w:val="22"/>
                    <w:lang w:eastAsia="lt-LT"/>
                  </w:rPr>
                  <w:t>komunalinių atliekų sraute susidarančių pakuočių atliekų rūšiuojamajam surinkimui, vežimui, paruošimui naudoti, įskaitant pradinį apdorojimą, ir naudojimui bei Vyriausybės nustatytų pakuočių atliekų tvarkymo užduočių vykdymui skirtos lėšų sumos.</w:t>
                </w:r>
              </w:p>
              <w:p>
                <w:pPr>
                  <w:widowControl w:val="0"/>
                  <w:suppressAutoHyphens/>
                  <w:jc w:val="both"/>
                  <w:rPr>
                    <w:bCs/>
                    <w:kern w:val="1"/>
                    <w:sz w:val="22"/>
                    <w:szCs w:val="22"/>
                    <w:lang w:eastAsia="ar-SA"/>
                  </w:rPr>
                </w:pPr>
              </w:p>
            </w:tc>
            <w:tc>
              <w:tcPr>
                <w:tcW w:w="8281" w:type="dxa"/>
              </w:tcPr>
              <w:p>
                <w:pPr>
                  <w:widowControl w:val="0"/>
                  <w:suppressAutoHyphens/>
                  <w:jc w:val="both"/>
                  <w:rPr>
                    <w:rFonts w:eastAsia="Lucida Sans Unicode"/>
                    <w:b/>
                    <w:bCs/>
                    <w:kern w:val="1"/>
                    <w:sz w:val="22"/>
                    <w:szCs w:val="22"/>
                    <w:lang w:eastAsia="lt-LT"/>
                  </w:rPr>
                </w:pPr>
                <w:r>
                  <w:rPr>
                    <w:rFonts w:eastAsia="Lucida Sans Unicode"/>
                    <w:b/>
                    <w:bCs/>
                    <w:kern w:val="1"/>
                    <w:sz w:val="22"/>
                    <w:szCs w:val="22"/>
                    <w:lang w:eastAsia="lt-LT"/>
                  </w:rPr>
                  <w:t>Neatsižvelgta.</w:t>
                </w:r>
              </w:p>
              <w:p>
                <w:pPr>
                  <w:widowControl w:val="0"/>
                  <w:suppressAutoHyphens/>
                  <w:jc w:val="both"/>
                  <w:rPr>
                    <w:rFonts w:eastAsia="Lucida Sans Unicode"/>
                    <w:kern w:val="1"/>
                    <w:sz w:val="22"/>
                    <w:szCs w:val="22"/>
                    <w:lang w:eastAsia="lt-LT"/>
                  </w:rPr>
                </w:pPr>
                <w:r>
                  <w:rPr>
                    <w:rFonts w:eastAsia="Lucida Sans Unicode"/>
                    <w:kern w:val="1"/>
                    <w:sz w:val="22"/>
                    <w:szCs w:val="22"/>
                    <w:lang w:eastAsia="lt-LT"/>
                  </w:rPr>
                  <w:t>Tvarkos aprašo 7.3 punktas parengtas vadovaujantis Lietuvos Respublikos pakuočių ir pakuočių atliekų tvarkymo įstatymo 10 str. 5</w:t>
                </w:r>
                <w:r>
                  <w:rPr>
                    <w:rFonts w:eastAsia="Lucida Sans Unicode"/>
                    <w:kern w:val="1"/>
                    <w:sz w:val="22"/>
                    <w:szCs w:val="22"/>
                    <w:vertAlign w:val="superscript"/>
                    <w:lang w:eastAsia="lt-LT"/>
                  </w:rPr>
                  <w:t>1</w:t>
                </w:r>
                <w:r>
                  <w:rPr>
                    <w:rFonts w:eastAsia="Lucida Sans Unicode"/>
                    <w:kern w:val="1"/>
                    <w:sz w:val="22"/>
                    <w:szCs w:val="22"/>
                    <w:lang w:eastAsia="lt-LT"/>
                  </w:rPr>
                  <w:t xml:space="preserve"> d., kurioje numatytas banko garantijos ar laidavimo draudimo sutarties sumos dydis - „[...] </w:t>
                </w:r>
                <w:r>
                  <w:rPr>
                    <w:rFonts w:eastAsia="Lucida Sans Unicode"/>
                    <w:b/>
                    <w:bCs/>
                    <w:kern w:val="1"/>
                    <w:sz w:val="22"/>
                    <w:szCs w:val="22"/>
                    <w:lang w:eastAsia="lt-LT"/>
                  </w:rPr>
                  <w:t xml:space="preserve">sumai, lygiai 1/4 </w:t>
                </w:r>
                <w:r>
                  <w:rPr>
                    <w:rFonts w:eastAsia="Lucida Sans Unicode"/>
                    <w:kern w:val="1"/>
                    <w:sz w:val="22"/>
                    <w:szCs w:val="22"/>
                    <w:lang w:eastAsia="lt-LT"/>
                  </w:rPr>
                  <w:t>komunalinių atliekų sraute susidarančių pakuočių atliekų rūšiuojamajam surinkimui, vežimui, paruošimui naudoti, įskaitant pradinį apdorojimą, ir naudojimui bei Vyriausybės nustatytų pakuočių atliekų tvarkymo užduočių vykdymui skirtos lėšų sumos, nurodytos organizacijos metinėje ataskaitoje apie praėjusių ataskaitinių metų atliekų tvarkymo veiklos organizavimo plano vykdymą ir atliekų tvarkymo finansavimo schemoje ir visuomenės švietimo ir informavimo atliekų tvarkymo klausimais programoje numatytų priemonių įgyvendinimą“.</w:t>
                </w:r>
              </w:p>
              <w:p>
                <w:pPr>
                  <w:widowControl w:val="0"/>
                  <w:suppressAutoHyphens/>
                  <w:jc w:val="both"/>
                  <w:rPr>
                    <w:rFonts w:eastAsia="Lucida Sans Unicode"/>
                    <w:bCs/>
                    <w:kern w:val="1"/>
                    <w:sz w:val="22"/>
                    <w:szCs w:val="22"/>
                    <w:lang w:eastAsia="lt-LT"/>
                  </w:rPr>
                </w:pPr>
              </w:p>
            </w:tc>
          </w:tr>
        </w:tbl>
        <w:p>
          <w:pPr>
            <w:widowControl w:val="0"/>
            <w:suppressAutoHyphens/>
            <w:rPr>
              <w:rFonts w:eastAsia="Lucida Sans Unicode"/>
              <w:kern w:val="1"/>
              <w:sz w:val="2"/>
              <w:szCs w:val="2"/>
              <w:lang w:eastAsia="lt-LT"/>
            </w:rPr>
          </w:pPr>
        </w:p>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6837" w:h="11905" w:orient="landscape"/>
      <w:pgMar w:top="794" w:right="794" w:bottom="794" w:left="79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 w:id="1">
    <w:p>
      <w:pPr>
        <w:suppressAutoHyphens/>
        <w:rPr>
          <w:sz w:val="20"/>
          <w:lang w:val="en-US" w:eastAsia="ar-SA"/>
        </w:rPr>
      </w:pPr>
      <w:r>
        <w:rPr>
          <w:sz w:val="20"/>
          <w:vertAlign w:val="superscript"/>
          <w:lang w:val="en-GB" w:eastAsia="ar-SA"/>
        </w:rPr>
        <w:footnoteRef/>
      </w:r>
      <w:r>
        <w:rPr>
          <w:sz w:val="20"/>
          <w:lang w:val="en-GB" w:eastAsia="ar-SA"/>
        </w:rPr>
        <w:t xml:space="preserve"> Lietuvos Auk</w:t>
      </w:r>
      <w:r>
        <w:rPr>
          <w:rFonts w:hint="cs"/>
          <w:sz w:val="20"/>
          <w:lang w:val="en-GB" w:eastAsia="ar-SA"/>
        </w:rPr>
        <w:t>šč</w:t>
      </w:r>
      <w:r>
        <w:rPr>
          <w:sz w:val="20"/>
          <w:lang w:val="en-GB" w:eastAsia="ar-SA"/>
        </w:rPr>
        <w:t>iausiojo Teismo 2008 m. liepos 4 d. nutartis civilin</w:t>
      </w:r>
      <w:r>
        <w:rPr>
          <w:rFonts w:hint="cs"/>
          <w:sz w:val="20"/>
          <w:lang w:val="en-GB" w:eastAsia="ar-SA"/>
        </w:rPr>
        <w:t>ė</w:t>
      </w:r>
      <w:r>
        <w:rPr>
          <w:sz w:val="20"/>
          <w:lang w:val="en-GB" w:eastAsia="ar-SA"/>
        </w:rPr>
        <w:t>je byloje Nr. 3K-3-320/2008.</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spacing w:after="60"/>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 xml:space="preserve"> PAGE   \* MERGEFORMAT </w:instrText>
    </w:r>
    <w:r>
      <w:rPr>
        <w:rFonts w:eastAsia="Lucida Sans Unicode"/>
        <w:kern w:val="1"/>
        <w:szCs w:val="24"/>
        <w:lang w:eastAsia="lt-LT"/>
      </w:rPr>
      <w:fldChar w:fldCharType="separate"/>
    </w:r>
    <w:r>
      <w:rPr>
        <w:rFonts w:eastAsia="Lucida Sans Unicode"/>
        <w:kern w:val="1"/>
        <w:szCs w:val="24"/>
        <w:lang w:eastAsia="lt-LT"/>
      </w:rPr>
      <w:t>5</w:t>
    </w:r>
    <w:r>
      <w:rPr>
        <w:rFonts w:eastAsia="Lucida Sans Unicode"/>
        <w:kern w:val="1"/>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09"/>
  <w:hyphenationZone w:val="396"/>
  <w:doNotHyphenateCaps/>
  <w:drawingGridHorizontalSpacing w:val="120"/>
  <w:drawingGridVerticalSpacing w:val="0"/>
  <w:displayHorizontalDrawingGridEvery w:val="0"/>
  <w:displayVerticalDrawingGridEvery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D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7457C3-282A-45AD-8038-E7CA9E6CD0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0588767">
      <w:bodyDiv w:val="1"/>
      <w:marLeft w:val="225"/>
      <w:marRight w:val="225"/>
      <w:marTop w:val="0"/>
      <w:marBottom w:val="0"/>
      <w:divBdr>
        <w:top w:val="none" w:sz="0" w:space="0" w:color="auto"/>
        <w:left w:val="none" w:sz="0" w:space="0" w:color="auto"/>
        <w:bottom w:val="none" w:sz="0" w:space="0" w:color="auto"/>
        <w:right w:val="none" w:sz="0" w:space="0" w:color="auto"/>
      </w:divBdr>
      <w:divsChild>
        <w:div w:id="1488983799">
          <w:marLeft w:val="0"/>
          <w:marRight w:val="0"/>
          <w:marTop w:val="0"/>
          <w:marBottom w:val="0"/>
          <w:divBdr>
            <w:top w:val="none" w:sz="0" w:space="0" w:color="auto"/>
            <w:left w:val="none" w:sz="0" w:space="0" w:color="auto"/>
            <w:bottom w:val="none" w:sz="0" w:space="0" w:color="auto"/>
            <w:right w:val="none" w:sz="0" w:space="0" w:color="auto"/>
          </w:divBdr>
        </w:div>
      </w:divsChild>
    </w:div>
    <w:div w:id="161511549">
      <w:bodyDiv w:val="1"/>
      <w:marLeft w:val="0"/>
      <w:marRight w:val="0"/>
      <w:marTop w:val="0"/>
      <w:marBottom w:val="0"/>
      <w:divBdr>
        <w:top w:val="none" w:sz="0" w:space="0" w:color="auto"/>
        <w:left w:val="none" w:sz="0" w:space="0" w:color="auto"/>
        <w:bottom w:val="none" w:sz="0" w:space="0" w:color="auto"/>
        <w:right w:val="none" w:sz="0" w:space="0" w:color="auto"/>
      </w:divBdr>
    </w:div>
    <w:div w:id="427316446">
      <w:bodyDiv w:val="1"/>
      <w:marLeft w:val="0"/>
      <w:marRight w:val="0"/>
      <w:marTop w:val="0"/>
      <w:marBottom w:val="0"/>
      <w:divBdr>
        <w:top w:val="none" w:sz="0" w:space="0" w:color="auto"/>
        <w:left w:val="none" w:sz="0" w:space="0" w:color="auto"/>
        <w:bottom w:val="none" w:sz="0" w:space="0" w:color="auto"/>
        <w:right w:val="none" w:sz="0" w:space="0" w:color="auto"/>
      </w:divBdr>
    </w:div>
    <w:div w:id="482507713">
      <w:bodyDiv w:val="1"/>
      <w:marLeft w:val="0"/>
      <w:marRight w:val="0"/>
      <w:marTop w:val="0"/>
      <w:marBottom w:val="0"/>
      <w:divBdr>
        <w:top w:val="none" w:sz="0" w:space="0" w:color="auto"/>
        <w:left w:val="none" w:sz="0" w:space="0" w:color="auto"/>
        <w:bottom w:val="none" w:sz="0" w:space="0" w:color="auto"/>
        <w:right w:val="none" w:sz="0" w:space="0" w:color="auto"/>
      </w:divBdr>
      <w:divsChild>
        <w:div w:id="1867057784">
          <w:marLeft w:val="0"/>
          <w:marRight w:val="0"/>
          <w:marTop w:val="0"/>
          <w:marBottom w:val="0"/>
          <w:divBdr>
            <w:top w:val="none" w:sz="0" w:space="0" w:color="auto"/>
            <w:left w:val="none" w:sz="0" w:space="0" w:color="auto"/>
            <w:bottom w:val="none" w:sz="0" w:space="0" w:color="auto"/>
            <w:right w:val="none" w:sz="0" w:space="0" w:color="auto"/>
          </w:divBdr>
        </w:div>
        <w:div w:id="895311869">
          <w:marLeft w:val="0"/>
          <w:marRight w:val="0"/>
          <w:marTop w:val="0"/>
          <w:marBottom w:val="0"/>
          <w:divBdr>
            <w:top w:val="none" w:sz="0" w:space="0" w:color="auto"/>
            <w:left w:val="none" w:sz="0" w:space="0" w:color="auto"/>
            <w:bottom w:val="none" w:sz="0" w:space="0" w:color="auto"/>
            <w:right w:val="none" w:sz="0" w:space="0" w:color="auto"/>
          </w:divBdr>
        </w:div>
      </w:divsChild>
    </w:div>
    <w:div w:id="505094458">
      <w:bodyDiv w:val="1"/>
      <w:marLeft w:val="0"/>
      <w:marRight w:val="0"/>
      <w:marTop w:val="0"/>
      <w:marBottom w:val="0"/>
      <w:divBdr>
        <w:top w:val="none" w:sz="0" w:space="0" w:color="auto"/>
        <w:left w:val="none" w:sz="0" w:space="0" w:color="auto"/>
        <w:bottom w:val="none" w:sz="0" w:space="0" w:color="auto"/>
        <w:right w:val="none" w:sz="0" w:space="0" w:color="auto"/>
      </w:divBdr>
    </w:div>
    <w:div w:id="590896532">
      <w:bodyDiv w:val="1"/>
      <w:marLeft w:val="0"/>
      <w:marRight w:val="0"/>
      <w:marTop w:val="0"/>
      <w:marBottom w:val="0"/>
      <w:divBdr>
        <w:top w:val="none" w:sz="0" w:space="0" w:color="auto"/>
        <w:left w:val="none" w:sz="0" w:space="0" w:color="auto"/>
        <w:bottom w:val="none" w:sz="0" w:space="0" w:color="auto"/>
        <w:right w:val="none" w:sz="0" w:space="0" w:color="auto"/>
      </w:divBdr>
    </w:div>
    <w:div w:id="634221658">
      <w:bodyDiv w:val="1"/>
      <w:marLeft w:val="0"/>
      <w:marRight w:val="0"/>
      <w:marTop w:val="0"/>
      <w:marBottom w:val="0"/>
      <w:divBdr>
        <w:top w:val="none" w:sz="0" w:space="0" w:color="auto"/>
        <w:left w:val="none" w:sz="0" w:space="0" w:color="auto"/>
        <w:bottom w:val="none" w:sz="0" w:space="0" w:color="auto"/>
        <w:right w:val="none" w:sz="0" w:space="0" w:color="auto"/>
      </w:divBdr>
      <w:divsChild>
        <w:div w:id="911158928">
          <w:marLeft w:val="0"/>
          <w:marRight w:val="0"/>
          <w:marTop w:val="0"/>
          <w:marBottom w:val="0"/>
          <w:divBdr>
            <w:top w:val="none" w:sz="0" w:space="0" w:color="auto"/>
            <w:left w:val="none" w:sz="0" w:space="0" w:color="auto"/>
            <w:bottom w:val="none" w:sz="0" w:space="0" w:color="auto"/>
            <w:right w:val="none" w:sz="0" w:space="0" w:color="auto"/>
          </w:divBdr>
        </w:div>
        <w:div w:id="1428378958">
          <w:marLeft w:val="0"/>
          <w:marRight w:val="0"/>
          <w:marTop w:val="0"/>
          <w:marBottom w:val="0"/>
          <w:divBdr>
            <w:top w:val="none" w:sz="0" w:space="0" w:color="auto"/>
            <w:left w:val="none" w:sz="0" w:space="0" w:color="auto"/>
            <w:bottom w:val="none" w:sz="0" w:space="0" w:color="auto"/>
            <w:right w:val="none" w:sz="0" w:space="0" w:color="auto"/>
          </w:divBdr>
        </w:div>
      </w:divsChild>
    </w:div>
    <w:div w:id="790589180">
      <w:bodyDiv w:val="1"/>
      <w:marLeft w:val="0"/>
      <w:marRight w:val="0"/>
      <w:marTop w:val="0"/>
      <w:marBottom w:val="0"/>
      <w:divBdr>
        <w:top w:val="none" w:sz="0" w:space="0" w:color="auto"/>
        <w:left w:val="none" w:sz="0" w:space="0" w:color="auto"/>
        <w:bottom w:val="none" w:sz="0" w:space="0" w:color="auto"/>
        <w:right w:val="none" w:sz="0" w:space="0" w:color="auto"/>
      </w:divBdr>
    </w:div>
    <w:div w:id="819922486">
      <w:bodyDiv w:val="1"/>
      <w:marLeft w:val="0"/>
      <w:marRight w:val="0"/>
      <w:marTop w:val="0"/>
      <w:marBottom w:val="0"/>
      <w:divBdr>
        <w:top w:val="none" w:sz="0" w:space="0" w:color="auto"/>
        <w:left w:val="none" w:sz="0" w:space="0" w:color="auto"/>
        <w:bottom w:val="none" w:sz="0" w:space="0" w:color="auto"/>
        <w:right w:val="none" w:sz="0" w:space="0" w:color="auto"/>
      </w:divBdr>
    </w:div>
    <w:div w:id="844053427">
      <w:bodyDiv w:val="1"/>
      <w:marLeft w:val="0"/>
      <w:marRight w:val="0"/>
      <w:marTop w:val="0"/>
      <w:marBottom w:val="0"/>
      <w:divBdr>
        <w:top w:val="none" w:sz="0" w:space="0" w:color="auto"/>
        <w:left w:val="none" w:sz="0" w:space="0" w:color="auto"/>
        <w:bottom w:val="none" w:sz="0" w:space="0" w:color="auto"/>
        <w:right w:val="none" w:sz="0" w:space="0" w:color="auto"/>
      </w:divBdr>
    </w:div>
    <w:div w:id="856043029">
      <w:bodyDiv w:val="1"/>
      <w:marLeft w:val="0"/>
      <w:marRight w:val="0"/>
      <w:marTop w:val="0"/>
      <w:marBottom w:val="0"/>
      <w:divBdr>
        <w:top w:val="none" w:sz="0" w:space="0" w:color="auto"/>
        <w:left w:val="none" w:sz="0" w:space="0" w:color="auto"/>
        <w:bottom w:val="none" w:sz="0" w:space="0" w:color="auto"/>
        <w:right w:val="none" w:sz="0" w:space="0" w:color="auto"/>
      </w:divBdr>
    </w:div>
    <w:div w:id="974062263">
      <w:bodyDiv w:val="1"/>
      <w:marLeft w:val="0"/>
      <w:marRight w:val="0"/>
      <w:marTop w:val="0"/>
      <w:marBottom w:val="0"/>
      <w:divBdr>
        <w:top w:val="none" w:sz="0" w:space="0" w:color="auto"/>
        <w:left w:val="none" w:sz="0" w:space="0" w:color="auto"/>
        <w:bottom w:val="none" w:sz="0" w:space="0" w:color="auto"/>
        <w:right w:val="none" w:sz="0" w:space="0" w:color="auto"/>
      </w:divBdr>
    </w:div>
    <w:div w:id="997534830">
      <w:bodyDiv w:val="1"/>
      <w:marLeft w:val="0"/>
      <w:marRight w:val="0"/>
      <w:marTop w:val="0"/>
      <w:marBottom w:val="0"/>
      <w:divBdr>
        <w:top w:val="none" w:sz="0" w:space="0" w:color="auto"/>
        <w:left w:val="none" w:sz="0" w:space="0" w:color="auto"/>
        <w:bottom w:val="none" w:sz="0" w:space="0" w:color="auto"/>
        <w:right w:val="none" w:sz="0" w:space="0" w:color="auto"/>
      </w:divBdr>
    </w:div>
    <w:div w:id="1123503304">
      <w:bodyDiv w:val="1"/>
      <w:marLeft w:val="0"/>
      <w:marRight w:val="0"/>
      <w:marTop w:val="0"/>
      <w:marBottom w:val="0"/>
      <w:divBdr>
        <w:top w:val="none" w:sz="0" w:space="0" w:color="auto"/>
        <w:left w:val="none" w:sz="0" w:space="0" w:color="auto"/>
        <w:bottom w:val="none" w:sz="0" w:space="0" w:color="auto"/>
        <w:right w:val="none" w:sz="0" w:space="0" w:color="auto"/>
      </w:divBdr>
    </w:div>
    <w:div w:id="1205825331">
      <w:bodyDiv w:val="1"/>
      <w:marLeft w:val="0"/>
      <w:marRight w:val="0"/>
      <w:marTop w:val="0"/>
      <w:marBottom w:val="0"/>
      <w:divBdr>
        <w:top w:val="none" w:sz="0" w:space="0" w:color="auto"/>
        <w:left w:val="none" w:sz="0" w:space="0" w:color="auto"/>
        <w:bottom w:val="none" w:sz="0" w:space="0" w:color="auto"/>
        <w:right w:val="none" w:sz="0" w:space="0" w:color="auto"/>
      </w:divBdr>
    </w:div>
    <w:div w:id="1607734750">
      <w:bodyDiv w:val="1"/>
      <w:marLeft w:val="0"/>
      <w:marRight w:val="0"/>
      <w:marTop w:val="0"/>
      <w:marBottom w:val="0"/>
      <w:divBdr>
        <w:top w:val="none" w:sz="0" w:space="0" w:color="auto"/>
        <w:left w:val="none" w:sz="0" w:space="0" w:color="auto"/>
        <w:bottom w:val="none" w:sz="0" w:space="0" w:color="auto"/>
        <w:right w:val="none" w:sz="0" w:space="0" w:color="auto"/>
      </w:divBdr>
    </w:div>
    <w:div w:id="1857453117">
      <w:bodyDiv w:val="1"/>
      <w:marLeft w:val="0"/>
      <w:marRight w:val="0"/>
      <w:marTop w:val="0"/>
      <w:marBottom w:val="0"/>
      <w:divBdr>
        <w:top w:val="none" w:sz="0" w:space="0" w:color="auto"/>
        <w:left w:val="none" w:sz="0" w:space="0" w:color="auto"/>
        <w:bottom w:val="none" w:sz="0" w:space="0" w:color="auto"/>
        <w:right w:val="none" w:sz="0" w:space="0" w:color="auto"/>
      </w:divBdr>
    </w:div>
    <w:div w:id="1873305848">
      <w:bodyDiv w:val="1"/>
      <w:marLeft w:val="0"/>
      <w:marRight w:val="0"/>
      <w:marTop w:val="0"/>
      <w:marBottom w:val="0"/>
      <w:divBdr>
        <w:top w:val="none" w:sz="0" w:space="0" w:color="auto"/>
        <w:left w:val="none" w:sz="0" w:space="0" w:color="auto"/>
        <w:bottom w:val="none" w:sz="0" w:space="0" w:color="auto"/>
        <w:right w:val="none" w:sz="0" w:space="0" w:color="auto"/>
      </w:divBdr>
      <w:divsChild>
        <w:div w:id="6958163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2475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e5309a3af98415f9b897758c6206f31" PartId="7a53b4cd131d4679919028a6f721fb1d"/>
</Parts>
</file>

<file path=customXml/itemProps1.xml><?xml version="1.0" encoding="utf-8"?>
<ds:datastoreItem xmlns:ds="http://schemas.openxmlformats.org/officeDocument/2006/customXml" ds:itemID="{0CC14B53-29CD-47A8-95AE-48FFFDA3200C}">
  <ds:schemaRefs>
    <ds:schemaRef ds:uri="http://schemas.openxmlformats.org/officeDocument/2006/bibliography"/>
  </ds:schemaRefs>
</ds:datastoreItem>
</file>

<file path=customXml/itemProps2.xml><?xml version="1.0" encoding="utf-8"?>
<ds:datastoreItem xmlns:ds="http://schemas.openxmlformats.org/officeDocument/2006/customXml" ds:itemID="{7CABA395-C321-4D13-8AF3-2FBD49F7D2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5302</Words>
  <Characters>38654</Characters>
  <Application>Microsoft Office Word</Application>
  <DocSecurity>4</DocSecurity>
  <Lines>715</Lines>
  <Paragraphs>144</Paragraphs>
  <ScaleCrop>false</ScaleCrop>
  <HeadingPairs>
    <vt:vector size="2" baseType="variant">
      <vt:variant>
        <vt:lpstr>Title</vt:lpstr>
      </vt:variant>
      <vt:variant>
        <vt:i4>1</vt:i4>
      </vt:variant>
    </vt:vector>
  </HeadingPairs>
  <TitlesOfParts>
    <vt:vector size="1" baseType="lpstr">
      <vt:lpstr>LIETUVOS RESPUBLIKOS VYRIAUSYBĖS NUTARIMO „DĖL LIETUVOS RESPUBLIKOS MOKESČIO UŽ APLINKOS TERŠIMĄ ĮSTATYMO NR</vt:lpstr>
    </vt:vector>
  </TitlesOfParts>
  <Company>Hewlett-Packard Company</Company>
  <LinksUpToDate>false</LinksUpToDate>
  <CharactersWithSpaces>43812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2022-04-19T11:48:00Z</dcterms:created>
  <dc:creator>Greta Česnaitytė</dc:creator>
  <lastModifiedBy>adlibuser</lastModifiedBy>
  <lastPrinted>2017-02-15T10:32:00Z</lastPrinted>
  <dcterms:modified xsi:type="dcterms:W3CDTF">2022-04-19T11:48:00Z</dcterms:modified>
  <revision>2</revision>
  <dc:title>LIETUVOS RESPUBLIKOS VYRIAUSYBĖS NUTARIMO „DĖL LIETUVOS RESPUBLIKOS MOKESČIO UŽ APLINKOS TERŠIMĄ ĮSTATYMO NR</dc:title>
</coreProperties>
</file>