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59ab5cd6bb14248b957c1362b5bd92b"/>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5070807E" wp14:editId="06FE3386">
                      <wp:extent cx="519430" cy="621665"/>
                      <wp:effectExtent l="19050" t="0" r="0" b="0"/>
                      <wp:docPr id="3" name="Picture 3"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Description automatically generated"/>
                              <pic:cNvPicPr>
                                <a:picLocks noChangeAspect="1" noChangeArrowheads="1"/>
                              </pic:cNvPicPr>
                            </pic:nvPicPr>
                            <pic:blipFill>
                              <a:blip r:embed="rId6"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jc w:val="both"/>
                  <w:rPr>
                    <w:rFonts w:eastAsia="Andale Sans UI" w:cs="Tahoma"/>
                    <w:color w:val="000000"/>
                    <w:szCs w:val="24"/>
                    <w:lang w:bidi="en-US"/>
                  </w:rPr>
                </w:pPr>
                <w:r>
                  <w:rPr>
                    <w:rFonts w:eastAsia="Andale Sans UI" w:cs="Tahoma"/>
                    <w:color w:val="000000"/>
                    <w:szCs w:val="24"/>
                    <w:lang w:bidi="en-US"/>
                  </w:rPr>
                  <w:t>Adresatams pagal sąrašą</w:t>
                </w:r>
              </w:p>
              <w:p>
                <w:pPr>
                  <w:suppressLineNumbers/>
                  <w:jc w:val="both"/>
                  <w:rPr>
                    <w:rFonts w:eastAsia="Andale Sans UI" w:cs="Tahoma"/>
                    <w:szCs w:val="24"/>
                    <w:lang w:bidi="en-US"/>
                  </w:rPr>
                </w:pP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color w:val="000000"/>
                    <w:szCs w:val="24"/>
                    <w:lang w:bidi="en-US"/>
                  </w:rPr>
                  <w:t>202</w:t>
                </w:r>
                <w:r>
                  <w:rPr>
                    <w:rFonts w:eastAsia="Andale Sans UI" w:cs="Tahoma"/>
                    <w:color w:val="000000"/>
                    <w:szCs w:val="24"/>
                    <w:lang w:val="en-US" w:bidi="en-US"/>
                  </w:rPr>
                  <w:t>2</w:t>
                </w:r>
                <w:r>
                  <w:rPr>
                    <w:rFonts w:eastAsia="Andale Sans UI" w:cs="Tahoma"/>
                    <w:color w:val="000000"/>
                    <w:szCs w:val="24"/>
                    <w:lang w:bidi="en-US"/>
                  </w:rPr>
                  <w:t>-</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r>
                  <w:rPr>
                    <w:rFonts w:eastAsia="Andale Sans UI" w:cs="Tahoma"/>
                    <w:color w:val="000000"/>
                    <w:szCs w:val="24"/>
                    <w:lang w:bidi="en-US"/>
                  </w:rPr>
                  <w:t>(17)-D8(E)-</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jc w:val="both"/>
                  <w:rPr>
                    <w:rFonts w:eastAsia="Andale Sans UI" w:cs="Tahoma"/>
                    <w:b/>
                    <w:bCs/>
                    <w:caps/>
                    <w:szCs w:val="24"/>
                    <w:lang w:bidi="en-US"/>
                  </w:rPr>
                </w:pPr>
                <w:r>
                  <w:rPr>
                    <w:rFonts w:eastAsia="Andale Sans UI" w:cs="Tahoma"/>
                    <w:b/>
                    <w:bCs/>
                    <w:caps/>
                    <w:color w:val="000000"/>
                    <w:szCs w:val="24"/>
                    <w:lang w:bidi="en-US"/>
                  </w:rPr>
                  <w:t>DĖL APLINKOS MINISTRO ĮSAKYMO „gamintojų ir importuotojų organizacijų banko garantijų ar laidavimo draudimo sutarčių, įrodančių, kad bus finansuojamas komunalinių atliekų sraute susidarančių pakuočių atliekų tvarkymas, sudarymo, pateikimo ir jų reikalavimų vykdymo, lėšų, gautų pagal šiuos dokumentus, kaupimo, naudojimo ir grąžinimo tvarkos aprašo patvirtinimo“ PROJEKTO derinimo</w:t>
                </w:r>
              </w:p>
            </w:tc>
          </w:tr>
        </w:tbl>
        <w:p>
          <w:pPr>
            <w:jc w:val="both"/>
            <w:rPr>
              <w:rFonts w:eastAsia="Andale Sans UI" w:cs="Tahoma"/>
              <w:szCs w:val="24"/>
              <w:lang w:bidi="en-US"/>
            </w:rPr>
          </w:pPr>
        </w:p>
        <w:p>
          <w:pPr>
            <w:ind w:firstLine="709"/>
            <w:jc w:val="both"/>
            <w:rPr>
              <w:szCs w:val="24"/>
              <w:lang w:bidi="en-US"/>
            </w:rPr>
          </w:pPr>
        </w:p>
      </w:sdtContent>
    </w:sdt>
    <w:sdt>
      <w:sdtPr>
        <w:alias w:val="pastraipa"/>
        <w:tag w:val="part_4642f661bf0b4a40962e27f9fabefecc"/>
        <w:lock w:val="sdtLocked"/>
        <w:richText/>
      </w:sdtPr>
      <w:sdtContent>
        <w:p>
          <w:pPr>
            <w:ind w:firstLine="567"/>
            <w:jc w:val="both"/>
            <w:rPr>
              <w:szCs w:val="24"/>
              <w:lang w:eastAsia="lt-LT" w:bidi="en-US"/>
            </w:rPr>
          </w:pPr>
          <w:r>
            <w:rPr>
              <w:szCs w:val="24"/>
              <w:lang w:bidi="en-US"/>
            </w:rPr>
            <w:t xml:space="preserve">Aplinkos ministerija teikia derinti po gautų pastabų ir pasiūlymų atnaujintą Lietuvos Respublikos aplinkos ministro įsakymo „Dėl gamintojų ir importuotojų organizacijų banko garantijų ar laidavimo draudimo sutarčių, įrodančių, kad bus finansuojamas komunalinių atliekų sraute susidarančių pakuočių atliekų tvarkymas, sudarymo, pateikimo ir jų reikalavimų vykdymo, lėšų, gautų pagal šiuos dokumentus, kaupimo, naudojimo ir grąžinimo tvarkos aprašo patvirtinimo“ projektą </w:t>
          </w:r>
          <w:r>
            <w:rPr>
              <w:szCs w:val="24"/>
              <w:lang w:eastAsia="lt-LT" w:bidi="en-US"/>
            </w:rPr>
            <w:t>(toliau – Projektas).</w:t>
          </w:r>
        </w:p>
      </w:sdtContent>
    </w:sdt>
    <w:sdt>
      <w:sdtPr>
        <w:alias w:val="pastraipa"/>
        <w:tag w:val="part_e91590e1e9a84591b33a5168d42917cf"/>
        <w:lock w:val="sdtLocked"/>
        <w:richText/>
      </w:sdtPr>
      <w:sdtContent>
        <w:p>
          <w:pPr>
            <w:ind w:firstLine="567"/>
            <w:jc w:val="both"/>
            <w:rPr>
              <w:bCs/>
              <w:color w:val="000000"/>
              <w:kern w:val="2"/>
              <w:szCs w:val="24"/>
              <w:lang w:eastAsia="lt-LT" w:bidi="en-US"/>
            </w:rPr>
          </w:pPr>
          <w:r>
            <w:rPr>
              <w:bCs/>
              <w:color w:val="000000"/>
              <w:kern w:val="2"/>
              <w:szCs w:val="24"/>
              <w:lang w:eastAsia="lt-LT" w:bidi="en-US"/>
            </w:rPr>
            <w:t xml:space="preserve">Gautos pastabos ir pasiūlymai pirminei Projekto redakcijai: </w:t>
          </w:r>
        </w:p>
      </w:sdtContent>
    </w:sdt>
    <w:sdt>
      <w:sdtPr>
        <w:alias w:val="pastraipa"/>
        <w:tag w:val="part_603881e8adfd48aaae88bf58e990b1c6"/>
        <w:lock w:val="sdtLocked"/>
        <w:richText/>
      </w:sdtPr>
      <w:sdtContent>
        <w:p>
          <w:pPr>
            <w:ind w:firstLine="567"/>
            <w:jc w:val="both"/>
            <w:rPr>
              <w:bCs/>
              <w:color w:val="000000"/>
              <w:kern w:val="2"/>
              <w:szCs w:val="24"/>
              <w:lang w:eastAsia="lt-LT" w:bidi="en-US"/>
            </w:rPr>
          </w:pPr>
          <w:r>
            <w:rPr>
              <w:bCs/>
              <w:color w:val="000000"/>
              <w:kern w:val="2"/>
              <w:szCs w:val="24"/>
              <w:lang w:eastAsia="lt-LT" w:bidi="en-US"/>
            </w:rPr>
            <w:t xml:space="preserve">- Teisingumo ministerija, Konkurencijos taryba ir  Aplinkos apsaugos departamentas raštu informavo, kad pastabų ir pasiūlymų įsakymo projektui neturi; </w:t>
          </w:r>
        </w:p>
      </w:sdtContent>
    </w:sdt>
    <w:sdt>
      <w:sdtPr>
        <w:alias w:val="pastraipa"/>
        <w:tag w:val="part_4bd65814a039467c88be3063255d711f"/>
        <w:lock w:val="sdtLocked"/>
        <w:richText/>
      </w:sdtPr>
      <w:sdtContent>
        <w:p>
          <w:pPr>
            <w:ind w:firstLine="567"/>
            <w:jc w:val="both"/>
            <w:rPr>
              <w:bCs/>
              <w:color w:val="000000"/>
              <w:kern w:val="2"/>
              <w:szCs w:val="24"/>
              <w:lang w:eastAsia="lt-LT" w:bidi="en-US"/>
            </w:rPr>
          </w:pPr>
          <w:r>
            <w:rPr>
              <w:bCs/>
              <w:color w:val="000000"/>
              <w:kern w:val="2"/>
              <w:szCs w:val="24"/>
              <w:lang w:eastAsia="lt-LT" w:bidi="en-US"/>
            </w:rPr>
            <w:t xml:space="preserve">- į Finansų ministerijos, Lietuvos draudikų asociacijos, Ekonomikos ir inovacijų ministerijos, Lietuvos bankų asociacijos pastabas atsižvelgta; </w:t>
          </w:r>
        </w:p>
      </w:sdtContent>
    </w:sdt>
    <w:sdt>
      <w:sdtPr>
        <w:alias w:val="pastraipa"/>
        <w:tag w:val="part_7d78efcc74c146c5a157239a9e83e746"/>
        <w:lock w:val="sdtLocked"/>
        <w:richText/>
      </w:sdtPr>
      <w:sdtContent>
        <w:p>
          <w:pPr>
            <w:ind w:firstLine="567"/>
            <w:jc w:val="both"/>
            <w:rPr>
              <w:bCs/>
              <w:color w:val="000000"/>
              <w:kern w:val="2"/>
              <w:szCs w:val="24"/>
              <w:lang w:eastAsia="lt-LT" w:bidi="en-US"/>
            </w:rPr>
          </w:pPr>
          <w:r>
            <w:rPr>
              <w:bCs/>
              <w:color w:val="000000"/>
              <w:kern w:val="2"/>
              <w:szCs w:val="24"/>
              <w:lang w:eastAsia="lt-LT" w:bidi="en-US"/>
            </w:rPr>
            <w:t xml:space="preserve">- į Specialiųjų tyrimų tarnybos, Lietuvos banko, UAB „VAATC“, Vilniaus miesto savivaldybės, VšĮ „Žaliasis taškas“, Lietuvos regioninių atliekų tvarkymo centrų asociacijos pastabas atsižvelgta iš dalies; </w:t>
          </w:r>
        </w:p>
      </w:sdtContent>
    </w:sdt>
    <w:sdt>
      <w:sdtPr>
        <w:alias w:val="pastraipa"/>
        <w:tag w:val="part_d7b991a51f7541b1ba1a5b7596d92708"/>
        <w:lock w:val="sdtLocked"/>
        <w:richText/>
      </w:sdtPr>
      <w:sdtContent>
        <w:p>
          <w:pPr>
            <w:ind w:firstLine="567"/>
            <w:jc w:val="both"/>
            <w:rPr>
              <w:bCs/>
              <w:color w:val="000000"/>
              <w:kern w:val="2"/>
              <w:szCs w:val="24"/>
              <w:lang w:eastAsia="lt-LT" w:bidi="en-US"/>
            </w:rPr>
          </w:pPr>
          <w:r>
            <w:rPr>
              <w:bCs/>
              <w:color w:val="000000"/>
              <w:kern w:val="2"/>
              <w:szCs w:val="24"/>
              <w:lang w:eastAsia="lt-LT" w:bidi="en-US"/>
            </w:rPr>
            <w:t xml:space="preserve">- į Lietuvos savivaldybių asociacijos, VšĮ „Pakuočių tvarkymo organizacija“ pastabas neatsižvelgta; </w:t>
          </w:r>
        </w:p>
      </w:sdtContent>
    </w:sdt>
    <w:sdt>
      <w:sdtPr>
        <w:alias w:val="pastraipa"/>
        <w:tag w:val="part_64ca571213664924b22ce2a28a2051be"/>
        <w:lock w:val="sdtLocked"/>
        <w:richText/>
      </w:sdtPr>
      <w:sdtContent>
        <w:p>
          <w:pPr>
            <w:ind w:firstLine="567"/>
            <w:jc w:val="both"/>
            <w:rPr>
              <w:bCs/>
              <w:color w:val="000000"/>
              <w:kern w:val="2"/>
              <w:szCs w:val="24"/>
              <w:lang w:eastAsia="lt-LT" w:bidi="en-US"/>
            </w:rPr>
          </w:pPr>
          <w:r>
            <w:rPr>
              <w:bCs/>
              <w:color w:val="000000"/>
              <w:kern w:val="2"/>
              <w:szCs w:val="24"/>
              <w:lang w:eastAsia="lt-LT" w:bidi="en-US"/>
            </w:rPr>
            <w:t xml:space="preserve">- į Aplinkos apsaugos agentūros pastabas atsižvelgta iš dalies, kitos pastabos suderintos darbine tvarka; </w:t>
          </w:r>
        </w:p>
      </w:sdtContent>
    </w:sdt>
    <w:sdt>
      <w:sdtPr>
        <w:alias w:val="pastraipa"/>
        <w:tag w:val="part_dd2e7a50e52b4cf6bc9177b781174b58"/>
        <w:lock w:val="sdtLocked"/>
        <w:richText/>
      </w:sdtPr>
      <w:sdtContent>
        <w:p>
          <w:pPr>
            <w:ind w:firstLine="567"/>
            <w:jc w:val="both"/>
            <w:rPr>
              <w:bCs/>
              <w:color w:val="000000"/>
              <w:kern w:val="2"/>
              <w:szCs w:val="24"/>
              <w:lang w:eastAsia="lt-LT" w:bidi="en-US"/>
            </w:rPr>
          </w:pPr>
          <w:r>
            <w:rPr>
              <w:bCs/>
              <w:color w:val="000000"/>
              <w:kern w:val="2"/>
              <w:szCs w:val="24"/>
              <w:lang w:eastAsia="lt-LT" w:bidi="en-US"/>
            </w:rPr>
            <w:t>- kitos institucijos, kurioms pirminė Projekto redakcija buvo teikta derinti, pastabų ir pasiūlymų nepateikė.</w:t>
          </w:r>
        </w:p>
      </w:sdtContent>
    </w:sdt>
    <w:sdt>
      <w:sdtPr>
        <w:alias w:val="pastraipa"/>
        <w:tag w:val="part_3707f53ed7624213860cc522ffee58db"/>
        <w:lock w:val="sdtLocked"/>
        <w:richText/>
      </w:sdtPr>
      <w:sdtContent>
        <w:p>
          <w:pPr>
            <w:ind w:firstLine="567"/>
            <w:jc w:val="both"/>
            <w:rPr>
              <w:szCs w:val="24"/>
              <w:lang w:eastAsia="lt-LT"/>
            </w:rPr>
          </w:pPr>
          <w:r>
            <w:rPr>
              <w:szCs w:val="24"/>
              <w:lang w:eastAsia="lt-LT" w:bidi="en-US"/>
            </w:rPr>
            <w:t>Projektas</w:t>
          </w:r>
          <w:r>
            <w:rPr>
              <w:szCs w:val="24"/>
              <w:lang w:eastAsia="lt-LT"/>
            </w:rPr>
            <w:t xml:space="preserve"> parengtas įgyvendinant Pakuočių ir pakuočių atliekų tvarkymo įstatymo Nr. IX 517 2, 4, 4</w:t>
          </w:r>
          <w:r>
            <w:rPr>
              <w:szCs w:val="24"/>
              <w:vertAlign w:val="superscript"/>
              <w:lang w:eastAsia="lt-LT"/>
            </w:rPr>
            <w:t>2</w:t>
          </w:r>
          <w:r>
            <w:rPr>
              <w:szCs w:val="24"/>
              <w:lang w:eastAsia="lt-LT"/>
            </w:rPr>
            <w:t>, 7, 10, 11</w:t>
          </w:r>
          <w:r>
            <w:rPr>
              <w:szCs w:val="24"/>
              <w:vertAlign w:val="superscript"/>
              <w:lang w:eastAsia="lt-LT"/>
            </w:rPr>
            <w:t>2</w:t>
          </w:r>
          <w:r>
            <w:rPr>
              <w:szCs w:val="24"/>
              <w:lang w:eastAsia="lt-LT"/>
            </w:rPr>
            <w:t xml:space="preserve"> straipsnių ir 2 priedo pakeitimo įstatymo Nr. XIV-408 5 straipsnio 5 dalį ir 8 straipsnio 2 ir 3 dalis. Atkreipiamas dėmesys, kad Projekto preambulė bus papildyta aktualiu Lietuvos Respublikos Vyriausybės 2001 m. gruodžio 21 d. nutarimo Nr. 1574 „Dėl įgaliojimų suteikimo įgyvendinant Lietuvos Respublikos pakuočių ir pakuočių atliekų tvarkymo įstatymą“ punktu, kai bus priimtas minimo nutarimo pakeitimas</w:t>
          </w:r>
          <w:r>
            <w:rPr>
              <w:szCs w:val="24"/>
              <w:vertAlign w:val="superscript"/>
              <w:lang w:eastAsia="lt-LT"/>
            </w:rPr>
            <w:footnoteReference w:id="1"/>
          </w:r>
          <w:r>
            <w:rPr>
              <w:szCs w:val="24"/>
              <w:lang w:eastAsia="lt-LT"/>
            </w:rPr>
            <w:t>.</w:t>
          </w:r>
        </w:p>
        <w:p>
          <w:pPr>
            <w:ind w:firstLine="567"/>
            <w:jc w:val="both"/>
            <w:rPr>
              <w:szCs w:val="24"/>
              <w:lang w:eastAsia="lt-LT"/>
            </w:rPr>
          </w:pPr>
        </w:p>
      </w:sdtContent>
    </w:sdt>
    <w:sdt>
      <w:sdtPr>
        <w:alias w:val="pastraipa"/>
        <w:tag w:val="part_85f5492b0cdd4ff9924a56920567209f"/>
        <w:lock w:val="sdtLocked"/>
        <w:richText/>
      </w:sdtPr>
      <w:sdtContent>
        <w:p>
          <w:pPr>
            <w:ind w:firstLine="567"/>
            <w:jc w:val="both"/>
            <w:rPr>
              <w:szCs w:val="24"/>
            </w:rPr>
          </w:pPr>
          <w:r>
            <w:rPr>
              <w:szCs w:val="24"/>
              <w:lang w:bidi="en-US"/>
            </w:rPr>
            <w:t xml:space="preserve">Projekto tikslas </w:t>
          </w:r>
          <w:r>
            <w:rPr>
              <w:szCs w:val="24"/>
              <w:lang w:eastAsia="lt-LT"/>
            </w:rPr>
            <w:t>–</w:t>
          </w:r>
          <w:r>
            <w:rPr>
              <w:szCs w:val="24"/>
              <w:lang w:bidi="en-US"/>
            </w:rPr>
            <w:t xml:space="preserve"> </w:t>
          </w:r>
          <w:r>
            <w:rPr>
              <w:szCs w:val="24"/>
            </w:rPr>
            <w:t>atsižvelgus į Pakuočių ir pakuočių atliekų tvarkymo įstatymo Nr. IX 517 2, 4, 4</w:t>
          </w:r>
          <w:r>
            <w:rPr>
              <w:szCs w:val="24"/>
              <w:vertAlign w:val="superscript"/>
            </w:rPr>
            <w:t>2</w:t>
          </w:r>
          <w:r>
            <w:rPr>
              <w:szCs w:val="24"/>
            </w:rPr>
            <w:t>, 7, 10, 11</w:t>
          </w:r>
          <w:r>
            <w:rPr>
              <w:szCs w:val="24"/>
              <w:vertAlign w:val="superscript"/>
            </w:rPr>
            <w:t>2</w:t>
          </w:r>
          <w:r>
            <w:rPr>
              <w:szCs w:val="24"/>
            </w:rPr>
            <w:t xml:space="preserve"> straipsnių ir 2 priedo pakeitimo įstatymo Nr. XIV-408 5 straipsnio 5 dalį ir 8 straipsnio 2 ir 3 dalis, patvirtinti gamintojų ir importuotojų organizacijų banko garantijų ar laidavimo draudimo sutarčių, įrodančių, kad bus finansuojamas komunalinių atliekų sraute susidarančių pakuočių atliekų tvarkymas, sudarymo, pateikimo ir jų reikalavimų vykdymo, lėšų, gautų pagal šiuos dokumentus, kaupimo, naudojimo ir grąžinimo tvarkos aprašą.</w:t>
          </w:r>
        </w:p>
      </w:sdtContent>
    </w:sdt>
    <w:sdt>
      <w:sdtPr>
        <w:alias w:val="pastraipa"/>
        <w:tag w:val="part_4a3cb374312f47eb8938a6e1a831c4a8"/>
        <w:lock w:val="sdtLocked"/>
        <w:richText/>
      </w:sdtPr>
      <w:sdtContent>
        <w:p>
          <w:pPr>
            <w:ind w:firstLine="567"/>
            <w:jc w:val="both"/>
            <w:rPr>
              <w:bCs/>
              <w:color w:val="000000"/>
              <w:kern w:val="2"/>
              <w:szCs w:val="24"/>
              <w:lang w:eastAsia="lt-LT" w:bidi="en-US"/>
            </w:rPr>
          </w:pPr>
          <w:r>
            <w:rPr>
              <w:bCs/>
              <w:color w:val="000000"/>
              <w:kern w:val="2"/>
              <w:szCs w:val="24"/>
              <w:lang w:eastAsia="lt-LT" w:bidi="en-US"/>
            </w:rPr>
            <w:t>Projektu siūloma nustatyti:</w:t>
          </w:r>
        </w:p>
      </w:sdtContent>
    </w:sdt>
    <w:sdt>
      <w:sdtPr>
        <w:alias w:val="pastraipa"/>
        <w:tag w:val="part_837fb900746d42a7a0973147b1e7d391"/>
        <w:lock w:val="sdtLocked"/>
        <w:richText/>
      </w:sdtPr>
      <w:sdtContent>
        <w:p>
          <w:pPr>
            <w:ind w:firstLine="567"/>
            <w:jc w:val="both"/>
            <w:rPr>
              <w:bCs/>
              <w:color w:val="000000"/>
              <w:kern w:val="2"/>
              <w:szCs w:val="24"/>
              <w:lang w:eastAsia="lt-LT" w:bidi="en-US"/>
            </w:rPr>
          </w:pPr>
          <w:r>
            <w:rPr>
              <w:bCs/>
              <w:color w:val="000000"/>
              <w:kern w:val="2"/>
              <w:szCs w:val="24"/>
              <w:lang w:eastAsia="lt-LT" w:bidi="en-US"/>
            </w:rPr>
            <w:t>- Gamintojų ir importuotojų organizacijų (</w:t>
          </w:r>
          <w:r>
            <w:rPr>
              <w:rFonts w:eastAsia="Andale Sans UI"/>
              <w:szCs w:val="24"/>
              <w:lang w:eastAsia="lt-LT" w:bidi="en-US"/>
            </w:rPr>
            <w:t xml:space="preserve">toliau – Organizacija) </w:t>
          </w:r>
          <w:r>
            <w:rPr>
              <w:bCs/>
              <w:color w:val="000000"/>
              <w:kern w:val="2"/>
              <w:szCs w:val="24"/>
              <w:lang w:eastAsia="lt-LT" w:bidi="en-US"/>
            </w:rPr>
            <w:t>banko garantijų ar laidavimo draudimo sutarčių, įrodančių, kad bus finansuojamas komunalinių atliekų sraute susidarančių pakuočių atliekų tvarkymas, sudarymo, pateikimo ir jų reikalavimų vykdymo, lėšų, gautų pagal šiuos dokumentus, kaupimo, naudojimo ir grąžinimo tvarką. Tokiu būdu siekiama užtikrinti, kad tais atvejais, kai licencijuotos Organizacijos nevykdytų prievolės finansuoti komunalinių atliekų sraute susidarančių pakuočių atliekų tvarkymą, įskaitant pakuočių atliekų rūšiuojamojo surinkimo sistemos infrastruktūrą, jos įrengimą, atnaujinimą, priežiūrą ir plėtrą, šių paslaugų ir veiklų administravimą (toliau – pakuočių atliekų tvarkymas), būtų galima pakuočių atliekų tvarkymą finansuoti garantijų ar laidavimo draudimo sutartimis garantuotomis lėšomis kaip numatyta Pakuočių ir pakuočių atliekų tvarkymo įstatymo 10 straipsnio 4 dalies 2 ir 3 punktuose ir 5</w:t>
          </w:r>
          <w:r>
            <w:rPr>
              <w:bCs/>
              <w:color w:val="000000"/>
              <w:kern w:val="2"/>
              <w:szCs w:val="24"/>
              <w:vertAlign w:val="superscript"/>
              <w:lang w:eastAsia="lt-LT" w:bidi="en-US"/>
            </w:rPr>
            <w:t xml:space="preserve">1 </w:t>
          </w:r>
          <w:r>
            <w:rPr>
              <w:bCs/>
              <w:color w:val="000000"/>
              <w:kern w:val="2"/>
              <w:szCs w:val="24"/>
              <w:lang w:eastAsia="lt-LT" w:bidi="en-US"/>
            </w:rPr>
            <w:t>dalyje;</w:t>
          </w:r>
        </w:p>
      </w:sdtContent>
    </w:sdt>
    <w:sdt>
      <w:sdtPr>
        <w:alias w:val="pastraipa"/>
        <w:tag w:val="part_0f74bb4f6f274b1fa01d27acffb62095"/>
        <w:lock w:val="sdtLocked"/>
        <w:richText/>
      </w:sdtPr>
      <w:sdtContent>
        <w:p>
          <w:pPr>
            <w:ind w:firstLine="567"/>
            <w:jc w:val="both"/>
            <w:rPr>
              <w:bCs/>
              <w:color w:val="000000"/>
              <w:kern w:val="2"/>
              <w:szCs w:val="24"/>
              <w:lang w:eastAsia="lt-LT" w:bidi="en-US"/>
            </w:rPr>
          </w:pPr>
          <w:r>
            <w:rPr>
              <w:bCs/>
              <w:color w:val="000000"/>
              <w:kern w:val="2"/>
              <w:szCs w:val="24"/>
              <w:lang w:eastAsia="lt-LT" w:bidi="en-US"/>
            </w:rPr>
            <w:t xml:space="preserve">- Organizacijų banko garantijų ar laidavimo draudimo sutarčių, įrodančių, kad bus finansuojamas komunalinių atliekų sraute susidarančių pakuočių atliekų tvarkymas, apskaičiavimo tvarką, atsižvelgiant į tai, ar Organizacijos Projekto priėmimo metu bent 1 kalendorinius metus vykdo licencijuojamą veiklą ir turi pareigą pagal Gamintojų ir importuotojų organizacijos veiklos organizavimo plano, finansavimo schemos ir švietimo programos rengimo, derinimo ir ataskaitų bei informacijos apie jų vykdymą teikimo tvarkos aprašo, patvirtinto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 (toliau – Tvarkos aprašas Nr. D1-57) nustatytą tvarką teikti metines ataskaitas apie praėjusių ataskaitinių metų atliekų tvarkymo veiklos organizavimo plano vykdymą ir atliekų tvarkymo finansavimo schemoje ir visuomenės švietimo ir informavimo atliekų tvarkymo klausimais programoje numatytų priemonių įgyvendinimą (toliau –  licenciją turinti Organizacija), ar Organizacijos pareigos pagal Tvarkos aprašo Nr. D1</w:t>
          </w:r>
          <w:r>
            <w:rPr>
              <w:bCs/>
              <w:color w:val="000000"/>
              <w:kern w:val="2"/>
              <w:szCs w:val="24"/>
              <w:lang w:val="en-US" w:eastAsia="lt-LT" w:bidi="en-US"/>
            </w:rPr>
            <w:t xml:space="preserve">-57 </w:t>
          </w:r>
          <w:r>
            <w:rPr>
              <w:bCs/>
              <w:color w:val="000000"/>
              <w:kern w:val="2"/>
              <w:szCs w:val="24"/>
              <w:lang w:eastAsia="lt-LT" w:bidi="en-US"/>
            </w:rPr>
            <w:t>nustatytą tvarką teikti metines ataskaitas apie praėjusių ataskaitinių metų atliekų tvarkymo veiklos organizavimo plano vykdymą ir atliekų tvarkymo finansavimo schemoje ir visuomenės švietimo ir informavimo atliekų tvarkymo klausimais programoje numatytų priemonių įgyvendinimą neturi (toliau – naujai licenciją gavusi Organizacija). Tokiu būdu išvengiama laikotarpio, kai naujai licenciją gavusi Organizacija neturėtų pareigos pateikti garantijos ar laidavimo draudimo sutarties.</w:t>
          </w:r>
        </w:p>
      </w:sdtContent>
    </w:sdt>
    <w:sdt>
      <w:sdtPr>
        <w:alias w:val="pastraipa"/>
        <w:tag w:val="part_123a8dc78ab34cd59bfa8a8a38709ce7"/>
        <w:lock w:val="sdtLocked"/>
        <w:richText/>
      </w:sdtPr>
      <w:sdtContent>
        <w:p>
          <w:pPr>
            <w:ind w:firstLine="567"/>
            <w:jc w:val="both"/>
            <w:rPr>
              <w:bCs/>
              <w:color w:val="000000"/>
              <w:kern w:val="2"/>
              <w:szCs w:val="24"/>
              <w:lang w:eastAsia="lt-LT" w:bidi="en-US"/>
            </w:rPr>
          </w:pPr>
          <w:r>
            <w:rPr>
              <w:bCs/>
              <w:color w:val="000000"/>
              <w:kern w:val="2"/>
              <w:szCs w:val="24"/>
              <w:lang w:eastAsia="lt-LT" w:bidi="en-US"/>
            </w:rPr>
            <w:t>Projektu neperkeliami ir neįgyvendinami Europos Sąjungos teisės aktai, Projektas nenotifikuotinas.</w:t>
          </w:r>
        </w:p>
      </w:sdtContent>
    </w:sdt>
    <w:sdt>
      <w:sdtPr>
        <w:alias w:val="pastraipa"/>
        <w:tag w:val="part_3792999953f9446baa7870d3f5808f82"/>
        <w:lock w:val="sdtLocked"/>
        <w:richText/>
      </w:sdtPr>
      <w:sdtContent>
        <w:p>
          <w:pPr>
            <w:ind w:firstLine="567"/>
            <w:jc w:val="both"/>
            <w:rPr>
              <w:bCs/>
              <w:color w:val="000000"/>
              <w:kern w:val="2"/>
              <w:szCs w:val="24"/>
              <w:lang w:eastAsia="lt-LT" w:bidi="en-US"/>
            </w:rPr>
          </w:pPr>
          <w:r>
            <w:rPr>
              <w:bCs/>
              <w:color w:val="000000"/>
              <w:kern w:val="2"/>
              <w:szCs w:val="24"/>
              <w:lang w:eastAsia="lt-LT" w:bidi="en-US"/>
            </w:rPr>
            <w:t>Priėmus Projektą, kitų teisės aktų priimti nereikės.</w:t>
          </w:r>
        </w:p>
      </w:sdtContent>
    </w:sdt>
    <w:sdt>
      <w:sdtPr>
        <w:alias w:val="pastraipa"/>
        <w:tag w:val="part_2063ebc140b34a669dc0c58e96f638c4"/>
        <w:lock w:val="sdtLocked"/>
        <w:richText/>
      </w:sdtPr>
      <w:sdtContent>
        <w:p>
          <w:pPr>
            <w:ind w:firstLine="567"/>
            <w:jc w:val="both"/>
            <w:rPr>
              <w:bCs/>
              <w:color w:val="000000"/>
              <w:kern w:val="2"/>
              <w:szCs w:val="24"/>
              <w:lang w:eastAsia="lt-LT" w:bidi="en-US"/>
            </w:rPr>
          </w:pPr>
          <w:r>
            <w:rPr>
              <w:bCs/>
              <w:color w:val="000000"/>
              <w:kern w:val="2"/>
              <w:szCs w:val="24"/>
              <w:lang w:eastAsia="lt-LT" w:bidi="en-US"/>
            </w:rPr>
            <w:t xml:space="preserve">Projektas parengtas laikantis Lietuvos Respublikos valstybinės kalbos, Teisėkūros pagrindų įstatymo reikalavimų ir atitinka bendrinės lietuvių kalbos normas. </w:t>
          </w:r>
        </w:p>
      </w:sdtContent>
    </w:sdt>
    <w:sdt>
      <w:sdtPr>
        <w:alias w:val="pastraipa"/>
        <w:tag w:val="part_1bf60dcc484e4630b33de6b4c40bedd2"/>
        <w:lock w:val="sdtLocked"/>
        <w:richText/>
      </w:sdtPr>
      <w:sdtContent>
        <w:p>
          <w:pPr>
            <w:ind w:firstLine="567"/>
            <w:jc w:val="both"/>
            <w:rPr>
              <w:rFonts w:eastAsia="Andale Sans UI"/>
              <w:szCs w:val="24"/>
              <w:lang w:bidi="en-US"/>
            </w:rPr>
          </w:pPr>
          <w:r>
            <w:rPr>
              <w:rFonts w:eastAsia="Andale Sans UI"/>
              <w:szCs w:val="24"/>
              <w:lang w:bidi="en-US"/>
            </w:rPr>
            <w:t>Projekte sąvokos neįtvirtinamos.</w:t>
          </w:r>
        </w:p>
      </w:sdtContent>
    </w:sdt>
    <w:sdt>
      <w:sdtPr>
        <w:alias w:val="pastraipa"/>
        <w:tag w:val="part_b7b183959fdb4c65b95b9a705dd3a082"/>
        <w:lock w:val="sdtLocked"/>
        <w:richText/>
      </w:sdtPr>
      <w:sdtContent>
        <w:p>
          <w:pPr>
            <w:ind w:firstLine="567"/>
            <w:jc w:val="both"/>
            <w:rPr>
              <w:rFonts w:eastAsia="Andale Sans UI"/>
              <w:szCs w:val="24"/>
              <w:lang w:bidi="en-US"/>
            </w:rPr>
          </w:pPr>
          <w:r>
            <w:rPr>
              <w:rFonts w:eastAsia="Andale Sans UI"/>
              <w:szCs w:val="24"/>
              <w:lang w:bidi="en-US"/>
            </w:rPr>
            <w:t>Projektas neprieštarauja Vyriausybės programos nuostatoms.</w:t>
          </w:r>
        </w:p>
      </w:sdtContent>
    </w:sdt>
    <w:sdt>
      <w:sdtPr>
        <w:alias w:val="pastraipa"/>
        <w:tag w:val="part_88eb2a09dc554100b60bc7023d4546e2"/>
        <w:lock w:val="sdtLocked"/>
        <w:richText/>
      </w:sdtPr>
      <w:sdtContent>
        <w:p>
          <w:pPr>
            <w:widowControl w:val="0"/>
            <w:suppressAutoHyphens/>
            <w:ind w:firstLine="567"/>
            <w:jc w:val="both"/>
            <w:rPr>
              <w:rFonts w:eastAsia="Andale Sans UI"/>
              <w:szCs w:val="24"/>
              <w:lang w:eastAsia="lt-LT" w:bidi="en-US"/>
            </w:rPr>
          </w:pPr>
          <w:r>
            <w:rPr>
              <w:rFonts w:eastAsia="Andale Sans UI"/>
              <w:szCs w:val="24"/>
              <w:lang w:bidi="en-US"/>
            </w:rPr>
            <w:t xml:space="preserve">Projektas </w:t>
          </w:r>
          <w:r>
            <w:rPr>
              <w:rFonts w:eastAsia="Andale Sans UI"/>
              <w:szCs w:val="24"/>
              <w:lang w:eastAsia="lt-LT" w:bidi="en-US"/>
            </w:rPr>
            <w:t xml:space="preserve">paskelbtas Seimo kanceliarijos teisės aktų informacinėje sistemoje (TAIS) </w:t>
          </w:r>
          <w:r>
            <w:rPr>
              <w:rFonts w:eastAsia="Andale Sans UI"/>
              <w:szCs w:val="24"/>
              <w:lang w:bidi="en-US"/>
            </w:rPr>
            <w:t>susipažinti suinteresuotoms institucijoms ir visuomenei</w:t>
          </w:r>
          <w:r>
            <w:rPr>
              <w:rFonts w:eastAsia="Andale Sans UI"/>
              <w:szCs w:val="24"/>
              <w:lang w:eastAsia="lt-LT" w:bidi="en-US"/>
            </w:rPr>
            <w:t xml:space="preserve">. </w:t>
          </w:r>
        </w:p>
      </w:sdtContent>
    </w:sdt>
    <w:sdt>
      <w:sdtPr>
        <w:alias w:val="pastraipa"/>
        <w:tag w:val="part_06dcc4db33624838a43c61e344798b9d"/>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Prašome išnagrinėti Projektą ir pastabas ir (ar) pasiūlymus dėl Projekto nuostatų pagal kompetenciją pateikti </w:t>
          </w:r>
          <w:r>
            <w:rPr>
              <w:rFonts w:eastAsia="Andale Sans UI"/>
              <w:b/>
              <w:szCs w:val="24"/>
              <w:lang w:bidi="en-US"/>
            </w:rPr>
            <w:t>ne vėliau kaip per 10 darbo dienų</w:t>
          </w:r>
          <w:r>
            <w:rPr>
              <w:rFonts w:eastAsia="Andale Sans UI"/>
              <w:szCs w:val="24"/>
              <w:lang w:bidi="en-US"/>
            </w:rPr>
            <w:t xml:space="preserve"> nuo Projekto paskelbimo TAIS dienos. Per nurodytą terminą negavę pastabų ir pasiūlymų, laikysime, kad pastabų ir pasiūlymų Projektui neturite.</w:t>
          </w:r>
        </w:p>
      </w:sdtContent>
    </w:sdt>
    <w:sdt>
      <w:sdtPr>
        <w:alias w:val="pastraipa"/>
        <w:tag w:val="part_88e5d2f4f10b4bf09a741048ef5a026b"/>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Projektą parengė Aplinkos ministerijos Strateginių pokyčių grupės (vadovas Aurimas Saladžius tel. 8 696 59321; el. paštas: aurimas.saladzius@am.lt) projektų vadovė Greta Česnaitytė (tel. 8 696 85134; el. paštas: greta.cesnaityte@am.lt), Atliekų politikos grupės (vadovė Vilma Slavinskienė, tel. 8 698 75027, el. p. </w:t>
          </w:r>
          <w:r>
            <w:rPr>
              <w:rFonts w:eastAsia="Andale Sans UI"/>
              <w:szCs w:val="24"/>
              <w:lang w:bidi="en-US"/>
            </w:rPr>
            <w:t>vilma.slavinskiene@am.lt</w:t>
          </w:r>
          <w:r>
            <w:rPr>
              <w:rFonts w:eastAsia="Andale Sans UI"/>
              <w:szCs w:val="24"/>
              <w:lang w:bidi="en-US"/>
            </w:rPr>
            <w:t xml:space="preserve">) vyriausioji patarėja Neringa Paškauskaitė (tel. 8 696 63217, el. p. </w:t>
          </w:r>
          <w:r>
            <w:rPr>
              <w:rFonts w:eastAsia="Andale Sans UI"/>
              <w:color w:val="000080"/>
              <w:szCs w:val="24"/>
              <w:u w:val="single"/>
              <w:lang w:bidi="en-US"/>
            </w:rPr>
            <w:t>neringa.paskauskaite@am.lt</w:t>
          </w:r>
          <w:r>
            <w:rPr>
              <w:rFonts w:eastAsia="Andale Sans UI"/>
              <w:szCs w:val="24"/>
              <w:lang w:bidi="en-US"/>
            </w:rPr>
            <w:t>).</w:t>
          </w:r>
        </w:p>
        <w:p>
          <w:pPr>
            <w:widowControl w:val="0"/>
            <w:suppressAutoHyphens/>
            <w:ind w:firstLine="567"/>
            <w:jc w:val="both"/>
            <w:rPr>
              <w:rFonts w:eastAsia="Andale Sans UI"/>
              <w:szCs w:val="24"/>
              <w:lang w:bidi="en-US"/>
            </w:rPr>
          </w:pPr>
        </w:p>
      </w:sdtContent>
    </w:sdt>
    <w:sdt>
      <w:sdtPr>
        <w:alias w:val="pastraipa"/>
        <w:tag w:val="part_cc6b9bdd155f4565bcefab69bd942526"/>
        <w:lock w:val="sdtLocked"/>
        <w:richText/>
      </w:sdtPr>
      <w:sdtContent>
        <w:p>
          <w:pPr>
            <w:ind w:firstLine="567"/>
            <w:jc w:val="both"/>
            <w:rPr>
              <w:rFonts w:eastAsia="Calibri"/>
              <w:color w:val="000000"/>
              <w:szCs w:val="24"/>
              <w:lang w:bidi="en-US"/>
            </w:rPr>
          </w:pPr>
          <w:r>
            <w:rPr>
              <w:rFonts w:eastAsia="Calibri"/>
              <w:color w:val="000000"/>
              <w:szCs w:val="24"/>
              <w:lang w:bidi="en-US"/>
            </w:rPr>
            <w:t>PRIDEDAMA:</w:t>
          </w:r>
        </w:p>
        <w:sdt>
          <w:sdtPr>
            <w:alias w:val="1 p."/>
            <w:tag w:val="part_7593b6a0c01b4dc1a1b12e580d9c5ed7"/>
            <w:lock w:val="sdtLocked"/>
            <w:richText/>
          </w:sdtPr>
          <w:sdtContent>
            <w:p>
              <w:pPr>
                <w:ind w:firstLine="567"/>
                <w:jc w:val="both"/>
                <w:rPr>
                  <w:rFonts w:eastAsia="Calibri"/>
                  <w:color w:val="000000"/>
                  <w:szCs w:val="24"/>
                  <w:lang w:bidi="en-US"/>
                </w:rPr>
              </w:pPr>
              <w:sdt>
                <w:sdtPr>
                  <w:alias w:val="Numeris"/>
                  <w:tag w:val="nr_7593b6a0c01b4dc1a1b12e580d9c5ed7"/>
                  <w:lock w:val="sdtLocked"/>
                  <w:richText/>
                </w:sdtPr>
                <w:sdtContent>
                  <w:r>
                    <w:rPr>
                      <w:rFonts w:eastAsia="Calibri"/>
                      <w:color w:val="000000"/>
                      <w:szCs w:val="24"/>
                      <w:lang w:bidi="en-US"/>
                    </w:rPr>
                    <w:t>1</w:t>
                  </w:r>
                </w:sdtContent>
              </w:sdt>
              <w:r>
                <w:rPr>
                  <w:rFonts w:eastAsia="Calibri"/>
                  <w:color w:val="000000"/>
                  <w:szCs w:val="24"/>
                  <w:lang w:bidi="en-US"/>
                </w:rPr>
                <w:t xml:space="preserve">. Projektas, </w:t>
              </w:r>
              <w:r>
                <w:rPr>
                  <w:rFonts w:eastAsia="Calibri"/>
                  <w:color w:val="000000"/>
                  <w:szCs w:val="24"/>
                  <w:lang w:val="en-US" w:bidi="en-US"/>
                </w:rPr>
                <w:t>10</w:t>
              </w:r>
              <w:r>
                <w:rPr>
                  <w:rFonts w:eastAsia="Calibri"/>
                  <w:color w:val="000000"/>
                  <w:szCs w:val="24"/>
                  <w:lang w:bidi="en-US"/>
                </w:rPr>
                <w:t xml:space="preserve"> lapų.</w:t>
              </w:r>
            </w:p>
          </w:sdtContent>
        </w:sdt>
        <w:sdt>
          <w:sdtPr>
            <w:alias w:val="2 p."/>
            <w:tag w:val="part_a41b084bfcf54fcaa6d984395159f97c"/>
            <w:lock w:val="sdtLocked"/>
            <w:richText/>
          </w:sdtPr>
          <w:sdtContent>
            <w:p>
              <w:pPr>
                <w:ind w:firstLine="567"/>
                <w:jc w:val="both"/>
                <w:rPr>
                  <w:rFonts w:eastAsia="Andale Sans UI" w:cs="Tahoma"/>
                  <w:bCs/>
                  <w:szCs w:val="24"/>
                  <w:lang w:bidi="en-US"/>
                </w:rPr>
              </w:pPr>
              <w:sdt>
                <w:sdtPr>
                  <w:alias w:val="Numeris"/>
                  <w:tag w:val="nr_a41b084bfcf54fcaa6d984395159f97c"/>
                  <w:lock w:val="sdtLocked"/>
                  <w:richText/>
                </w:sdtPr>
                <w:sdtContent>
                  <w:r>
                    <w:rPr>
                      <w:rFonts w:eastAsia="Calibri"/>
                      <w:color w:val="000000"/>
                      <w:szCs w:val="24"/>
                      <w:lang w:bidi="en-US"/>
                    </w:rPr>
                    <w:t>2</w:t>
                  </w:r>
                </w:sdtContent>
              </w:sdt>
              <w:r>
                <w:rPr>
                  <w:rFonts w:eastAsia="Calibri"/>
                  <w:color w:val="000000"/>
                  <w:szCs w:val="24"/>
                  <w:lang w:bidi="en-US"/>
                </w:rPr>
                <w:t xml:space="preserve">. </w:t>
              </w:r>
              <w:r>
                <w:rPr>
                  <w:rFonts w:eastAsia="Andale Sans UI" w:cs="Tahoma"/>
                  <w:bCs/>
                  <w:szCs w:val="24"/>
                  <w:lang w:bidi="en-US"/>
                </w:rPr>
                <w:t xml:space="preserve">Derinimo pažyma, </w:t>
              </w:r>
              <w:r>
                <w:rPr>
                  <w:rFonts w:eastAsia="Andale Sans UI" w:cs="Tahoma"/>
                  <w:bCs/>
                  <w:szCs w:val="24"/>
                  <w:lang w:val="en-US" w:bidi="en-US"/>
                </w:rPr>
                <w:t>11</w:t>
              </w:r>
              <w:r>
                <w:rPr>
                  <w:rFonts w:eastAsia="Andale Sans UI" w:cs="Tahoma"/>
                  <w:bCs/>
                  <w:szCs w:val="24"/>
                  <w:lang w:bidi="en-US"/>
                </w:rPr>
                <w:t xml:space="preserve"> lapų.</w:t>
              </w:r>
            </w:p>
            <w:p>
              <w:pPr>
                <w:suppressLineNumbers/>
                <w:ind w:firstLine="567"/>
                <w:jc w:val="both"/>
                <w:rPr>
                  <w:rFonts w:eastAsia="Andale Sans UI" w:cs="Tahoma"/>
                  <w:bCs/>
                  <w:szCs w:val="24"/>
                  <w:lang w:bidi="en-US"/>
                </w:rPr>
              </w:pPr>
            </w:p>
            <w:p>
              <w:pPr>
                <w:suppressLineNumbers/>
                <w:ind w:firstLine="567"/>
                <w:jc w:val="both"/>
                <w:rPr>
                  <w:rFonts w:eastAsia="Andale Sans UI" w:cs="Tahoma"/>
                  <w:bCs/>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cs="Tahoma"/>
                        <w:szCs w:val="24"/>
                        <w:lang w:bidi="en-US"/>
                      </w:rPr>
                    </w:pPr>
                    <w:r>
                      <w:rPr>
                        <w:rFonts w:eastAsia="Andale Sans UI" w:cs="Tahoma"/>
                        <w:szCs w:val="24"/>
                        <w:lang w:bidi="en-US"/>
                      </w:rPr>
                      <w:t>Aplinkos viceministrė</w:t>
                    </w:r>
                  </w:p>
                </w:tc>
                <w:tc>
                  <w:tcPr>
                    <w:tcW w:w="4826" w:type="dxa"/>
                    <w:vAlign w:val="bottom"/>
                  </w:tcPr>
                  <w:p>
                    <w:pPr>
                      <w:ind w:right="34"/>
                      <w:jc w:val="right"/>
                      <w:rPr>
                        <w:rFonts w:eastAsia="Andale Sans UI" w:cs="Tahoma"/>
                        <w:szCs w:val="24"/>
                        <w:lang w:bidi="en-US"/>
                      </w:rPr>
                    </w:pPr>
                    <w:r>
                      <w:rPr>
                        <w:rFonts w:eastAsia="Andale Sans UI" w:cs="Tahoma"/>
                        <w:szCs w:val="24"/>
                        <w:lang w:bidi="en-US"/>
                      </w:rPr>
                      <w:t xml:space="preserve">Raminta Radavičienė         </w:t>
                    </w:r>
                  </w:p>
                </w:tc>
              </w:tr>
            </w:tbl>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jc w:val="both"/>
                      <w:rPr>
                        <w:rFonts w:eastAsia="Andale Sans UI" w:cs="Tahoma"/>
                        <w:szCs w:val="24"/>
                        <w:lang w:bidi="en-US"/>
                      </w:rPr>
                    </w:pPr>
                    <w:r>
                      <w:rPr>
                        <w:rFonts w:eastAsia="Andale Sans UI" w:cs="Tahoma"/>
                        <w:szCs w:val="24"/>
                        <w:lang w:bidi="en-US"/>
                      </w:rPr>
                      <w:t>G. Česnaitytė, 8 696 85134; el. p. greta.cesnaityte@am.lt</w:t>
                    </w:r>
                  </w:p>
                  <w:p>
                    <w:pPr>
                      <w:jc w:val="both"/>
                      <w:rPr>
                        <w:rFonts w:eastAsia="Andale Sans UI" w:cs="Tahoma"/>
                        <w:szCs w:val="24"/>
                        <w:lang w:bidi="en-US"/>
                      </w:rPr>
                    </w:pPr>
                    <w:r>
                      <w:rPr>
                        <w:rFonts w:eastAsia="Andale Sans UI" w:cs="Tahoma"/>
                        <w:szCs w:val="24"/>
                        <w:lang w:bidi="en-US"/>
                      </w:rPr>
                      <w:t>N. Paškauskaitė, 8 696 63217, el. p. neringa.paskauskaite@am.lt</w:t>
                    </w:r>
                  </w:p>
                  <w:p>
                    <w:pPr>
                      <w:suppressLineNumbers/>
                      <w:jc w:val="both"/>
                      <w:rPr>
                        <w:rFonts w:eastAsia="Andale Sans UI" w:cs="Tahoma"/>
                        <w:szCs w:val="24"/>
                        <w:lang w:bidi="en-US"/>
                      </w:rPr>
                    </w:pPr>
                  </w:p>
                </w:tc>
              </w:tr>
            </w:tbl>
            <w:p>
              <w:pPr>
                <w:widowControl w:val="0"/>
                <w:suppressAutoHyphens/>
                <w:jc w:val="both"/>
                <w:rPr>
                  <w:rFonts w:eastAsia="Andale Sans UI" w:cs="Tahoma"/>
                  <w:b/>
                  <w:szCs w:val="24"/>
                  <w:lang w:bidi="en-US"/>
                </w:rPr>
              </w:pPr>
            </w:p>
            <w:p>
              <w:pPr>
                <w:spacing w:line="259" w:lineRule="auto"/>
                <w:rPr>
                  <w:rFonts w:eastAsia="Andale Sans UI" w:cs="Tahoma"/>
                  <w:b/>
                  <w:szCs w:val="24"/>
                  <w:lang w:bidi="en-US"/>
                </w:rPr>
              </w:pPr>
              <w:r>
                <w:rPr>
                  <w:rFonts w:eastAsia="Andale Sans UI" w:cs="Tahoma"/>
                  <w:b/>
                  <w:szCs w:val="24"/>
                  <w:lang w:bidi="en-US"/>
                </w:rPr>
                <w:br w:type="page"/>
              </w:r>
            </w:p>
            <w:p>
              <w:pPr>
                <w:rPr>
                  <w:sz w:val="14"/>
                  <w:szCs w:val="14"/>
                </w:rPr>
              </w:pPr>
            </w:p>
            <w:p>
              <w:pPr>
                <w:widowControl w:val="0"/>
                <w:suppressAutoHyphens/>
                <w:jc w:val="both"/>
                <w:rPr>
                  <w:rFonts w:eastAsia="Andale Sans UI" w:cs="Tahoma"/>
                  <w:b/>
                  <w:szCs w:val="24"/>
                  <w:lang w:bidi="en-US"/>
                </w:rPr>
              </w:pPr>
            </w:p>
            <w:p>
              <w:pPr>
                <w:widowControl w:val="0"/>
                <w:suppressAutoHyphens/>
                <w:ind w:firstLine="567"/>
                <w:jc w:val="center"/>
                <w:rPr>
                  <w:rFonts w:eastAsia="Andale Sans UI" w:cs="Tahoma"/>
                  <w:b/>
                  <w:szCs w:val="24"/>
                  <w:lang w:bidi="en-US"/>
                </w:rPr>
              </w:pPr>
              <w:r>
                <w:rPr>
                  <w:rFonts w:eastAsia="Andale Sans UI" w:cs="Tahoma"/>
                  <w:b/>
                  <w:szCs w:val="24"/>
                  <w:lang w:bidi="en-US"/>
                </w:rPr>
                <w:t>Adresatų sąrašas:</w:t>
              </w:r>
            </w:p>
            <w:p>
              <w:pPr>
                <w:widowControl w:val="0"/>
                <w:suppressAutoHyphens/>
                <w:ind w:firstLine="567"/>
                <w:jc w:val="center"/>
                <w:rPr>
                  <w:rFonts w:eastAsia="Andale Sans UI" w:cs="Tahoma"/>
                  <w:b/>
                  <w:szCs w:val="24"/>
                  <w:lang w:bidi="en-US"/>
                </w:rPr>
              </w:pPr>
            </w:p>
          </w:sdtContent>
        </w:sdt>
        <w:sdt>
          <w:sdtPr>
            <w:alias w:val="signatura"/>
            <w:tag w:val="part_9960db6633fc47b4a42fa3ba97ea93a9"/>
            <w:lock w:val="sdtLocked"/>
            <w:richText/>
          </w:sdtPr>
          <w:sdtContent>
            <w:p>
              <w:pPr>
                <w:jc w:val="both"/>
                <w:rPr>
                  <w:rFonts w:eastAsia="Andale Sans UI"/>
                  <w:color w:val="000000"/>
                  <w:szCs w:val="24"/>
                  <w:lang w:bidi="en-US"/>
                </w:rPr>
              </w:pPr>
              <w:r>
                <w:rPr>
                  <w:rFonts w:eastAsia="Andale Sans UI"/>
                  <w:color w:val="000000"/>
                  <w:szCs w:val="24"/>
                  <w:lang w:bidi="en-US"/>
                </w:rPr>
                <w:t>Teisingumo ministerija</w:t>
              </w:r>
            </w:p>
            <w:p>
              <w:pPr>
                <w:widowControl w:val="0"/>
                <w:suppressAutoHyphens/>
                <w:jc w:val="both"/>
                <w:rPr>
                  <w:rFonts w:cs="Tahoma"/>
                  <w:color w:val="000000"/>
                  <w:szCs w:val="24"/>
                  <w:lang w:bidi="en-US"/>
                </w:rPr>
              </w:pPr>
              <w:r>
                <w:rPr>
                  <w:rFonts w:cs="Tahoma"/>
                  <w:color w:val="000000"/>
                  <w:szCs w:val="24"/>
                  <w:lang w:bidi="en-US"/>
                </w:rPr>
                <w:t>Ekonomikos ir inovacijų ministerija</w:t>
              </w:r>
            </w:p>
            <w:p>
              <w:pPr>
                <w:widowControl w:val="0"/>
                <w:suppressAutoHyphens/>
                <w:jc w:val="both"/>
                <w:rPr>
                  <w:rFonts w:cs="Tahoma"/>
                  <w:color w:val="000000"/>
                  <w:szCs w:val="24"/>
                  <w:lang w:bidi="en-US"/>
                </w:rPr>
              </w:pPr>
              <w:r>
                <w:rPr>
                  <w:rFonts w:cs="Tahoma"/>
                  <w:color w:val="000000"/>
                  <w:szCs w:val="24"/>
                  <w:lang w:bidi="en-US"/>
                </w:rPr>
                <w:t>Finansų ministerija</w:t>
              </w:r>
            </w:p>
            <w:p>
              <w:pPr>
                <w:jc w:val="both"/>
                <w:rPr>
                  <w:rFonts w:eastAsia="Andale Sans UI"/>
                  <w:color w:val="000000"/>
                  <w:szCs w:val="24"/>
                  <w:lang w:bidi="en-US"/>
                </w:rPr>
              </w:pPr>
              <w:r>
                <w:rPr>
                  <w:rFonts w:eastAsia="Andale Sans UI"/>
                  <w:color w:val="000000"/>
                  <w:szCs w:val="24"/>
                  <w:lang w:bidi="en-US"/>
                </w:rPr>
                <w:t>Specialiųjų tyrimų tarnyba</w:t>
              </w:r>
            </w:p>
            <w:p>
              <w:pPr>
                <w:jc w:val="both"/>
                <w:rPr>
                  <w:rFonts w:eastAsia="Andale Sans UI"/>
                  <w:color w:val="000000"/>
                  <w:szCs w:val="24"/>
                  <w:u w:val="single"/>
                  <w:lang w:bidi="en-US"/>
                </w:rPr>
              </w:pPr>
              <w:r>
                <w:rPr>
                  <w:rFonts w:eastAsia="Andale Sans UI"/>
                  <w:szCs w:val="24"/>
                  <w:lang w:bidi="en-US"/>
                </w:rPr>
                <w:t>Konkurencijos taryba</w:t>
              </w:r>
              <w:r>
                <w:rPr>
                  <w:rFonts w:eastAsia="Andale Sans UI"/>
                  <w:color w:val="000000"/>
                  <w:szCs w:val="24"/>
                  <w:u w:val="single"/>
                  <w:lang w:bidi="en-US"/>
                </w:rPr>
                <w:t xml:space="preserve"> </w:t>
              </w:r>
            </w:p>
            <w:p>
              <w:pPr>
                <w:jc w:val="both"/>
                <w:rPr>
                  <w:rFonts w:eastAsia="Andale Sans UI"/>
                  <w:color w:val="000000"/>
                  <w:szCs w:val="24"/>
                  <w:lang w:bidi="en-US"/>
                </w:rPr>
              </w:pPr>
              <w:r>
                <w:rPr>
                  <w:rFonts w:eastAsia="Andale Sans UI"/>
                  <w:color w:val="000000"/>
                  <w:szCs w:val="24"/>
                  <w:lang w:bidi="en-US"/>
                </w:rPr>
                <w:t>Aplinkos apsaugos agentūra</w:t>
              </w:r>
            </w:p>
            <w:p>
              <w:pPr>
                <w:jc w:val="both"/>
                <w:rPr>
                  <w:rFonts w:eastAsia="Andale Sans UI"/>
                  <w:color w:val="000000"/>
                  <w:szCs w:val="24"/>
                  <w:lang w:bidi="en-US"/>
                </w:rPr>
              </w:pPr>
              <w:r>
                <w:rPr>
                  <w:rFonts w:eastAsia="Andale Sans UI"/>
                  <w:color w:val="000000"/>
                  <w:szCs w:val="24"/>
                  <w:lang w:bidi="en-US"/>
                </w:rPr>
                <w:t>Aplinkos apsaugos departamentas prie Aplinkos ministerijos</w:t>
              </w:r>
            </w:p>
            <w:p>
              <w:pPr>
                <w:jc w:val="both"/>
                <w:rPr>
                  <w:rFonts w:eastAsia="Andale Sans UI"/>
                  <w:color w:val="000000"/>
                  <w:szCs w:val="24"/>
                  <w:lang w:bidi="en-US"/>
                </w:rPr>
              </w:pPr>
              <w:r>
                <w:rPr>
                  <w:rFonts w:eastAsia="Andale Sans UI"/>
                  <w:color w:val="000000"/>
                  <w:szCs w:val="24"/>
                  <w:lang w:bidi="en-US"/>
                </w:rPr>
                <w:t>Lietuvos savivaldybių asociacija</w:t>
              </w:r>
            </w:p>
            <w:p>
              <w:pPr>
                <w:jc w:val="both"/>
                <w:rPr>
                  <w:rFonts w:eastAsia="Andale Sans UI"/>
                  <w:color w:val="000000"/>
                  <w:szCs w:val="24"/>
                  <w:lang w:bidi="en-US"/>
                </w:rPr>
              </w:pPr>
              <w:r>
                <w:rPr>
                  <w:rFonts w:eastAsia="Andale Sans UI"/>
                  <w:color w:val="000000"/>
                  <w:szCs w:val="24"/>
                  <w:lang w:bidi="en-US"/>
                </w:rPr>
                <w:t>Lietuvos pramonininkų konfederacija</w:t>
              </w:r>
            </w:p>
            <w:p>
              <w:pPr>
                <w:jc w:val="both"/>
                <w:rPr>
                  <w:rFonts w:eastAsia="Andale Sans UI"/>
                  <w:color w:val="000000"/>
                  <w:szCs w:val="24"/>
                  <w:lang w:bidi="en-US"/>
                </w:rPr>
              </w:pPr>
              <w:r>
                <w:rPr>
                  <w:rFonts w:eastAsia="Andale Sans UI"/>
                  <w:color w:val="000000"/>
                  <w:szCs w:val="24"/>
                  <w:lang w:bidi="en-US"/>
                </w:rPr>
                <w:t xml:space="preserve">Lietuvos </w:t>
              </w:r>
              <w:r>
                <w:rPr>
                  <w:rFonts w:eastAsia="Andale Sans UI"/>
                  <w:szCs w:val="24"/>
                  <w:lang w:bidi="en-US"/>
                </w:rPr>
                <w:t>verslo</w:t>
              </w:r>
              <w:r>
                <w:rPr>
                  <w:rFonts w:eastAsia="Andale Sans UI"/>
                  <w:color w:val="000000"/>
                  <w:szCs w:val="24"/>
                  <w:lang w:bidi="en-US"/>
                </w:rPr>
                <w:t xml:space="preserve"> konfederacija </w:t>
              </w:r>
            </w:p>
            <w:p>
              <w:pPr>
                <w:jc w:val="both"/>
                <w:rPr>
                  <w:bCs/>
                  <w:spacing w:val="10"/>
                  <w:szCs w:val="24"/>
                </w:rPr>
              </w:pPr>
              <w:r>
                <w:rPr>
                  <w:bCs/>
                  <w:spacing w:val="10"/>
                  <w:szCs w:val="24"/>
                </w:rPr>
                <w:t>Lietuvos prekybos įmonių asociacija</w:t>
              </w:r>
            </w:p>
            <w:p>
              <w:pPr>
                <w:jc w:val="both"/>
                <w:rPr>
                  <w:rFonts w:eastAsia="Andale Sans UI"/>
                  <w:color w:val="000000"/>
                  <w:szCs w:val="24"/>
                  <w:lang w:bidi="en-US"/>
                </w:rPr>
              </w:pPr>
              <w:r>
                <w:rPr>
                  <w:rFonts w:eastAsia="Andale Sans UI"/>
                  <w:color w:val="000000"/>
                  <w:szCs w:val="24"/>
                  <w:lang w:bidi="en-US"/>
                </w:rPr>
                <w:t>Lietuvos komunalininkų ir atliekų tvarkytojų asociacija</w:t>
              </w:r>
            </w:p>
            <w:p>
              <w:pPr>
                <w:jc w:val="both"/>
                <w:rPr>
                  <w:rFonts w:eastAsia="Andale Sans UI"/>
                  <w:color w:val="000000"/>
                  <w:szCs w:val="24"/>
                  <w:lang w:bidi="en-US"/>
                </w:rPr>
              </w:pPr>
              <w:r>
                <w:rPr>
                  <w:rFonts w:eastAsia="Andale Sans UI"/>
                  <w:color w:val="000000"/>
                  <w:szCs w:val="24"/>
                  <w:lang w:bidi="en-US"/>
                </w:rPr>
                <w:t>Lietuvos savivaldybių komunalinių įmonių asociacija</w:t>
              </w:r>
            </w:p>
            <w:p>
              <w:pPr>
                <w:jc w:val="both"/>
                <w:rPr>
                  <w:rFonts w:eastAsia="Andale Sans UI"/>
                  <w:color w:val="000000"/>
                  <w:szCs w:val="24"/>
                  <w:lang w:bidi="en-US"/>
                </w:rPr>
              </w:pPr>
              <w:r>
                <w:rPr>
                  <w:rFonts w:eastAsia="Andale Sans UI"/>
                  <w:color w:val="000000"/>
                  <w:szCs w:val="24"/>
                  <w:lang w:bidi="en-US"/>
                </w:rPr>
                <w:t>Lietuvos regioninių atliekų tvarkymo centrų asociacija</w:t>
              </w:r>
            </w:p>
            <w:p>
              <w:pPr>
                <w:jc w:val="both"/>
                <w:rPr>
                  <w:rFonts w:eastAsia="Andale Sans UI"/>
                  <w:color w:val="000000"/>
                  <w:szCs w:val="24"/>
                  <w:lang w:bidi="en-US"/>
                </w:rPr>
              </w:pPr>
              <w:r>
                <w:rPr>
                  <w:rFonts w:eastAsia="Andale Sans UI"/>
                  <w:color w:val="000000"/>
                  <w:szCs w:val="24"/>
                  <w:lang w:bidi="en-US"/>
                </w:rPr>
                <w:t xml:space="preserve">Lietuvos prekybos, pramonės ir amatų rūmų asociacija </w:t>
              </w:r>
            </w:p>
            <w:p>
              <w:pPr>
                <w:jc w:val="both"/>
                <w:rPr>
                  <w:rFonts w:eastAsia="Andale Sans UI"/>
                  <w:color w:val="000000"/>
                  <w:szCs w:val="24"/>
                  <w:lang w:bidi="en-US"/>
                </w:rPr>
              </w:pPr>
              <w:r>
                <w:rPr>
                  <w:rFonts w:eastAsia="Andale Sans UI"/>
                  <w:color w:val="000000"/>
                  <w:szCs w:val="24"/>
                  <w:lang w:bidi="en-US"/>
                </w:rPr>
                <w:t xml:space="preserve">Lietuvos pavojingųjų atliekų tvarkytojų asociacija </w:t>
              </w:r>
            </w:p>
            <w:p>
              <w:pPr>
                <w:jc w:val="both"/>
                <w:rPr>
                  <w:rFonts w:eastAsia="Andale Sans UI"/>
                  <w:color w:val="000000"/>
                  <w:szCs w:val="24"/>
                  <w:lang w:bidi="en-US"/>
                </w:rPr>
              </w:pPr>
              <w:r>
                <w:rPr>
                  <w:rFonts w:eastAsia="Andale Sans UI"/>
                  <w:szCs w:val="24"/>
                  <w:lang w:bidi="en-US"/>
                </w:rPr>
                <w:t>Antrinių žaliavų ir atliekų surinkėjų, perdirbėjų asociacija</w:t>
              </w:r>
            </w:p>
            <w:p>
              <w:pPr>
                <w:jc w:val="both"/>
                <w:rPr>
                  <w:rFonts w:eastAsia="Andale Sans UI"/>
                  <w:color w:val="000000"/>
                  <w:szCs w:val="24"/>
                  <w:lang w:bidi="en-US"/>
                </w:rPr>
              </w:pPr>
              <w:r>
                <w:rPr>
                  <w:rFonts w:eastAsia="Andale Sans UI"/>
                  <w:szCs w:val="24"/>
                  <w:lang w:bidi="en-US"/>
                </w:rPr>
                <w:t xml:space="preserve">Pakuotės atliekų perdirbėjų asociacija </w:t>
              </w:r>
            </w:p>
            <w:p>
              <w:pPr>
                <w:jc w:val="both"/>
                <w:rPr>
                  <w:rFonts w:eastAsia="Andale Sans UI"/>
                  <w:color w:val="000000"/>
                  <w:szCs w:val="24"/>
                  <w:lang w:bidi="en-US"/>
                </w:rPr>
              </w:pPr>
              <w:r>
                <w:rPr>
                  <w:rFonts w:eastAsia="Andale Sans UI"/>
                  <w:color w:val="000000"/>
                  <w:szCs w:val="24"/>
                  <w:lang w:bidi="en-US"/>
                </w:rPr>
                <w:t>Aplinkosaugos koalicija</w:t>
              </w:r>
            </w:p>
            <w:p>
              <w:pPr>
                <w:jc w:val="both"/>
                <w:rPr>
                  <w:rFonts w:eastAsia="Andale Sans UI"/>
                  <w:color w:val="000000"/>
                  <w:szCs w:val="24"/>
                  <w:lang w:bidi="en-US"/>
                </w:rPr>
              </w:pPr>
              <w:r>
                <w:rPr>
                  <w:rFonts w:eastAsia="Andale Sans UI"/>
                  <w:color w:val="000000"/>
                  <w:szCs w:val="24"/>
                  <w:lang w:bidi="en-US"/>
                </w:rPr>
                <w:t xml:space="preserve">VšĮ „Žiedinė ekonomika“ </w:t>
              </w:r>
            </w:p>
            <w:p>
              <w:pPr>
                <w:jc w:val="both"/>
                <w:rPr>
                  <w:rFonts w:eastAsia="Andale Sans UI"/>
                  <w:color w:val="000000"/>
                  <w:szCs w:val="24"/>
                  <w:lang w:bidi="en-US"/>
                </w:rPr>
              </w:pPr>
              <w:r>
                <w:rPr>
                  <w:rFonts w:eastAsia="Andale Sans UI"/>
                  <w:szCs w:val="24"/>
                  <w:lang w:bidi="en-US"/>
                </w:rPr>
                <w:t>VšĮ „Gamtos ateitis“</w:t>
              </w:r>
              <w:r>
                <w:rPr>
                  <w:rFonts w:eastAsia="Andale Sans UI"/>
                  <w:color w:val="000000"/>
                  <w:szCs w:val="24"/>
                  <w:lang w:bidi="en-US"/>
                </w:rPr>
                <w:t xml:space="preserve"> </w:t>
              </w:r>
            </w:p>
            <w:p>
              <w:pPr>
                <w:jc w:val="both"/>
                <w:rPr>
                  <w:rFonts w:eastAsia="Andale Sans UI"/>
                  <w:color w:val="000000"/>
                  <w:szCs w:val="24"/>
                  <w:lang w:bidi="en-US"/>
                </w:rPr>
              </w:pPr>
              <w:r>
                <w:rPr>
                  <w:rFonts w:eastAsia="Andale Sans UI"/>
                  <w:szCs w:val="24"/>
                  <w:lang w:bidi="en-US"/>
                </w:rPr>
                <w:t>VšĮ „Pakuočių tvarkymo organizacija“</w:t>
              </w:r>
              <w:r>
                <w:rPr>
                  <w:rFonts w:eastAsia="Andale Sans UI"/>
                  <w:color w:val="000000"/>
                  <w:szCs w:val="24"/>
                  <w:lang w:bidi="en-US"/>
                </w:rPr>
                <w:t xml:space="preserve"> </w:t>
              </w:r>
            </w:p>
            <w:p>
              <w:pPr>
                <w:jc w:val="both"/>
                <w:rPr>
                  <w:rFonts w:eastAsia="Andale Sans UI"/>
                  <w:szCs w:val="24"/>
                  <w:lang w:bidi="en-US"/>
                </w:rPr>
              </w:pPr>
              <w:r>
                <w:rPr>
                  <w:rFonts w:eastAsia="Andale Sans UI"/>
                  <w:szCs w:val="24"/>
                  <w:lang w:bidi="en-US"/>
                </w:rPr>
                <w:t>VšĮ „Žaliasis taškas“</w:t>
              </w:r>
            </w:p>
            <w:p>
              <w:pPr>
                <w:widowControl w:val="0"/>
                <w:suppressAutoHyphens/>
                <w:jc w:val="both"/>
                <w:rPr>
                  <w:rFonts w:eastAsia="Andale Sans UI"/>
                  <w:color w:val="000000"/>
                  <w:szCs w:val="24"/>
                  <w:lang w:bidi="en-US"/>
                </w:rPr>
              </w:pPr>
              <w:r>
                <w:rPr>
                  <w:rFonts w:eastAsia="Andale Sans UI"/>
                  <w:color w:val="000000"/>
                  <w:szCs w:val="24"/>
                  <w:lang w:bidi="en-US"/>
                </w:rPr>
                <w:t>Lietuvos auditorių rūmai</w:t>
              </w:r>
            </w:p>
            <w:p>
              <w:pPr>
                <w:widowControl w:val="0"/>
                <w:suppressAutoHyphens/>
                <w:jc w:val="both"/>
                <w:rPr>
                  <w:rFonts w:eastAsia="Andale Sans UI"/>
                  <w:color w:val="000000"/>
                  <w:szCs w:val="24"/>
                  <w:lang w:bidi="en-US"/>
                </w:rPr>
              </w:pPr>
              <w:r>
                <w:rPr>
                  <w:rFonts w:eastAsia="Andale Sans UI"/>
                  <w:color w:val="000000"/>
                  <w:szCs w:val="24"/>
                  <w:lang w:bidi="en-US"/>
                </w:rPr>
                <w:t>Lietuvos bankas</w:t>
              </w:r>
            </w:p>
            <w:p>
              <w:pPr>
                <w:widowControl w:val="0"/>
                <w:suppressAutoHyphens/>
                <w:jc w:val="both"/>
                <w:rPr>
                  <w:rFonts w:eastAsia="Andale Sans UI"/>
                  <w:color w:val="000000"/>
                  <w:szCs w:val="24"/>
                  <w:lang w:bidi="en-US"/>
                </w:rPr>
              </w:pPr>
              <w:r>
                <w:rPr>
                  <w:rFonts w:eastAsia="Andale Sans UI"/>
                  <w:color w:val="000000"/>
                  <w:szCs w:val="24"/>
                  <w:lang w:bidi="en-US"/>
                </w:rPr>
                <w:t>Lietuvos draudikų asociacija</w:t>
              </w:r>
            </w:p>
            <w:p>
              <w:pPr>
                <w:widowControl w:val="0"/>
                <w:suppressAutoHyphens/>
                <w:jc w:val="both"/>
                <w:rPr>
                  <w:rFonts w:eastAsia="Andale Sans UI"/>
                  <w:color w:val="000000"/>
                  <w:szCs w:val="24"/>
                  <w:lang w:bidi="en-US"/>
                </w:rPr>
              </w:pPr>
              <w:r>
                <w:rPr>
                  <w:rFonts w:eastAsia="Andale Sans UI"/>
                  <w:color w:val="000000"/>
                  <w:szCs w:val="24"/>
                  <w:lang w:bidi="en-US"/>
                </w:rPr>
                <w:t>Lietuvos bankų asociacija</w:t>
              </w:r>
            </w:p>
            <w:p>
              <w:pPr>
                <w:widowControl w:val="0"/>
                <w:suppressAutoHyphens/>
                <w:jc w:val="both"/>
                <w:rPr>
                  <w:rFonts w:eastAsia="Andale Sans UI"/>
                  <w:color w:val="000000"/>
                  <w:szCs w:val="24"/>
                  <w:lang w:bidi="en-US"/>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id="1">
    <w:p>
      <w:pPr>
        <w:jc w:val="both"/>
        <w:rPr>
          <w:rFonts w:eastAsia="Andale Sans UI"/>
          <w:sz w:val="20"/>
        </w:rPr>
      </w:pPr>
      <w:r>
        <w:rPr>
          <w:rFonts w:eastAsia="Andale Sans UI"/>
          <w:sz w:val="20"/>
          <w:vertAlign w:val="superscript"/>
        </w:rPr>
        <w:footnoteRef/>
      </w:r>
      <w:r>
        <w:rPr>
          <w:rFonts w:eastAsia="Andale Sans UI"/>
          <w:sz w:val="20"/>
        </w:rPr>
        <w:t xml:space="preserve"> Lietuvos Respublikos Vyriausybės nutarimo „Dėl Lietuvos Respublikos Vyriausybės 2001 m. gruodžio 21 d. nutarimo Nr. 1574 „Dėl įgaliojimų suteikimo įgyvendinant Lietuvos Respublikos pakuočių ir pakuočių atliekų tvarkymo įstatymą“ pakeitimo“ projektas jau yra paskelbtas Seimo kanceliarijos teisės aktų informacinėje sistemoje (TAIS) </w:t>
      </w:r>
    </w:p>
    <w:p>
      <w:pPr>
        <w:jc w:val="both"/>
        <w:rPr>
          <w:rFonts w:eastAsia="Andale Sans UI"/>
          <w:sz w:val="20"/>
        </w:rPr>
      </w:pPr>
      <w:r>
        <w:rPr>
          <w:rFonts w:eastAsia="Andale Sans UI"/>
          <w:color w:val="000080"/>
          <w:sz w:val="20"/>
          <w:u w:val="single"/>
        </w:rPr>
        <w:t>https://e-seimas.lrs.lt/portal/legalAct/lt/TAP/9dbc93e8b64211ec9f0095b4d96fd400?jfwid=-f3xm4a58t</w:t>
      </w:r>
      <w:r>
        <w:rPr>
          <w:rFonts w:eastAsia="Andale Sans UI"/>
          <w:sz w:val="20"/>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06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1093BA7-C98F-4D15-9723-8C69ED947F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1d0cba9da5cb411cb3dc1000331e4b51" PartId="359ab5cd6bb14248b957c1362b5bd92b"/>
  <Part Type="pastraipa" DocPartId="75d0a675ba9942ddab1df1ee8307118f" PartId="4642f661bf0b4a40962e27f9fabefecc"/>
  <Part Type="pastraipa" DocPartId="b95d9085eb8e43378865d2b6a9b522c9" PartId="e91590e1e9a84591b33a5168d42917cf"/>
  <Part Type="pastraipa" DocPartId="a498a05260eb4734aae8a71cf7bbb94d" PartId="603881e8adfd48aaae88bf58e990b1c6"/>
  <Part Type="pastraipa" DocPartId="33d18d3a7a4649ccbb08c283789f8397" PartId="4bd65814a039467c88be3063255d711f"/>
  <Part Type="pastraipa" DocPartId="c83b75f7cd6d4aa8b174198f9db1391e" PartId="7d78efcc74c146c5a157239a9e83e746"/>
  <Part Type="pastraipa" DocPartId="480ed3b54def4ffea8466486389196f9" PartId="d7b991a51f7541b1ba1a5b7596d92708"/>
  <Part Type="pastraipa" DocPartId="ea4c4cf59126458caf949806e1df9abd" PartId="64ca571213664924b22ce2a28a2051be"/>
  <Part Type="pastraipa" DocPartId="ceeaaa6650134b3faec6e7bb9a76aa07" PartId="dd2e7a50e52b4cf6bc9177b781174b58"/>
  <Part Type="pastraipa" DocPartId="ff92b34b30534b1697c5187703ef72ad" PartId="3707f53ed7624213860cc522ffee58db"/>
  <Part Type="pastraipa" DocPartId="3b07ae5303f7489da366ffe0f736812c" PartId="85f5492b0cdd4ff9924a56920567209f"/>
  <Part Type="pastraipa" DocPartId="ce166b8cfee443a49f7329ac113248ec" PartId="4a3cb374312f47eb8938a6e1a831c4a8"/>
  <Part Type="pastraipa" DocPartId="f21011f0a16a44e2bcaf6fa303e5647c" PartId="837fb900746d42a7a0973147b1e7d391"/>
  <Part Type="pastraipa" DocPartId="98aafd65f8494269b268677e5b48589d" PartId="0f74bb4f6f274b1fa01d27acffb62095"/>
  <Part Type="pastraipa" DocPartId="847ed5cf49e746a3af42c8c4e65c94ea" PartId="123a8dc78ab34cd59bfa8a8a38709ce7"/>
  <Part Type="pastraipa" DocPartId="52471bd71eb848d1966cd64bfb627ccd" PartId="3792999953f9446baa7870d3f5808f82"/>
  <Part Type="pastraipa" DocPartId="87207692d6ba4b2aa59b322e76177002" PartId="2063ebc140b34a669dc0c58e96f638c4"/>
  <Part Type="pastraipa" DocPartId="b9a2969f681e4ee5aa2f5d5c284a1b92" PartId="1bf60dcc484e4630b33de6b4c40bedd2"/>
  <Part Type="pastraipa" DocPartId="d4908542297b46729a1ec0e4c9503363" PartId="b7b183959fdb4c65b95b9a705dd3a082"/>
  <Part Type="pastraipa" DocPartId="b7371c95942745b09169c937a5521daa" PartId="88eb2a09dc554100b60bc7023d4546e2"/>
  <Part Type="pastraipa" DocPartId="f78d41af003c4e8cbf1f0c5e9cbe76ad" PartId="06dcc4db33624838a43c61e344798b9d"/>
  <Part Type="pastraipa" DocPartId="93b440e9b0814160be5cf39650817156" PartId="88e5d2f4f10b4bf09a741048ef5a026b"/>
  <Part Type="pastraipa" DocPartId="ab9a11c987974072baa4313cfd5ef3f0" PartId="cc6b9bdd155f4565bcefab69bd942526">
    <Part Type="punktas" Nr="1" Abbr="1 p." DocPartId="87f187c464c34b35bafb7c5ce2889ecc" PartId="7593b6a0c01b4dc1a1b12e580d9c5ed7"/>
    <Part Type="punktas" Nr="2" Abbr="2 p." DocPartId="e9897616ee054813939f24be643b6560" PartId="a41b084bfcf54fcaa6d984395159f97c"/>
    <Part Type="signatura" DocPartId="c3ce5a4469e346f2aea90b619bee3d0c" PartId="9960db6633fc47b4a42fa3ba97ea93a9"/>
  </Part>
</Parts>
</file>

<file path=customXml/itemProps1.xml><?xml version="1.0" encoding="utf-8"?>
<ds:datastoreItem xmlns:ds="http://schemas.openxmlformats.org/officeDocument/2006/customXml" ds:itemID="{C5EDD8F0-50A6-4186-A51A-7C04563385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1024</Words>
  <Characters>7377</Characters>
  <Application>Microsoft Office Word</Application>
  <DocSecurity>4</DocSecurity>
  <Lines>160</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2022-04-19T11:48:00Z</dcterms:created>
  <dc:creator>Greta Česnaitytė</dc:creator>
  <lastModifiedBy>adlibuser</lastModifiedBy>
  <dcterms:modified xsi:type="dcterms:W3CDTF">2022-04-19T11:48:00Z</dcterms:modified>
  <revision>2</revision>
</coreProperties>
</file>