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e971df0c5d24579bdfba709cf0703f6"/>
        <w:lock w:val="sdtLocked"/>
        <w:richText/>
      </w:sdtPr>
      <w:sdtContent>
        <w:p>
          <w:pPr>
            <w:tabs>
              <w:tab w:val="center" w:pos="4819"/>
              <w:tab w:val="right" w:pos="9638"/>
            </w:tabs>
            <w:rPr>
              <w:szCs w:val="24"/>
              <w:lang w:eastAsia="lt-LT"/>
            </w:rPr>
          </w:pPr>
        </w:p>
        <w:p>
          <w:pPr>
            <w:jc w:val="center"/>
            <w:rPr>
              <w:sz w:val="22"/>
              <w:szCs w:val="22"/>
              <w:lang w:eastAsia="lt-LT"/>
            </w:rPr>
          </w:pPr>
          <w:r>
            <w:rPr>
              <w:rFonts w:cs="Tahoma"/>
              <w:b/>
              <w:color w:val="000000"/>
              <w:spacing w:val="20"/>
              <w:sz w:val="26"/>
              <w:szCs w:val="26"/>
              <w:lang w:val="en-US"/>
            </w:rPr>
            <w:drawing>
              <wp:inline distT="0" distB="0" distL="0" distR="0" wp14:anchorId="368A67E1" wp14:editId="76BFFFA5">
                <wp:extent cx="525145" cy="621030"/>
                <wp:effectExtent l="0" t="0" r="8255" b="7620"/>
                <wp:docPr id="2" name="Picture 3" descr="Paveikslėlis, kuriame yra eskizas, piešimas, iliustracija, Linijinis piešim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Paveikslėlis, kuriame yra eskizas, piešimas, iliustracija, Linijinis piešimas  Automatiškai sugeneruotas aprašyma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5145" cy="621030"/>
                        </a:xfrm>
                        <a:prstGeom prst="rect">
                          <a:avLst/>
                        </a:prstGeom>
                        <a:solidFill>
                          <a:srgbClr val="FFFFFF">
                            <a:alpha val="0"/>
                          </a:srgbClr>
                        </a:solidFill>
                        <a:ln>
                          <a:noFill/>
                        </a:ln>
                      </pic:spPr>
                    </pic:pic>
                  </a:graphicData>
                </a:graphic>
              </wp:inline>
            </w:drawing>
          </w:r>
        </w:p>
        <w:p>
          <w:pPr>
            <w:rPr>
              <w:sz w:val="20"/>
            </w:rPr>
          </w:pPr>
        </w:p>
        <w:p>
          <w:pPr>
            <w:jc w:val="center"/>
            <w:rPr>
              <w:b/>
              <w:sz w:val="28"/>
              <w:szCs w:val="24"/>
              <w:lang w:eastAsia="lt-LT"/>
            </w:rPr>
          </w:pPr>
          <w:r>
            <w:rPr>
              <w:b/>
              <w:sz w:val="28"/>
              <w:szCs w:val="24"/>
              <w:lang w:eastAsia="lt-LT"/>
            </w:rPr>
            <w:t xml:space="preserve">LIETUVOS RESPUBLIKOS ŽEMĖS ŪKIO MINISTERIJOS </w:t>
          </w:r>
        </w:p>
        <w:p>
          <w:pPr>
            <w:jc w:val="center"/>
            <w:rPr>
              <w:b/>
              <w:sz w:val="28"/>
              <w:szCs w:val="24"/>
              <w:lang w:eastAsia="lt-LT"/>
            </w:rPr>
          </w:pPr>
          <w:r>
            <w:rPr>
              <w:b/>
              <w:sz w:val="28"/>
              <w:szCs w:val="24"/>
              <w:lang w:eastAsia="lt-LT"/>
            </w:rPr>
            <w:t xml:space="preserve">EUROPOS SĄJUNGOS REIKALŲ IR PARAMOS POLITIKOS DEPARTAMENTAS </w:t>
          </w:r>
        </w:p>
        <w:p>
          <w:pPr>
            <w:spacing w:line="312" w:lineRule="auto"/>
            <w:jc w:val="center"/>
            <w:rPr>
              <w:b/>
              <w:szCs w:val="24"/>
              <w:lang w:eastAsia="lt-LT"/>
            </w:rPr>
          </w:pPr>
        </w:p>
        <w:p>
          <w:pPr>
            <w:rPr>
              <w:sz w:val="20"/>
            </w:rPr>
          </w:pPr>
        </w:p>
        <w:p>
          <w:pPr>
            <w:jc w:val="center"/>
            <w:rPr>
              <w:b/>
              <w:szCs w:val="24"/>
              <w:lang w:eastAsia="lt-LT"/>
            </w:rPr>
          </w:pPr>
          <w:r>
            <w:rPr>
              <w:b/>
              <w:szCs w:val="24"/>
              <w:lang w:eastAsia="lt-LT"/>
            </w:rPr>
            <w:t xml:space="preserve">AIŠKINAMASIS RAŠTAS </w:t>
          </w:r>
        </w:p>
        <w:p>
          <w:pPr>
            <w:jc w:val="center"/>
            <w:rPr>
              <w:b/>
              <w:i/>
              <w:iCs/>
              <w:szCs w:val="24"/>
              <w:lang w:eastAsia="lt-LT"/>
            </w:rPr>
          </w:pPr>
          <w:r>
            <w:rPr>
              <w:b/>
              <w:caps/>
              <w:szCs w:val="24"/>
              <w:lang w:eastAsia="lt-LT"/>
            </w:rPr>
            <w:t>dėl nacionalinės paramos kaimo bendruomenių veiklai teikimo taisyklių patvirtinimo</w:t>
          </w:r>
        </w:p>
        <w:p>
          <w:pPr>
            <w:spacing w:line="312" w:lineRule="auto"/>
            <w:jc w:val="center"/>
            <w:rPr>
              <w:b/>
              <w:szCs w:val="24"/>
              <w:lang w:eastAsia="lt-LT"/>
            </w:rPr>
          </w:pPr>
        </w:p>
        <w:p>
          <w:pPr>
            <w:tabs>
              <w:tab w:val="center" w:pos="4819"/>
              <w:tab w:val="left" w:pos="8510"/>
            </w:tabs>
            <w:spacing w:line="312" w:lineRule="auto"/>
            <w:ind w:firstLine="2666"/>
            <w:jc w:val="center"/>
            <w:rPr>
              <w:szCs w:val="24"/>
              <w:u w:val="single"/>
              <w:lang w:eastAsia="lt-LT"/>
            </w:rPr>
          </w:pPr>
          <w:r>
            <w:rPr>
              <w:szCs w:val="24"/>
              <w:lang w:eastAsia="lt-LT"/>
            </w:rPr>
            <w:t>Nr. ___________</w:t>
          </w:r>
        </w:p>
        <w:p>
          <w:pPr>
            <w:rPr>
              <w:sz w:val="20"/>
            </w:rPr>
          </w:pPr>
        </w:p>
        <w:p>
          <w:pPr>
            <w:jc w:val="center"/>
            <w:rPr>
              <w:b/>
              <w:bCs/>
              <w:szCs w:val="24"/>
            </w:rPr>
          </w:pPr>
        </w:p>
        <w:sdt>
          <w:sdtPr>
            <w:alias w:val="1 p."/>
            <w:tag w:val="part_d26d28fc8a9a47b2bef63de7ece9b670"/>
            <w:lock w:val="sdtLocked"/>
            <w:richText/>
          </w:sdtPr>
          <w:sdtContent>
            <w:p>
              <w:pPr>
                <w:spacing w:line="276" w:lineRule="auto"/>
                <w:ind w:firstLine="567"/>
                <w:jc w:val="both"/>
                <w:rPr>
                  <w:szCs w:val="24"/>
                  <w:lang w:eastAsia="lt-LT"/>
                </w:rPr>
              </w:pPr>
              <w:sdt>
                <w:sdtPr>
                  <w:alias w:val="Numeris"/>
                  <w:tag w:val="nr_d26d28fc8a9a47b2bef63de7ece9b670"/>
                  <w:lock w:val="sdtLocked"/>
                  <w:richText/>
                </w:sdtPr>
                <w:sdtContent>
                  <w:r>
                    <w:rPr>
                      <w:b/>
                      <w:bCs/>
                      <w:color w:val="000000"/>
                      <w:szCs w:val="24"/>
                      <w:lang w:eastAsia="lt-LT"/>
                    </w:rPr>
                    <w:t>1</w:t>
                  </w:r>
                </w:sdtContent>
              </w:sdt>
              <w:r>
                <w:rPr>
                  <w:b/>
                  <w:bCs/>
                  <w:color w:val="000000"/>
                  <w:szCs w:val="24"/>
                  <w:lang w:eastAsia="lt-LT"/>
                </w:rPr>
                <w:t>. Įsakymo projekto rengimą paskatinusios priežastys, įsakymo projekto tikslai ir uždaviniai</w:t>
              </w:r>
              <w:r>
                <w:rPr>
                  <w:szCs w:val="24"/>
                  <w:lang w:eastAsia="lt-LT"/>
                </w:rPr>
                <w:t xml:space="preserve"> </w:t>
              </w:r>
            </w:p>
            <w:p>
              <w:pPr>
                <w:spacing w:line="276" w:lineRule="auto"/>
                <w:ind w:firstLine="567"/>
                <w:jc w:val="both"/>
                <w:rPr>
                  <w:szCs w:val="24"/>
                  <w:lang w:eastAsia="lt-LT"/>
                </w:rPr>
              </w:pPr>
              <w:r>
                <w:rPr>
                  <w:szCs w:val="24"/>
                  <w:lang w:eastAsia="lt-LT"/>
                </w:rPr>
                <w:t>Įsakymo projektas dėl Nacionalinės paramos kaimo bendruomenių veiklai teikimo taisyklių</w:t>
              </w:r>
              <w:r>
                <w:rPr>
                  <w:b/>
                  <w:szCs w:val="24"/>
                  <w:lang w:eastAsia="lt-LT"/>
                </w:rPr>
                <w:t xml:space="preserve"> </w:t>
              </w:r>
              <w:r>
                <w:rPr>
                  <w:szCs w:val="24"/>
                  <w:lang w:eastAsia="lt-LT"/>
                </w:rPr>
                <w:t>(toliau – Taisyklės) patvirtinimo parengtas vadovaujantis Lietuvos Respublikos žemės ūkio ministerijos nuostatų, patvirtintų Lietuvos Respublikos Vyriausybės 1998 m. rugsėjo 15 d. nutarimu Nr. 1120 „Dėl Lietuvos Respublikos žemės ūkio ministerijos nuostatų patvirtinimo“, 14.20 papunkčiu, Valstybės pagalbos žemės ūkiui, maisto ūkiui, žuvininkystei ir kaimo plėtrai ir kitų iš valstybės biudžeto lėšų finansuojamų priemonių bendrųjų administravimo taisyklių, patvirtintų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3.2.1 papunkčiu ir siekiant skatinti kaimo bendruomenių veiklą. Anksčiau tokios taisyklės buvo rengiamos atskiriems kalendoriniams metams. Šios Taisyklės nesusietos su konkrečiais metais. Taisyklėse numatytos trys finansuojamos kaimo bendruomenių veiklos sritys:</w:t>
              </w:r>
            </w:p>
            <w:sdt>
              <w:sdtPr>
                <w:alias w:val="1 p. 1 pp."/>
                <w:tag w:val="part_6dac32526970448a9e1923ed58cf302c"/>
                <w:lock w:val="sdtLocked"/>
                <w:richText/>
              </w:sdtPr>
              <w:sdtContent>
                <w:p>
                  <w:pPr>
                    <w:spacing w:line="276" w:lineRule="auto"/>
                    <w:ind w:firstLine="567"/>
                    <w:jc w:val="both"/>
                    <w:rPr>
                      <w:color w:val="000000"/>
                      <w:szCs w:val="24"/>
                      <w:lang w:eastAsia="lt-LT"/>
                    </w:rPr>
                  </w:pPr>
                  <w:sdt>
                    <w:sdtPr>
                      <w:alias w:val="Numeris"/>
                      <w:tag w:val="nr_6dac32526970448a9e1923ed58cf302c"/>
                      <w:lock w:val="sdtLocked"/>
                      <w:richText/>
                    </w:sdtPr>
                    <w:sdtContent>
                      <w:r>
                        <w:rPr>
                          <w:szCs w:val="24"/>
                          <w:lang w:eastAsia="lt-LT"/>
                        </w:rPr>
                        <w:t>1</w:t>
                      </w:r>
                    </w:sdtContent>
                  </w:sdt>
                  <w:r>
                    <w:rPr>
                      <w:szCs w:val="24"/>
                      <w:lang w:eastAsia="lt-LT"/>
                    </w:rPr>
                    <w:t>)</w:t>
                    <w:tab/>
                  </w:r>
                  <w:r>
                    <w:rPr>
                      <w:color w:val="000000"/>
                      <w:szCs w:val="24"/>
                      <w:lang w:eastAsia="lt-LT"/>
                    </w:rPr>
                    <w:t>kaimo bendruomenės materialinės bazės sukūrimas arba stiprinimas (pareiškėjai – naujos kaimo bendruomenės arba bendruomenės, niekada negavusios nacionalinės paramos kaimo bendruomenių veiklai);</w:t>
                  </w:r>
                </w:p>
              </w:sdtContent>
            </w:sdt>
            <w:sdt>
              <w:sdtPr>
                <w:alias w:val="1 p. 2 pp."/>
                <w:tag w:val="part_b3f2a5b9553b48cf93408e0c4ef74843"/>
                <w:lock w:val="sdtLocked"/>
                <w:richText/>
              </w:sdtPr>
              <w:sdtContent>
                <w:p>
                  <w:pPr>
                    <w:widowControl w:val="0"/>
                    <w:tabs>
                      <w:tab w:val="left" w:pos="360"/>
                      <w:tab w:val="left" w:pos="709"/>
                      <w:tab w:val="left" w:pos="1134"/>
                      <w:tab w:val="left" w:pos="1276"/>
                      <w:tab w:val="left" w:pos="1560"/>
                      <w:tab w:val="left" w:pos="6096"/>
                    </w:tabs>
                    <w:spacing w:line="276" w:lineRule="auto"/>
                    <w:ind w:firstLine="567"/>
                    <w:jc w:val="both"/>
                    <w:rPr>
                      <w:szCs w:val="24"/>
                      <w:lang w:eastAsia="lt-LT"/>
                    </w:rPr>
                  </w:pPr>
                  <w:sdt>
                    <w:sdtPr>
                      <w:alias w:val="Numeris"/>
                      <w:tag w:val="nr_b3f2a5b9553b48cf93408e0c4ef74843"/>
                      <w:lock w:val="sdtLocked"/>
                      <w:richText/>
                    </w:sdtPr>
                    <w:sdtContent>
                      <w:r>
                        <w:rPr>
                          <w:szCs w:val="24"/>
                          <w:lang w:eastAsia="lt-LT"/>
                        </w:rPr>
                        <w:t>2</w:t>
                      </w:r>
                    </w:sdtContent>
                  </w:sdt>
                  <w:r>
                    <w:rPr>
                      <w:szCs w:val="24"/>
                      <w:lang w:eastAsia="lt-LT"/>
                    </w:rPr>
                    <w:t>)</w:t>
                    <w:tab/>
                  </w:r>
                  <w:r>
                    <w:rPr>
                      <w:color w:val="000000"/>
                      <w:szCs w:val="24"/>
                      <w:lang w:eastAsia="lt-LT"/>
                    </w:rPr>
                    <w:t xml:space="preserve">kaimo vietovės viešųjų erdvių, statinių sutvarkymas / priežiūra, pritaikant jas kaimo gyventojų poreikiams, bendruomeninės veiklos skatinimas (pareiškėjai – naujos kaimo bendruomenės arba bendruomenės, </w:t>
                  </w:r>
                  <w:r>
                    <w:rPr>
                      <w:szCs w:val="24"/>
                      <w:lang w:eastAsia="lt-LT"/>
                    </w:rPr>
                    <w:t>per dvejus praėjusius kalendorinius metus negavusios paramos kaimo vietovės viešųjų erdvių sutvarkymui pagal ankstesnių metų Nacionalinės paramos kaimo bendruomenių veiklai teikimo taisykles</w:t>
                  </w:r>
                  <w:r>
                    <w:rPr>
                      <w:color w:val="000000"/>
                      <w:szCs w:val="24"/>
                      <w:lang w:eastAsia="lt-LT"/>
                    </w:rPr>
                    <w:t>). Joje numatytos dvi veiklos: 1. viešųjų erdvių kūrimas / gerinimas siekiant patenkinti kaimo gyventojų viešuosius poreikius</w:t>
                  </w:r>
                  <w:r>
                    <w:rPr>
                      <w:szCs w:val="24"/>
                      <w:lang w:eastAsia="lt-LT"/>
                    </w:rPr>
                    <w:t xml:space="preserve"> arba viešųjų erdvių / statinių, skirtų civilinei saugai, kūrimas / pritaikymas; 2. viešųjų paslaugų prieinamumo gerinimas (parama kaimo bendruomenei teikiama tik tuo atveju, kai ji perima viešosios paslaugos ar jos dalies teikimą iš biudžetinės organizacijos);</w:t>
                  </w:r>
                </w:p>
              </w:sdtContent>
            </w:sdt>
            <w:sdt>
              <w:sdtPr>
                <w:alias w:val="1 p. 3 pp."/>
                <w:tag w:val="part_fb243c0c7beb4f3892f2b36f3f8e21ef"/>
                <w:lock w:val="sdtLocked"/>
                <w:richText/>
              </w:sdtPr>
              <w:sdtContent>
                <w:p>
                  <w:pPr>
                    <w:widowControl w:val="0"/>
                    <w:tabs>
                      <w:tab w:val="left" w:pos="360"/>
                      <w:tab w:val="left" w:pos="709"/>
                      <w:tab w:val="left" w:pos="1134"/>
                      <w:tab w:val="left" w:pos="1276"/>
                      <w:tab w:val="left" w:pos="1560"/>
                      <w:tab w:val="left" w:pos="6096"/>
                    </w:tabs>
                    <w:spacing w:line="276" w:lineRule="auto"/>
                    <w:ind w:firstLine="567"/>
                    <w:jc w:val="both"/>
                    <w:rPr>
                      <w:szCs w:val="24"/>
                      <w:lang w:eastAsia="lt-LT"/>
                    </w:rPr>
                  </w:pPr>
                  <w:sdt>
                    <w:sdtPr>
                      <w:alias w:val="Numeris"/>
                      <w:tag w:val="nr_fb243c0c7beb4f3892f2b36f3f8e21ef"/>
                      <w:lock w:val="sdtLocked"/>
                      <w:richText/>
                    </w:sdtPr>
                    <w:sdtContent>
                      <w:r>
                        <w:rPr>
                          <w:szCs w:val="24"/>
                          <w:lang w:eastAsia="lt-LT"/>
                        </w:rPr>
                        <w:t>3</w:t>
                      </w:r>
                    </w:sdtContent>
                  </w:sdt>
                  <w:r>
                    <w:rPr>
                      <w:szCs w:val="24"/>
                      <w:lang w:eastAsia="lt-LT"/>
                    </w:rPr>
                    <w:t>)</w:t>
                    <w:tab/>
                    <w:t>renginių (</w:t>
                  </w:r>
                  <w:r>
                    <w:rPr>
                      <w:color w:val="000000"/>
                      <w:szCs w:val="24"/>
                      <w:lang w:eastAsia="lt-LT"/>
                    </w:rPr>
                    <w:t>mokomųjų renginių arba vizitų, renginių, skirtų Lietuvos mažųjų kultūros sostinių vei</w:t>
                  </w:r>
                  <w:r>
                    <w:rPr>
                      <w:szCs w:val="24"/>
                      <w:lang w:eastAsia="lt-LT"/>
                    </w:rPr>
                    <w:t>kloms įgyvendinti, renginių Lietuvos Respublikos Seimo / savivaldybės paskelbtoms metų temoms minėti) organizavimas (</w:t>
                  </w:r>
                  <w:r>
                    <w:rPr>
                      <w:color w:val="000000"/>
                      <w:szCs w:val="24"/>
                      <w:lang w:eastAsia="lt-LT"/>
                    </w:rPr>
                    <w:t>pareiškėjai – bet kokios kaimo bendruomenės arba jas vienijančios organizacijos)</w:t>
                  </w:r>
                  <w:r>
                    <w:rPr>
                      <w:szCs w:val="24"/>
                      <w:lang w:eastAsia="lt-LT"/>
                    </w:rPr>
                    <w:t>.</w:t>
                  </w:r>
                </w:p>
                <w:p>
                  <w:pPr>
                    <w:spacing w:line="276" w:lineRule="auto"/>
                    <w:ind w:firstLine="567"/>
                    <w:jc w:val="both"/>
                    <w:rPr>
                      <w:szCs w:val="24"/>
                      <w:lang w:eastAsia="lt-LT"/>
                    </w:rPr>
                  </w:pPr>
                  <w:r>
                    <w:rPr>
                      <w:szCs w:val="24"/>
                      <w:lang w:eastAsia="lt-LT"/>
                    </w:rPr>
                    <w:t>Projekte nėra naujų sąvokų, vartojamos sąvokos apibrėžtos Lietuvos Respublikos bendruomeninių organizacijų plėtros įstatyme ir Lietuvos Respublikos žemės ūkio, maisto ūkio ir kaimo plėtros įstatyme.</w:t>
                  </w:r>
                </w:p>
              </w:sdtContent>
            </w:sdt>
          </w:sdtContent>
        </w:sdt>
        <w:sdt>
          <w:sdtPr>
            <w:alias w:val="2 p."/>
            <w:tag w:val="part_57749b11109e42e2a4cf40299118dc44"/>
            <w:lock w:val="sdtLocked"/>
            <w:richText/>
          </w:sdtPr>
          <w:sdtContent>
            <w:p>
              <w:pPr>
                <w:spacing w:line="276" w:lineRule="auto"/>
                <w:ind w:firstLine="567"/>
                <w:jc w:val="both"/>
                <w:rPr>
                  <w:rFonts w:eastAsia="Calibri"/>
                  <w:b/>
                  <w:bCs/>
                  <w:szCs w:val="24"/>
                </w:rPr>
              </w:pPr>
              <w:sdt>
                <w:sdtPr>
                  <w:alias w:val="Numeris"/>
                  <w:tag w:val="nr_57749b11109e42e2a4cf40299118dc44"/>
                  <w:lock w:val="sdtLocked"/>
                  <w:richText/>
                </w:sdtPr>
                <w:sdtContent>
                  <w:r>
                    <w:rPr>
                      <w:b/>
                      <w:bCs/>
                      <w:szCs w:val="24"/>
                      <w:lang w:eastAsia="lt-LT"/>
                    </w:rPr>
                    <w:t>2</w:t>
                  </w:r>
                </w:sdtContent>
              </w:sdt>
              <w:r>
                <w:rPr>
                  <w:b/>
                  <w:bCs/>
                  <w:szCs w:val="24"/>
                  <w:lang w:eastAsia="lt-LT"/>
                </w:rPr>
                <w:t xml:space="preserve">. </w:t>
              </w:r>
              <w:r>
                <w:rPr>
                  <w:rFonts w:eastAsia="Calibri"/>
                  <w:b/>
                  <w:bCs/>
                  <w:szCs w:val="24"/>
                </w:rPr>
                <w:t>Įsakymo projektui įgyvendinti reikalingi institucijų ir (ar) įstaigų informacinių sistemų pakeitimai</w:t>
              </w:r>
            </w:p>
            <w:p>
              <w:pPr>
                <w:spacing w:line="276" w:lineRule="auto"/>
                <w:ind w:firstLine="567"/>
                <w:jc w:val="both"/>
                <w:rPr>
                  <w:rFonts w:eastAsia="Calibri"/>
                  <w:szCs w:val="24"/>
                  <w:lang w:eastAsia="lt-LT"/>
                </w:rPr>
              </w:pPr>
              <w:r>
                <w:rPr>
                  <w:rFonts w:eastAsia="Calibri"/>
                  <w:szCs w:val="24"/>
                  <w:lang w:eastAsia="lt-LT"/>
                </w:rPr>
                <w:t>Informacinių sistemų pakeitimai nereikalingi.</w:t>
              </w:r>
            </w:p>
          </w:sdtContent>
        </w:sdt>
        <w:sdt>
          <w:sdtPr>
            <w:alias w:val="3 p."/>
            <w:tag w:val="part_7d2da0671bcd450d86346d059834847f"/>
            <w:lock w:val="sdtLocked"/>
            <w:richText/>
          </w:sdtPr>
          <w:sdtContent>
            <w:p>
              <w:pPr>
                <w:spacing w:line="276" w:lineRule="auto"/>
                <w:ind w:firstLine="567"/>
                <w:jc w:val="both"/>
                <w:rPr>
                  <w:b/>
                  <w:bCs/>
                  <w:szCs w:val="24"/>
                  <w:lang w:eastAsia="lt-LT"/>
                </w:rPr>
              </w:pPr>
              <w:sdt>
                <w:sdtPr>
                  <w:alias w:val="Numeris"/>
                  <w:tag w:val="nr_7d2da0671bcd450d86346d059834847f"/>
                  <w:lock w:val="sdtLocked"/>
                  <w:richText/>
                </w:sdtPr>
                <w:sdtContent>
                  <w:r>
                    <w:rPr>
                      <w:b/>
                      <w:bCs/>
                      <w:szCs w:val="24"/>
                      <w:lang w:eastAsia="lt-LT"/>
                    </w:rPr>
                    <w:t>3</w:t>
                  </w:r>
                </w:sdtContent>
              </w:sdt>
              <w:r>
                <w:rPr>
                  <w:b/>
                  <w:bCs/>
                  <w:szCs w:val="24"/>
                  <w:lang w:eastAsia="lt-LT"/>
                </w:rPr>
                <w:t xml:space="preserve">. Informacija dėl įsakymo projekto skelbimo Lietuvos Respublikos Seimo kanceliarijos Teisės aktų informacinėje sistemoje (toliau – TAIS) </w:t>
              </w:r>
            </w:p>
            <w:p>
              <w:pPr>
                <w:spacing w:line="276" w:lineRule="auto"/>
                <w:ind w:firstLine="567"/>
                <w:jc w:val="both"/>
                <w:rPr>
                  <w:rFonts w:eastAsia="Calibri"/>
                  <w:szCs w:val="24"/>
                </w:rPr>
              </w:pPr>
              <w:r>
                <w:rPr>
                  <w:szCs w:val="24"/>
                  <w:lang w:eastAsia="lt-LT"/>
                </w:rPr>
                <w:t>Įsakymo projektas bus skelbiamas Lietuvos Respublikos Seimo kanceliarijos teisės aktų informacinės sistemos Projektų registravimo posistemyje</w:t>
              </w:r>
              <w:r>
                <w:rPr>
                  <w:color w:val="000000"/>
                  <w:szCs w:val="24"/>
                  <w:lang w:eastAsia="lt-LT"/>
                </w:rPr>
                <w:t xml:space="preserve"> 10 darbo dienų.</w:t>
              </w:r>
            </w:p>
          </w:sdtContent>
        </w:sdt>
        <w:sdt>
          <w:sdtPr>
            <w:alias w:val="4 p."/>
            <w:tag w:val="part_756cc544dfe04536beeea0e1d591254c"/>
            <w:lock w:val="sdtLocked"/>
            <w:richText/>
          </w:sdtPr>
          <w:sdtContent>
            <w:p>
              <w:pPr>
                <w:spacing w:line="276" w:lineRule="auto"/>
                <w:ind w:firstLine="567"/>
                <w:jc w:val="both"/>
                <w:rPr>
                  <w:b/>
                  <w:bCs/>
                  <w:color w:val="000000"/>
                  <w:szCs w:val="24"/>
                  <w:lang w:eastAsia="lt-LT"/>
                </w:rPr>
              </w:pPr>
              <w:sdt>
                <w:sdtPr>
                  <w:alias w:val="Numeris"/>
                  <w:tag w:val="nr_756cc544dfe04536beeea0e1d591254c"/>
                  <w:lock w:val="sdtLocked"/>
                  <w:richText/>
                </w:sdtPr>
                <w:sdtContent>
                  <w:r>
                    <w:rPr>
                      <w:b/>
                      <w:bCs/>
                      <w:color w:val="000000"/>
                      <w:szCs w:val="24"/>
                      <w:lang w:eastAsia="lt-LT"/>
                    </w:rPr>
                    <w:t>4</w:t>
                  </w:r>
                </w:sdtContent>
              </w:sdt>
              <w:r>
                <w:rPr>
                  <w:b/>
                  <w:bCs/>
                  <w:color w:val="000000"/>
                  <w:szCs w:val="24"/>
                  <w:lang w:eastAsia="lt-LT"/>
                </w:rPr>
                <w:t xml:space="preserve">. Informacija dėl įsakymo projekto derinimo su suinteresuotomis valstybės institucijomis ir (ar) įstaigomis. </w:t>
              </w:r>
            </w:p>
            <w:p>
              <w:pPr>
                <w:spacing w:line="276" w:lineRule="auto"/>
                <w:ind w:firstLine="567"/>
                <w:jc w:val="both"/>
                <w:rPr>
                  <w:szCs w:val="24"/>
                  <w:lang w:eastAsia="lt-LT"/>
                </w:rPr>
              </w:pPr>
              <w:r>
                <w:rPr>
                  <w:szCs w:val="24"/>
                  <w:lang w:eastAsia="lt-LT"/>
                </w:rPr>
                <w:t>Įsakymo projektas bus derinamas su Nacionaline mokėjimo agentūra prie Žemės ūkio ministerijos, VšĮ Kaimo verslo ir rinkų plėtros agentūra, Lietuvos kaimo bendruomenių sąjunga ir Konkurencijos taryba.</w:t>
              </w:r>
            </w:p>
          </w:sdtContent>
        </w:sdt>
        <w:sdt>
          <w:sdtPr>
            <w:alias w:val="5 p."/>
            <w:tag w:val="part_c8b51156978e4d56b50fc3282c48912b"/>
            <w:lock w:val="sdtLocked"/>
            <w:richText/>
          </w:sdtPr>
          <w:sdtContent>
            <w:p>
              <w:pPr>
                <w:spacing w:line="276" w:lineRule="auto"/>
                <w:ind w:firstLine="567"/>
                <w:jc w:val="both"/>
                <w:rPr>
                  <w:b/>
                  <w:bCs/>
                  <w:color w:val="000000"/>
                  <w:szCs w:val="24"/>
                  <w:lang w:eastAsia="lt-LT"/>
                </w:rPr>
              </w:pPr>
              <w:sdt>
                <w:sdtPr>
                  <w:alias w:val="Numeris"/>
                  <w:tag w:val="nr_c8b51156978e4d56b50fc3282c48912b"/>
                  <w:lock w:val="sdtLocked"/>
                  <w:richText/>
                </w:sdtPr>
                <w:sdtContent>
                  <w:r>
                    <w:rPr>
                      <w:b/>
                      <w:bCs/>
                      <w:color w:val="000000"/>
                      <w:szCs w:val="24"/>
                      <w:lang w:eastAsia="lt-LT"/>
                    </w:rPr>
                    <w:t>5</w:t>
                  </w:r>
                </w:sdtContent>
              </w:sdt>
              <w:r>
                <w:rPr>
                  <w:b/>
                  <w:bCs/>
                  <w:color w:val="000000"/>
                  <w:szCs w:val="24"/>
                  <w:lang w:eastAsia="lt-LT"/>
                </w:rPr>
                <w:t xml:space="preserve">. Informacija dėl įsakymo projekto antikorupcinio vertinimo. </w:t>
              </w:r>
            </w:p>
            <w:p>
              <w:pPr>
                <w:spacing w:line="276" w:lineRule="auto"/>
                <w:ind w:firstLine="567"/>
                <w:jc w:val="both"/>
                <w:rPr>
                  <w:szCs w:val="24"/>
                  <w:lang w:eastAsia="lt-LT"/>
                </w:rPr>
              </w:pPr>
              <w:r>
                <w:rPr>
                  <w:color w:val="000000"/>
                  <w:szCs w:val="24"/>
                  <w:lang w:eastAsia="lt-LT"/>
                </w:rPr>
                <w:t xml:space="preserve">Atliktas </w:t>
              </w:r>
              <w:r>
                <w:rPr>
                  <w:szCs w:val="24"/>
                  <w:lang w:eastAsia="lt-LT"/>
                </w:rPr>
                <w:t xml:space="preserve">įsakymo projekto antikorupcinis vertinimas ir parengta teisės akto projekto antikorupcinio vertinimo pažyma. </w:t>
              </w:r>
            </w:p>
          </w:sdtContent>
        </w:sdt>
        <w:sdt>
          <w:sdtPr>
            <w:alias w:val="6 p."/>
            <w:tag w:val="part_2f9cef212eb4445e947b1163fede6853"/>
            <w:lock w:val="sdtLocked"/>
            <w:richText/>
          </w:sdtPr>
          <w:sdtContent>
            <w:p>
              <w:pPr>
                <w:spacing w:line="276" w:lineRule="auto"/>
                <w:ind w:firstLine="567"/>
                <w:jc w:val="both"/>
                <w:rPr>
                  <w:b/>
                  <w:bCs/>
                  <w:color w:val="000000"/>
                  <w:szCs w:val="24"/>
                  <w:lang w:eastAsia="lt-LT"/>
                </w:rPr>
              </w:pPr>
              <w:sdt>
                <w:sdtPr>
                  <w:alias w:val="Numeris"/>
                  <w:tag w:val="nr_2f9cef212eb4445e947b1163fede6853"/>
                  <w:lock w:val="sdtLocked"/>
                  <w:richText/>
                </w:sdtPr>
                <w:sdtContent>
                  <w:r>
                    <w:rPr>
                      <w:b/>
                      <w:bCs/>
                      <w:color w:val="000000"/>
                      <w:szCs w:val="24"/>
                      <w:lang w:eastAsia="lt-LT"/>
                    </w:rPr>
                    <w:t>6</w:t>
                  </w:r>
                </w:sdtContent>
              </w:sdt>
              <w:r>
                <w:rPr>
                  <w:b/>
                  <w:bCs/>
                  <w:color w:val="000000"/>
                  <w:szCs w:val="24"/>
                  <w:lang w:eastAsia="lt-LT"/>
                </w:rPr>
                <w:t xml:space="preserve">. Informacija dėl ūkio subjektams sukeliamų prisitaikymo prie reguliavimo išlaidų vertinimo, numatomo teisinio reguliavimo poveikio vertinimo, poveikio konkurencijai vertinimo, įsakymo projekto, perkeliančio ir (ar) įgyvendinančio Europos Sąjungos direktyvų ar kitų Europos Sąjungos teisės aktų nuostatas atitikties. </w:t>
              </w:r>
            </w:p>
            <w:p>
              <w:pPr>
                <w:spacing w:line="276" w:lineRule="auto"/>
                <w:ind w:firstLine="567"/>
                <w:jc w:val="both"/>
                <w:rPr>
                  <w:color w:val="000000"/>
                  <w:szCs w:val="24"/>
                  <w:lang w:eastAsia="lt-LT"/>
                </w:rPr>
              </w:pPr>
              <w:r>
                <w:rPr>
                  <w:color w:val="000000"/>
                  <w:szCs w:val="24"/>
                  <w:lang w:eastAsia="lt-LT"/>
                </w:rPr>
                <w:t>Prisitaikymo prie reguliavimo išlaidų vertinimas, numatomo teisinio reguliavimo poveikio vertinimas, poveikio konkurencijai vertinimas neatliekamas. Projektas neturi poveikio konkurencijai ir nesudaro galimybių pažeisti konkurencijos sąlygas. Įsakymo projektas neperkelia ir neįgyvendina ES direktyvų ar kitų ES teisės aktų.</w:t>
              </w:r>
            </w:p>
            <w:p>
              <w:pPr>
                <w:tabs>
                  <w:tab w:val="left" w:pos="993"/>
                </w:tabs>
                <w:spacing w:line="276" w:lineRule="auto"/>
                <w:ind w:firstLine="567"/>
                <w:jc w:val="both"/>
                <w:rPr>
                  <w:color w:val="000000"/>
                  <w:szCs w:val="24"/>
                  <w:lang w:eastAsia="lt-LT"/>
                </w:rPr>
              </w:pPr>
              <w:r>
                <w:rPr>
                  <w:color w:val="000000"/>
                  <w:szCs w:val="24"/>
                  <w:lang w:eastAsia="lt-LT"/>
                </w:rPr>
                <w:t>PRIDEDAMA:</w:t>
              </w:r>
            </w:p>
          </w:sdtContent>
        </w:sdt>
        <w:sdt>
          <w:sdtPr>
            <w:alias w:val="1 p."/>
            <w:tag w:val="part_ebcb691749f04a428c713b603d80672f"/>
            <w:lock w:val="sdtLocked"/>
            <w:richText/>
          </w:sdtPr>
          <w:sdtContent>
            <w:p>
              <w:pPr>
                <w:tabs>
                  <w:tab w:val="left" w:pos="993"/>
                </w:tabs>
                <w:spacing w:line="276" w:lineRule="auto"/>
                <w:ind w:left="927" w:hanging="360"/>
                <w:jc w:val="both"/>
                <w:rPr>
                  <w:szCs w:val="24"/>
                  <w:lang w:eastAsia="lt-LT"/>
                </w:rPr>
              </w:pPr>
              <w:sdt>
                <w:sdtPr>
                  <w:alias w:val="Numeris"/>
                  <w:tag w:val="nr_ebcb691749f04a428c713b603d80672f"/>
                  <w:lock w:val="sdtLocked"/>
                  <w:richText/>
                </w:sdtPr>
                <w:sdtContent>
                  <w:r>
                    <w:rPr>
                      <w:color w:val="000000"/>
                      <w:szCs w:val="24"/>
                      <w:lang w:eastAsia="lt-LT"/>
                    </w:rPr>
                    <w:t>1</w:t>
                  </w:r>
                </w:sdtContent>
              </w:sdt>
              <w:r>
                <w:rPr>
                  <w:color w:val="000000"/>
                  <w:szCs w:val="24"/>
                  <w:lang w:eastAsia="lt-LT"/>
                </w:rPr>
                <w:t>.</w:t>
                <w:tab/>
              </w:r>
              <w:r>
                <w:rPr>
                  <w:szCs w:val="24"/>
                  <w:lang w:eastAsia="lt-LT"/>
                </w:rPr>
                <w:t>Įsakymo projektas, 25 lapai.</w:t>
              </w:r>
            </w:p>
          </w:sdtContent>
        </w:sdt>
        <w:sdt>
          <w:sdtPr>
            <w:alias w:val="2 p."/>
            <w:tag w:val="part_8252e0760ca4456380c28c687e09ddb6"/>
            <w:lock w:val="sdtLocked"/>
            <w:richText/>
          </w:sdtPr>
          <w:sdtContent>
            <w:p>
              <w:pPr>
                <w:tabs>
                  <w:tab w:val="left" w:pos="993"/>
                </w:tabs>
                <w:spacing w:line="276" w:lineRule="auto"/>
                <w:ind w:left="927" w:hanging="360"/>
                <w:jc w:val="both"/>
                <w:rPr>
                  <w:szCs w:val="24"/>
                  <w:lang w:eastAsia="lt-LT"/>
                </w:rPr>
              </w:pPr>
              <w:sdt>
                <w:sdtPr>
                  <w:alias w:val="Numeris"/>
                  <w:tag w:val="nr_8252e0760ca4456380c28c687e09ddb6"/>
                  <w:lock w:val="sdtLocked"/>
                  <w:richText/>
                </w:sdtPr>
                <w:sdtContent>
                  <w:r>
                    <w:rPr>
                      <w:color w:val="000000"/>
                      <w:szCs w:val="24"/>
                      <w:lang w:eastAsia="lt-LT"/>
                    </w:rPr>
                    <w:t>2</w:t>
                  </w:r>
                </w:sdtContent>
              </w:sdt>
              <w:r>
                <w:rPr>
                  <w:color w:val="000000"/>
                  <w:szCs w:val="24"/>
                  <w:lang w:eastAsia="lt-LT"/>
                </w:rPr>
                <w:t>.</w:t>
                <w:tab/>
              </w:r>
              <w:r>
                <w:rPr>
                  <w:szCs w:val="24"/>
                  <w:lang w:eastAsia="lt-LT"/>
                </w:rPr>
                <w:t>Taisyklių priedai, iš viso 24 lapai.</w:t>
              </w:r>
            </w:p>
          </w:sdtContent>
        </w:sdt>
        <w:sdt>
          <w:sdtPr>
            <w:alias w:val="3 p."/>
            <w:tag w:val="part_964a968a3ca44020948f530ec56b0596"/>
            <w:lock w:val="sdtLocked"/>
            <w:richText/>
          </w:sdtPr>
          <w:sdtContent>
            <w:p>
              <w:pPr>
                <w:tabs>
                  <w:tab w:val="left" w:pos="993"/>
                </w:tabs>
                <w:spacing w:line="276" w:lineRule="auto"/>
                <w:ind w:left="927" w:hanging="360"/>
                <w:jc w:val="both"/>
                <w:rPr>
                  <w:szCs w:val="24"/>
                  <w:lang w:eastAsia="lt-LT"/>
                </w:rPr>
              </w:pPr>
              <w:sdt>
                <w:sdtPr>
                  <w:alias w:val="Numeris"/>
                  <w:tag w:val="nr_964a968a3ca44020948f530ec56b0596"/>
                  <w:lock w:val="sdtLocked"/>
                  <w:richText/>
                </w:sdtPr>
                <w:sdtContent>
                  <w:r>
                    <w:rPr>
                      <w:color w:val="000000"/>
                      <w:szCs w:val="24"/>
                      <w:lang w:eastAsia="lt-LT"/>
                    </w:rPr>
                    <w:t>3</w:t>
                  </w:r>
                </w:sdtContent>
              </w:sdt>
              <w:r>
                <w:rPr>
                  <w:color w:val="000000"/>
                  <w:szCs w:val="24"/>
                  <w:lang w:eastAsia="lt-LT"/>
                </w:rPr>
                <w:t>.</w:t>
                <w:tab/>
              </w:r>
              <w:r>
                <w:rPr>
                  <w:bCs/>
                  <w:szCs w:val="24"/>
                  <w:lang w:eastAsia="lt-LT"/>
                </w:rPr>
                <w:t xml:space="preserve">Teisės aktų projektų </w:t>
              </w:r>
              <w:r>
                <w:rPr>
                  <w:bCs/>
                  <w:color w:val="000000"/>
                  <w:szCs w:val="24"/>
                  <w:lang w:eastAsia="lt-LT"/>
                </w:rPr>
                <w:t>antikorupcinio</w:t>
              </w:r>
              <w:r>
                <w:rPr>
                  <w:color w:val="000000"/>
                  <w:szCs w:val="24"/>
                  <w:lang w:eastAsia="lt-LT"/>
                </w:rPr>
                <w:t xml:space="preserve"> vertinimo pažyma, 6 lapai.</w:t>
              </w:r>
            </w:p>
            <w:p>
              <w:pPr>
                <w:spacing w:line="276" w:lineRule="auto"/>
                <w:jc w:val="both"/>
                <w:rPr>
                  <w:szCs w:val="24"/>
                  <w:lang w:eastAsia="lt-LT"/>
                </w:rPr>
              </w:pPr>
            </w:p>
            <w:p>
              <w:pPr>
                <w:spacing w:line="276" w:lineRule="auto"/>
                <w:jc w:val="both"/>
                <w:rPr>
                  <w:szCs w:val="24"/>
                  <w:lang w:eastAsia="lt-LT"/>
                </w:rPr>
              </w:pPr>
            </w:p>
          </w:sdtContent>
        </w:sdt>
        <w:sdt>
          <w:sdtPr>
            <w:alias w:val="signatura"/>
            <w:tag w:val="part_5069a5d57c9d44a7bd97322a9b79cb7c"/>
            <w:lock w:val="sdtLocked"/>
            <w:richText/>
          </w:sdtPr>
          <w:sdtContent>
            <w:p>
              <w:pPr>
                <w:spacing w:line="276" w:lineRule="auto"/>
                <w:jc w:val="both"/>
                <w:rPr>
                  <w:szCs w:val="24"/>
                  <w:lang w:eastAsia="lt-LT"/>
                </w:rPr>
              </w:pPr>
              <w:r>
                <w:rPr>
                  <w:szCs w:val="24"/>
                  <w:lang w:eastAsia="lt-LT"/>
                </w:rPr>
                <w:t>Direktorė</w:t>
                <w:tab/>
                <w:tab/>
                <w:tab/>
                <w:tab/>
                <w:tab/>
                <w:tab/>
                <w:t>Jurgita Stakėnienė</w:t>
              </w:r>
            </w:p>
            <w:p>
              <w:pPr>
                <w:spacing w:line="276" w:lineRule="auto"/>
                <w:jc w:val="both"/>
                <w:rPr>
                  <w:sz w:val="20"/>
                  <w:szCs w:val="24"/>
                  <w:lang w:eastAsia="lt-LT"/>
                </w:rPr>
              </w:pPr>
            </w:p>
            <w:p>
              <w:pPr>
                <w:spacing w:line="276" w:lineRule="auto"/>
                <w:jc w:val="both"/>
                <w:rPr>
                  <w:sz w:val="20"/>
                  <w:szCs w:val="24"/>
                  <w:lang w:eastAsia="lt-LT"/>
                </w:rPr>
              </w:pPr>
            </w:p>
            <w:p>
              <w:pPr>
                <w:spacing w:line="276" w:lineRule="auto"/>
                <w:jc w:val="both"/>
                <w:rPr>
                  <w:sz w:val="20"/>
                  <w:szCs w:val="24"/>
                  <w:lang w:eastAsia="lt-LT"/>
                </w:rPr>
              </w:pPr>
            </w:p>
            <w:p>
              <w:pPr>
                <w:spacing w:line="276" w:lineRule="auto"/>
                <w:jc w:val="both"/>
                <w:rPr>
                  <w:sz w:val="20"/>
                  <w:szCs w:val="24"/>
                  <w:lang w:eastAsia="lt-LT"/>
                </w:rPr>
              </w:pPr>
            </w:p>
            <w:p>
              <w:pPr>
                <w:spacing w:line="276" w:lineRule="auto"/>
                <w:jc w:val="both"/>
                <w:rPr>
                  <w:sz w:val="20"/>
                  <w:szCs w:val="24"/>
                  <w:lang w:eastAsia="lt-LT"/>
                </w:rPr>
              </w:pPr>
            </w:p>
            <w:p>
              <w:pPr>
                <w:spacing w:line="276" w:lineRule="auto"/>
                <w:jc w:val="both"/>
                <w:rPr>
                  <w:sz w:val="20"/>
                  <w:szCs w:val="24"/>
                  <w:lang w:eastAsia="lt-LT"/>
                </w:rPr>
              </w:pPr>
            </w:p>
            <w:p>
              <w:pPr>
                <w:spacing w:line="276" w:lineRule="auto"/>
                <w:jc w:val="both"/>
                <w:rPr>
                  <w:sz w:val="20"/>
                  <w:szCs w:val="24"/>
                  <w:lang w:eastAsia="lt-LT"/>
                </w:rPr>
              </w:pPr>
            </w:p>
            <w:p>
              <w:pPr>
                <w:spacing w:line="276" w:lineRule="auto"/>
                <w:jc w:val="both"/>
                <w:rPr>
                  <w:sz w:val="20"/>
                  <w:szCs w:val="24"/>
                  <w:lang w:eastAsia="lt-LT"/>
                </w:rPr>
              </w:pPr>
            </w:p>
            <w:p>
              <w:pPr>
                <w:spacing w:line="276" w:lineRule="auto"/>
                <w:jc w:val="both"/>
                <w:rPr>
                  <w:sz w:val="20"/>
                  <w:szCs w:val="24"/>
                  <w:lang w:eastAsia="lt-LT"/>
                </w:rPr>
              </w:pPr>
            </w:p>
            <w:p>
              <w:pPr>
                <w:spacing w:line="276" w:lineRule="auto"/>
                <w:jc w:val="both"/>
                <w:rPr>
                  <w:sz w:val="20"/>
                  <w:szCs w:val="24"/>
                  <w:lang w:eastAsia="lt-LT"/>
                </w:rPr>
              </w:pPr>
            </w:p>
            <w:p>
              <w:pPr>
                <w:spacing w:line="276" w:lineRule="auto"/>
                <w:jc w:val="both"/>
                <w:rPr>
                  <w:sz w:val="20"/>
                  <w:szCs w:val="24"/>
                  <w:lang w:eastAsia="lt-LT"/>
                </w:rPr>
              </w:pPr>
            </w:p>
            <w:p>
              <w:pPr>
                <w:spacing w:line="276" w:lineRule="auto"/>
                <w:jc w:val="both"/>
                <w:rPr>
                  <w:sz w:val="20"/>
                  <w:szCs w:val="24"/>
                  <w:lang w:eastAsia="lt-LT"/>
                </w:rPr>
              </w:pPr>
            </w:p>
            <w:p>
              <w:pPr>
                <w:spacing w:line="276" w:lineRule="auto"/>
                <w:jc w:val="both"/>
                <w:rPr>
                  <w:sz w:val="20"/>
                  <w:szCs w:val="24"/>
                  <w:lang w:eastAsia="lt-LT"/>
                </w:rPr>
              </w:pPr>
            </w:p>
            <w:p>
              <w:pPr>
                <w:spacing w:line="276" w:lineRule="auto"/>
                <w:jc w:val="both"/>
                <w:rPr>
                  <w:szCs w:val="24"/>
                  <w:lang w:eastAsia="lt-LT"/>
                </w:rPr>
              </w:pPr>
              <w:r>
                <w:rPr>
                  <w:szCs w:val="24"/>
                  <w:lang w:eastAsia="lt-LT"/>
                </w:rPr>
                <w:t>Daiva Belevičienė, tel. 239 1269, el. p. Daiva.Beleviciene@zum.lt</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083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1D9FE9A-ED3E-4084-B625-12CD36D291A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9443745">
      <w:bodyDiv w:val="1"/>
      <w:marLeft w:val="0"/>
      <w:marRight w:val="0"/>
      <w:marTop w:val="0"/>
      <w:marBottom w:val="0"/>
      <w:divBdr>
        <w:top w:val="none" w:sz="0" w:space="0" w:color="auto"/>
        <w:left w:val="none" w:sz="0" w:space="0" w:color="auto"/>
        <w:bottom w:val="none" w:sz="0" w:space="0" w:color="auto"/>
        <w:right w:val="none" w:sz="0" w:space="0" w:color="auto"/>
      </w:divBdr>
    </w:div>
    <w:div w:id="179635678">
      <w:bodyDiv w:val="1"/>
      <w:marLeft w:val="0"/>
      <w:marRight w:val="0"/>
      <w:marTop w:val="0"/>
      <w:marBottom w:val="0"/>
      <w:divBdr>
        <w:top w:val="none" w:sz="0" w:space="0" w:color="auto"/>
        <w:left w:val="none" w:sz="0" w:space="0" w:color="auto"/>
        <w:bottom w:val="none" w:sz="0" w:space="0" w:color="auto"/>
        <w:right w:val="none" w:sz="0" w:space="0" w:color="auto"/>
      </w:divBdr>
    </w:div>
    <w:div w:id="424114746">
      <w:bodyDiv w:val="1"/>
      <w:marLeft w:val="0"/>
      <w:marRight w:val="0"/>
      <w:marTop w:val="0"/>
      <w:marBottom w:val="0"/>
      <w:divBdr>
        <w:top w:val="none" w:sz="0" w:space="0" w:color="auto"/>
        <w:left w:val="none" w:sz="0" w:space="0" w:color="auto"/>
        <w:bottom w:val="none" w:sz="0" w:space="0" w:color="auto"/>
        <w:right w:val="none" w:sz="0" w:space="0" w:color="auto"/>
      </w:divBdr>
    </w:div>
    <w:div w:id="510722316">
      <w:bodyDiv w:val="1"/>
      <w:marLeft w:val="0"/>
      <w:marRight w:val="0"/>
      <w:marTop w:val="0"/>
      <w:marBottom w:val="0"/>
      <w:divBdr>
        <w:top w:val="none" w:sz="0" w:space="0" w:color="auto"/>
        <w:left w:val="none" w:sz="0" w:space="0" w:color="auto"/>
        <w:bottom w:val="none" w:sz="0" w:space="0" w:color="auto"/>
        <w:right w:val="none" w:sz="0" w:space="0" w:color="auto"/>
      </w:divBdr>
    </w:div>
    <w:div w:id="1049258244">
      <w:bodyDiv w:val="1"/>
      <w:marLeft w:val="0"/>
      <w:marRight w:val="0"/>
      <w:marTop w:val="0"/>
      <w:marBottom w:val="0"/>
      <w:divBdr>
        <w:top w:val="none" w:sz="0" w:space="0" w:color="auto"/>
        <w:left w:val="none" w:sz="0" w:space="0" w:color="auto"/>
        <w:bottom w:val="none" w:sz="0" w:space="0" w:color="auto"/>
        <w:right w:val="none" w:sz="0" w:space="0" w:color="auto"/>
      </w:divBdr>
    </w:div>
    <w:div w:id="1373577984">
      <w:bodyDiv w:val="1"/>
      <w:marLeft w:val="0"/>
      <w:marRight w:val="0"/>
      <w:marTop w:val="0"/>
      <w:marBottom w:val="0"/>
      <w:divBdr>
        <w:top w:val="none" w:sz="0" w:space="0" w:color="auto"/>
        <w:left w:val="none" w:sz="0" w:space="0" w:color="auto"/>
        <w:bottom w:val="none" w:sz="0" w:space="0" w:color="auto"/>
        <w:right w:val="none" w:sz="0" w:space="0" w:color="auto"/>
      </w:divBdr>
    </w:div>
    <w:div w:id="1433285310">
      <w:bodyDiv w:val="1"/>
      <w:marLeft w:val="0"/>
      <w:marRight w:val="0"/>
      <w:marTop w:val="0"/>
      <w:marBottom w:val="0"/>
      <w:divBdr>
        <w:top w:val="none" w:sz="0" w:space="0" w:color="auto"/>
        <w:left w:val="none" w:sz="0" w:space="0" w:color="auto"/>
        <w:bottom w:val="none" w:sz="0" w:space="0" w:color="auto"/>
        <w:right w:val="none" w:sz="0" w:space="0" w:color="auto"/>
      </w:divBdr>
    </w:div>
    <w:div w:id="1610117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ffebaa5532b40c6b55a0a5ac766ed1d" PartId="de971df0c5d24579bdfba709cf0703f6">
    <Part Type="punktas" Nr="1" Abbr="1 p." DocPartId="cc0e7dcaec0e4817860537210824da6b" PartId="d26d28fc8a9a47b2bef63de7ece9b670">
      <Part Type="strPapunktis" Nr="1" Abbr="1 p. 1 pp." DocPartId="3ed9bdba89184577b2a869ad1a702095" PartId="6dac32526970448a9e1923ed58cf302c"/>
      <Part Type="strPapunktis" Nr="2" Abbr="1 p. 2 pp." DocPartId="8b04b05782aa4ce08bd58bbad5be2601" PartId="b3f2a5b9553b48cf93408e0c4ef74843"/>
      <Part Type="strPapunktis" Nr="3" Abbr="1 p. 3 pp." DocPartId="f97963c9deda4979b35a5b790eccefc7" PartId="fb243c0c7beb4f3892f2b36f3f8e21ef"/>
    </Part>
    <Part Type="punktas" Nr="2" Abbr="2 p." DocPartId="a807f6c522134ba2bd98a0e09a905de8" PartId="57749b11109e42e2a4cf40299118dc44"/>
    <Part Type="punktas" Nr="3" Abbr="3 p." DocPartId="e3bff509584c4de58225cbae5e698d12" PartId="7d2da0671bcd450d86346d059834847f"/>
    <Part Type="punktas" Nr="4" Abbr="4 p." DocPartId="6f0a818e6dbc415ca72f7fcf64ff3b76" PartId="756cc544dfe04536beeea0e1d591254c"/>
    <Part Type="punktas" Nr="5" Abbr="5 p." DocPartId="5b0ba04aec3d4cd78a34146bc6069af3" PartId="c8b51156978e4d56b50fc3282c48912b"/>
    <Part Type="punktas" Nr="6" Abbr="6 p." DocPartId="9d419d12841e4f78a1b7298895e65d78" PartId="2f9cef212eb4445e947b1163fede6853"/>
    <Part Type="punktas" Nr="1" Abbr="1 p." Notes="Numeris ne iš eilės. Trūksta dalių? [DocDalys]" DocPartId="3e3e407a67134ad4a632c51ef74011db" PartId="ebcb691749f04a428c713b603d80672f"/>
    <Part Type="punktas" Nr="2" Abbr="2 p." DocPartId="7677f7d2cda7417bb37dd049204d5405" PartId="8252e0760ca4456380c28c687e09ddb6"/>
    <Part Type="punktas" Nr="3" Abbr="3 p." DocPartId="6a1f35983ac44dba93ad86e4ca279d92" PartId="964a968a3ca44020948f530ec56b0596"/>
    <Part Type="signatura" DocPartId="1e93792c17294c9ba30d157c5959e5e1" PartId="5069a5d57c9d44a7bd97322a9b79cb7c"/>
  </Part>
</Parts>
</file>

<file path=customXml/itemProps1.xml><?xml version="1.0" encoding="utf-8"?>
<ds:datastoreItem xmlns:ds="http://schemas.openxmlformats.org/officeDocument/2006/customXml" ds:itemID="{47F8937F-D658-4269-922D-E652B6D39EDA}">
  <ds:schemaRefs>
    <ds:schemaRef ds:uri="http://schemas.openxmlformats.org/officeDocument/2006/bibliography"/>
  </ds:schemaRefs>
</ds:datastoreItem>
</file>

<file path=customXml/itemProps2.xml><?xml version="1.0" encoding="utf-8"?>
<ds:datastoreItem xmlns:ds="http://schemas.openxmlformats.org/officeDocument/2006/customXml" ds:itemID="{AEA91CB9-3666-4CB5-AE9F-F7B8EBD9CDA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561</Words>
  <Characters>4186</Characters>
  <Application>Microsoft Office Word</Application>
  <DocSecurity>4</DocSecurity>
  <Lines>89</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4717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2023-11-21T06:48:00Z</dcterms:created>
  <dc:creator>Eglė Neniškienė</dc:creator>
  <lastModifiedBy>adlibuser</lastModifiedBy>
  <dcterms:modified xsi:type="dcterms:W3CDTF">2023-11-21T06:48:00Z</dcterms:modified>
  <revision>2</revision>
</coreProperties>
</file>