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a0ec30f9f324b43b006e3a977784343"/>
        <w:lock w:val="sdtLocked"/>
        <w:richText/>
      </w:sdtPr>
      <w:sdtContent>
        <w:p>
          <w:pPr>
            <w:tabs>
              <w:tab w:val="center" w:pos="4819"/>
              <w:tab w:val="right" w:pos="9638"/>
            </w:tabs>
            <w:jc w:val="both"/>
            <w:rPr>
              <w:szCs w:val="22"/>
            </w:rPr>
          </w:pPr>
        </w:p>
        <w:p>
          <w:pPr>
            <w:jc w:val="center"/>
            <w:rPr>
              <w:b/>
              <w:bCs/>
              <w:sz w:val="22"/>
              <w:szCs w:val="22"/>
              <w:lang w:eastAsia="lt-LT"/>
            </w:rPr>
          </w:pPr>
          <w:r>
            <w:rPr>
              <w:b/>
              <w:bCs/>
              <w:sz w:val="22"/>
              <w:szCs w:val="22"/>
              <w:lang w:eastAsia="lt-LT"/>
            </w:rPr>
            <w:t>DIREKTYVOS (ES) 2024/1788</w:t>
          </w:r>
          <w:r>
            <w:rPr>
              <w:sz w:val="22"/>
              <w:szCs w:val="22"/>
            </w:rPr>
            <w:t xml:space="preserve"> </w:t>
          </w:r>
          <w:r>
            <w:rPr>
              <w:b/>
              <w:bCs/>
              <w:sz w:val="22"/>
              <w:szCs w:val="22"/>
              <w:lang w:eastAsia="lt-LT"/>
            </w:rPr>
            <w:t>IR LIETUVOS RESPUBLIKOS NACIONALINIŲ TEISĖS AKTŲ ATITIKTIES LENTELĖ</w:t>
          </w:r>
        </w:p>
        <w:p>
          <w:pPr>
            <w:rPr>
              <w:sz w:val="20"/>
            </w:rPr>
          </w:pPr>
        </w:p>
        <w:p>
          <w:pPr>
            <w:jc w:val="center"/>
            <w:rPr>
              <w:sz w:val="22"/>
              <w:szCs w:val="22"/>
            </w:rPr>
          </w:pPr>
        </w:p>
        <w:tbl>
          <w:tblPr>
            <w:tblW w:w="15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1"/>
            <w:gridCol w:w="305"/>
            <w:gridCol w:w="3497"/>
            <w:gridCol w:w="5328"/>
            <w:gridCol w:w="66"/>
            <w:gridCol w:w="280"/>
            <w:gridCol w:w="1313"/>
            <w:gridCol w:w="426"/>
            <w:gridCol w:w="7"/>
          </w:tblGrid>
          <w:tr>
            <w:trPr>
              <w:gridAfter w:val="1"/>
              <w:wAfter w:w="7" w:type="dxa"/>
              <w:trHeight w:val="300"/>
            </w:trPr>
            <w:tc>
              <w:tcPr>
                <w:tcW w:w="4106" w:type="dxa"/>
                <w:gridSpan w:val="2"/>
              </w:tcPr>
              <w:p>
                <w:pPr>
                  <w:jc w:val="both"/>
                  <w:rPr>
                    <w:sz w:val="22"/>
                    <w:szCs w:val="22"/>
                  </w:rPr>
                </w:pPr>
                <w:r>
                  <w:rPr>
                    <w:b/>
                    <w:bCs/>
                    <w:sz w:val="22"/>
                    <w:szCs w:val="22"/>
                  </w:rPr>
                  <w:t xml:space="preserve">2024 m. birželio 13 d. Europos Parlamento ir Tarybos Direktyva </w:t>
                </w:r>
                <w:fldSimple w:instr="HYPERLINK http://eur-lex.europa.eu/legal-content/LIT/TXT/?uri=CELEX:32024L1788&amp;locale=lt \t _blank">
                  <w:r>
                    <w:rPr>
                      <w:b/>
                      <w:bCs/>
                      <w:sz w:val="22"/>
                      <w:szCs w:val="22"/>
                      <w:u w:val="single"/>
                      <w:color w:val="0000FF" w:themeColor="hyperlink"/>
                    </w:rPr>
                    <w:t>(ES) 2024/1788</w:t>
                  </w:r>
                </w:fldSimple>
                <w:r>
                  <w:rPr>
                    <w:b/>
                    <w:bCs/>
                    <w:sz w:val="22"/>
                    <w:szCs w:val="22"/>
                  </w:rPr>
                  <w:t xml:space="preserve"> dėl dujų iš atsinaujinančiųjų išteklių, gamtinių dujų ir vandenilio vidaus rinkų bendrųjų taisyklių, kuria iš dalies keičiama Direktyva </w:t>
                </w:r>
                <w:fldSimple w:instr="HYPERLINK http://eur-lex.europa.eu/legal-content/LIT/TXT/?uri=CELEX:32023L1791&amp;locale=lt \t _blank">
                  <w:r>
                    <w:rPr>
                      <w:b/>
                      <w:bCs/>
                      <w:sz w:val="22"/>
                      <w:szCs w:val="22"/>
                      <w:u w:val="single"/>
                      <w:color w:val="0000FF" w:themeColor="hyperlink"/>
                    </w:rPr>
                    <w:t>(ES) 2023/1791</w:t>
                  </w:r>
                </w:fldSimple>
                <w:r>
                  <w:rPr>
                    <w:b/>
                    <w:bCs/>
                    <w:sz w:val="22"/>
                    <w:szCs w:val="22"/>
                  </w:rPr>
                  <w:t xml:space="preserve"> ir panaikinama Direktyva </w:t>
                </w:r>
                <w:fldSimple w:instr="HYPERLINK http://eur-lex.europa.eu/legal-content/LIT/TXT/?uri=CELEX:32009L0073&amp;locale=lt \t _blank">
                  <w:r>
                    <w:rPr>
                      <w:b/>
                      <w:bCs/>
                      <w:sz w:val="22"/>
                      <w:szCs w:val="22"/>
                      <w:u w:val="single"/>
                      <w:color w:val="0000FF" w:themeColor="hyperlink"/>
                    </w:rPr>
                    <w:t>2009/73/EB</w:t>
                  </w:r>
                </w:fldSimple>
              </w:p>
            </w:tc>
            <w:tc>
              <w:tcPr>
                <w:tcW w:w="9171" w:type="dxa"/>
                <w:gridSpan w:val="4"/>
              </w:tcPr>
              <w:p>
                <w:pPr>
                  <w:ind w:left="720" w:hanging="360"/>
                  <w:jc w:val="both"/>
                  <w:rPr>
                    <w:sz w:val="22"/>
                    <w:szCs w:val="22"/>
                  </w:rPr>
                </w:pPr>
                <w:r>
                  <w:rPr>
                    <w:sz w:val="22"/>
                    <w:szCs w:val="22"/>
                  </w:rPr>
                  <w:t>1.</w:t>
                  <w:tab/>
                  <w:t xml:space="preserve">Lietuvos Respublikos gamtinių dujų įstatymas (suvestinė redakcija nuo </w:t>
                </w:r>
                <w:r>
                  <w:rPr>
                    <w:color w:val="333333"/>
                    <w:sz w:val="22"/>
                    <w:szCs w:val="22"/>
                    <w:shd w:val="clear" w:color="auto" w:fill="FFFFFF"/>
                  </w:rPr>
                  <w:t>2024-07-06 iki 2024-10-31)</w:t>
                </w:r>
                <w:r>
                  <w:rPr>
                    <w:sz w:val="22"/>
                    <w:szCs w:val="22"/>
                  </w:rPr>
                  <w:t xml:space="preserve"> (toliau – Gamtinių dujų įstatymas).</w:t>
                </w:r>
              </w:p>
              <w:p>
                <w:pPr>
                  <w:ind w:left="720" w:hanging="360"/>
                  <w:jc w:val="both"/>
                  <w:rPr>
                    <w:color w:val="000000"/>
                    <w:sz w:val="22"/>
                    <w:szCs w:val="22"/>
                    <w:lang w:val="lt"/>
                  </w:rPr>
                </w:pPr>
                <w:r>
                  <w:rPr>
                    <w:color w:val="000000"/>
                    <w:sz w:val="22"/>
                    <w:szCs w:val="22"/>
                    <w:lang w:val="lt"/>
                  </w:rPr>
                  <w:t>2.</w:t>
                  <w:tab/>
                  <w:t>Lietuvos Respublikos gamtinių dujų įstatymo Nr. VIII-1973 2, 7, 9, 31, 37</w:t>
                </w:r>
                <w:r>
                  <w:rPr>
                    <w:color w:val="000000"/>
                    <w:sz w:val="22"/>
                    <w:szCs w:val="22"/>
                    <w:vertAlign w:val="superscript"/>
                    <w:lang w:val="lt"/>
                  </w:rPr>
                  <w:t>1</w:t>
                </w:r>
                <w:r>
                  <w:rPr>
                    <w:color w:val="000000"/>
                    <w:sz w:val="22"/>
                    <w:szCs w:val="22"/>
                    <w:lang w:val="lt"/>
                  </w:rPr>
                  <w:t xml:space="preserve"> straipsnių ir priedo pakeitimo įstatymas Nr. XV-240 (toliau – Gamtinių dujų įstatymo pakeitimo įstatymas Nr. XV-240).</w:t>
                </w:r>
              </w:p>
              <w:p>
                <w:pPr>
                  <w:ind w:left="720" w:hanging="360"/>
                  <w:jc w:val="both"/>
                  <w:rPr>
                    <w:sz w:val="22"/>
                    <w:szCs w:val="22"/>
                  </w:rPr>
                </w:pPr>
                <w:r>
                  <w:rPr>
                    <w:sz w:val="22"/>
                    <w:szCs w:val="22"/>
                  </w:rPr>
                  <w:t>3.</w:t>
                  <w:tab/>
                  <w:t xml:space="preserve">Lietuvos Respublikos energetikos įstatymas (suvestinė redakcija nuo </w:t>
                </w:r>
                <w:r>
                  <w:rPr>
                    <w:color w:val="333333"/>
                    <w:sz w:val="22"/>
                    <w:szCs w:val="22"/>
                    <w:shd w:val="clear" w:color="auto" w:fill="FFFFFF"/>
                  </w:rPr>
                  <w:t>2024-07-06–2024-</w:t>
                </w:r>
                <w:r>
                  <w:rPr>
                    <w:color w:val="333333"/>
                    <w:sz w:val="22"/>
                    <w:szCs w:val="22"/>
                  </w:rPr>
                  <w:t> </w:t>
                </w:r>
                <w:r>
                  <w:rPr>
                    <w:color w:val="333333"/>
                    <w:sz w:val="22"/>
                    <w:szCs w:val="22"/>
                    <w:shd w:val="clear" w:color="auto" w:fill="FFFFFF"/>
                  </w:rPr>
                  <w:t>10-</w:t>
                </w:r>
                <w:r>
                  <w:rPr>
                    <w:color w:val="333333"/>
                    <w:sz w:val="22"/>
                    <w:szCs w:val="22"/>
                  </w:rPr>
                  <w:t> </w:t>
                </w:r>
                <w:r>
                  <w:rPr>
                    <w:color w:val="333333"/>
                    <w:sz w:val="22"/>
                    <w:szCs w:val="22"/>
                    <w:shd w:val="clear" w:color="auto" w:fill="FFFFFF"/>
                  </w:rPr>
                  <w:t>31</w:t>
                </w:r>
                <w:r>
                  <w:rPr>
                    <w:sz w:val="22"/>
                    <w:szCs w:val="22"/>
                  </w:rPr>
                  <w:t>) (toliau – Energetikos įstatymas).</w:t>
                </w:r>
              </w:p>
              <w:p>
                <w:pPr>
                  <w:ind w:left="720" w:hanging="360"/>
                  <w:jc w:val="both"/>
                  <w:rPr>
                    <w:sz w:val="22"/>
                    <w:szCs w:val="22"/>
                  </w:rPr>
                </w:pPr>
                <w:r>
                  <w:rPr>
                    <w:sz w:val="22"/>
                    <w:szCs w:val="22"/>
                  </w:rPr>
                  <w:t>4.</w:t>
                  <w:tab/>
                </w:r>
                <w:r>
                  <w:rPr>
                    <w:color w:val="333333"/>
                    <w:sz w:val="22"/>
                    <w:szCs w:val="22"/>
                    <w:shd w:val="clear" w:color="auto" w:fill="FFFFFF"/>
                  </w:rPr>
                  <w:t xml:space="preserve">Lietuvos Respublikos atsinaujinančių išteklių energetikos įstatymas Nr. XI-1375 (suvestinė redakcija nuo 2024-01-01–2024-07-31) </w:t>
                </w:r>
                <w:r>
                  <w:rPr>
                    <w:sz w:val="22"/>
                    <w:szCs w:val="22"/>
                  </w:rPr>
                  <w:t>(toliau – Atsinaujinančių išteklių energetikos įstatymas).</w:t>
                </w:r>
              </w:p>
              <w:p>
                <w:pPr>
                  <w:ind w:left="720" w:hanging="360"/>
                  <w:jc w:val="both"/>
                  <w:rPr>
                    <w:color w:val="000000"/>
                    <w:sz w:val="22"/>
                    <w:szCs w:val="22"/>
                  </w:rPr>
                </w:pPr>
                <w:r>
                  <w:rPr>
                    <w:color w:val="000000"/>
                    <w:sz w:val="22"/>
                    <w:szCs w:val="22"/>
                  </w:rPr>
                  <w:t>5.</w:t>
                  <w:tab/>
                </w:r>
                <w:r>
                  <w:rPr>
                    <w:sz w:val="22"/>
                    <w:szCs w:val="22"/>
                  </w:rPr>
                  <w:t xml:space="preserve"> </w:t>
                </w:r>
                <w:r>
                  <w:rPr>
                    <w:color w:val="333333"/>
                    <w:sz w:val="22"/>
                    <w:szCs w:val="22"/>
                    <w:shd w:val="clear" w:color="auto" w:fill="FFFFFF"/>
                  </w:rPr>
                  <w:t>Lietuvos Respublikos atsinaujinančių išteklių energetikos įstatymo Nr.</w:t>
                </w:r>
                <w:r>
                  <w:rPr>
                    <w:color w:val="333333"/>
                    <w:sz w:val="22"/>
                    <w:szCs w:val="22"/>
                  </w:rPr>
                  <w:t> </w:t>
                </w:r>
                <w:r>
                  <w:rPr>
                    <w:color w:val="333333"/>
                    <w:sz w:val="22"/>
                    <w:szCs w:val="22"/>
                    <w:shd w:val="clear" w:color="auto" w:fill="FFFFFF"/>
                  </w:rPr>
                  <w:t>XI-1375 1, 2, 3, 5, 6, 7, 11, 12, 13</w:t>
                </w:r>
                <w:r>
                  <w:rPr>
                    <w:color w:val="333333"/>
                    <w:sz w:val="22"/>
                    <w:szCs w:val="22"/>
                    <w:vertAlign w:val="superscript"/>
                  </w:rPr>
                  <w:t>1</w:t>
                </w:r>
                <w:r>
                  <w:rPr>
                    <w:color w:val="333333"/>
                    <w:sz w:val="22"/>
                    <w:szCs w:val="22"/>
                    <w:shd w:val="clear" w:color="auto" w:fill="FFFFFF"/>
                  </w:rPr>
                  <w:t>, 14, 14</w:t>
                </w:r>
                <w:r>
                  <w:rPr>
                    <w:color w:val="333333"/>
                    <w:sz w:val="22"/>
                    <w:szCs w:val="22"/>
                    <w:vertAlign w:val="superscript"/>
                  </w:rPr>
                  <w:t>1</w:t>
                </w:r>
                <w:r>
                  <w:rPr>
                    <w:color w:val="333333"/>
                    <w:sz w:val="22"/>
                    <w:szCs w:val="22"/>
                    <w:shd w:val="clear" w:color="auto" w:fill="FFFFFF"/>
                  </w:rPr>
                  <w:t xml:space="preserve"> 15</w:t>
                </w:r>
                <w:r>
                  <w:rPr>
                    <w:color w:val="333333"/>
                    <w:sz w:val="22"/>
                    <w:szCs w:val="22"/>
                    <w:vertAlign w:val="superscript"/>
                  </w:rPr>
                  <w:t>1</w:t>
                </w:r>
                <w:r>
                  <w:rPr>
                    <w:color w:val="333333"/>
                    <w:sz w:val="22"/>
                    <w:szCs w:val="22"/>
                    <w:shd w:val="clear" w:color="auto" w:fill="FFFFFF"/>
                  </w:rPr>
                  <w:t>, 16, 19, 20, 20</w:t>
                </w:r>
                <w:r>
                  <w:rPr>
                    <w:color w:val="333333"/>
                    <w:sz w:val="22"/>
                    <w:szCs w:val="22"/>
                    <w:vertAlign w:val="superscript"/>
                  </w:rPr>
                  <w:t>1</w:t>
                </w:r>
                <w:r>
                  <w:rPr>
                    <w:color w:val="333333"/>
                    <w:sz w:val="22"/>
                    <w:szCs w:val="22"/>
                    <w:shd w:val="clear" w:color="auto" w:fill="FFFFFF"/>
                  </w:rPr>
                  <w:t>, 20</w:t>
                </w:r>
                <w:r>
                  <w:rPr>
                    <w:color w:val="333333"/>
                    <w:sz w:val="22"/>
                    <w:szCs w:val="22"/>
                    <w:vertAlign w:val="superscript"/>
                  </w:rPr>
                  <w:t>2</w:t>
                </w:r>
                <w:r>
                  <w:rPr>
                    <w:color w:val="333333"/>
                    <w:sz w:val="22"/>
                    <w:szCs w:val="22"/>
                    <w:shd w:val="clear" w:color="auto" w:fill="FFFFFF"/>
                  </w:rPr>
                  <w:t>, 22, 22</w:t>
                </w:r>
                <w:r>
                  <w:rPr>
                    <w:color w:val="333333"/>
                    <w:sz w:val="22"/>
                    <w:szCs w:val="22"/>
                    <w:vertAlign w:val="superscript"/>
                  </w:rPr>
                  <w:t>1</w:t>
                </w:r>
                <w:r>
                  <w:rPr>
                    <w:color w:val="333333"/>
                    <w:sz w:val="22"/>
                    <w:szCs w:val="22"/>
                    <w:shd w:val="clear" w:color="auto" w:fill="FFFFFF"/>
                  </w:rPr>
                  <w:t>, 23, 28, 29, 30, 31, 37, 38, 39</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3</w:t>
                </w:r>
                <w:r>
                  <w:rPr>
                    <w:color w:val="333333"/>
                    <w:sz w:val="22"/>
                    <w:szCs w:val="22"/>
                    <w:shd w:val="clear" w:color="auto" w:fill="FFFFFF"/>
                  </w:rPr>
                  <w:t>, 39</w:t>
                </w:r>
                <w:r>
                  <w:rPr>
                    <w:color w:val="333333"/>
                    <w:sz w:val="22"/>
                    <w:szCs w:val="22"/>
                    <w:vertAlign w:val="superscript"/>
                  </w:rPr>
                  <w:t>4</w:t>
                </w:r>
                <w:r>
                  <w:rPr>
                    <w:color w:val="333333"/>
                    <w:sz w:val="22"/>
                    <w:szCs w:val="22"/>
                    <w:shd w:val="clear" w:color="auto" w:fill="FFFFFF"/>
                  </w:rPr>
                  <w:t>, 39</w:t>
                </w:r>
                <w:r>
                  <w:rPr>
                    <w:color w:val="333333"/>
                    <w:sz w:val="22"/>
                    <w:szCs w:val="22"/>
                    <w:vertAlign w:val="superscript"/>
                  </w:rPr>
                  <w:t>5</w:t>
                </w:r>
                <w:r>
                  <w:rPr>
                    <w:color w:val="333333"/>
                    <w:sz w:val="22"/>
                    <w:szCs w:val="22"/>
                    <w:shd w:val="clear" w:color="auto" w:fill="FFFFFF"/>
                  </w:rPr>
                  <w:t>, 39</w:t>
                </w:r>
                <w:r>
                  <w:rPr>
                    <w:color w:val="333333"/>
                    <w:sz w:val="22"/>
                    <w:szCs w:val="22"/>
                    <w:vertAlign w:val="superscript"/>
                  </w:rPr>
                  <w:t>6</w:t>
                </w:r>
                <w:r>
                  <w:rPr>
                    <w:color w:val="333333"/>
                    <w:sz w:val="22"/>
                    <w:szCs w:val="22"/>
                    <w:shd w:val="clear" w:color="auto" w:fill="FFFFFF"/>
                  </w:rPr>
                  <w:t>, 45, 46, 48, 49, 51, 55, 57, 59, 60, 63, 64, 65 straipsnių, septintojo skirsnio pavadinimo, priedo pakeitimo ir Įstatymo papildymo 1</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7</w:t>
                </w:r>
                <w:r>
                  <w:rPr>
                    <w:color w:val="333333"/>
                    <w:sz w:val="22"/>
                    <w:szCs w:val="22"/>
                    <w:shd w:val="clear" w:color="auto" w:fill="FFFFFF"/>
                  </w:rPr>
                  <w:t>, 48</w:t>
                </w:r>
                <w:r>
                  <w:rPr>
                    <w:color w:val="333333"/>
                    <w:sz w:val="22"/>
                    <w:szCs w:val="22"/>
                    <w:vertAlign w:val="superscript"/>
                  </w:rPr>
                  <w:t>1</w:t>
                </w:r>
                <w:r>
                  <w:rPr>
                    <w:color w:val="333333"/>
                    <w:sz w:val="22"/>
                    <w:szCs w:val="22"/>
                    <w:shd w:val="clear" w:color="auto" w:fill="FFFFFF"/>
                  </w:rPr>
                  <w:t>, 48</w:t>
                </w:r>
                <w:r>
                  <w:rPr>
                    <w:color w:val="333333"/>
                    <w:sz w:val="22"/>
                    <w:szCs w:val="22"/>
                    <w:vertAlign w:val="superscript"/>
                  </w:rPr>
                  <w:t>2</w:t>
                </w:r>
                <w:r>
                  <w:rPr>
                    <w:color w:val="333333"/>
                    <w:sz w:val="22"/>
                    <w:szCs w:val="22"/>
                    <w:shd w:val="clear" w:color="auto" w:fill="FFFFFF"/>
                  </w:rPr>
                  <w:t>, 58</w:t>
                </w:r>
                <w:r>
                  <w:rPr>
                    <w:color w:val="333333"/>
                    <w:sz w:val="22"/>
                    <w:szCs w:val="22"/>
                    <w:vertAlign w:val="superscript"/>
                  </w:rPr>
                  <w:t>1</w:t>
                </w:r>
                <w:r>
                  <w:rPr>
                    <w:color w:val="333333"/>
                    <w:sz w:val="22"/>
                    <w:szCs w:val="22"/>
                    <w:shd w:val="clear" w:color="auto" w:fill="FFFFFF"/>
                  </w:rPr>
                  <w:t xml:space="preserve"> straipsniais įstatymas Nr. XV-330 (toliau </w:t>
                </w:r>
                <w:r>
                  <w:rPr>
                    <w:sz w:val="22"/>
                    <w:szCs w:val="22"/>
                  </w:rPr>
                  <w:t>– Atsinaujinančių išteklių energetikos įstatymo pakeitimo įstatymas Nr. XV-330).</w:t>
                </w:r>
              </w:p>
              <w:p>
                <w:pPr>
                  <w:shd w:val="clear" w:color="auto" w:fill="FFFFFF"/>
                  <w:ind w:left="720" w:hanging="360"/>
                  <w:jc w:val="both"/>
                  <w:rPr>
                    <w:sz w:val="22"/>
                    <w:szCs w:val="22"/>
                  </w:rPr>
                </w:pPr>
                <w:r>
                  <w:rPr>
                    <w:sz w:val="22"/>
                    <w:szCs w:val="22"/>
                  </w:rPr>
                  <w:t>6.</w:t>
                  <w:tab/>
                </w:r>
                <w:r>
                  <w:rPr>
                    <w:color w:val="000000"/>
                    <w:sz w:val="22"/>
                    <w:szCs w:val="22"/>
                  </w:rPr>
                  <w:t>Lietuvos Respublikos energetikos ministro 2014 m. spalio 10 d. įsakymas Nr. 1-248 „Dėl gamtinių dujų tiekimo ir vartojimo taisyklių patvirtinimo“ (suvestinė redakcija nuo 2024-04-01</w:t>
                </w:r>
                <w:r>
                  <w:rPr>
                    <w:color w:val="333333"/>
                    <w:sz w:val="22"/>
                    <w:szCs w:val="22"/>
                    <w:shd w:val="clear" w:color="auto" w:fill="FFFFFF"/>
                  </w:rPr>
                  <w:t xml:space="preserve"> iki 2025-05-31).</w:t>
                </w:r>
              </w:p>
              <w:p>
                <w:pPr>
                  <w:shd w:val="clear" w:color="auto" w:fill="FFFFFF"/>
                  <w:ind w:left="720" w:hanging="360"/>
                  <w:jc w:val="both"/>
                  <w:rPr>
                    <w:sz w:val="22"/>
                    <w:szCs w:val="22"/>
                  </w:rPr>
                </w:pPr>
                <w:r>
                  <w:rPr>
                    <w:sz w:val="22"/>
                    <w:szCs w:val="22"/>
                  </w:rPr>
                  <w:t>7.</w:t>
                  <w:tab/>
                </w:r>
                <w:r>
                  <w:rPr>
                    <w:color w:val="000000"/>
                    <w:sz w:val="22"/>
                    <w:szCs w:val="22"/>
                  </w:rPr>
                  <w:t>Lietuvos Respublikos finansinių priemonių rinkų įstatym</w:t>
                </w:r>
                <w:r>
                  <w:rPr>
                    <w:sz w:val="22"/>
                    <w:szCs w:val="22"/>
                  </w:rPr>
                  <w:t xml:space="preserve">as Nr. </w:t>
                </w:r>
                <w:r>
                  <w:rPr>
                    <w:color w:val="000000"/>
                    <w:sz w:val="22"/>
                    <w:szCs w:val="22"/>
                    <w:shd w:val="clear" w:color="auto" w:fill="FFFFFF"/>
                  </w:rPr>
                  <w:t xml:space="preserve">X-1024 (suvestinė redakcija nuo </w:t>
                </w:r>
                <w:r>
                  <w:rPr>
                    <w:color w:val="333333"/>
                    <w:sz w:val="22"/>
                    <w:szCs w:val="22"/>
                    <w:shd w:val="clear" w:color="auto" w:fill="FFFFFF"/>
                  </w:rPr>
                  <w:t>2024-01-01 iki 2024-07-24).</w:t>
                </w:r>
              </w:p>
              <w:p>
                <w:pPr>
                  <w:shd w:val="clear" w:color="auto" w:fill="FFFFFF"/>
                  <w:ind w:left="720" w:hanging="360"/>
                  <w:jc w:val="both"/>
                  <w:rPr>
                    <w:b/>
                    <w:bCs/>
                    <w:color w:val="000000"/>
                    <w:sz w:val="22"/>
                    <w:szCs w:val="22"/>
                  </w:rPr>
                </w:pPr>
                <w:r>
                  <w:rPr>
                    <w:color w:val="000000"/>
                    <w:sz w:val="22"/>
                    <w:szCs w:val="22"/>
                  </w:rPr>
                  <w:t>8.</w:t>
                  <w:tab/>
                </w:r>
                <w:r>
                  <w:rPr>
                    <w:sz w:val="22"/>
                    <w:szCs w:val="22"/>
                  </w:rPr>
                  <w:t xml:space="preserve">Lietuvos Respublikos smulkiojo ir vidutinio verslo plėtros įstatymas Nr. VIII-935 (suvestinė redakcija nuo </w:t>
                </w:r>
                <w:r>
                  <w:rPr>
                    <w:color w:val="333333"/>
                    <w:sz w:val="22"/>
                    <w:szCs w:val="22"/>
                    <w:shd w:val="clear" w:color="auto" w:fill="FFFFFF"/>
                  </w:rPr>
                  <w:t>2024-06-01–2025-06-30) (</w:t>
                </w:r>
                <w:r>
                  <w:rPr>
                    <w:sz w:val="22"/>
                    <w:szCs w:val="22"/>
                  </w:rPr>
                  <w:t>toliau – Smulkiojo ir vidutinio verslo plėtros įstatymas).</w:t>
                </w:r>
              </w:p>
              <w:p>
                <w:pPr>
                  <w:shd w:val="clear" w:color="auto" w:fill="FFFFFF"/>
                  <w:ind w:left="720" w:hanging="360"/>
                  <w:jc w:val="both"/>
                  <w:rPr>
                    <w:color w:val="000000"/>
                    <w:sz w:val="22"/>
                    <w:szCs w:val="22"/>
                  </w:rPr>
                </w:pPr>
                <w:r>
                  <w:rPr>
                    <w:color w:val="000000"/>
                    <w:sz w:val="22"/>
                    <w:szCs w:val="22"/>
                  </w:rPr>
                  <w:t>9.</w:t>
                  <w:tab/>
                  <w:t>Lietuvos Respublikos energetikos įstatymo Nr. IX-884 16</w:t>
                </w:r>
                <w:r>
                  <w:rPr>
                    <w:color w:val="000000"/>
                    <w:sz w:val="22"/>
                    <w:szCs w:val="22"/>
                    <w:vertAlign w:val="superscript"/>
                  </w:rPr>
                  <w:t>1</w:t>
                </w:r>
                <w:r>
                  <w:rPr>
                    <w:color w:val="000000"/>
                    <w:sz w:val="22"/>
                    <w:szCs w:val="22"/>
                  </w:rPr>
                  <w:t> ir 34 straipsnių pakeitimo įstatymas Nr. XV-513 (toliau – Energetikos įstatymo pakeitimo įstatymas Nr. XV-513).</w:t>
                </w:r>
              </w:p>
              <w:p>
                <w:pPr>
                  <w:shd w:val="clear" w:color="auto" w:fill="FFFFFF"/>
                  <w:ind w:left="720" w:hanging="360"/>
                  <w:jc w:val="both"/>
                  <w:rPr>
                    <w:b/>
                    <w:bCs/>
                    <w:sz w:val="22"/>
                    <w:szCs w:val="22"/>
                  </w:rPr>
                </w:pPr>
                <w:r>
                  <w:rPr>
                    <w:sz w:val="22"/>
                    <w:szCs w:val="22"/>
                  </w:rPr>
                  <w:t>10.</w:t>
                  <w:tab/>
                </w:r>
                <w:r>
                  <w:rPr>
                    <w:color w:val="000000"/>
                    <w:sz w:val="22"/>
                    <w:szCs w:val="22"/>
                  </w:rPr>
                  <w:t xml:space="preserve">Lietuvos Respublikos energetikos ministro 2011 m. lapkričio 28 d. įsakymas Nr. 1-293 „Dėl prekybos gamtinėmis dujomis taisyklių patvirtinimo“(suvestinė redakcija nuo 2020-03-28) (toliau </w:t>
                </w:r>
                <w:r>
                  <w:rPr>
                    <w:b/>
                    <w:bCs/>
                    <w:sz w:val="22"/>
                    <w:szCs w:val="22"/>
                  </w:rPr>
                  <w:t xml:space="preserve">– </w:t>
                </w:r>
                <w:r>
                  <w:rPr>
                    <w:sz w:val="22"/>
                    <w:szCs w:val="22"/>
                  </w:rPr>
                  <w:t>Prekybos gamtinėmis dujomis taisyklės).</w:t>
                </w:r>
              </w:p>
              <w:p>
                <w:pPr>
                  <w:shd w:val="clear" w:color="auto" w:fill="FFFFFF"/>
                  <w:ind w:left="720" w:hanging="360"/>
                  <w:jc w:val="both"/>
                  <w:rPr>
                    <w:color w:val="000000"/>
                    <w:sz w:val="22"/>
                    <w:szCs w:val="22"/>
                  </w:rPr>
                </w:pPr>
                <w:r>
                  <w:rPr>
                    <w:color w:val="000000"/>
                    <w:sz w:val="22"/>
                    <w:szCs w:val="22"/>
                  </w:rPr>
                  <w:t>11.</w:t>
                  <w:tab/>
                  <w:t xml:space="preserve">Valstybinės energetikos reguliavimo tarybos 2021 m. gruodžio 30 d. nutarimas Nr. O3E-1802 „Dėl AB „Amber Grid“ gamtinių dujų perdavimo sistemos balansavimo taisyklių derinimo“ (toliau </w:t>
                </w:r>
                <w:r>
                  <w:rPr>
                    <w:sz w:val="22"/>
                    <w:szCs w:val="22"/>
                  </w:rPr>
                  <w:t xml:space="preserve">– </w:t>
                </w:r>
                <w:r>
                  <w:rPr>
                    <w:color w:val="000000"/>
                    <w:sz w:val="22"/>
                    <w:szCs w:val="22"/>
                  </w:rPr>
                  <w:t>Balansavimo taisyklės).</w:t>
                </w:r>
              </w:p>
              <w:p>
                <w:pPr>
                  <w:shd w:val="clear" w:color="auto" w:fill="FFFFFF"/>
                  <w:ind w:left="720" w:hanging="360"/>
                  <w:jc w:val="both"/>
                  <w:rPr>
                    <w:b/>
                    <w:bCs/>
                    <w:color w:val="000000"/>
                    <w:sz w:val="22"/>
                    <w:szCs w:val="22"/>
                  </w:rPr>
                </w:pPr>
                <w:r>
                  <w:rPr>
                    <w:color w:val="000000"/>
                    <w:sz w:val="22"/>
                    <w:szCs w:val="22"/>
                  </w:rPr>
                  <w:t>12.</w:t>
                  <w:tab/>
                  <w:t xml:space="preserve">Lietuvos Respublikos energetikos ministro 2012 m. kovo 22 d. įsakymas Nr.1-54 „Dėl sutarčių su buitiniais vartotojais dėl gamtinių dujų tiekimo, perdavimo ir skirstymo standartinių sąlygų aprašo patvirtinimo“ (suvestinė redakcija nuo </w:t>
                </w:r>
                <w:r>
                  <w:rPr>
                    <w:color w:val="333333"/>
                    <w:sz w:val="22"/>
                    <w:szCs w:val="22"/>
                    <w:shd w:val="clear" w:color="auto" w:fill="FFFFFF"/>
                  </w:rPr>
                  <w:t>2024-07-01).</w:t>
                </w:r>
              </w:p>
              <w:p>
                <w:pPr>
                  <w:shd w:val="clear" w:color="auto" w:fill="FFFFFF"/>
                  <w:ind w:left="720" w:hanging="360"/>
                  <w:jc w:val="both"/>
                  <w:rPr>
                    <w:b/>
                    <w:bCs/>
                    <w:sz w:val="22"/>
                    <w:szCs w:val="22"/>
                  </w:rPr>
                </w:pPr>
                <w:r>
                  <w:rPr>
                    <w:sz w:val="22"/>
                    <w:szCs w:val="22"/>
                  </w:rPr>
                  <w:t>13.</w:t>
                  <w:tab/>
                </w:r>
                <w:r>
                  <w:rPr>
                    <w:color w:val="000000"/>
                    <w:sz w:val="22"/>
                    <w:szCs w:val="22"/>
                  </w:rPr>
                  <w:t xml:space="preserve">Lietuvos Respublikos energetikos įstatymo Nr. IX-884 2, 8 straipsnių ir priedo pakeitimo įstatymas Nr. XV-238 (toliau – </w:t>
                </w:r>
                <w:r>
                  <w:rPr>
                    <w:sz w:val="22"/>
                    <w:szCs w:val="22"/>
                  </w:rPr>
                  <w:t>Energetikos įstatymo pakeitimo įstatymas Nr. XV-238)</w:t>
                </w:r>
              </w:p>
              <w:p>
                <w:pPr>
                  <w:shd w:val="clear" w:color="auto" w:fill="FFFFFF"/>
                  <w:ind w:left="720" w:hanging="360"/>
                  <w:jc w:val="both"/>
                  <w:rPr>
                    <w:sz w:val="22"/>
                    <w:szCs w:val="22"/>
                  </w:rPr>
                </w:pPr>
                <w:r>
                  <w:rPr>
                    <w:sz w:val="22"/>
                    <w:szCs w:val="22"/>
                  </w:rPr>
                  <w:t>14.</w:t>
                  <w:tab/>
                </w:r>
                <w:r>
                  <w:rPr>
                    <w:color w:val="000000"/>
                    <w:sz w:val="22"/>
                    <w:szCs w:val="22"/>
                  </w:rPr>
                  <w:t>Valstybinės kainų ir energetikos kontrolės komisijos 2013 m. liepos 18 d. nutarimas Nr. O3- 307 „Dėl gamtinių dujų pažangiųjų matavimo sistemų ilgalaikės trukmės išlaidų ir naudos rinkai ekonominio vertinimo tvarkos aprašo tvirtinimo“ (suvestinė redakcija nuo 2015- 01- 01).</w:t>
                </w:r>
              </w:p>
              <w:p>
                <w:pPr>
                  <w:shd w:val="clear" w:color="auto" w:fill="FFFFFF"/>
                  <w:ind w:left="720" w:hanging="360"/>
                  <w:jc w:val="both"/>
                  <w:rPr>
                    <w:color w:val="000000"/>
                    <w:sz w:val="22"/>
                    <w:szCs w:val="22"/>
                  </w:rPr>
                </w:pPr>
                <w:r>
                  <w:rPr>
                    <w:color w:val="000000"/>
                    <w:sz w:val="22"/>
                    <w:szCs w:val="22"/>
                  </w:rPr>
                  <w:t>15.</w:t>
                  <w:tab/>
                </w:r>
                <w:r>
                  <w:rPr>
                    <w:sz w:val="22"/>
                    <w:szCs w:val="22"/>
                  </w:rPr>
                  <w:t>Lietuvos Respublikos Vyriausybės 2008 m. vasario 26 d. nutarimas Nr. 163 „Dėl gamtinių dujų tiekimo saugumą užtikrinančių priemonių aprašo patvirtinimo“ (suvestinė redakcija nuo 2022-08-05)</w:t>
                </w:r>
              </w:p>
              <w:p>
                <w:pPr>
                  <w:shd w:val="clear" w:color="auto" w:fill="FFFFFF"/>
                  <w:ind w:left="720" w:hanging="360"/>
                  <w:jc w:val="both"/>
                  <w:rPr>
                    <w:color w:val="000000"/>
                    <w:sz w:val="22"/>
                    <w:szCs w:val="22"/>
                  </w:rPr>
                </w:pPr>
                <w:r>
                  <w:rPr>
                    <w:color w:val="000000"/>
                    <w:sz w:val="22"/>
                    <w:szCs w:val="22"/>
                  </w:rPr>
                  <w:t>16.</w:t>
                  <w:tab/>
                  <w:t>Lietuvos Respublikos energetikos ministro 2014 m. spalio 13 d. įsakymas Nr. 1-250 „Dėl gamtinių dujų pažangių matavimo sistemų įdiegimo darbotvarkės patvirtinimo“ (suvestinė redakcija nuo 2016- 11- 22).</w:t>
                </w:r>
              </w:p>
              <w:p>
                <w:pPr>
                  <w:shd w:val="clear" w:color="auto" w:fill="FFFFFF"/>
                  <w:ind w:left="720" w:hanging="360"/>
                  <w:jc w:val="both"/>
                  <w:rPr>
                    <w:sz w:val="22"/>
                    <w:szCs w:val="22"/>
                  </w:rPr>
                </w:pPr>
                <w:r>
                  <w:rPr>
                    <w:sz w:val="22"/>
                    <w:szCs w:val="22"/>
                  </w:rPr>
                  <w:t>17.</w:t>
                  <w:tab/>
                </w:r>
                <w:r>
                  <w:rPr>
                    <w:sz w:val="22"/>
                    <w:szCs w:val="22"/>
                    <w:shd w:val="clear" w:color="auto" w:fill="FFFFFF"/>
                  </w:rPr>
                  <w:t>Lietuvos Respublikos energijos vartojimo efektyvumo didinimo</w:t>
                </w:r>
                <w:r>
                  <w:rPr>
                    <w:color w:val="000000"/>
                    <w:sz w:val="22"/>
                    <w:szCs w:val="22"/>
                    <w:shd w:val="clear" w:color="auto" w:fill="FFFFFF"/>
                  </w:rPr>
                  <w:t> </w:t>
                </w:r>
                <w:r>
                  <w:rPr>
                    <w:sz w:val="22"/>
                    <w:szCs w:val="22"/>
                    <w:shd w:val="clear" w:color="auto" w:fill="FFFFFF"/>
                  </w:rPr>
                  <w:t>įstatymo </w:t>
                </w:r>
                <w:r>
                  <w:rPr>
                    <w:caps/>
                    <w:sz w:val="22"/>
                    <w:szCs w:val="22"/>
                    <w:shd w:val="clear" w:color="auto" w:fill="FFFFFF"/>
                  </w:rPr>
                  <w:t>N</w:t>
                </w:r>
                <w:r>
                  <w:rPr>
                    <w:sz w:val="22"/>
                    <w:szCs w:val="22"/>
                    <w:shd w:val="clear" w:color="auto" w:fill="FFFFFF"/>
                  </w:rPr>
                  <w:t>r</w:t>
                </w:r>
                <w:r>
                  <w:rPr>
                    <w:caps/>
                    <w:sz w:val="22"/>
                    <w:szCs w:val="22"/>
                    <w:shd w:val="clear" w:color="auto" w:fill="FFFFFF"/>
                  </w:rPr>
                  <w:t>.</w:t>
                </w:r>
                <w:r>
                  <w:rPr>
                    <w:caps/>
                    <w:sz w:val="22"/>
                    <w:szCs w:val="22"/>
                  </w:rPr>
                  <w:t> </w:t>
                </w:r>
                <w:r>
                  <w:rPr>
                    <w:caps/>
                    <w:sz w:val="22"/>
                    <w:szCs w:val="22"/>
                    <w:shd w:val="clear" w:color="auto" w:fill="FFFFFF"/>
                  </w:rPr>
                  <w:t>XII-</w:t>
                </w:r>
                <w:r>
                  <w:rPr>
                    <w:caps/>
                    <w:sz w:val="22"/>
                    <w:szCs w:val="22"/>
                  </w:rPr>
                  <w:t> </w:t>
                </w:r>
                <w:r>
                  <w:rPr>
                    <w:caps/>
                    <w:sz w:val="22"/>
                    <w:szCs w:val="22"/>
                    <w:shd w:val="clear" w:color="auto" w:fill="FFFFFF"/>
                  </w:rPr>
                  <w:t>2702 </w:t>
                </w:r>
                <w:r>
                  <w:rPr>
                    <w:sz w:val="22"/>
                    <w:szCs w:val="22"/>
                    <w:shd w:val="clear" w:color="auto" w:fill="FFFFFF"/>
                  </w:rPr>
                  <w:t>pakeitimo įstatymas Nr. XV- 237 (toliau – EVEDĮ Nr.</w:t>
                </w:r>
                <w:r>
                  <w:rPr>
                    <w:sz w:val="22"/>
                    <w:szCs w:val="22"/>
                  </w:rPr>
                  <w:t> </w:t>
                </w:r>
                <w:r>
                  <w:rPr>
                    <w:sz w:val="22"/>
                    <w:szCs w:val="22"/>
                    <w:shd w:val="clear" w:color="auto" w:fill="FFFFFF"/>
                  </w:rPr>
                  <w:t>XV-</w:t>
                </w:r>
                <w:r>
                  <w:rPr>
                    <w:sz w:val="22"/>
                    <w:szCs w:val="22"/>
                  </w:rPr>
                  <w:t> </w:t>
                </w:r>
                <w:r>
                  <w:rPr>
                    <w:sz w:val="22"/>
                    <w:szCs w:val="22"/>
                    <w:shd w:val="clear" w:color="auto" w:fill="FFFFFF"/>
                  </w:rPr>
                  <w:t>237).</w:t>
                </w:r>
              </w:p>
              <w:p>
                <w:pPr>
                  <w:ind w:left="720" w:hanging="360"/>
                  <w:jc w:val="both"/>
                  <w:rPr>
                    <w:b/>
                    <w:bCs/>
                    <w:sz w:val="22"/>
                    <w:szCs w:val="22"/>
                  </w:rPr>
                </w:pPr>
                <w:r>
                  <w:rPr>
                    <w:sz w:val="22"/>
                    <w:szCs w:val="22"/>
                  </w:rPr>
                  <w:t>18.</w:t>
                  <w:tab/>
                </w:r>
                <w:r>
                  <w:rPr>
                    <w:b/>
                    <w:bCs/>
                    <w:sz w:val="22"/>
                    <w:szCs w:val="22"/>
                  </w:rPr>
                  <w:t>Lietuvos Respublikos vandenilio įstatymo projektas (toliau – Vandenilio įstatymo projektas).</w:t>
                </w:r>
              </w:p>
              <w:p>
                <w:pPr>
                  <w:ind w:left="720" w:hanging="360"/>
                  <w:jc w:val="both"/>
                  <w:rPr>
                    <w:b/>
                    <w:bCs/>
                    <w:sz w:val="22"/>
                    <w:szCs w:val="22"/>
                  </w:rPr>
                </w:pPr>
                <w:r>
                  <w:rPr>
                    <w:sz w:val="22"/>
                    <w:szCs w:val="22"/>
                  </w:rPr>
                  <w:t>19.</w:t>
                  <w:tab/>
                </w:r>
                <w:r>
                  <w:rPr>
                    <w:b/>
                    <w:bCs/>
                    <w:sz w:val="22"/>
                    <w:szCs w:val="22"/>
                  </w:rPr>
                  <w:t xml:space="preserve">Lietuvos Respublikos energetikos  įstatymo Nr. IX-884  2, 16</w:t>
                </w:r>
                <w:r>
                  <w:rPr>
                    <w:b/>
                    <w:bCs/>
                    <w:sz w:val="22"/>
                    <w:szCs w:val="22"/>
                    <w:vertAlign w:val="superscript"/>
                  </w:rPr>
                  <w:t>1</w:t>
                </w:r>
                <w:r>
                  <w:rPr>
                    <w:b/>
                    <w:bCs/>
                    <w:sz w:val="22"/>
                    <w:szCs w:val="22"/>
                  </w:rPr>
                  <w:t>, 17 ir 22 straipsnių pakeitimo įstatymo projektas (toliau – Energetikos įstatymo pakeitimo įstatymo projektas).</w:t>
                </w:r>
              </w:p>
              <w:p>
                <w:pPr>
                  <w:ind w:left="720" w:hanging="360"/>
                  <w:jc w:val="both"/>
                  <w:rPr>
                    <w:color w:val="000000"/>
                    <w:sz w:val="22"/>
                    <w:szCs w:val="22"/>
                  </w:rPr>
                </w:pPr>
                <w:r>
                  <w:rPr>
                    <w:color w:val="000000"/>
                    <w:sz w:val="22"/>
                    <w:szCs w:val="22"/>
                  </w:rPr>
                  <w:t>20.</w:t>
                  <w:tab/>
                </w:r>
                <w:r>
                  <w:rPr>
                    <w:sz w:val="22"/>
                    <w:szCs w:val="22"/>
                  </w:rPr>
                  <w:t xml:space="preserve">Valstybinės energetikos reguliavimo tarybos 2025 m. balandžio 25 d. nutarimas Nr. O3E-601 „Dėl naudojimosi AB „Amber Grid“ gamtinių dujų perdavimo sistema taisyklių derinimo“ </w:t>
                </w:r>
                <w:r>
                  <w:rPr>
                    <w:color w:val="000000"/>
                    <w:sz w:val="22"/>
                    <w:szCs w:val="22"/>
                  </w:rPr>
                  <w:t>Valstybinės energetikos reguliavimo tarybos 2020 m. vasario 28 d. nutarimas Nr. O3E-164 „</w:t>
                </w:r>
                <w:r>
                  <w:rPr>
                    <w:color w:val="000000"/>
                    <w:sz w:val="22"/>
                    <w:szCs w:val="22"/>
                    <w:lang w:val="lt"/>
                  </w:rPr>
                  <w:t xml:space="preserve">Dėl Valstybinės kainų ir energetikos kontrolės komisijos 2008 m. lapkričio 17 d. nutarimo Nr. O3-187 „Dėl gamtinių dujų naujų vartotojų prijungimo įkainių skaičiavimo metodikos patvirtinimo“ pakeitimo“ (suvestinė redakcija nuo </w:t>
                </w:r>
                <w:r>
                  <w:rPr>
                    <w:color w:val="000000"/>
                    <w:sz w:val="22"/>
                    <w:szCs w:val="22"/>
                  </w:rPr>
                  <w:t>2020- 03-14).</w:t>
                </w:r>
              </w:p>
              <w:p>
                <w:pPr>
                  <w:ind w:left="720" w:hanging="360"/>
                  <w:jc w:val="both"/>
                  <w:rPr>
                    <w:color w:val="000000"/>
                    <w:sz w:val="22"/>
                    <w:szCs w:val="22"/>
                    <w:lang w:val="lt"/>
                  </w:rPr>
                </w:pPr>
                <w:r>
                  <w:rPr>
                    <w:color w:val="000000"/>
                    <w:sz w:val="22"/>
                    <w:szCs w:val="22"/>
                    <w:lang w:val="lt"/>
                  </w:rPr>
                  <w:t>21.</w:t>
                  <w:tab/>
                  <w:t xml:space="preserve">Lietuvos Respublikos energetikos ministro 2014 m. spalio 10 d. įsakymas Nr.1-248 „Dėl gamtinių dujų tiekimo ir vartojimo taisyklių patvirtinimo“ (suvestinė redakcija nuo 2021-08-01) (toliau </w:t>
                </w:r>
                <w:r>
                  <w:rPr>
                    <w:b/>
                    <w:bCs/>
                    <w:sz w:val="22"/>
                    <w:szCs w:val="22"/>
                  </w:rPr>
                  <w:t xml:space="preserve">– </w:t>
                </w:r>
                <w:r>
                  <w:rPr>
                    <w:sz w:val="22"/>
                    <w:szCs w:val="22"/>
                  </w:rPr>
                  <w:t>G</w:t>
                </w:r>
                <w:r>
                  <w:rPr>
                    <w:color w:val="000000"/>
                    <w:sz w:val="22"/>
                    <w:szCs w:val="22"/>
                    <w:lang w:val="lt"/>
                  </w:rPr>
                  <w:t>amtinių dujų tiekimo ir vartojimo taisyklės).</w:t>
                </w:r>
              </w:p>
              <w:p>
                <w:pPr>
                  <w:ind w:left="720" w:hanging="360"/>
                  <w:jc w:val="both"/>
                  <w:rPr>
                    <w:color w:val="000000"/>
                    <w:sz w:val="22"/>
                    <w:szCs w:val="22"/>
                    <w:lang w:val="lt"/>
                  </w:rPr>
                </w:pPr>
                <w:r>
                  <w:rPr>
                    <w:color w:val="000000"/>
                    <w:sz w:val="22"/>
                    <w:szCs w:val="22"/>
                    <w:lang w:val="lt"/>
                  </w:rPr>
                  <w:t>22.</w:t>
                  <w:tab/>
                  <w:t>Lietuvos Respublikos energetikos ministro 2012 m. kovo 22 d. įsakymas Nr. 1-54 „Dėl sutarčių</w:t>
                </w:r>
                <w:r>
                  <w:rPr>
                    <w:color w:val="000000"/>
                    <w:sz w:val="22"/>
                    <w:szCs w:val="22"/>
                  </w:rPr>
                  <w:t xml:space="preserve"> su buitiniais vartotojais dėl gamtinių dujų tiekimo, perdavimo ir skirstymo standartinių sąlygų aprašo patvirtinimo</w:t>
                </w:r>
                <w:r>
                  <w:rPr>
                    <w:color w:val="000000"/>
                    <w:sz w:val="22"/>
                    <w:szCs w:val="22"/>
                    <w:lang w:val="lt"/>
                  </w:rPr>
                  <w:t xml:space="preserve">“ (suvestinė redakcija nuo 2024- 07- 01) (toliau </w:t>
                </w:r>
                <w:r>
                  <w:rPr>
                    <w:b/>
                    <w:bCs/>
                    <w:sz w:val="22"/>
                    <w:szCs w:val="22"/>
                  </w:rPr>
                  <w:t>–</w:t>
                </w:r>
                <w:r>
                  <w:rPr>
                    <w:color w:val="000000"/>
                    <w:sz w:val="22"/>
                    <w:szCs w:val="22"/>
                    <w:lang w:val="lt"/>
                  </w:rPr>
                  <w:t xml:space="preserve"> Sutarčių</w:t>
                </w:r>
                <w:r>
                  <w:rPr>
                    <w:color w:val="000000"/>
                    <w:sz w:val="22"/>
                    <w:szCs w:val="22"/>
                  </w:rPr>
                  <w:t xml:space="preserve"> su buitiniais vartotojais dėl gamtinių dujų tiekimo, perdavimo ir skirstymo standartinių sąlygų aprašas).</w:t>
                </w:r>
              </w:p>
              <w:p>
                <w:pPr>
                  <w:ind w:left="720" w:hanging="360"/>
                  <w:jc w:val="both"/>
                  <w:rPr>
                    <w:b/>
                    <w:bCs/>
                    <w:sz w:val="22"/>
                    <w:szCs w:val="22"/>
                    <w:lang w:val="lt"/>
                  </w:rPr>
                </w:pPr>
                <w:r>
                  <w:rPr>
                    <w:sz w:val="22"/>
                    <w:szCs w:val="22"/>
                    <w:lang w:val="lt"/>
                  </w:rPr>
                  <w:t>23.</w:t>
                  <w:tab/>
                </w:r>
                <w:r>
                  <w:rPr>
                    <w:b/>
                    <w:bCs/>
                    <w:color w:val="000000"/>
                    <w:sz w:val="22"/>
                    <w:szCs w:val="22"/>
                    <w:lang w:val="lt"/>
                  </w:rPr>
                  <w:t xml:space="preserve"> </w:t>
                </w:r>
                <w:r>
                  <w:rPr>
                    <w:sz w:val="22"/>
                    <w:szCs w:val="22"/>
                    <w:lang w:val="lt"/>
                  </w:rPr>
                  <w:t>Lietuvos Respublikos energetikos įstatymo Nr. IX-884 22, 23, 24 ir 28 straipsnių pakeitimo įstatymas Nr. XV-688.</w:t>
                </w:r>
              </w:p>
              <w:p>
                <w:pPr>
                  <w:ind w:left="720" w:hanging="360"/>
                  <w:jc w:val="both"/>
                  <w:rPr>
                    <w:sz w:val="22"/>
                    <w:szCs w:val="22"/>
                    <w:lang w:val="lt"/>
                  </w:rPr>
                </w:pPr>
                <w:r>
                  <w:rPr>
                    <w:sz w:val="22"/>
                    <w:szCs w:val="22"/>
                    <w:lang w:val="lt"/>
                  </w:rPr>
                  <w:t>24.</w:t>
                  <w:tab/>
                  <w:t>Lietuvos Respublikos energetikos ministro 2013 m. spalio 4 d. įsakymas Nr. 1-194 „Dėl Gamtinių dujų kokybės reikalavimų patvirtinimo“.</w:t>
                </w:r>
              </w:p>
              <w:p>
                <w:pPr>
                  <w:ind w:left="720" w:hanging="360"/>
                  <w:jc w:val="both"/>
                  <w:rPr>
                    <w:b/>
                    <w:bCs/>
                    <w:color w:val="000000"/>
                    <w:sz w:val="22"/>
                    <w:szCs w:val="22"/>
                    <w:lang w:val="lt"/>
                  </w:rPr>
                </w:pPr>
                <w:r>
                  <w:rPr>
                    <w:color w:val="000000"/>
                    <w:sz w:val="22"/>
                    <w:szCs w:val="22"/>
                    <w:lang w:val="lt"/>
                  </w:rPr>
                  <w:t>25.</w:t>
                  <w:tab/>
                </w:r>
                <w:r>
                  <w:rPr>
                    <w:sz w:val="22"/>
                    <w:szCs w:val="22"/>
                    <w:lang w:val="lt"/>
                  </w:rPr>
                  <w:t xml:space="preserve">Lietuvos Respublikos Vyriausybės 1994 m. Rugpjūčio 11 d. nutarimas Nr. 728 „Dėl </w:t>
                </w:r>
                <w:r>
                  <w:rPr>
                    <w:sz w:val="22"/>
                    <w:szCs w:val="22"/>
                  </w:rPr>
                  <w:t>Lietuvos Respublikos Vyriausybės darbo reglamento ir ministrų, Vyriausybės įstaigų, įstaigų prie ministerijų ir kitų vyriausybei pavaldžių ir atskaitingų viešojo administravimo subjektų norminių teisės aktų projektų rengimo taisyklių  patvirtinimo“ (Suvestinė redakcija nuo 2024-06-01) (toliau – Vyriausybės darbo reglamentas).</w:t>
                </w:r>
              </w:p>
              <w:p>
                <w:pPr>
                  <w:ind w:left="720" w:hanging="360"/>
                  <w:jc w:val="both"/>
                  <w:rPr>
                    <w:color w:val="000000"/>
                    <w:sz w:val="22"/>
                    <w:szCs w:val="22"/>
                    <w:lang w:val="lt"/>
                  </w:rPr>
                </w:pPr>
                <w:r>
                  <w:rPr>
                    <w:color w:val="000000"/>
                    <w:sz w:val="22"/>
                    <w:szCs w:val="22"/>
                    <w:lang w:val="lt"/>
                  </w:rPr>
                  <w:t>26.</w:t>
                  <w:tab/>
                </w:r>
                <w:r>
                  <w:rPr>
                    <w:sz w:val="22"/>
                    <w:szCs w:val="22"/>
                    <w:lang w:val="lt"/>
                  </w:rPr>
                  <w:t xml:space="preserve">Lietuvos Respublikos energetikos ministro 2025 m. rugsėjo 22 d. įsakymas Nr. 1-219 „Dėl Lietuvos Respublikos energetikos ministro 2017 m. birželio 28 d. įsakymo Nr. 1-170 „Dėl atsinaujinančių energijos išteklių dalies, palyginti su bendruoju galutiniu energijos suvartojimu, apskaičiavimo metodikos patvirtinimo“ pakeitimo“ (toliau </w:t>
                </w:r>
                <w:r>
                  <w:rPr>
                    <w:sz w:val="22"/>
                    <w:szCs w:val="22"/>
                  </w:rPr>
                  <w:t>–</w:t>
                </w:r>
                <w:r>
                  <w:rPr>
                    <w:sz w:val="22"/>
                    <w:szCs w:val="22"/>
                    <w:lang w:val="lt"/>
                  </w:rPr>
                  <w:t xml:space="preserve"> Atsinaujinančių energijos išteklių dalies skaičiavimo metodika)</w:t>
                </w:r>
              </w:p>
              <w:p>
                <w:pPr>
                  <w:ind w:left="720" w:hanging="360"/>
                  <w:jc w:val="both"/>
                  <w:rPr>
                    <w:sz w:val="22"/>
                    <w:szCs w:val="22"/>
                  </w:rPr>
                </w:pPr>
                <w:r>
                  <w:rPr>
                    <w:sz w:val="22"/>
                    <w:szCs w:val="22"/>
                  </w:rPr>
                  <w:t>27.</w:t>
                  <w:tab/>
                </w:r>
                <w:r>
                  <w:rPr>
                    <w:sz w:val="22"/>
                    <w:szCs w:val="22"/>
                    <w:lang w:val="lt"/>
                  </w:rPr>
                  <w:t xml:space="preserve">Lietuvos Respublikos viešojo administravimo įstatymas Nr. VIII-1234 (suvestinė redakcija nuo </w:t>
                </w:r>
                <w:r>
                  <w:rPr>
                    <w:color w:val="333333"/>
                    <w:sz w:val="22"/>
                    <w:szCs w:val="22"/>
                    <w:lang w:val="lt"/>
                  </w:rPr>
                  <w:t>2024-01-01 - 2025-10-06)</w:t>
                </w:r>
                <w:r>
                  <w:rPr>
                    <w:sz w:val="22"/>
                    <w:szCs w:val="22"/>
                    <w:lang w:val="lt"/>
                  </w:rPr>
                  <w:t xml:space="preserve"> (toliau </w:t>
                </w:r>
                <w:r>
                  <w:rPr>
                    <w:sz w:val="22"/>
                    <w:szCs w:val="22"/>
                  </w:rPr>
                  <w:t>– Viešojo administravimo įstatymas)</w:t>
                </w:r>
              </w:p>
              <w:p>
                <w:pPr>
                  <w:ind w:left="720" w:hanging="360"/>
                  <w:jc w:val="both"/>
                  <w:rPr>
                    <w:sz w:val="22"/>
                    <w:szCs w:val="22"/>
                    <w:lang w:val="lt"/>
                  </w:rPr>
                </w:pPr>
                <w:r>
                  <w:rPr>
                    <w:sz w:val="22"/>
                    <w:szCs w:val="22"/>
                    <w:lang w:val="lt"/>
                  </w:rPr>
                  <w:t>28.</w:t>
                  <w:tab/>
                </w:r>
                <w:r>
                  <w:rPr>
                    <w:sz w:val="22"/>
                    <w:szCs w:val="22"/>
                  </w:rPr>
                  <w:t xml:space="preserve">Lietuvos Respublikos administracinių bylų teisenos įstatymas NR. VIII-1029) (suvestinė redakcija nuo </w:t>
                </w:r>
                <w:r>
                  <w:rPr>
                    <w:color w:val="333333"/>
                    <w:sz w:val="22"/>
                    <w:szCs w:val="22"/>
                  </w:rPr>
                  <w:t>2024-01-01 iki 2024-11-06</w:t>
                </w:r>
                <w:r>
                  <w:rPr>
                    <w:b/>
                    <w:bCs/>
                    <w:color w:val="333333"/>
                    <w:sz w:val="22"/>
                    <w:szCs w:val="22"/>
                  </w:rPr>
                  <w:t>)</w:t>
                </w:r>
                <w:r>
                  <w:rPr>
                    <w:sz w:val="22"/>
                    <w:szCs w:val="22"/>
                  </w:rPr>
                  <w:t xml:space="preserve"> (toliau – Administracinių bylų teisenos įstatymas)</w:t>
                </w:r>
              </w:p>
            </w:tc>
            <w:tc>
              <w:tcPr>
                <w:tcW w:w="1739" w:type="dxa"/>
                <w:gridSpan w:val="2"/>
              </w:tcPr>
              <w:p>
                <w:pPr>
                  <w:jc w:val="center"/>
                  <w:rPr>
                    <w:b/>
                    <w:bCs/>
                    <w:sz w:val="22"/>
                    <w:szCs w:val="22"/>
                  </w:rPr>
                </w:pPr>
                <w:r>
                  <w:rPr>
                    <w:b/>
                    <w:bCs/>
                    <w:sz w:val="22"/>
                    <w:szCs w:val="22"/>
                  </w:rPr>
                  <w:t>ES teisės akto įgyvendinimo lygis</w:t>
                </w:r>
              </w:p>
            </w:tc>
          </w:tr>
          <w:tr>
            <w:trPr>
              <w:gridAfter w:val="1"/>
              <w:wAfter w:w="7" w:type="dxa"/>
              <w:trHeight w:val="300"/>
            </w:trPr>
            <w:tc>
              <w:tcPr>
                <w:tcW w:w="4106" w:type="dxa"/>
                <w:gridSpan w:val="2"/>
              </w:tcPr>
              <w:p>
                <w:pPr>
                  <w:jc w:val="both"/>
                  <w:rPr>
                    <w:i/>
                    <w:iCs/>
                    <w:sz w:val="22"/>
                    <w:szCs w:val="22"/>
                  </w:rPr>
                </w:pPr>
                <w:r>
                  <w:rPr>
                    <w:i/>
                    <w:iCs/>
                    <w:sz w:val="22"/>
                    <w:szCs w:val="22"/>
                  </w:rPr>
                  <w:t>1 straipsnis</w:t>
                </w:r>
              </w:p>
              <w:p>
                <w:pPr>
                  <w:jc w:val="both"/>
                  <w:rPr>
                    <w:sz w:val="22"/>
                    <w:szCs w:val="22"/>
                  </w:rPr>
                </w:pPr>
                <w:r>
                  <w:rPr>
                    <w:b/>
                    <w:bCs/>
                    <w:sz w:val="22"/>
                    <w:szCs w:val="22"/>
                  </w:rPr>
                  <w:t>Dalykas ir taikymo sritis</w:t>
                </w:r>
              </w:p>
            </w:tc>
            <w:tc>
              <w:tcPr>
                <w:tcW w:w="9171" w:type="dxa"/>
                <w:gridSpan w:val="4"/>
              </w:tcPr>
              <w:p>
                <w:pPr>
                  <w:jc w:val="both"/>
                  <w:rPr>
                    <w:sz w:val="22"/>
                    <w:szCs w:val="22"/>
                  </w:rPr>
                </w:pPr>
              </w:p>
            </w:tc>
            <w:tc>
              <w:tcPr>
                <w:tcW w:w="1739" w:type="dxa"/>
                <w:gridSpan w:val="2"/>
              </w:tcPr>
              <w:p>
                <w:pPr>
                  <w:jc w:val="both"/>
                  <w:rPr>
                    <w:sz w:val="22"/>
                    <w:szCs w:val="22"/>
                  </w:rPr>
                </w:pPr>
              </w:p>
            </w:tc>
          </w:tr>
          <w:tr>
            <w:trPr>
              <w:gridAfter w:val="1"/>
              <w:wAfter w:w="7" w:type="dxa"/>
              <w:trHeight w:val="300"/>
            </w:trPr>
            <w:tc>
              <w:tcPr>
                <w:tcW w:w="4106" w:type="dxa"/>
                <w:gridSpan w:val="2"/>
              </w:tcPr>
              <w:p>
                <w:pPr>
                  <w:jc w:val="both"/>
                  <w:rPr>
                    <w:i/>
                    <w:iCs/>
                    <w:sz w:val="22"/>
                    <w:szCs w:val="22"/>
                  </w:rPr>
                </w:pPr>
                <w:r>
                  <w:rPr>
                    <w:sz w:val="22"/>
                    <w:szCs w:val="22"/>
                  </w:rPr>
                  <w:t>1. Siekiant prisidėti prie Sąjungos klimato ir energetikos tikslų įgyvendinimo, šia direktyva nustatoma bendra gamtinių dujų ir vandenilio rinkų priklausomybės nuo iškastinio kuro mažinimo sistema.</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i/>
                    <w:iCs/>
                    <w:sz w:val="22"/>
                    <w:szCs w:val="22"/>
                  </w:rPr>
                </w:pPr>
                <w:r>
                  <w:rPr>
                    <w:color w:val="333333"/>
                    <w:sz w:val="22"/>
                    <w:szCs w:val="22"/>
                    <w:shd w:val="clear" w:color="auto" w:fill="FFFFFF"/>
                  </w:rPr>
                  <w:t>2. Siekiant Sąjungoje sukurti integruotą, konkurencinę ir skaidrią gamtinių dujų rinką, šia direktyva nustatomos gamtinių dujų perdavimo, skirstymo, tiekimo ir laikymo naudojant gamtinių dujų sistemą bendros taisyklės ir vartotojų apsaugos nuostatos. Joje nustatomos taisyklės, susijusios su to sektoriaus organizavimu ir veikimu, patekimu į rinką, kriterijais ir tvarka, pagal kuriuos suteikiami leidimai perduoti, skirstyti, tiekti ir laikyti gamtines dujas naudojant gamtinių dujų sistemą bei eksploatuoti tą sistemą.</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 xml:space="preserve">3. </w:t>
                </w:r>
                <w:r>
                  <w:rPr>
                    <w:color w:val="333333"/>
                    <w:sz w:val="22"/>
                    <w:szCs w:val="22"/>
                    <w:shd w:val="clear" w:color="auto" w:fill="FFFFFF"/>
                  </w:rPr>
                  <w:t>Šia direktyva nustatomos gamtinių dujų transportavimo, tiekimo ir laikymo, taip pat gamtinių dujų sistemos pertvarkymo į integruotą ir itin veiksmingą sistemą, grindžiamą dujomis iš atsinaujinančiųjų išteklių ir mažo anglies dioksido pėdsako dujomis, bendrosios taisyklės.</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4. Šia direktyva nustatomos vandenilio transportavimo, tiekimo ir laikymo naudojant vandenilio sistemą bendros taisyklės. Joje nustatomos taisyklės, susijusios su to sektoriaus organizavimu ir veikimu, patekimu į rinką, kriterijais ir tvarka, pagal kuriuos suteikiami tinklų leidimai, taip pat leidimai tiekti bei laikyti vandenilį ir eksploatuoti tą sistemą.</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1 straipsnis. Įstatymo paskirtis</w:t>
                </w:r>
              </w:p>
              <w:p>
                <w:pPr>
                  <w:jc w:val="both"/>
                  <w:rPr>
                    <w:b/>
                    <w:bCs/>
                    <w:sz w:val="22"/>
                    <w:szCs w:val="22"/>
                  </w:rPr>
                </w:pPr>
                <w:r>
                  <w:rPr>
                    <w:b/>
                    <w:bCs/>
                    <w:sz w:val="22"/>
                    <w:szCs w:val="22"/>
                  </w:rPr>
                  <w:t>&lt;...&gt;</w:t>
                </w:r>
              </w:p>
              <w:p>
                <w:pPr>
                  <w:tabs>
                    <w:tab w:val="left" w:pos="993"/>
                    <w:tab w:val="left" w:pos="10076"/>
                    <w:tab w:val="left" w:pos="10992"/>
                    <w:tab w:val="left" w:pos="11908"/>
                    <w:tab w:val="left" w:pos="12824"/>
                    <w:tab w:val="left" w:pos="13740"/>
                    <w:tab w:val="left" w:pos="14656"/>
                  </w:tabs>
                  <w:ind w:firstLine="720"/>
                  <w:jc w:val="both"/>
                  <w:rPr>
                    <w:b/>
                    <w:bCs/>
                    <w:sz w:val="22"/>
                    <w:szCs w:val="22"/>
                    <w:lang w:eastAsia="ar-SA"/>
                  </w:rPr>
                </w:pPr>
                <w:r>
                  <w:rPr>
                    <w:b/>
                    <w:bCs/>
                    <w:sz w:val="22"/>
                    <w:szCs w:val="22"/>
                    <w:lang w:eastAsia="ar-SA"/>
                  </w:rPr>
                  <w:t xml:space="preserve">2. Šis įstatymas nustato santykius, susijusius su vandenilio gamyba, perdavimu, skirstymu, saugojimu, tiekimu, prekyba, vartojimu ir su tuo susijusios infrastruktūros plėtra, eksploatavimu ir prijungimu, taip pat vandenilio veiklos licencijavimu, leidimų išdavimu ir vandenilio patekimo į rinką sąlygomis. Įstatymas reglamentuoja vandenilio sektoriaus organizavimo ir funkcionavimo principus, vandenilio rinkos dalyvių teises ir pareigas bei priemones vandenilio tiekimo patikimumui užtikrinti ir bendrajai Europos Sąjungos vidaus rinkai kurti.  </w:t>
                </w:r>
              </w:p>
              <w:p>
                <w:pPr>
                  <w:jc w:val="both"/>
                  <w:rPr>
                    <w:b/>
                    <w:i/>
                    <w:sz w:val="22"/>
                    <w:szCs w:val="22"/>
                  </w:rPr>
                </w:pPr>
                <w:r>
                  <w:rPr>
                    <w:b/>
                    <w:i/>
                    <w:sz w:val="22"/>
                    <w:szCs w:val="22"/>
                  </w:rPr>
                  <w:t>&lt;...&gt;</w:t>
                </w:r>
              </w:p>
            </w:tc>
            <w:tc>
              <w:tcPr>
                <w:tcW w:w="1739" w:type="dxa"/>
                <w:gridSpan w:val="2"/>
              </w:tcPr>
              <w:p>
                <w:pPr>
                  <w:jc w:val="both"/>
                  <w:rPr>
                    <w:b/>
                    <w:sz w:val="22"/>
                    <w:szCs w:val="22"/>
                  </w:rPr>
                </w:pPr>
                <w:r>
                  <w:rPr>
                    <w:b/>
                    <w:sz w:val="22"/>
                    <w:szCs w:val="22"/>
                  </w:rPr>
                  <w:t>Visiškas</w:t>
                </w:r>
              </w:p>
            </w:tc>
          </w:tr>
          <w:tr>
            <w:trPr>
              <w:gridAfter w:val="1"/>
              <w:wAfter w:w="7" w:type="dxa"/>
              <w:trHeight w:val="300"/>
            </w:trPr>
            <w:tc>
              <w:tcPr>
                <w:tcW w:w="4106" w:type="dxa"/>
                <w:gridSpan w:val="2"/>
                <w:tcBorders>
                  <w:bottom w:val="single" w:sz="4" w:space="0" w:color="auto"/>
                </w:tcBorders>
              </w:tcPr>
              <w:p>
                <w:pPr>
                  <w:jc w:val="both"/>
                  <w:rPr>
                    <w:sz w:val="22"/>
                    <w:szCs w:val="22"/>
                  </w:rPr>
                </w:pPr>
                <w:r>
                  <w:rPr>
                    <w:color w:val="333333"/>
                    <w:sz w:val="22"/>
                    <w:szCs w:val="22"/>
                    <w:shd w:val="clear" w:color="auto" w:fill="FFFFFF"/>
                  </w:rPr>
                  <w:t>5. Šia direktyva nustatomos taisyklės, pagal kurias bus laipsniškai kuriama visos Sąjungos jungtinė vandenilio sistema, padedanti užtikrinti ilgalaikį elektros energijos sistemos lankstumą ir mažinti grynąjį išmetamą šiltnamio efektą sukeliančių dujų kiekį sektoriuose, kurių priklausomybę nuo iškastinio kuro sunku sumažinti, atsižvelgiant į šiltnamio efektą sukeliančių dujų kiekio mažinimo potencialą ir energijos vartojimo bei ekonominį efektyvumą, palyginti su kitomis galimybėmis, ir taip bus remiamas Sąjungos energetikos sistemos priklausomybės nuo iškastinio kuro mažinimas.</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 xml:space="preserve">1 straipsnis. Įstatymo paskirtis </w:t>
                </w:r>
              </w:p>
              <w:p>
                <w:pPr>
                  <w:tabs>
                    <w:tab w:val="left" w:pos="10076"/>
                    <w:tab w:val="left" w:pos="10992"/>
                    <w:tab w:val="left" w:pos="11908"/>
                    <w:tab w:val="left" w:pos="12824"/>
                    <w:tab w:val="left" w:pos="13740"/>
                    <w:tab w:val="left" w:pos="14656"/>
                  </w:tabs>
                  <w:suppressAutoHyphens/>
                  <w:jc w:val="both"/>
                  <w:rPr>
                    <w:b/>
                    <w:bCs/>
                    <w:sz w:val="22"/>
                    <w:szCs w:val="22"/>
                    <w:lang w:eastAsia="ar-SA"/>
                  </w:rPr>
                </w:pPr>
              </w:p>
              <w:p>
                <w:pPr>
                  <w:tabs>
                    <w:tab w:val="left" w:pos="10076"/>
                    <w:tab w:val="left" w:pos="10992"/>
                    <w:tab w:val="left" w:pos="11908"/>
                    <w:tab w:val="left" w:pos="12824"/>
                    <w:tab w:val="left" w:pos="13740"/>
                    <w:tab w:val="left" w:pos="14656"/>
                  </w:tabs>
                  <w:ind w:firstLine="57"/>
                  <w:jc w:val="both"/>
                  <w:rPr>
                    <w:b/>
                    <w:bCs/>
                    <w:sz w:val="22"/>
                    <w:szCs w:val="22"/>
                    <w:lang w:eastAsia="ar-SA"/>
                  </w:rPr>
                </w:pPr>
                <w:r>
                  <w:rPr>
                    <w:b/>
                    <w:bCs/>
                    <w:sz w:val="22"/>
                    <w:szCs w:val="22"/>
                    <w:lang w:eastAsia="ar-SA"/>
                  </w:rPr>
                  <w:t xml:space="preserve">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  </w:t>
                </w:r>
              </w:p>
              <w:p>
                <w:pPr>
                  <w:jc w:val="both"/>
                  <w:rPr>
                    <w:i/>
                    <w:iCs/>
                    <w:sz w:val="22"/>
                    <w:szCs w:val="22"/>
                  </w:rPr>
                </w:pPr>
              </w:p>
            </w:tc>
            <w:tc>
              <w:tcPr>
                <w:tcW w:w="1739" w:type="dxa"/>
                <w:gridSpan w:val="2"/>
              </w:tcPr>
              <w:p>
                <w:pPr>
                  <w:jc w:val="both"/>
                  <w:rPr>
                    <w:b/>
                    <w:sz w:val="22"/>
                    <w:szCs w:val="22"/>
                  </w:rPr>
                </w:pPr>
                <w:r>
                  <w:rPr>
                    <w:b/>
                    <w:sz w:val="22"/>
                    <w:szCs w:val="22"/>
                  </w:rPr>
                  <w:t>Visiškas</w:t>
                </w:r>
              </w:p>
            </w:tc>
          </w:tr>
          <w:tr>
            <w:tblPrEx>
              <w:tblLayout w:type="fixed"/>
              <w:tblCellMar>
                <w:left w:w="115" w:type="dxa"/>
                <w:right w:w="115" w:type="dxa"/>
              </w:tblCellMar>
              <w:tblLook w:val="0000" w:firstRow="0" w:lastRow="0" w:firstColumn="0" w:lastColumn="0" w:noHBand="0" w:noVBand="0"/>
            </w:tblPrEx>
            <w:trPr>
              <w:trHeight w:val="516"/>
            </w:trPr>
            <w:tc>
              <w:tcPr>
                <w:tcW w:w="3913" w:type="dxa"/>
              </w:tcPr>
              <w:p>
                <w:pPr>
                  <w:shd w:val="clear" w:color="auto" w:fill="FFFFFF"/>
                  <w:rPr>
                    <w:i/>
                    <w:iCs/>
                    <w:color w:val="000000"/>
                    <w:sz w:val="22"/>
                    <w:szCs w:val="22"/>
                    <w:lang w:eastAsia="lt-LT"/>
                  </w:rPr>
                </w:pPr>
                <w:r>
                  <w:rPr>
                    <w:i/>
                    <w:iCs/>
                    <w:color w:val="000000"/>
                    <w:sz w:val="22"/>
                    <w:szCs w:val="22"/>
                    <w:lang w:eastAsia="lt-LT"/>
                  </w:rPr>
                  <w:t>2 straipsnis</w:t>
                </w:r>
              </w:p>
              <w:p>
                <w:pPr>
                  <w:shd w:val="clear" w:color="auto" w:fill="FFFFFF"/>
                  <w:jc w:val="both"/>
                  <w:rPr>
                    <w:i/>
                    <w:iCs/>
                    <w:color w:val="000000"/>
                    <w:sz w:val="22"/>
                    <w:szCs w:val="22"/>
                    <w:lang w:eastAsia="lt-LT"/>
                  </w:rPr>
                </w:pPr>
                <w:r>
                  <w:rPr>
                    <w:b/>
                    <w:bCs/>
                    <w:color w:val="000000"/>
                    <w:sz w:val="22"/>
                    <w:szCs w:val="22"/>
                    <w:lang w:eastAsia="lt-LT"/>
                  </w:rPr>
                  <w:t>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Šioje direktyvoje vartojamų 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333333"/>
                    <w:sz w:val="22"/>
                    <w:szCs w:val="22"/>
                    <w:shd w:val="clear" w:color="auto" w:fill="FFFFFF"/>
                    <w:lang w:eastAsia="lt-LT"/>
                  </w:rPr>
                  <w:t>1) gamtinės dujos – daugiausia iš metano sudarytos dujos, įskaitant biometaną, ar kitų rūšių dujos, kurias techniškai bei saugiai įmanoma įleisti į gamtinių dujų sistemą ir ja transportuoti;</w:t>
                </w:r>
              </w:p>
            </w:tc>
            <w:tc>
              <w:tcPr>
                <w:tcW w:w="9475" w:type="dxa"/>
                <w:gridSpan w:val="4"/>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bCs/>
                    <w:color w:val="000000"/>
                    <w:sz w:val="22"/>
                    <w:szCs w:val="22"/>
                    <w:lang w:eastAsia="lt-LT"/>
                  </w:rPr>
                </w:pPr>
                <w:r>
                  <w:rPr>
                    <w:b/>
                    <w:bCs/>
                    <w:color w:val="000000"/>
                    <w:sz w:val="22"/>
                    <w:szCs w:val="22"/>
                    <w:lang w:eastAsia="lt-LT"/>
                  </w:rPr>
                  <w:t>1</w:t>
                  <w:tab/>
                  <w:t>straipsnis. Pagrindinės šio įstatymo sąvokos</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dujos iš atsinaujinančiųjų išteklių – biodujos,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28 punkte, įskaitant biodujas, kurios buvo modifikuotos į biometaną, ir atsinaujinančiųjų išteklių nebiologinės kilmės kuras, kaip apibrėžta tos direktyvos 2 straipsnio 36 punkte;</w:t>
                </w:r>
              </w:p>
            </w:tc>
            <w:tc>
              <w:tcPr>
                <w:tcW w:w="9475" w:type="dxa"/>
                <w:gridSpan w:val="4"/>
              </w:tcPr>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bCs/>
                    <w:color w:val="000000"/>
                    <w:sz w:val="22"/>
                    <w:szCs w:val="22"/>
                    <w:lang w:eastAsia="lt-LT"/>
                  </w:rPr>
                </w:pPr>
                <w:r>
                  <w:rPr>
                    <w:b/>
                    <w:color w:val="000000"/>
                    <w:sz w:val="22"/>
                    <w:szCs w:val="22"/>
                    <w:lang w:eastAsia="lt-LT"/>
                  </w:rPr>
                  <w:t>2</w:t>
                </w:r>
                <w:r>
                  <w:rPr>
                    <w:b/>
                    <w:bCs/>
                    <w:color w:val="000000"/>
                    <w:sz w:val="22"/>
                    <w:szCs w:val="22"/>
                    <w:lang w:eastAsia="lt-LT"/>
                  </w:rPr>
                  <w:t xml:space="preserve"> straipsnis. Pagrindinės šio įstatymo sąvokos</w:t>
                </w:r>
              </w:p>
              <w:p>
                <w:pPr>
                  <w:jc w:val="both"/>
                  <w:rPr>
                    <w:b/>
                    <w:bCs/>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9. </w:t>
                </w:r>
                <w:r>
                  <w:rPr>
                    <w:b/>
                    <w:bCs/>
                    <w:color w:val="000000"/>
                    <w:sz w:val="22"/>
                    <w:szCs w:val="22"/>
                    <w:lang w:eastAsia="lt-LT"/>
                  </w:rPr>
                  <w:t>Biodujos</w:t>
                </w:r>
                <w:r>
                  <w:rPr>
                    <w:color w:val="000000"/>
                    <w:sz w:val="22"/>
                    <w:szCs w:val="22"/>
                    <w:lang w:eastAsia="lt-LT"/>
                  </w:rPr>
                  <w:t> – iš biomasės pagamintos dujos, įskaitant biometaną.</w:t>
                </w:r>
              </w:p>
              <w:p>
                <w:pPr>
                  <w:ind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ind w:firstLine="17"/>
                  <w:jc w:val="both"/>
                  <w:rPr>
                    <w:b/>
                    <w:color w:val="000000"/>
                    <w:sz w:val="22"/>
                    <w:szCs w:val="22"/>
                    <w:lang w:eastAsia="lt-LT"/>
                  </w:rPr>
                </w:pPr>
                <w:r>
                  <w:rPr>
                    <w:b/>
                    <w:bCs/>
                    <w:color w:val="000000"/>
                    <w:sz w:val="22"/>
                    <w:szCs w:val="22"/>
                    <w:lang w:eastAsia="lt-LT"/>
                  </w:rPr>
                  <w:t>3 straipsnis. 2 straipsnio pakeitimas</w:t>
                </w:r>
              </w:p>
              <w:p>
                <w:pPr>
                  <w:spacing w:line="360" w:lineRule="atLeast"/>
                  <w:ind w:firstLine="720"/>
                  <w:jc w:val="both"/>
                  <w:rPr>
                    <w:color w:val="000000"/>
                    <w:sz w:val="22"/>
                    <w:szCs w:val="22"/>
                    <w:lang w:eastAsia="lt-LT"/>
                  </w:rPr>
                </w:pPr>
                <w:r>
                  <w:rPr>
                    <w:color w:val="000000"/>
                    <w:sz w:val="22"/>
                    <w:szCs w:val="22"/>
                    <w:lang w:eastAsia="lt-LT"/>
                  </w:rPr>
                  <w:t>7. Pakeisti 2 straipsnio 32</w:t>
                </w:r>
                <w:r>
                  <w:rPr>
                    <w:color w:val="000000"/>
                    <w:sz w:val="22"/>
                    <w:szCs w:val="22"/>
                    <w:vertAlign w:val="superscript"/>
                    <w:lang w:eastAsia="lt-LT"/>
                  </w:rPr>
                  <w:t>2</w:t>
                </w:r>
                <w:r>
                  <w:rPr>
                    <w:color w:val="000000"/>
                    <w:sz w:val="22"/>
                    <w:szCs w:val="22"/>
                    <w:lang w:eastAsia="lt-LT"/>
                  </w:rPr>
                  <w:t> dalį ir ją išdėstyti taip:</w:t>
                </w:r>
              </w:p>
              <w:p>
                <w:pPr>
                  <w:spacing w:line="360" w:lineRule="atLeast"/>
                  <w:ind w:firstLine="720"/>
                  <w:jc w:val="both"/>
                  <w:rPr>
                    <w:color w:val="000000"/>
                    <w:sz w:val="22"/>
                    <w:szCs w:val="22"/>
                    <w:lang w:eastAsia="lt-LT"/>
                  </w:rPr>
                </w:pPr>
                <w:r>
                  <w:rPr>
                    <w:color w:val="000000"/>
                    <w:sz w:val="22"/>
                    <w:szCs w:val="22"/>
                    <w:lang w:eastAsia="lt-LT"/>
                  </w:rPr>
                  <w:t>„32</w:t>
                </w:r>
                <w:r>
                  <w:rPr>
                    <w:color w:val="000000"/>
                    <w:sz w:val="22"/>
                    <w:szCs w:val="22"/>
                    <w:vertAlign w:val="superscript"/>
                    <w:lang w:eastAsia="lt-LT"/>
                  </w:rPr>
                  <w:t>2</w:t>
                </w:r>
                <w:r>
                  <w:rPr>
                    <w:color w:val="000000"/>
                    <w:sz w:val="22"/>
                    <w:szCs w:val="22"/>
                    <w:lang w:eastAsia="lt-LT"/>
                  </w:rPr>
                  <w:t>. </w:t>
                </w:r>
                <w:r>
                  <w:rPr>
                    <w:b/>
                    <w:bCs/>
                    <w:color w:val="000000"/>
                    <w:sz w:val="22"/>
                    <w:szCs w:val="22"/>
                    <w:lang w:eastAsia="lt-LT"/>
                  </w:rPr>
                  <w:t>Iš atsinaujinančių energijos išteklių pagamintas nebiologinės kilmės kuras</w:t>
                </w:r>
                <w:r>
                  <w:rPr>
                    <w:color w:val="000000"/>
                    <w:sz w:val="22"/>
                    <w:szCs w:val="22"/>
                    <w:lang w:eastAsia="lt-LT"/>
                  </w:rPr>
                  <w:t> – skystasis ir dujinis kuras, kurio energijos kiekis sukaupiamas iš atsinaujinančių energijos išteklių, išskyrus biomasę.“</w:t>
                </w:r>
              </w:p>
              <w:p>
                <w:pPr>
                  <w:ind w:firstLine="17"/>
                  <w:jc w:val="both"/>
                  <w:rPr>
                    <w:color w:val="000000"/>
                    <w:sz w:val="22"/>
                    <w:szCs w:val="22"/>
                    <w:lang w:eastAsia="lt-LT"/>
                  </w:rPr>
                </w:pP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sistema – infrastruktūros, apimančios vamzdynus, suskystintų gamtinių dujų (toliau – SGD) terminalus ir gamtinių dujų saugyklas, sistema, kuria transportuojamos gamtinės dujos;</w:t>
                </w:r>
              </w:p>
            </w:tc>
            <w:tc>
              <w:tcPr>
                <w:tcW w:w="9475" w:type="dxa"/>
                <w:gridSpan w:val="4"/>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color w:val="000000"/>
                    <w:sz w:val="22"/>
                    <w:szCs w:val="22"/>
                    <w:lang w:eastAsia="lt-LT"/>
                  </w:rPr>
                </w:pPr>
                <w:r>
                  <w:rPr>
                    <w:b/>
                    <w:color w:val="000000"/>
                    <w:sz w:val="22"/>
                    <w:szCs w:val="22"/>
                    <w:lang w:eastAsia="lt-LT"/>
                  </w:rPr>
                  <w:t>2</w:t>
                  <w:tab/>
                </w:r>
                <w:r>
                  <w:rPr>
                    <w:b/>
                    <w:bCs/>
                    <w:color w:val="000000"/>
                    <w:sz w:val="22"/>
                    <w:szCs w:val="22"/>
                    <w:lang w:eastAsia="lt-LT"/>
                  </w:rPr>
                  <w:t>straipsnis. Pagrindinės šio įstatymo sąvokos</w:t>
                </w:r>
              </w:p>
              <w:p>
                <w:pPr>
                  <w:ind w:left="720"/>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b/>
                    <w:color w:val="000000"/>
                    <w:sz w:val="22"/>
                    <w:szCs w:val="22"/>
                    <w:lang w:eastAsia="lt-LT"/>
                  </w:rPr>
                  <w:t>24. </w:t>
                </w:r>
                <w:r>
                  <w:rPr>
                    <w:b/>
                    <w:bCs/>
                    <w:color w:val="000000"/>
                    <w:sz w:val="22"/>
                    <w:szCs w:val="22"/>
                    <w:lang w:eastAsia="lt-LT"/>
                  </w:rPr>
                  <w:t>Gamtinių dujų sistema</w:t>
                </w:r>
                <w:r>
                  <w:rPr>
                    <w:b/>
                    <w:color w:val="000000"/>
                    <w:sz w:val="22"/>
                    <w:szCs w:val="22"/>
                    <w:lang w:eastAsia="lt-LT"/>
                  </w:rPr>
                  <w:t xml:space="preserve"> – </w:t>
                </w:r>
                <w:r>
                  <w:rPr>
                    <w:color w:val="000000"/>
                    <w:sz w:val="22"/>
                    <w:szCs w:val="22"/>
                    <w:lang w:eastAsia="lt-LT"/>
                  </w:rPr>
                  <w:t>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p>
                <w:pPr>
                  <w:ind w:firstLine="17"/>
                  <w:jc w:val="both"/>
                  <w:rPr>
                    <w:color w:val="000000"/>
                    <w:sz w:val="22"/>
                    <w:szCs w:val="22"/>
                    <w:lang w:eastAsia="lt-LT"/>
                  </w:rPr>
                </w:pPr>
                <w:r>
                  <w:rPr>
                    <w:color w:val="000000"/>
                    <w:sz w:val="22"/>
                    <w:szCs w:val="22"/>
                    <w:lang w:eastAsia="lt-LT"/>
                  </w:rPr>
                  <w:t>&lt;...&gt;</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sistema – infrastruktūros, apimančios vandenilio tinklus, vandenilio saugyklas ir vandenilio terminalus, sistema, kuri yra skirta didelio grynumo vandeniliui;</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47. Vandenilio sistema – vandenilio tinklai, vandenilio saugyklos, vandenilio terminalai bei kita infrastruktūra, naudojama didelio grynumo vandeniliui </w:t>
                </w:r>
                <w:r>
                  <w:rPr>
                    <w:b/>
                    <w:color w:val="000000"/>
                    <w:sz w:val="22"/>
                    <w:szCs w:val="22"/>
                    <w:lang w:eastAsia="lt-LT"/>
                  </w:rPr>
                  <w:t>tiekti ir saugoti</w:t>
                </w:r>
                <w:r>
                  <w:rPr>
                    <w:b/>
                    <w:bCs/>
                    <w:color w:val="000000"/>
                    <w:sz w:val="22"/>
                    <w:szCs w:val="22"/>
                    <w:lang w:eastAsia="lt-LT"/>
                  </w:rPr>
                  <w:t>.</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 vandenilio saugykla – didelio grynumo vandeniliui laikyti skirta saugykla:</w:t>
                </w:r>
              </w:p>
            </w:tc>
            <w:tc>
              <w:tcPr>
                <w:tcW w:w="9475" w:type="dxa"/>
                <w:gridSpan w:val="4"/>
                <w:vMerge w:val="restart"/>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45. Vandenilio saugykla – </w:t>
                </w:r>
                <w:r>
                  <w:rPr>
                    <w:b/>
                    <w:bCs/>
                    <w:color w:val="000000"/>
                    <w:sz w:val="22"/>
                    <w:szCs w:val="22"/>
                    <w:lang w:eastAsia="lt-LT"/>
                  </w:rPr>
                  <w:t xml:space="preserve">didelio grynumo vandeniliui laikyti skirtas statinys, kuriame gali būti laikoma 7500 kg arba daugiau vandenilio, nepriklausomai nuo laikymo būdo. Prie vandenilio saugyklų priskiriamos didelės, paprastai požeminės, vandenilio talpyklos, taip pat vandeniliui laikyti skirtos vandenilio terminalų dalys, bet nepriskiriamos gamybos operacijoms vykdyti skirtos jų dalys ir įrenginiai, skirti vien tik vandenilio tinklo operatorių funkcijoms atlikti, taip pat vandenilio laikymo įrenginiai.  </w:t>
                </w:r>
              </w:p>
              <w:p>
                <w:pPr>
                  <w:ind w:firstLine="17"/>
                  <w:jc w:val="both"/>
                  <w:rPr>
                    <w:b/>
                    <w:bCs/>
                    <w:color w:val="000000"/>
                    <w:sz w:val="22"/>
                    <w:szCs w:val="22"/>
                    <w:lang w:eastAsia="lt-LT"/>
                  </w:rPr>
                </w:pPr>
              </w:p>
            </w:tc>
            <w:tc>
              <w:tcPr>
                <w:tcW w:w="1635" w:type="dxa"/>
                <w:gridSpan w:val="4"/>
                <w:vMerge w:val="restart"/>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038"/>
                  </w:tabs>
                  <w:jc w:val="both"/>
                  <w:rPr>
                    <w:color w:val="000000"/>
                    <w:sz w:val="22"/>
                    <w:szCs w:val="22"/>
                    <w:lang w:eastAsia="lt-LT"/>
                  </w:rPr>
                </w:pPr>
                <w:r>
                  <w:rPr>
                    <w:color w:val="000000"/>
                    <w:sz w:val="22"/>
                    <w:szCs w:val="22"/>
                    <w:lang w:eastAsia="lt-LT"/>
                  </w:rPr>
                  <w:t>a) kuri apima vandeniliui laikyti skirtą vandenilio terminalo dalį, bet neapima gamybos operacijoms vykdyti skirtos dalies ir įrenginių, skirtų vien tik vandenilio tinklo operatorių funkcijoms atlikti;</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b) kuri apima didelę, visų pirma požeminę, vandenilio talpyklą, bet neapima mažesnių lengvai pagaminamų vandenilio laikymo įrenginių;</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 vandenilio saugyklos operatorius – fizinis ar juridinis asmuo, kuris atlieka vandenilio laikymo funkciją ir yra atsakingas už vandenilio saugyklos eksploatavimą;</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color w:val="000000"/>
                    <w:sz w:val="22"/>
                    <w:szCs w:val="22"/>
                    <w:lang w:eastAsia="lt-LT"/>
                  </w:rPr>
                </w:pPr>
                <w:r>
                  <w:rPr>
                    <w:b/>
                    <w:bCs/>
                    <w:color w:val="000000"/>
                    <w:sz w:val="22"/>
                    <w:szCs w:val="22"/>
                    <w:lang w:eastAsia="lt-LT"/>
                  </w:rPr>
                  <w:t>46. Vandenilio saugyklos operatorius – fizinis ar juridinis asmuo, kuris atlieka vandenilio laikymo funkciją ir yra atsakingas už vandenilio saugyklos eksploatavimą</w:t>
                </w:r>
                <w:r>
                  <w:rPr>
                    <w:color w:val="000000"/>
                    <w:sz w:val="22"/>
                    <w:szCs w:val="22"/>
                    <w:lang w:eastAsia="lt-LT"/>
                  </w:rPr>
                  <w:t>.</w:t>
                </w:r>
              </w:p>
              <w:p>
                <w:pPr>
                  <w:tabs>
                    <w:tab w:val="left" w:pos="10076"/>
                    <w:tab w:val="left" w:pos="10992"/>
                    <w:tab w:val="left" w:pos="11908"/>
                    <w:tab w:val="left" w:pos="12824"/>
                    <w:tab w:val="left" w:pos="13740"/>
                    <w:tab w:val="left" w:pos="14656"/>
                  </w:tab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7) vandenilio laikymas vamzdyne – suslėgto didelio grynumo vandenilio laikymas vandenilio tinkluose, išskyrus laikymą įrenginiuose, skirtuose vien tik vandenilio tinklo operatorių funkcijoms atlikti;</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36</w:t>
                </w:r>
                <w:r>
                  <w:rPr>
                    <w:b/>
                    <w:bCs/>
                    <w:color w:val="000000"/>
                    <w:sz w:val="22"/>
                    <w:szCs w:val="22"/>
                    <w:lang w:eastAsia="lt-LT"/>
                  </w:rPr>
                  <w:t xml:space="preserve">. </w:t>
                </w:r>
                <w:r>
                  <w:rPr>
                    <w:b/>
                    <w:bCs/>
                    <w:color w:val="000000"/>
                    <w:sz w:val="22"/>
                    <w:szCs w:val="22"/>
                    <w:lang w:eastAsia="ar-SA"/>
                  </w:rPr>
                  <w:t>Vandenilio laikymas vamzdyne – suslėgto didelio grynumo vandenilio laikymas vandenilio tinkluose, išskyrus laikymą įrenginiuose, skirtuose vien tik vandenilio tinklo operatorių funkcijoms atlikti .</w:t>
                </w:r>
              </w:p>
              <w:p>
                <w:pPr>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8) vandenilio terminalas – įrenginys, skirtas skystajam vandeniliui arba skystajam amoniakui iškrauti ir transformuoti į dujinį vandenilį, kad jį būtų galima įleisti į vandenilio tinklą ar gamtinių dujų sistemą, arba dujiniam vandeniliui suskystinti ir pakrauti, apimantis įrenginius papildomoms paslaugoms teikti ir laikinojo laikymo įrenginius, kurių reikia, kad būtų galima vykdyti transformavimo procesą ir vėliau įleisti vandenilį į vandenilio tinklą, bet neapimantis vandeniliui laikyti skirtos vandenilio terminalo dalies;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52. Vandenilio terminalas – infrastruktūra, skirta skystajam vandeniliui arba skystajam amoniakui iškrauti ir transformuoti į dujinį vandenilį, kad jį būtų galima įleisti į vandenilio tinklą ar gamtinių dujų sistemą, arba dujiniam vandeniliui suskystinti ir pakrauti, apimanti įrenginius papildomoms paslaugoms teikti ir laikinojo laikymo įrenginius, kurių reikia, kad būtų galima vykdyti transformavimo procesą ir vėliau įleisti vandenilį į vandenilio tinklą, bet neapimanti vandeniliui laikyti skirtos vandenilio terminalo dalies.</w:t>
                </w:r>
              </w:p>
              <w:p>
                <w:pPr>
                  <w:tabs>
                    <w:tab w:val="left" w:pos="10076"/>
                    <w:tab w:val="left" w:pos="10992"/>
                    <w:tab w:val="left" w:pos="11908"/>
                    <w:tab w:val="left" w:pos="12824"/>
                    <w:tab w:val="left" w:pos="13740"/>
                    <w:tab w:val="left" w:pos="14656"/>
                  </w:tabs>
                  <w:suppressAutoHyphen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9) vandenilio terminalo operatorius – fizinis ar juridinis asmuo, kuris atlieka skystojo vandenilio ar skystojo amoniako iškrovimo ir transformavimo į dujinį vandenilį, kad jį būtų galima įleisti į vandenilio tinklą ar gamtinių dujų sistemą, funkciją arba dujinio vandenilio suskystinimą ir pakrovimą ir yra atsakingas už vandenilio terminalo eksploatavimą;</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53. Vandenilio terminalo operatorius – </w:t>
                </w:r>
                <w:r>
                  <w:rPr>
                    <w:b/>
                    <w:bCs/>
                    <w:color w:val="000000"/>
                    <w:sz w:val="22"/>
                    <w:szCs w:val="22"/>
                    <w:lang w:eastAsia="ar-SA"/>
                  </w:rPr>
                  <w:t xml:space="preserve">fizinis ar juridinis asmuo, kuris yra atsakingas už vandenilio terminalo eksploatavimą.  </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vandenilio kokybė – vandenilio grynumas ir užterštumas pagal vandenilio sistemai taikomus vandenilio kokybės standartus;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tabs>
                    <w:tab w:val="left" w:pos="10076"/>
                    <w:tab w:val="left" w:pos="10992"/>
                    <w:tab w:val="left" w:pos="11908"/>
                    <w:tab w:val="left" w:pos="12824"/>
                    <w:tab w:val="left" w:pos="13740"/>
                    <w:tab w:val="left" w:pos="14656"/>
                  </w:tabs>
                  <w:suppressAutoHyphens/>
                  <w:spacing w:line="259" w:lineRule="auto"/>
                  <w:jc w:val="both"/>
                  <w:rPr>
                    <w:b/>
                    <w:color w:val="000000"/>
                    <w:kern w:val="2"/>
                    <w:sz w:val="22"/>
                    <w:szCs w:val="22"/>
                    <w:lang w:eastAsia="ar-SA"/>
                  </w:rPr>
                </w:pPr>
                <w:r>
                  <w:rPr>
                    <w:b/>
                    <w:bCs/>
                    <w:color w:val="000000"/>
                    <w:kern w:val="2"/>
                    <w:sz w:val="22"/>
                    <w:szCs w:val="22"/>
                    <w:lang w:eastAsia="ar-SA"/>
                  </w:rPr>
                  <w:t>35</w:t>
                </w:r>
                <w:r>
                  <w:rPr>
                    <w:b/>
                    <w:color w:val="000000"/>
                    <w:kern w:val="2"/>
                    <w:sz w:val="22"/>
                    <w:szCs w:val="22"/>
                    <w:lang w:eastAsia="ar-SA"/>
                  </w:rPr>
                  <w:t>. Vandenilio kokybė – vandenilio grynumas ir užterštumas pagal vandenilio sistemai taikomus vandenilio kokybės standartus.</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mažo anglies dioksido pėdsako vandenilis – vandenilis, kurio energinė vertė gaunama iš neatsinaujinančiųjų išteklių ir kuris atitinka 70 % išmetamo šiltnamio efektą sukeliančių dujų kiekio sumažinimo ribą, palyginti su nebiologinės kilmės kurui iš atsinaujinančiųjų išteklių taikoma lyginamojo iškastinio kuro verte, nustatyta metodikoje, pagal kurią įvertinamas išmetamo šiltnamio efektą sukeliančių dujų kiekio sumažėjimas naudojant atsinaujinančiųjų išteklių nebiologinės kilmės kurą ir perdirbtos anglies kurą ir kuri priimta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12. Mažo anglies dioksido pėdsako vandenilis – </w:t>
                </w:r>
                <w:r>
                  <w:rPr>
                    <w:b/>
                    <w:color w:val="000000"/>
                    <w:kern w:val="2"/>
                    <w:sz w:val="22"/>
                    <w:szCs w:val="22"/>
                    <w:lang w:eastAsia="ar-SA"/>
                  </w:rPr>
                  <w:t xml:space="preserve">vandenilis, kurio energinė vertė gaunama iš neatsinaujinančių išteklių ir kuris atitinka 70 % išmetamo šiltnamio efektą sukeliančių dujų kiekio sumažinimo ribą, palyginti su nebiologinės kilmės kurui iš atsinaujinančių išteklių taikoma lyginamojo iškastinio kuro verte, nustatyta 2023 m. vasario 10 d. </w:t>
                </w:r>
                <w:r>
                  <w:rPr>
                    <w:b/>
                    <w:bCs/>
                    <w:color w:val="000000"/>
                    <w:kern w:val="2"/>
                    <w:sz w:val="22"/>
                    <w:szCs w:val="22"/>
                    <w:lang w:eastAsia="ar-SA"/>
                  </w:rPr>
                  <w:t xml:space="preserve">Komisijos deleguotuoju reglamentu </w:t>
                </w:r>
                <w:fldSimple w:instr="HYPERLINK http://eur-lex.europa.eu/legal-content/LIT/TXT/?uri=CELEX:32023R1185&amp;locale=lt \t _blank">
                  <w:r>
                    <w:rPr>
                      <w:b/>
                      <w:bCs/>
                      <w:color w:val="0000FF" w:themeColor="hyperlink"/>
                      <w:kern w:val="2"/>
                      <w:sz w:val="22"/>
                      <w:szCs w:val="22"/>
                      <w:lang w:eastAsia="ar-SA"/>
                      <w:u w:val="single"/>
                    </w:rPr>
                    <w:t>(ES) 2023/1185</w:t>
                  </w:r>
                </w:fldSimple>
                <w:r>
                  <w:rPr>
                    <w:b/>
                    <w:bCs/>
                    <w:color w:val="000000"/>
                    <w:kern w:val="2"/>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kern w:val="2"/>
                      <w:sz w:val="22"/>
                      <w:szCs w:val="22"/>
                      <w:lang w:eastAsia="ar-SA"/>
                      <w:u w:val="single"/>
                    </w:rPr>
                    <w:t>(ES) 2018/2001</w:t>
                  </w:r>
                </w:fldSimple>
                <w:r>
                  <w:rPr>
                    <w:b/>
                    <w:bCs/>
                    <w:color w:val="000000"/>
                    <w:kern w:val="2"/>
                    <w:sz w:val="22"/>
                    <w:szCs w:val="22"/>
                    <w:lang w:eastAsia="ar-SA"/>
                  </w:rPr>
                  <w:t>, patvirtintoje metodikoje</w:t>
                </w:r>
                <w:r>
                  <w:rPr>
                    <w:b/>
                    <w:bCs/>
                    <w:color w:val="000000"/>
                    <w:sz w:val="22"/>
                    <w:szCs w:val="22"/>
                    <w:lang w:eastAsia="ar-SA"/>
                  </w:rPr>
                  <w:t xml:space="preserve">.  </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755"/>
                  </w:tabs>
                  <w:jc w:val="both"/>
                  <w:rPr>
                    <w:color w:val="000000"/>
                    <w:sz w:val="22"/>
                    <w:szCs w:val="22"/>
                    <w:lang w:eastAsia="lt-LT"/>
                  </w:rPr>
                </w:pPr>
                <w:r>
                  <w:rPr>
                    <w:color w:val="000000"/>
                    <w:sz w:val="22"/>
                    <w:szCs w:val="22"/>
                    <w:lang w:eastAsia="lt-LT"/>
                  </w:rPr>
                  <w:t xml:space="preserve">12) mažo anglies dioksido pėdsako dujos – dujinio kuro dalis, esanti perdirbtos anglies kure,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12</w:t>
                </w:r>
                <w:r>
                  <w:rPr>
                    <w:b/>
                    <w:bCs/>
                    <w:color w:val="000000"/>
                    <w:sz w:val="22"/>
                    <w:szCs w:val="22"/>
                    <w:lang w:eastAsia="ar-SA"/>
                  </w:rPr>
                  <w:t xml:space="preserve">. </w:t>
                </w:r>
                <w:r>
                  <w:rPr>
                    <w:b/>
                    <w:color w:val="000000"/>
                    <w:sz w:val="22"/>
                    <w:szCs w:val="22"/>
                    <w:lang w:eastAsia="ar-SA"/>
                  </w:rPr>
                  <w:t xml:space="preserve">Mažo anglies dioksido pėdsako vandenilis – vandenilis, kurio energinė vertė gaunama iš </w:t>
                </w:r>
                <w:r>
                  <w:rPr>
                    <w:b/>
                    <w:bCs/>
                    <w:color w:val="000000"/>
                    <w:sz w:val="22"/>
                    <w:szCs w:val="22"/>
                    <w:lang w:eastAsia="ar-SA"/>
                  </w:rPr>
                  <w:t>neatsinaujinančių</w:t>
                </w:r>
                <w:r>
                  <w:rPr>
                    <w:b/>
                    <w:color w:val="000000"/>
                    <w:sz w:val="22"/>
                    <w:szCs w:val="22"/>
                    <w:lang w:eastAsia="ar-SA"/>
                  </w:rPr>
                  <w:t xml:space="preserve"> išteklių ir kuris atitinka 70 % išmetamo šiltnamio efektą sukeliančių dujų kiekio sumažinimo ribą, palyginti su nebiologinės kilmės kurui iš </w:t>
                </w:r>
                <w:r>
                  <w:rPr>
                    <w:b/>
                    <w:bCs/>
                    <w:color w:val="000000"/>
                    <w:sz w:val="22"/>
                    <w:szCs w:val="22"/>
                    <w:lang w:eastAsia="ar-SA"/>
                  </w:rPr>
                  <w:t>atsinaujinančių</w:t>
                </w:r>
                <w:r>
                  <w:rPr>
                    <w:b/>
                    <w:color w:val="000000"/>
                    <w:sz w:val="22"/>
                    <w:szCs w:val="22"/>
                    <w:lang w:eastAsia="ar-SA"/>
                  </w:rPr>
                  <w:t xml:space="preserve"> išteklių taikoma lyginamojo iškastinio kuro verte, nustatyta </w:t>
                </w:r>
                <w:r>
                  <w:rPr>
                    <w:b/>
                    <w:bCs/>
                    <w:color w:val="000000"/>
                    <w:sz w:val="22"/>
                    <w:szCs w:val="22"/>
                    <w:lang w:eastAsia="ar-SA"/>
                  </w:rPr>
                  <w:t xml:space="preserve">2023 m. vasario 10 d. </w:t>
                </w:r>
                <w:r>
                  <w:rPr>
                    <w:b/>
                    <w:color w:val="000000"/>
                    <w:sz w:val="22"/>
                    <w:szCs w:val="22"/>
                    <w:lang w:eastAsia="ar-SA"/>
                  </w:rPr>
                  <w:t xml:space="preserve">Komisijos deleguotuoju reglamentu </w:t>
                </w:r>
                <w:fldSimple w:instr="HYPERLINK http://eur-lex.europa.eu/legal-content/LIT/TXT/?uri=CELEX:32023R1185&amp;locale=lt \t _blank">
                  <w:r>
                    <w:rPr>
                      <w:b/>
                      <w:color w:val="0000FF" w:themeColor="hyperlink"/>
                      <w:sz w:val="22"/>
                      <w:szCs w:val="22"/>
                      <w:lang w:eastAsia="ar-SA"/>
                      <w:u w:val="single"/>
                    </w:rPr>
                    <w:t>(ES) 2023/1185</w:t>
                  </w:r>
                </w:fldSimple>
                <w:r>
                  <w:rPr>
                    <w:b/>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color w:val="0000FF" w:themeColor="hyperlink"/>
                      <w:sz w:val="22"/>
                      <w:szCs w:val="22"/>
                      <w:lang w:eastAsia="ar-SA"/>
                      <w:u w:val="single"/>
                    </w:rPr>
                    <w:t>(ES) 2018/2001</w:t>
                  </w:r>
                </w:fldSimple>
                <w:r>
                  <w:rPr>
                    <w:b/>
                    <w:color w:val="000000"/>
                    <w:sz w:val="22"/>
                    <w:szCs w:val="22"/>
                    <w:lang w:eastAsia="ar-SA"/>
                  </w:rPr>
                  <w:t>, patvirtintoje metodikoje</w:t>
                </w:r>
                <w:r>
                  <w:rPr>
                    <w:b/>
                    <w:bCs/>
                    <w:color w:val="000000"/>
                    <w:sz w:val="22"/>
                    <w:szCs w:val="22"/>
                    <w:lang w:eastAsia="ar-SA"/>
                  </w:rPr>
                  <w:t xml:space="preserve">.  </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pacing w:line="360" w:lineRule="auto"/>
                  <w:jc w:val="both"/>
                  <w:rPr>
                    <w:color w:val="000000"/>
                    <w:sz w:val="22"/>
                    <w:szCs w:val="22"/>
                    <w:lang w:val="lt" w:eastAsia="lt-LT"/>
                  </w:rPr>
                </w:pPr>
              </w:p>
              <w:p>
                <w:pPr>
                  <w:spacing w:line="360" w:lineRule="auto"/>
                  <w:ind w:firstLine="720"/>
                  <w:jc w:val="both"/>
                  <w:rPr>
                    <w:color w:val="000000"/>
                    <w:sz w:val="22"/>
                    <w:szCs w:val="22"/>
                    <w:lang w:val="lt"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13) mažo anglies dioksido pėdsako kuras – perdirbtos anglies kuras,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ind w:left="360"/>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11. Mažo anglies dioksido pėdsako kuras – perdirbtos anglies kuras, kaip apibrėžta Atsinaujinančių  išteklių energijos įstatymo 2 straipsnio 324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 išteklių taikoma lyginamojo iškastinio kuro verte, nustatyta 2023 m. vasario 10 d. Komisijos deleguotuoju reglamentu </w:t>
                </w:r>
                <w:fldSimple w:instr="HYPERLINK http://eur-lex.europa.eu/legal-content/LIT/TXT/?uri=CELEX:32023R1185&amp;locale=lt \t _blank">
                  <w:r>
                    <w:rPr>
                      <w:b/>
                      <w:bCs/>
                      <w:color w:val="0000FF" w:themeColor="hyperlink"/>
                      <w:sz w:val="22"/>
                      <w:szCs w:val="22"/>
                      <w:lang w:eastAsia="ar-SA"/>
                      <w:u w:val="single"/>
                    </w:rPr>
                    <w:t>(ES) 2023/1185</w:t>
                  </w:r>
                </w:fldSimple>
                <w:r>
                  <w:rPr>
                    <w:b/>
                    <w:bCs/>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sz w:val="22"/>
                      <w:szCs w:val="22"/>
                      <w:lang w:eastAsia="ar-SA"/>
                      <w:u w:val="single"/>
                    </w:rPr>
                    <w:t>(ES) 2018/2001</w:t>
                  </w:r>
                </w:fldSimple>
                <w:r>
                  <w:rPr>
                    <w:b/>
                    <w:bCs/>
                    <w:color w:val="000000"/>
                    <w:sz w:val="22"/>
                    <w:szCs w:val="22"/>
                    <w:lang w:eastAsia="ar-SA"/>
                  </w:rPr>
                  <w:t xml:space="preserve">, patvirtintoje metodikoje.  </w:t>
                </w:r>
              </w:p>
              <w:p>
                <w:pPr>
                  <w:tabs>
                    <w:tab w:val="left" w:pos="10076"/>
                    <w:tab w:val="left" w:pos="10992"/>
                    <w:tab w:val="left" w:pos="11908"/>
                    <w:tab w:val="left" w:pos="12824"/>
                    <w:tab w:val="left" w:pos="13740"/>
                    <w:tab w:val="left" w:pos="14656"/>
                  </w:tabs>
                  <w:suppressAutoHyphens/>
                  <w:ind w:left="720"/>
                  <w:jc w:val="both"/>
                  <w:rPr>
                    <w:b/>
                    <w:bCs/>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vandenilio įmonė – fizinis ar juridinis asmuo, kuris atlieka bent vieną iš šių funkcijų: vandenilio gamyba, transportavimas, tiekimas, pirkimas ar laikymas arba vandenilio terminalo eksploatavimas, kuris yra atsakingas už su tomis funkcijomis susijusias komercines, technines ar priežiūros užduotis ir kuris nėra galutinis vartotojas;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33. Vandenilio įmonė – fizinis ar juridinis asmuo, kuris atlieka bent vieną iš vandenilio gamybos, transportavimo, tiekimo, pirkimo, laikymo arba vandenilio terminalo eksploatavimo funkcijų, yra atsakingas už su tomis funkcijomis susijusias komercines, technines ar priežiūros užduotis ir nėra galutinis vandenilio vartotojas.</w:t>
                </w:r>
              </w:p>
              <w:p>
                <w:pPr>
                  <w:jc w:val="both"/>
                  <w:rPr>
                    <w:b/>
                    <w:bCs/>
                    <w:color w:val="000000"/>
                    <w:sz w:val="22"/>
                    <w:szCs w:val="22"/>
                    <w:lang w:eastAsia="lt-LT"/>
                  </w:rPr>
                </w:pPr>
                <w:r>
                  <w:rPr>
                    <w:b/>
                    <w:bCs/>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15) gamtinių dujų įmonė – fizinis ar juridinis asmuo, kuris atlieka gamtinių dujų, įskaitant SGD, gavybą, perdavimą, skirstymą, tiekimą, pirkimą ar laikymą, kuris yra atsakingas už su tomis funkcijomis susijusias komercines, technines ar priežiūros užduotis ir kuris nėra galutinis vartotojas;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color w:val="000000"/>
                    <w:sz w:val="22"/>
                    <w:szCs w:val="22"/>
                    <w:lang w:eastAsia="lt-LT"/>
                  </w:rPr>
                  <w:t xml:space="preserve">7. </w:t>
                </w:r>
                <w:r>
                  <w:rPr>
                    <w:b/>
                    <w:bCs/>
                    <w:color w:val="000000"/>
                    <w:sz w:val="22"/>
                    <w:szCs w:val="22"/>
                    <w:lang w:eastAsia="lt-LT"/>
                  </w:rPr>
                  <w:t>Gamtinių dujų įmonė</w:t>
                </w:r>
                <w:r>
                  <w:rPr>
                    <w:color w:val="000000"/>
                    <w:sz w:val="22"/>
                    <w:szCs w:val="22"/>
                    <w:lang w:eastAsia="lt-LT"/>
                  </w:rPr>
                  <w:t> – asmuo, kuris verčiasi bent viena iš šių rūšių veikla: gamtinių dujų gavyba, perdavimu, skirstymu, skystinimu, tiekimu, laikymu, SGD pakartotiniu dujinimu ir SGD perkrova, ir yra atsakingas už susijusius su šių rūšių veikla komercinius, techninius ir (arba) eksploatavimo įpareigojimus.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16) gavybos tinklas – vamzdynas ar vamzdynų tinklas, eksploatuojamas arba įrengtas kaip naftos ar gamtinių dujų gavybos objekto dalis arba naudojamas gamtinėms dujoms perduoti iš vieno ar daugiau tokių objektų į apdorojimo įrenginį ar terminalą arba į galutinį pakrantės iškrovimo terminalą;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w:t>
                </w:r>
                <w:r>
                  <w:rPr>
                    <w:b/>
                    <w:bCs/>
                    <w:color w:val="000000"/>
                    <w:sz w:val="22"/>
                    <w:szCs w:val="22"/>
                    <w:lang w:eastAsia="lt-LT"/>
                  </w:rPr>
                  <w:t>Gamtinių dujų gavybos tinklas</w:t>
                </w:r>
                <w:r>
                  <w:rPr>
                    <w:color w:val="000000"/>
                    <w:sz w:val="22"/>
                    <w:szCs w:val="22"/>
                    <w:lang w:eastAsia="lt-LT"/>
                  </w:rPr>
                  <w:t> (toliau – gavybos tinklas) – vamzdynas ar vamzdynų tinklas, eksploatuojamas ir (arba) įrengtas kaip naftos ar gamtinių dujų gavybos objekto dalis arba naudojamas gamtinėms dujoms perduoti iš vieno ar kelių tokių objektų į perdirbimo gamyklą, galutinį pakrantės terminalą arba kitą terminalą.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17) perdavimas – gamtinių dujų transportavimas tinklu, kurį daugiausia sudaro aukšto slėgio vamzdynai, išskyrus gavybos tinklą ir aukšto slėgio vamzdynų dalį, daugiausia naudojamą gamtinėms dujoms paskirstyti vietoje siekiant jas pristatyti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13. </w:t>
                </w:r>
                <w:r>
                  <w:rPr>
                    <w:b/>
                    <w:bCs/>
                    <w:color w:val="000000"/>
                    <w:sz w:val="22"/>
                    <w:szCs w:val="22"/>
                    <w:lang w:eastAsia="lt-LT"/>
                  </w:rPr>
                  <w:t>Gamtinių dujų perdavimas</w:t>
                </w:r>
                <w:r>
                  <w:rPr>
                    <w:color w:val="000000"/>
                    <w:sz w:val="22"/>
                    <w:szCs w:val="22"/>
                    <w:lang w:eastAsia="lt-LT"/>
                  </w:rPr>
                  <w:t> (toliau – perdavimas) – gamtinių dujų transportavimas, išskyrus tiekimą, sistema, kurią paprastai sudaro aukšto slėgio vamzdynai, išskyrus gavybos tinklą ir aukšto slėgio vamzdynų dalį, daugiausia naudojamą gamtinėms dujoms paskirstyti vietoje, siekiant pristatyti jas gamtinių dujų</w:t>
                </w:r>
                <w:r>
                  <w:rPr>
                    <w:b/>
                    <w:bCs/>
                    <w:color w:val="000000"/>
                    <w:sz w:val="22"/>
                    <w:szCs w:val="22"/>
                    <w:lang w:eastAsia="lt-LT"/>
                  </w:rPr>
                  <w:t> </w:t>
                </w:r>
                <w:r>
                  <w:rPr>
                    <w:color w:val="000000"/>
                    <w:sz w:val="22"/>
                    <w:szCs w:val="22"/>
                    <w:lang w:eastAsia="lt-LT"/>
                  </w:rPr>
                  <w:t>vartotojams.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18) perdavimo sistemos operatorius – fizinis ar juridinis asmuo, kuris atlieka perdavimo funkciją ir yra atsakingas už perdavimo sistemos eksploatavimą, techninės priežiūros užtikrinimą bei, prireikus, už perdavimo sistemos plėtrą konkrečioje teritorijoje ir, kai taikytina, už jos sujungimą su kitomis sistemomis bei už tai, kad būtų užtikrintas ilgalaikis sistemos gebėjimas patenkinti pagrįstą gamtinių dujų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15. </w:t>
                </w:r>
                <w:r>
                  <w:rPr>
                    <w:b/>
                    <w:bCs/>
                    <w:color w:val="000000"/>
                    <w:sz w:val="22"/>
                    <w:szCs w:val="22"/>
                    <w:lang w:eastAsia="lt-LT"/>
                  </w:rPr>
                  <w:t>Gamtinių dujų perdavimo sistemos operatorius</w:t>
                </w:r>
                <w:r>
                  <w:rPr>
                    <w:color w:val="000000"/>
                    <w:sz w:val="22"/>
                    <w:szCs w:val="22"/>
                    <w:lang w:eastAsia="lt-LT"/>
                  </w:rPr>
                  <w:t> (toliau – perdavimo sistemos operatorius) – asmuo, </w:t>
                </w:r>
                <w:r>
                  <w:rPr>
                    <w:color w:val="0D0D0D"/>
                    <w:sz w:val="22"/>
                    <w:szCs w:val="22"/>
                    <w:lang w:eastAsia="lt-LT"/>
                  </w:rPr>
                  <w:t>kuris licencijoje nurodytoje teritorijoje verčiasi gamtinių dujų perdavimo veikla ir yra atsakingas už šių dujų perdavimo sistemos eksploatavimą, techninės priežiūros užtikrinimą, prireikus – už jos plėtrą konkrečioje teritorijoje ir sujungimą su kitomis sistemomis, taip pat už tai, kad būtų užtikrintas ilgalaikis sistemos pajėgumas patenkinti pagrįstus gamtinių dujų transportavimo poreikius.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19) skirstymas – gamtinių dujų transportavimas vietos ar regioniniais vamzdynų tinklais siekiant pristatyti jas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28. </w:t>
                </w:r>
                <w:r>
                  <w:rPr>
                    <w:b/>
                    <w:bCs/>
                    <w:color w:val="000000"/>
                    <w:sz w:val="22"/>
                    <w:szCs w:val="22"/>
                    <w:lang w:eastAsia="lt-LT"/>
                  </w:rPr>
                  <w:t>Gamtinių dujų skirstymas</w:t>
                </w:r>
                <w:r>
                  <w:rPr>
                    <w:color w:val="000000"/>
                    <w:sz w:val="22"/>
                    <w:szCs w:val="22"/>
                    <w:lang w:eastAsia="lt-LT"/>
                  </w:rPr>
                  <w:t> (toliau – skirstymas) – gamtinių dujų transportavimas skirstomuoju dujotiekiu siekiant pristatyti jas gamtinių dujų vartotojams, išskyrus tiekimą.</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20) skirstymo sistemos operatorius – fizinis ar juridinis asmuo, atliekantis gamtinių dujų skirstymo funkciją ir atsakingas už skirstymo sistemos eksploatavimą, techninės priežiūros užtikrinimą bei, prireikus, už skirstymo sistemos plėtrą konkrečioje teritorijoje ir, kai taikytina, už jos sujungimą su kitomis sistemomis bei už tai, kad būtų užtikrintas ilgalaikis sistemos gebėjimas patenkinti pagrįstą gamtinių dujų skirstymo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30. </w:t>
                </w:r>
                <w:r>
                  <w:rPr>
                    <w:b/>
                    <w:bCs/>
                    <w:color w:val="000000"/>
                    <w:sz w:val="22"/>
                    <w:szCs w:val="22"/>
                    <w:lang w:eastAsia="lt-LT"/>
                  </w:rPr>
                  <w:t>Gamtinių dujų skirstymo sistemos operatorius</w:t>
                </w:r>
                <w:r>
                  <w:rPr>
                    <w:color w:val="000000"/>
                    <w:sz w:val="22"/>
                    <w:szCs w:val="22"/>
                    <w:lang w:eastAsia="lt-LT"/>
                  </w:rPr>
                  <w:t> (toliau – skirstymo sistemos operatorius) – asmuo, kuris licencijoje nurodytoje teritorijoje verčiasi gamtinių dujų</w:t>
                </w:r>
                <w:r>
                  <w:rPr>
                    <w:b/>
                    <w:bCs/>
                    <w:color w:val="000000"/>
                    <w:sz w:val="22"/>
                    <w:szCs w:val="22"/>
                    <w:lang w:eastAsia="lt-LT"/>
                  </w:rPr>
                  <w:t> </w:t>
                </w:r>
                <w:r>
                  <w:rPr>
                    <w:color w:val="000000"/>
                    <w:sz w:val="22"/>
                    <w:szCs w:val="22"/>
                    <w:lang w:eastAsia="lt-LT"/>
                  </w:rPr>
                  <w:t>skirstymo veikla ir yra atsakingas už gamtinių dujų</w:t>
                </w:r>
                <w:r>
                  <w:rPr>
                    <w:b/>
                    <w:bCs/>
                    <w:color w:val="000000"/>
                    <w:sz w:val="22"/>
                    <w:szCs w:val="22"/>
                    <w:lang w:eastAsia="lt-LT"/>
                  </w:rPr>
                  <w:t> </w:t>
                </w:r>
                <w:r>
                  <w:rPr>
                    <w:color w:val="000000"/>
                    <w:sz w:val="22"/>
                    <w:szCs w:val="22"/>
                    <w:lang w:eastAsia="lt-LT"/>
                  </w:rPr>
                  <w:t>skirstymo sistemos eksploatavimą, techninės priežiūros užtikrinimą, prireikus – už jos plėtrą konkrečioje teritorijoje, sujungimą su kitomis sistemomis, taip pat už ilgalaikio sistemos pajėgumo užtikrinimą, pagrįstą gamtinių dujų skirstymo paklausa.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807"/>
                  </w:tabs>
                  <w:jc w:val="both"/>
                  <w:rPr>
                    <w:color w:val="000000"/>
                    <w:sz w:val="22"/>
                    <w:szCs w:val="22"/>
                    <w:lang w:eastAsia="lt-LT"/>
                  </w:rPr>
                </w:pPr>
                <w:r>
                  <w:rPr>
                    <w:color w:val="000000"/>
                    <w:sz w:val="22"/>
                    <w:szCs w:val="22"/>
                    <w:lang w:eastAsia="lt-LT"/>
                  </w:rPr>
                  <w:t>21) vandenilio tinklas – sausumoje ir jūroje esančių vamzdynų tinklas, naudojamas didelio grynumo vandeniliui transportuoti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lt-LT"/>
                  </w:rPr>
                  <w:t xml:space="preserve">58. </w:t>
                </w:r>
                <w:r>
                  <w:rPr>
                    <w:b/>
                    <w:bCs/>
                    <w:color w:val="000000"/>
                    <w:sz w:val="22"/>
                    <w:szCs w:val="22"/>
                    <w:lang w:eastAsia="ar-SA"/>
                  </w:rPr>
                  <w:t>Vandenilio tinklas – sausumoje ir (ar) jūroje esančių vamzdynų tinklas, naudojamas didelio grynumo vandeniliui transportuoti ir apimantis vandenilio perdavimo ir vandenilio skirstymo tinklus.</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ar-SA"/>
                  </w:rPr>
                  <w:t>62. Vandenilio transportavimas – vandenilio perdavimas ar skirstymas vandenilio tinklais, siekiant pristatyti jį vartotojams, išskyrus vandenilio 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22) vandenilio transportavimas – vandenilio perdavimas ar skirstymas vandenilio tinklu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bCs/>
                    <w:color w:val="000000"/>
                    <w:sz w:val="22"/>
                    <w:szCs w:val="22"/>
                    <w:lang w:eastAsia="ar-SA"/>
                  </w:rPr>
                  <w:t xml:space="preserve">62. </w:t>
                </w:r>
                <w:r>
                  <w:rPr>
                    <w:b/>
                    <w:color w:val="000000"/>
                    <w:sz w:val="22"/>
                    <w:szCs w:val="22"/>
                    <w:lang w:eastAsia="ar-SA"/>
                  </w:rPr>
                  <w:t xml:space="preserve">Vandenilio transportavimas – vandenilio perdavimas ar skirstymas vandenilio tinklais, siekiant pristatyti jį vartotojams, išskyrus </w:t>
                </w:r>
                <w:r>
                  <w:rPr>
                    <w:b/>
                    <w:bCs/>
                    <w:color w:val="000000"/>
                    <w:sz w:val="22"/>
                    <w:szCs w:val="22"/>
                    <w:lang w:eastAsia="ar-SA"/>
                  </w:rPr>
                  <w:t xml:space="preserve">vandenilio </w:t>
                </w:r>
                <w:r>
                  <w:rPr>
                    <w:b/>
                    <w:color w:val="000000"/>
                    <w:sz w:val="22"/>
                    <w:szCs w:val="22"/>
                    <w:lang w:eastAsia="ar-SA"/>
                  </w:rPr>
                  <w:t>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23) vandenilio perdavimo tinklas – didelio grynumo vandeniliui transportuoti skirtas vamzdynų tinklas, visų pirma tinklas, kuris apima vandenilio jungtis arba kuris yra tiesiogiai prijungtas prie vandenilio saugyklų, vandenilio terminalų arba dviejų ar daugiau vandenilio jungčių, arba kurio pagrindinė paskirtis – transportuoti vandenilį į kitus vandenilio tinklus, vandenilio saugyklą ar vandenilio terminalus, neatmetant galimybės, kad tokie tinklai bus naudojami tiekimui tiesiogiai prijungtiems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ind w:left="720"/>
                  <w:jc w:val="both"/>
                  <w:rPr>
                    <w:b/>
                    <w:bCs/>
                    <w:color w:val="000000"/>
                    <w:sz w:val="22"/>
                    <w:szCs w:val="22"/>
                    <w:lang w:eastAsia="lt-LT"/>
                  </w:rPr>
                </w:pPr>
                <w:r>
                  <w:rPr>
                    <w:b/>
                    <w:bCs/>
                    <w:color w:val="000000"/>
                    <w:sz w:val="22"/>
                    <w:szCs w:val="22"/>
                    <w:lang w:eastAsia="lt-LT"/>
                  </w:rPr>
                  <w:t xml:space="preserve">&lt;...&gt; </w:t>
                </w:r>
              </w:p>
              <w:p>
                <w:pPr>
                  <w:shd w:val="clear" w:color="auto" w:fill="FFFFFF"/>
                  <w:spacing w:line="259" w:lineRule="auto"/>
                  <w:jc w:val="both"/>
                  <w:rPr>
                    <w:b/>
                    <w:color w:val="000000"/>
                    <w:sz w:val="22"/>
                    <w:szCs w:val="22"/>
                    <w:lang w:eastAsia="ar-SA"/>
                  </w:rPr>
                </w:pPr>
                <w:r>
                  <w:rPr>
                    <w:b/>
                    <w:bCs/>
                    <w:color w:val="000000"/>
                    <w:sz w:val="22"/>
                    <w:szCs w:val="22"/>
                    <w:lang w:eastAsia="lt-LT"/>
                  </w:rPr>
                  <w:t xml:space="preserve">39. </w:t>
                </w:r>
                <w:r>
                  <w:rPr>
                    <w:b/>
                    <w:bCs/>
                    <w:color w:val="000000"/>
                    <w:sz w:val="22"/>
                    <w:szCs w:val="22"/>
                    <w:lang w:eastAsia="ar-SA"/>
                  </w:rPr>
                  <w:t>Vandenilio perdavimo tinklas</w:t>
                </w:r>
                <w:r>
                  <w:rPr>
                    <w:color w:val="000000"/>
                    <w:sz w:val="22"/>
                    <w:szCs w:val="22"/>
                    <w:lang w:eastAsia="ar-SA"/>
                  </w:rPr>
                  <w:t xml:space="preserve"> – </w:t>
                </w:r>
                <w:r>
                  <w:rPr>
                    <w:b/>
                    <w:bCs/>
                    <w:color w:val="000000"/>
                    <w:sz w:val="22"/>
                    <w:szCs w:val="22"/>
                    <w:lang w:eastAsia="ar-SA"/>
                  </w:rPr>
                  <w:t xml:space="preserve">didelio grynumo vandeniliui transportuoti skirtas vamzdynų tinklas, įskaitant su juo susijusius įrenginius ir statinius, kuris apima vandenilio  įleidimo ir išleidimo punktus, priemonės šiam tinklui veikti ir vandenilio jungtis arba kuris yra tiesiogiai prijungtas prie vandenilio saugyklų, vandenilio terminalų arba dviejų ar daugiau vandenilio jungčių, arba kurio pagrindinė paskirtis yra transportuoti vandenilį į kitus vandenilio tinklus, vandenilio saugyklas ar vandenilio terminalus, įskaitant tokių tinklų naudojimo vandeniliui tiekti tiesiogiai prijungtiems vartotojams galimybę.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24) vandenilio skirstymo tinklas – didelio grynumo vandeniliui transportuoti skirtas vietos ar regioninis vamzdynų tinklas, kuris pirmiausia naudojamas tiekimui tiesiogiai prijungtiems vartotojams, kuris neapima vandenilio jungčių ir kuris nėra tiesiogiai prijungtas prie vandenilio saugyklų ar vandenilio terminalų, nebent toks tinklas 2024 m. rugpjūčio 4 d. buvo gamtinių dujų skirstymo sistema ir jo paskirtis buvo iš dalies ar visiškai pakeista vandeniliui transportuoti, arba kuris nėra tiesiogiai prijungtas prie dviejų ar daugiau vandenilio jungčių;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 xml:space="preserve">50. </w:t>
                </w:r>
                <w:r>
                  <w:rPr>
                    <w:b/>
                    <w:bCs/>
                    <w:color w:val="000000"/>
                    <w:sz w:val="22"/>
                    <w:szCs w:val="22"/>
                    <w:lang w:eastAsia="lt-LT"/>
                  </w:rPr>
                  <w:t>Vandenilio skirstymo tinklas – didelio grynumo vandeniliui transportuoti skirtas vietos ar regioninis vamzdynų tinklas, įskaitant vandenilio įleidimo ir išleidimo punktus, kuris pirmiausia naudojamas vandeniliui tiekti tiesiogiai prijungtiems vartotojams, bet kuris neapima vandenilio jungčių ir kuris nėra tiesiogiai prijungtas prie vandenilio saugyklų ar vandenilio terminalų.</w:t>
                </w:r>
              </w:p>
              <w:p>
                <w:pPr>
                  <w:tabs>
                    <w:tab w:val="left" w:pos="10076"/>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10076"/>
                    <w:tab w:val="left" w:pos="10992"/>
                    <w:tab w:val="left" w:pos="11908"/>
                    <w:tab w:val="left" w:pos="12824"/>
                    <w:tab w:val="left" w:pos="13740"/>
                    <w:tab w:val="left" w:pos="14656"/>
                  </w:tabs>
                  <w:spacing w:line="259" w:lineRule="auto"/>
                  <w:jc w:val="both"/>
                  <w:rPr>
                    <w:i/>
                    <w:iCs/>
                    <w:color w:val="000000"/>
                    <w:sz w:val="22"/>
                    <w:szCs w:val="22"/>
                    <w:lang w:eastAsia="lt-LT"/>
                  </w:rPr>
                </w:pPr>
                <w:r>
                  <w:rPr>
                    <w:i/>
                    <w:iCs/>
                    <w:color w:val="000000"/>
                    <w:sz w:val="22"/>
                    <w:szCs w:val="22"/>
                    <w:lang w:eastAsia="lt-LT"/>
                  </w:rPr>
                  <w:t xml:space="preserve">Pastaba. Pažymėtina, kad gamtinių dujų skirstymo sistema 2024 m. rugpjūčio 4 d. nebuvo vandenilio skirstymo tinklu, todėl dalis nuostatos neperkeltina.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25) vandenilio tinklo operatorius – fizinis ar juridinis asmuo, kuris atlieka vandenilio transportavimo funkciją ir yra atsakingas už vandenilio tinklo eksploatavimą, techninės priežiūros užtikrinimą bei, prireikus, už vandenilio tinklo plėtrą konkrečioje teritorijoje ir, kai taikytina, už vandenilio tinklo sujungimą su kitais vandenilio tinklais bei už tai, kad būtų užtikrintas ilgalaikis sistemos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kern w:val="2"/>
                    <w:sz w:val="22"/>
                    <w:szCs w:val="22"/>
                    <w:lang w:eastAsia="ar-SA"/>
                  </w:rPr>
                  <w:t>61.</w:t>
                </w:r>
                <w:r>
                  <w:rPr>
                    <w:b/>
                    <w:bCs/>
                    <w:color w:val="000000"/>
                    <w:sz w:val="22"/>
                    <w:szCs w:val="22"/>
                    <w:lang w:eastAsia="ar-SA"/>
                  </w:rPr>
                  <w:t xml:space="preserve"> Vandenilio tinklo operatorius –</w:t>
                </w:r>
                <w:r>
                  <w:rPr>
                    <w:b/>
                    <w:bCs/>
                    <w:color w:val="000000"/>
                    <w:sz w:val="22"/>
                    <w:szCs w:val="22"/>
                    <w:lang w:eastAsia="lt-LT"/>
                  </w:rPr>
                  <w:t xml:space="preserve"> fizinis ar juridinis asmuo, kuris yra atsakingas už vandenilio tinklo eksploatavimą, techninės priežiūros užtikrinimą ir prireikus už jo plėtrą konkrečioje teritorijoje, ir, kai taikytina, už vandenilio tinklo sujungimą su kitais vandenilio tinklais, ir už tai, kad būtų užtikrintas ilgalaikis tinklo gebėjimas patenkinti pagrįstą vandenilio transportavimo paklausą.</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tabs>
                    <w:tab w:val="left" w:pos="10076"/>
                    <w:tab w:val="left" w:pos="10992"/>
                    <w:tab w:val="left" w:pos="11908"/>
                    <w:tab w:val="left" w:pos="12824"/>
                    <w:tab w:val="left" w:pos="13740"/>
                    <w:tab w:val="left" w:pos="14656"/>
                  </w:tabs>
                  <w:suppressAutoHyphens/>
                  <w:spacing w:line="259" w:lineRule="auto"/>
                  <w:ind w:firstLine="57"/>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26) vandenilio perdavimo tinklo operatorius – fizinis ar juridinis asmuo, kuris yra atsakingas už vandenilio perdavimo tinklo eksploatavimą, techninės priežiūros užtikrinimą bei, prireikus, už vandenilio perdavimo tinklo plėtrą konkrečioje teritorijoje ir, kai taikytina, už vandenilio perdavimo tinklo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40. </w:t>
                </w:r>
                <w:r>
                  <w:rPr>
                    <w:b/>
                    <w:color w:val="000000"/>
                    <w:sz w:val="22"/>
                    <w:szCs w:val="22"/>
                    <w:lang w:eastAsia="ar-SA"/>
                  </w:rPr>
                  <w:t xml:space="preserve">Vandenilio perdavimo tinklo operatorius – fizinis ar juridinis asmuo, kuris yra atsakingas už vandenilio perdavimo tinklo eksploatavimą, techninės priežiūros užtikrinimą </w:t>
                </w:r>
                <w:r>
                  <w:rPr>
                    <w:b/>
                    <w:bCs/>
                    <w:color w:val="000000"/>
                    <w:sz w:val="22"/>
                    <w:szCs w:val="22"/>
                    <w:lang w:eastAsia="ar-SA"/>
                  </w:rPr>
                  <w:t>ir</w:t>
                </w:r>
                <w:r>
                  <w:rPr>
                    <w:b/>
                    <w:color w:val="000000"/>
                    <w:sz w:val="22"/>
                    <w:szCs w:val="22"/>
                    <w:lang w:eastAsia="ar-SA"/>
                  </w:rPr>
                  <w:t xml:space="preserve"> prireikus už vandenilio perdavimo tinklo plėtrą konkrečioje teritorijoje ir, kai taikytina, už vandenilio perdavimo tinklo sujungimą su kitais vandenilio tinklais </w:t>
                </w:r>
                <w:r>
                  <w:rPr>
                    <w:b/>
                    <w:bCs/>
                    <w:color w:val="000000"/>
                    <w:sz w:val="22"/>
                    <w:szCs w:val="22"/>
                    <w:lang w:eastAsia="ar-SA"/>
                  </w:rPr>
                  <w:t>ir</w:t>
                </w:r>
                <w:r>
                  <w:rPr>
                    <w:b/>
                    <w:color w:val="000000"/>
                    <w:sz w:val="22"/>
                    <w:szCs w:val="22"/>
                    <w:lang w:eastAsia="ar-SA"/>
                  </w:rPr>
                  <w:t xml:space="preserve"> už tai, kad būtų užtikrintas ilg</w:t>
                </w:r>
                <w:r>
                  <w:rPr>
                    <w:b/>
                    <w:bCs/>
                    <w:color w:val="000000"/>
                    <w:sz w:val="22"/>
                    <w:szCs w:val="22"/>
                    <w:lang w:eastAsia="ar-SA"/>
                  </w:rPr>
                  <w:t xml:space="preserve">alaikis tinklo gebėjimas patenkinti pagrįstą vandenilio transportavimo paklausą.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27) vandenilio skirstymo tinklo operatorius – fizinis ar juridinis asmuo, kuris yra atsakingas už vandenilio skirstymo tinklo eksploatavimą, techninės priežiūros užtikrinimą bei, prireikus, už vandenilio skirstymo tinklo plėtrą konkrečioje teritorijoje ir, kai taikytina, už jo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bCs/>
                    <w:color w:val="000000"/>
                    <w:kern w:val="2"/>
                    <w:sz w:val="22"/>
                    <w:szCs w:val="22"/>
                    <w:lang w:eastAsia="lt-LT"/>
                  </w:rPr>
                  <w:t>51.</w:t>
                </w:r>
                <w:r>
                  <w:rPr>
                    <w:b/>
                    <w:color w:val="000000"/>
                    <w:sz w:val="22"/>
                    <w:szCs w:val="22"/>
                    <w:lang w:eastAsia="lt-LT"/>
                  </w:rPr>
                  <w:t xml:space="preserve"> Vandenilio skirstymo tinklo operatorius – fizinis ar juridinis asmuo, kuris yra atsakingas už vandenilio skirstymo tinklo eksploatavimą, techninės priežiūros užtikrinimą ir prireikus už jo plėtrą konkrečioje teritorijoje, taip pat už sujungimą su kitais vandenilio tinklais ir už ilgalaikį tinklo gebėjimą patenkinti pagrįstą vandenilio transportavimo paklausą</w:t>
                </w:r>
                <w:r>
                  <w:rPr>
                    <w:b/>
                    <w:bCs/>
                    <w:color w:val="000000"/>
                    <w:sz w:val="22"/>
                    <w:szCs w:val="22"/>
                    <w:lang w:eastAsia="lt-LT"/>
                  </w:rPr>
                  <w:t xml:space="preserve">.  </w:t>
                </w:r>
              </w:p>
              <w:p>
                <w:pPr>
                  <w:shd w:val="clear" w:color="auto" w:fill="FFFFFF"/>
                  <w:jc w:val="both"/>
                  <w:rPr>
                    <w:b/>
                    <w:bCs/>
                    <w:color w:val="000000"/>
                    <w:sz w:val="22"/>
                    <w:szCs w:val="22"/>
                    <w:lang w:eastAsia="lt-LT"/>
                  </w:rPr>
                </w:pP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28) tiekimas – gamtinių dujų, įskaitant SGD, arba vandenilio, įskaitant skystuosius organinius vandenilio nešiklius ar skystąjį vandenilį, ir vandenilio darinių, įskaitant amoniaką ar metanolį, pardavimas, įskaitant perpardavimą,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p>
                <w:pPr>
                  <w:shd w:val="clear" w:color="auto" w:fill="FFFFFF"/>
                  <w:jc w:val="both"/>
                  <w:rPr>
                    <w:b/>
                    <w:bCs/>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32. </w:t>
                </w:r>
                <w:r>
                  <w:rPr>
                    <w:b/>
                    <w:bCs/>
                    <w:color w:val="000000"/>
                    <w:sz w:val="22"/>
                    <w:szCs w:val="22"/>
                    <w:lang w:eastAsia="lt-LT"/>
                  </w:rPr>
                  <w:t>Gamtinių dujų tiekimas</w:t>
                </w:r>
                <w:r>
                  <w:rPr>
                    <w:color w:val="000000"/>
                    <w:sz w:val="22"/>
                    <w:szCs w:val="22"/>
                    <w:lang w:eastAsia="lt-LT"/>
                  </w:rPr>
                  <w:t> (toliau – tiekimas) – gamtinių dujų pardavimas ir (ar) perpardavimas gamtinių dujų vartotojams.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kern w:val="2"/>
                    <w:sz w:val="22"/>
                    <w:szCs w:val="22"/>
                    <w:lang w:eastAsia="lt-LT"/>
                  </w:rPr>
                </w:pPr>
                <w:r>
                  <w:rPr>
                    <w:b/>
                    <w:bCs/>
                    <w:color w:val="000000"/>
                    <w:kern w:val="2"/>
                    <w:sz w:val="22"/>
                    <w:szCs w:val="22"/>
                    <w:lang w:eastAsia="lt-LT"/>
                  </w:rPr>
                  <w:t xml:space="preserve">54. </w:t>
                </w:r>
                <w:r>
                  <w:rPr>
                    <w:b/>
                    <w:color w:val="000000"/>
                    <w:kern w:val="2"/>
                    <w:sz w:val="22"/>
                    <w:szCs w:val="22"/>
                    <w:lang w:eastAsia="lt-LT"/>
                  </w:rPr>
                  <w:t xml:space="preserve">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w:t>
                </w:r>
                <w:r>
                  <w:rPr>
                    <w:b/>
                    <w:bCs/>
                    <w:color w:val="000000"/>
                    <w:kern w:val="2"/>
                    <w:sz w:val="22"/>
                    <w:szCs w:val="22"/>
                    <w:lang w:eastAsia="lt-LT"/>
                  </w:rPr>
                  <w:t>Vandenilio tiekimu nelaikomas vandenilio naudojimas savoms reikmėms.</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29) tiekimo įmonė – fizinis ar juridinis asmuo, kuris atlieka tiekimo funkciją;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33. </w:t>
                </w:r>
                <w:r>
                  <w:rPr>
                    <w:b/>
                    <w:bCs/>
                    <w:color w:val="000000"/>
                    <w:sz w:val="22"/>
                    <w:szCs w:val="22"/>
                    <w:lang w:eastAsia="lt-LT"/>
                  </w:rPr>
                  <w:t>Gamtinių dujų tiekimo įmonė</w:t>
                </w:r>
                <w:r>
                  <w:rPr>
                    <w:color w:val="000000"/>
                    <w:sz w:val="22"/>
                    <w:szCs w:val="22"/>
                    <w:lang w:eastAsia="lt-LT"/>
                  </w:rPr>
                  <w:t> (toliau – tiekimo įmonė) – asmuo, kuris verčiasi gamtinių dujų tiekimo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r>
                  <w:rPr>
                    <w:b/>
                    <w:bCs/>
                    <w:color w:val="000000"/>
                    <w:kern w:val="2"/>
                    <w:sz w:val="22"/>
                    <w:szCs w:val="22"/>
                    <w:lang w:eastAsia="ar-SA"/>
                  </w:rPr>
                  <w:t>55</w:t>
                </w:r>
                <w:r>
                  <w:rPr>
                    <w:b/>
                    <w:color w:val="000000"/>
                    <w:kern w:val="2"/>
                    <w:sz w:val="22"/>
                    <w:szCs w:val="22"/>
                    <w:lang w:eastAsia="ar-SA"/>
                  </w:rPr>
                  <w:t xml:space="preserve">. </w:t>
                </w:r>
                <w:r>
                  <w:rPr>
                    <w:b/>
                    <w:bCs/>
                    <w:color w:val="000000"/>
                    <w:kern w:val="2"/>
                    <w:sz w:val="22"/>
                    <w:szCs w:val="22"/>
                    <w:lang w:eastAsia="ar-SA"/>
                  </w:rPr>
                  <w:t xml:space="preserve">Vandenilio tiekimo įmonė (toliau – vandenilio tiekėjas) – </w:t>
                </w:r>
                <w:r>
                  <w:rPr>
                    <w:color w:val="000000"/>
                    <w:kern w:val="2"/>
                    <w:sz w:val="22"/>
                    <w:szCs w:val="22"/>
                    <w:lang w:eastAsia="ar-SA"/>
                  </w:rPr>
                  <w:t>fizinis ar juridinis asmuo, turintis vandenilio tiekimo teises.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30) garantinis tiekėjas – tiekėjas, kuris yra paskirtas perimti gamtinių dujų tiekimą veiklą nutraukusio tiekėjo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39. </w:t>
                </w:r>
                <w:r>
                  <w:rPr>
                    <w:b/>
                    <w:bCs/>
                    <w:color w:val="000000"/>
                    <w:sz w:val="22"/>
                    <w:szCs w:val="22"/>
                    <w:lang w:eastAsia="lt-LT"/>
                  </w:rPr>
                  <w:t>Garantinis gamtinių dujų tiekimas</w:t>
                </w:r>
                <w:r>
                  <w:rPr>
                    <w:color w:val="000000"/>
                    <w:sz w:val="22"/>
                    <w:szCs w:val="22"/>
                    <w:lang w:eastAsia="lt-LT"/>
                  </w:rPr>
                  <w:t> (toliau – garantinis tiekimas) – vartotojams užtikrinamas gamtinių dujų tiekimas,</w:t>
                </w:r>
                <w:r>
                  <w:rPr>
                    <w:b/>
                    <w:bCs/>
                    <w:color w:val="000000"/>
                    <w:sz w:val="22"/>
                    <w:szCs w:val="22"/>
                    <w:lang w:eastAsia="lt-LT"/>
                  </w:rPr>
                  <w:t> </w:t>
                </w:r>
                <w:r>
                  <w:rPr>
                    <w:color w:val="000000"/>
                    <w:sz w:val="22"/>
                    <w:szCs w:val="22"/>
                    <w:lang w:eastAsia="lt-LT"/>
                  </w:rPr>
                  <w:t>garantuojantis saugų, patikimą ir nepertraukiamą gamtinių dujų tiekimą, kai gamtinių dujų tiekimo įmonė nebegali užtikrinti šios pareigos įgyvendinimo.</w:t>
                </w:r>
              </w:p>
              <w:p>
                <w:pPr>
                  <w:jc w:val="both"/>
                  <w:rPr>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p>
              <w:p>
                <w:pPr>
                  <w:ind w:firstLine="5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100. Skirstymo sistemos operatorius privalo:</w:t>
                </w:r>
              </w:p>
              <w:p>
                <w:pPr>
                  <w:jc w:val="both"/>
                  <w:rPr>
                    <w:color w:val="000000"/>
                    <w:sz w:val="22"/>
                    <w:szCs w:val="22"/>
                    <w:shd w:val="clear" w:color="auto" w:fill="FFFFFF"/>
                    <w:lang w:eastAsia="lt-LT"/>
                  </w:rPr>
                </w:pPr>
                <w:r>
                  <w:rPr>
                    <w:color w:val="000000"/>
                    <w:sz w:val="22"/>
                    <w:szCs w:val="22"/>
                    <w:lang w:eastAsia="lt-LT"/>
                  </w:rPr>
                  <w:t>100.12. garantinio tiekimo atveju užtikrinti garantinį tiekimą</w:t>
                </w:r>
                <w:r>
                  <w:rPr>
                    <w:color w:val="000000"/>
                    <w:sz w:val="22"/>
                    <w:szCs w:val="22"/>
                    <w:shd w:val="clear" w:color="auto" w:fill="FFFFFF"/>
                    <w:lang w:eastAsia="lt-LT"/>
                  </w:rPr>
                  <w:t> buitiniams</w:t>
                </w:r>
                <w:r>
                  <w:rPr>
                    <w:b/>
                    <w:bCs/>
                    <w:color w:val="000000"/>
                    <w:sz w:val="22"/>
                    <w:szCs w:val="22"/>
                    <w:shd w:val="clear" w:color="auto" w:fill="FFFFFF"/>
                    <w:lang w:eastAsia="lt-LT"/>
                  </w:rPr>
                  <w:t> </w:t>
                </w:r>
                <w:r>
                  <w:rPr>
                    <w:color w:val="000000"/>
                    <w:sz w:val="22"/>
                    <w:szCs w:val="22"/>
                    <w:shd w:val="clear" w:color="auto" w:fill="FFFFFF"/>
                    <w:lang w:eastAsia="lt-LT"/>
                  </w:rPr>
                  <w:t>vartotojams.</w:t>
                </w:r>
              </w:p>
              <w:p>
                <w:pPr>
                  <w:jc w:val="both"/>
                  <w:rPr>
                    <w:color w:val="000000"/>
                    <w:sz w:val="22"/>
                    <w:szCs w:val="22"/>
                    <w:lang w:eastAsia="lt-LT"/>
                  </w:rPr>
                </w:pPr>
                <w:r>
                  <w:rPr>
                    <w:color w:val="000000"/>
                    <w:sz w:val="22"/>
                    <w:szCs w:val="22"/>
                    <w:shd w:val="clear" w:color="auto" w:fill="FFFFFF"/>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31) gamtinių dujų saugykla – gamtinių dujų įmonei nuosavybės teise priklausantis arba jos eksploatuojamas įrenginys gamtinėms dujoms laikyti, kuris apima gamtinių dujų laikymui skirtą SGD įrenginių dalį, bet neapima gavybos operacijoms vykdyti skirtos dalies ir įrenginių,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22. </w:t>
                </w:r>
                <w:r>
                  <w:rPr>
                    <w:b/>
                    <w:bCs/>
                    <w:color w:val="000000"/>
                    <w:sz w:val="22"/>
                    <w:szCs w:val="22"/>
                    <w:lang w:eastAsia="lt-LT"/>
                  </w:rPr>
                  <w:t>Gamtinių dujų saugykla</w:t>
                </w:r>
                <w:r>
                  <w:rPr>
                    <w:color w:val="000000"/>
                    <w:sz w:val="22"/>
                    <w:szCs w:val="22"/>
                    <w:lang w:eastAsia="lt-LT"/>
                  </w:rPr>
                  <w:t> (toliau – saugykla) – gamtinių dujų įmonei nuosavybės teise priklausantis ir (arba) jos eksploatuojamas įrenginys gamtinėms dujoms laikyti, įskaitant įrenginius SGD laikyti, išskyrus tuos įrenginius ar įrenginių dalį, kurie naudojami gamtinių dujų gavybos operacijoms, SGD pakartotiniam dujinimui, mažos apimties SGD pakartotiniam dujinimui ir (arba) SGD perkrovai vykdyti, ir įrenginius, skirtus vien tik perdavimo sistemos operatoriams, atliekantiems savo funkcijas.</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32) gamtinių dujų laikymo sistemos operatorius – fizinis ar juridinis asmuo, kuris atlieka gamtinių dujų laikymo funkciją ir yra atsakingas už gamtinių dujų saugyklos eksploatavimą;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12. </w:t>
                </w:r>
                <w:r>
                  <w:rPr>
                    <w:b/>
                    <w:bCs/>
                    <w:color w:val="000000"/>
                    <w:sz w:val="22"/>
                    <w:szCs w:val="22"/>
                    <w:lang w:eastAsia="lt-LT"/>
                  </w:rPr>
                  <w:t>Gamtinių dujų laikymo sistemos operatorius</w:t>
                </w:r>
                <w:r>
                  <w:rPr>
                    <w:color w:val="000000"/>
                    <w:sz w:val="22"/>
                    <w:szCs w:val="22"/>
                    <w:lang w:eastAsia="lt-LT"/>
                  </w:rPr>
                  <w:t> (toliau – laikymo sistemos operatorius) – asmuo, kuris verčiasi gamtinių dujų laikymo veikla ir yra atsakingas už gamtinių dujų saugyklos eksploatavimą.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33) SGD įrenginys – terminalas gamtinėms dujoms suskystinti arba SGD importuoti, iškrauti ir pakartotinai dujinti, įskaitant papildomų paslaugų teikimo bei laikinojo laikymo įrenginius, kurių reikia, kad būtų galima vykdyti pakartotino dujinimo procesą ir vėliau pristatyti dujas į perdavimo sistemą, išskyrus dujoms laikyti skirtą SGD terminalų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61. </w:t>
                </w:r>
                <w:r>
                  <w:rPr>
                    <w:b/>
                    <w:bCs/>
                    <w:color w:val="000000"/>
                    <w:sz w:val="22"/>
                    <w:szCs w:val="22"/>
                    <w:lang w:eastAsia="lt-LT"/>
                  </w:rPr>
                  <w:t>Suskystintų gamtinių dujų sistema</w:t>
                </w:r>
                <w:r>
                  <w:rPr>
                    <w:color w:val="000000"/>
                    <w:sz w:val="22"/>
                    <w:szCs w:val="22"/>
                    <w:lang w:eastAsia="lt-LT"/>
                  </w:rPr>
                  <w:t> (toliau – SGD sistema) – SGD terminalas gamtinėms dujoms skystinti arba SGD importuoti, priimti ir pakartotinai dujinti, įskaitant paslaugas ir SGD laikiną laikymą, būtinus pakartotinio dujinimo ir vėlesnio pateikimo į perdavimo sistemą procesui vykti, išskyrus bet kurią SGD terminalų dalį, naudojamą gamtinėms dujoms laikyti.</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34) SGD sistemos operatorius – fizinis ar juridinis asmuo, kuris atlieka gamtinių dujų skystinimo funkciją arba importuoja, iškrauna bei pakartotinai dujina SGD ir yra atsakingas už SGD įrenginio eksploatavimą;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62. </w:t>
                </w:r>
                <w:r>
                  <w:rPr>
                    <w:b/>
                    <w:bCs/>
                    <w:color w:val="000000"/>
                    <w:sz w:val="22"/>
                    <w:szCs w:val="22"/>
                    <w:lang w:eastAsia="lt-LT"/>
                  </w:rPr>
                  <w:t>Suskystintų gamtinių dujų sistemos operatorius</w:t>
                </w:r>
                <w:r>
                  <w:rPr>
                    <w:color w:val="000000"/>
                    <w:sz w:val="22"/>
                    <w:szCs w:val="22"/>
                    <w:lang w:eastAsia="lt-LT"/>
                  </w:rPr>
                  <w:t> (toliau – SGD sistemos operatorius) – asmuo, kuris atlieka</w:t>
                </w:r>
                <w:r>
                  <w:rPr>
                    <w:b/>
                    <w:bCs/>
                    <w:color w:val="000000"/>
                    <w:sz w:val="22"/>
                    <w:szCs w:val="22"/>
                    <w:lang w:eastAsia="lt-LT"/>
                  </w:rPr>
                  <w:t> </w:t>
                </w:r>
                <w:r>
                  <w:rPr>
                    <w:color w:val="000000"/>
                    <w:sz w:val="22"/>
                    <w:szCs w:val="22"/>
                    <w:lang w:eastAsia="lt-LT"/>
                  </w:rPr>
                  <w:t>gamtinių dujų skystinimo arba SGD importo, priėmimo ir pakartotinio jų dujinimo funkciją ir yra atsakingas už SGD sistemos eksploatavimą.</w:t>
                </w: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35) sistema – gamtinių dujų įmonei nuosavybės teise priklausantys ar jos eksploatuojami perdavimo tinklai, skirstymo tinklai, SGD įrenginiai ar gamtinių dujų saugyklos, kurie apima laikymo vamzdyne įrenginius, įrenginius papildomoms paslaugoms teikti bei susijusių įmonių įrenginius, kurie yra reikalingi suteikiant galimybę naudotis perdavimo, skirstymo ir SGD sistema;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24. </w:t>
                </w:r>
                <w:r>
                  <w:rPr>
                    <w:b/>
                    <w:bCs/>
                    <w:color w:val="000000"/>
                    <w:sz w:val="22"/>
                    <w:szCs w:val="22"/>
                    <w:lang w:eastAsia="lt-LT"/>
                  </w:rPr>
                  <w:t>Gamtinių dujų sistema</w:t>
                </w:r>
                <w:r>
                  <w:rPr>
                    <w:color w:val="000000"/>
                    <w:sz w:val="22"/>
                    <w:szCs w:val="22"/>
                    <w:lang w:eastAsia="lt-LT"/>
                  </w:rPr>
                  <w:t> – 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36) papildomos paslaugos – visos paslaugos, būtinos suteikiant galimybę naudotis perdavimo tinklais, skirstymo tinklais, SGD įrenginiais ar gamtinių dujų saugyklomis bei juos eksploatuoti, įskaitant apkrovos balansavimo, maišymo ir inertinių dujų įleidimo paslaugas, išskyrus įrenginius,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8. </w:t>
                </w:r>
                <w:r>
                  <w:rPr>
                    <w:b/>
                    <w:bCs/>
                    <w:color w:val="000000"/>
                    <w:sz w:val="22"/>
                    <w:szCs w:val="22"/>
                    <w:lang w:eastAsia="lt-LT"/>
                  </w:rPr>
                  <w:t>Gamtinių dujų įmonių paslaugos</w:t>
                </w:r>
                <w:r>
                  <w:rPr>
                    <w:color w:val="000000"/>
                    <w:sz w:val="22"/>
                    <w:szCs w:val="22"/>
                    <w:lang w:eastAsia="lt-LT"/>
                  </w:rPr>
                  <w:t> – gamtinių dujų įmonių teikiamos paslaugos sistemos naudotojams ir gamtinių dujų vartotojams: gamtinių dujų perdavimas, skirstymas, skystinimas, laikymas, tiekimas, garantinis tiekimas, SGD pakartotinis dujinimas, vartotojų sistemų prijungimas, balansavimas ar kitos su gamtinėmis dujomis susijusios papildomos paslaugos, būtinos naudojantis perdavimo sistema, skirstymo sistema, SGD saugyklomis ir (arba) SGD sistema (išskyrus įrenginius, skirtus vien tik perdavimo sistemos operatoriams, atliekantiems savo funkcijas) ir jas eksploatuojant, įskaitant apkrovos balansavimo, gamtinių dujų maišymo, inertinių gamtinių dujų įleidimo paslaugas ir SGD perkrovą.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37) gamtinių dujų laikymas vamzdyne – suslėgtų gamtinių dujų laikymas perdavimo ir skirstymo sistemose, išskyrus laikymą įrenginiuose, skirtuose vien tik perdavimo sistemos operatorių funkcijoms atlikti;</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11. </w:t>
                </w:r>
                <w:r>
                  <w:rPr>
                    <w:b/>
                    <w:bCs/>
                    <w:color w:val="000000"/>
                    <w:sz w:val="22"/>
                    <w:szCs w:val="22"/>
                    <w:lang w:eastAsia="lt-LT"/>
                  </w:rPr>
                  <w:t>Gamtinių dujų laikymas vamzdyne</w:t>
                </w:r>
                <w:r>
                  <w:rPr>
                    <w:color w:val="000000"/>
                    <w:sz w:val="22"/>
                    <w:szCs w:val="22"/>
                    <w:lang w:eastAsia="lt-LT"/>
                  </w:rPr>
                  <w:t> – suslėgtų gamtinių dujų laikymas jų perdavimo ir skirstymo sistemoje, išskyrus laikymą įrenginiuose, skirtuose perdavimo sistemos operatoriams, atliekantiems savo funkcijas.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38) jungtinė sistema – kelios viena su kita sujungtos sistemos;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45. </w:t>
                </w:r>
                <w:r>
                  <w:rPr>
                    <w:b/>
                    <w:bCs/>
                    <w:color w:val="000000"/>
                    <w:sz w:val="22"/>
                    <w:szCs w:val="22"/>
                    <w:lang w:eastAsia="lt-LT"/>
                  </w:rPr>
                  <w:t>Jungtinė gamtinių dujų sistema</w:t>
                </w:r>
                <w:r>
                  <w:rPr>
                    <w:color w:val="000000"/>
                    <w:sz w:val="22"/>
                    <w:szCs w:val="22"/>
                    <w:lang w:eastAsia="lt-LT"/>
                  </w:rPr>
                  <w:t> (toliau – jungtinė sistema) – keletas viena su kita sujungtų gamtinių dujų sistemų.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39) jungtis – valstybių narių sieną kertanti arba tarp valstybių narių nutiesta perdavimo linija, kurios paskirtis – sujungti tų valstybių narių nacionalines perdavimo sistemas, arba perdavimo linija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44. </w:t>
                </w:r>
                <w:r>
                  <w:rPr>
                    <w:b/>
                    <w:bCs/>
                    <w:color w:val="000000"/>
                    <w:sz w:val="22"/>
                    <w:szCs w:val="22"/>
                    <w:lang w:eastAsia="lt-LT"/>
                  </w:rPr>
                  <w:t>Jungiamasis gamtinių dujų vamzdynas</w:t>
                </w:r>
                <w:r>
                  <w:rPr>
                    <w:color w:val="000000"/>
                    <w:sz w:val="22"/>
                    <w:szCs w:val="22"/>
                    <w:lang w:eastAsia="lt-LT"/>
                  </w:rPr>
                  <w:t> (toliau – jungiamasis vamzdynas) – valstybių narių sienas kertantis ar tarp valstybių narių nutiestas gamtinių dujų perdavimo vamzdynas, kurio paskirtis – sujungti tų valstybių narių nacionalines gamtinių dujų perdavimo sistemas, arba gamtinių dujų perdavimo vamzdynas tarp valstybės narės ir trečiosios šalies iki šios valstybės narės teritorijos arba jos teritorinės jūros.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40) 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34. </w:t>
                </w:r>
                <w:r>
                  <w:rPr>
                    <w:b/>
                    <w:bCs/>
                    <w:color w:val="000000"/>
                    <w:sz w:val="22"/>
                    <w:szCs w:val="22"/>
                    <w:lang w:eastAsia="ar-SA"/>
                  </w:rPr>
                  <w:t xml:space="preserve">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&lt;...&gt;</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41) tiesioginis vamzdynas – gamtinių dujų vamzdynas, papildantis jungtinę sistemą;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63. </w:t>
                </w:r>
                <w:r>
                  <w:rPr>
                    <w:b/>
                    <w:bCs/>
                    <w:color w:val="000000"/>
                    <w:sz w:val="22"/>
                    <w:szCs w:val="22"/>
                    <w:lang w:eastAsia="lt-LT"/>
                  </w:rPr>
                  <w:t>Tiesioginis gamtinių dujų vamzdynas</w:t>
                </w:r>
                <w:r>
                  <w:rPr>
                    <w:color w:val="000000"/>
                    <w:sz w:val="22"/>
                    <w:szCs w:val="22"/>
                    <w:lang w:eastAsia="lt-LT"/>
                  </w:rPr>
                  <w:t> (toliau – tiesioginis vamzdynas) – gamtinių dujų vamzdynas, papildantis jungtinę gamtinių dujų sistemą.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42) integruota gamtinių dujų įmonė – vertikaliai ar horizontaliai integruota įmonė;</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42. </w:t>
                </w:r>
                <w:r>
                  <w:rPr>
                    <w:b/>
                    <w:bCs/>
                    <w:color w:val="000000"/>
                    <w:sz w:val="22"/>
                    <w:szCs w:val="22"/>
                    <w:lang w:eastAsia="lt-LT"/>
                  </w:rPr>
                  <w:t>Integruota gamtinių dujų įmonė</w:t>
                </w:r>
                <w:r>
                  <w:rPr>
                    <w:color w:val="000000"/>
                    <w:sz w:val="22"/>
                    <w:szCs w:val="22"/>
                    <w:lang w:eastAsia="lt-LT"/>
                  </w:rPr>
                  <w:t> – vertikaliai ar horizontaliai integruota įmonė ar įmonių grupė.</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43) vertikaliai integruota įmonė – gamtinių dujų įmonė ar gamtinių dujų įmonių grupė arba vandenilio įmonė ar vandenilio įmonių grupė, kai tiesioginę ar netiesioginę teisę vykdyti kontrolę turi tas pats asmuo ar tie patys asmenys ir kai įmonė ar įmonių grupė atlieka bent vieną iš perdavimo, skirstymo, vandenilio transportavimo, vandenilio terminalo eksploatavimo, SGD ar gamtinių dujų arba vandenilio laikymo funkcijų ir bent vieną iš gamtinių dujų arba vandenilio gamybos ar tiekimo funkcijų;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66. </w:t>
                </w:r>
                <w:r>
                  <w:rPr>
                    <w:b/>
                    <w:bCs/>
                    <w:color w:val="000000"/>
                    <w:sz w:val="22"/>
                    <w:szCs w:val="22"/>
                    <w:lang w:eastAsia="lt-LT"/>
                  </w:rPr>
                  <w:t>Vertikaliai integruota gamtinių dujų įmonė</w:t>
                </w:r>
                <w:r>
                  <w:rPr>
                    <w:color w:val="000000"/>
                    <w:sz w:val="22"/>
                    <w:szCs w:val="22"/>
                    <w:lang w:eastAsia="lt-LT"/>
                  </w:rPr>
                  <w:t> (toliau – vertikaliai integruota įmonė) – gamtinių dujų įmonė ar jų grupė, kai tas pats asmuo ar tie patys asmenys turi teisę tiesiogiai arba netiesiogiai vykdyti gamtinių dujų įmonės ar jų grupės kontrolę ir kai gamtinių dujų įmonė ar jų grupė atlieka bent vieną iš gamtinių dujų perdavimo, skirstymo, laikymo, skystinimo ar SGD pakartotinio dujinimo funkcijų ir bent vieną iš gamtinių dujų gavybos ar tiekimo funkcijų.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color w:val="000000"/>
                    <w:sz w:val="22"/>
                    <w:szCs w:val="22"/>
                    <w:lang w:eastAsia="lt-LT"/>
                  </w:rPr>
                </w:pPr>
                <w:r>
                  <w:rPr>
                    <w:b/>
                    <w:bCs/>
                    <w:color w:val="000000"/>
                    <w:sz w:val="22"/>
                    <w:szCs w:val="22"/>
                    <w:lang w:eastAsia="lt-LT"/>
                  </w:rPr>
                  <w:t>66. Vertikaliai integruota gamtinių dujų ar vandenilio įmonė – gamtinių dujų įmonė ar gamtinių dujų įmonių grupė arba vandenilio įmonė ar vandenilio įmonių grupė, kai tiesioginę ar netiesioginę teisę vykdyti gamtinių dujų įmonės ar gamtinių dujų įmonių grupės arba vandenilio įmonės ar vandenilio įmonių grupės kontrolę turi tas pats asmuo ar tie patys asmenys ir kai įmonė ar įmonių grupė atlieka bent vieną iš gamtinių dujų perdavimo, skirstymo, vandenilio perdavimo, skirstymo, vandenilio terminalo eksploatavimo, suskystintų gamtinių dujų ar gamtinių dujų arba vandenilio laikymo funkcijų ir bent vieną iš gamtinių dujų gavybos arba vandenilio gamybos ar tiekimo funkcijų.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877"/>
                  </w:tabs>
                  <w:jc w:val="both"/>
                  <w:rPr>
                    <w:color w:val="000000"/>
                    <w:sz w:val="22"/>
                    <w:szCs w:val="22"/>
                    <w:lang w:eastAsia="lt-LT"/>
                  </w:rPr>
                </w:pPr>
                <w:r>
                  <w:rPr>
                    <w:color w:val="000000"/>
                    <w:sz w:val="22"/>
                    <w:szCs w:val="22"/>
                    <w:lang w:eastAsia="lt-LT"/>
                  </w:rPr>
                  <w:t>44) horizontaliai integruota įmonė – įmonė, kuri atlieka bent vieną iš gamtinių dujų gavybos, perdavimo, skirstymo, tiekimo ar laikymo funkcijų ir kuri užsiima su gamtinėmis dujomis nesusijusia veikla;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40. </w:t>
                </w:r>
                <w:r>
                  <w:rPr>
                    <w:b/>
                    <w:bCs/>
                    <w:color w:val="000000"/>
                    <w:sz w:val="22"/>
                    <w:szCs w:val="22"/>
                    <w:lang w:eastAsia="lt-LT"/>
                  </w:rPr>
                  <w:t>Horizontaliai integruota gamtinių dujų įmonė</w:t>
                </w:r>
                <w:r>
                  <w:rPr>
                    <w:color w:val="000000"/>
                    <w:sz w:val="22"/>
                    <w:szCs w:val="22"/>
                    <w:lang w:eastAsia="lt-LT"/>
                  </w:rPr>
                  <w:t> – įmonė ar įmonių grupė, kuri verčiasi bent viena iš šių rūšių veikla: gamtinių dujų gavybos, perdavimo, skirstymo, tiekimo ar laikymo, ir kartu verčiasi kuria nors kita, su gamtinėmis dujomis nesusijusia veikla.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398"/>
                  </w:tabs>
                  <w:jc w:val="both"/>
                  <w:rPr>
                    <w:color w:val="000000"/>
                    <w:sz w:val="22"/>
                    <w:szCs w:val="22"/>
                    <w:lang w:eastAsia="lt-LT"/>
                  </w:rPr>
                </w:pPr>
                <w:r>
                  <w:rPr>
                    <w:color w:val="000000"/>
                    <w:sz w:val="22"/>
                    <w:szCs w:val="22"/>
                    <w:lang w:eastAsia="lt-LT"/>
                  </w:rPr>
                  <w:t xml:space="preserve">45) susijusi įmonė – susijusi įmonė, kaip apibrėžta Europos Parlamento ir Tarybos direktyvos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w:t>
                </w:r>
                <w:r>
                  <w:rPr>
                    <w:color w:val="000000"/>
                    <w:sz w:val="22"/>
                    <w:szCs w:val="22"/>
                    <w:vertAlign w:val="superscript"/>
                    <w:lang w:eastAsia="lt-LT"/>
                  </w:rPr>
                  <w:t>38</w:t>
                </w:r>
                <w:r>
                  <w:rPr>
                    <w:color w:val="000000"/>
                    <w:sz w:val="22"/>
                    <w:szCs w:val="22"/>
                    <w:lang w:eastAsia="lt-LT"/>
                  </w:rPr>
                  <w:t>) 2 straipsnio 12 punkte, arba įmonė, kuri priklauso tiems patiems akcininkams;</w:t>
                </w:r>
              </w:p>
              <w:p>
                <w:pPr>
                  <w:shd w:val="clear" w:color="auto" w:fill="FFFFFF"/>
                  <w:tabs>
                    <w:tab w:val="left" w:pos="4398"/>
                  </w:tabs>
                  <w:jc w:val="both"/>
                  <w:rPr>
                    <w:color w:val="000000"/>
                    <w:sz w:val="22"/>
                    <w:szCs w:val="22"/>
                    <w:lang w:eastAsia="lt-LT"/>
                  </w:rPr>
                </w:pPr>
              </w:p>
              <w:p>
                <w:pPr>
                  <w:shd w:val="clear" w:color="auto" w:fill="FFFFFF"/>
                  <w:tabs>
                    <w:tab w:val="left" w:pos="4398"/>
                  </w:tabs>
                  <w:jc w:val="both"/>
                  <w:rPr>
                    <w:color w:val="000000"/>
                    <w:sz w:val="22"/>
                    <w:szCs w:val="22"/>
                    <w:lang w:eastAsia="lt-LT"/>
                  </w:rPr>
                </w:pPr>
                <w:r>
                  <w:rPr>
                    <w:color w:val="000000"/>
                    <w:sz w:val="22"/>
                    <w:szCs w:val="22"/>
                    <w:lang w:eastAsia="lt-LT"/>
                  </w:rPr>
                  <w:t>(</w:t>
                </w:r>
                <w:r>
                  <w:rPr>
                    <w:color w:val="000000"/>
                    <w:sz w:val="22"/>
                    <w:szCs w:val="22"/>
                    <w:vertAlign w:val="superscript"/>
                    <w:lang w:eastAsia="lt-LT"/>
                  </w:rPr>
                  <w:t>38</w:t>
                </w:r>
                <w:r>
                  <w:rPr>
                    <w:color w:val="000000"/>
                    <w:sz w:val="22"/>
                    <w:szCs w:val="22"/>
                    <w:lang w:eastAsia="lt-LT"/>
                  </w:rPr>
                  <w:t xml:space="preserve">) 2013 m. birželio 26 d. Europos Parlamento ir Tarybos direktyva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dėl tam tikrų rūšių įmonių metinių finansinių ataskaitų, konsoliduotųjų finansinių ataskaitų ir susijusių pranešimų, kuria iš dalies keičiama Europos Parlamento ir Tarybos direktyva </w:t>
                </w:r>
                <w:fldSimple w:instr="HYPERLINK http://eur-lex.europa.eu/legal-content/LIT/TXT/?uri=CELEX:32006L0043&amp;locale=lt \t _blank">
                  <w:r>
                    <w:rPr>
                      <w:color w:val="0000FF" w:themeColor="hyperlink"/>
                      <w:sz w:val="22"/>
                      <w:szCs w:val="22"/>
                      <w:lang w:eastAsia="lt-LT"/>
                      <w:u w:val="single"/>
                    </w:rPr>
                    <w:t>2006/43/EB</w:t>
                  </w:r>
                </w:fldSimple>
                <w:r>
                  <w:rPr>
                    <w:color w:val="000000"/>
                    <w:sz w:val="22"/>
                    <w:szCs w:val="22"/>
                    <w:lang w:eastAsia="lt-LT"/>
                  </w:rPr>
                  <w:t xml:space="preserve"> ir panaikinamos Tarybos direktyvos </w:t>
                </w:r>
                <w:fldSimple w:instr="HYPERLINK http://eur-lex.europa.eu/legal-content/LIT/TXT/?uri=CELEX:31978L0660&amp;locale=lt \t _blank">
                  <w:r>
                    <w:rPr>
                      <w:color w:val="0000FF" w:themeColor="hyperlink"/>
                      <w:sz w:val="22"/>
                      <w:szCs w:val="22"/>
                      <w:lang w:eastAsia="lt-LT"/>
                      <w:u w:val="single"/>
                    </w:rPr>
                    <w:t>78/660/EEB</w:t>
                  </w:r>
                </w:fldSimple>
                <w:r>
                  <w:rPr>
                    <w:color w:val="000000"/>
                    <w:sz w:val="22"/>
                    <w:szCs w:val="22"/>
                    <w:lang w:eastAsia="lt-LT"/>
                  </w:rPr>
                  <w:t xml:space="preserve"> ir </w:t>
                </w:r>
                <w:fldSimple w:instr="HYPERLINK http://eur-lex.europa.eu/legal-content/LIT/TXT/?uri=CELEX:31983L0349&amp;locale=lt \t _blank">
                  <w:r>
                    <w:rPr>
                      <w:color w:val="0000FF" w:themeColor="hyperlink"/>
                      <w:sz w:val="22"/>
                      <w:szCs w:val="22"/>
                      <w:lang w:eastAsia="lt-LT"/>
                      <w:u w:val="single"/>
                    </w:rPr>
                    <w:t>83/349/EEB</w:t>
                  </w:r>
                </w:fldSimple>
                <w:r>
                  <w:rPr>
                    <w:color w:val="000000"/>
                    <w:sz w:val="22"/>
                    <w:szCs w:val="22"/>
                    <w:lang w:eastAsia="lt-LT"/>
                  </w:rPr>
                  <w:t xml:space="preserve"> (OL L 182, 2013 6 29, p. 19).</w:t>
                </w:r>
              </w:p>
              <w:p>
                <w:pPr>
                  <w:shd w:val="clear" w:color="auto" w:fill="FFFFFF"/>
                  <w:tabs>
                    <w:tab w:val="left" w:pos="4398"/>
                  </w:tabs>
                  <w:jc w:val="both"/>
                  <w:rPr>
                    <w:color w:val="000000"/>
                    <w:sz w:val="22"/>
                    <w:szCs w:val="22"/>
                    <w:lang w:eastAsia="lt-LT"/>
                  </w:rPr>
                </w:pP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58. </w:t>
                </w:r>
                <w:r>
                  <w:rPr>
                    <w:b/>
                    <w:bCs/>
                    <w:color w:val="000000"/>
                    <w:sz w:val="22"/>
                    <w:szCs w:val="22"/>
                    <w:lang w:eastAsia="lt-LT"/>
                  </w:rPr>
                  <w:t>Susijusi įmonė</w:t>
                </w:r>
                <w:r>
                  <w:rPr>
                    <w:color w:val="000000"/>
                    <w:sz w:val="22"/>
                    <w:szCs w:val="22"/>
                    <w:lang w:eastAsia="lt-LT"/>
                  </w:rPr>
                  <w:t> – bet kokios teisinės formos įmonė, kurią su gamtinių dujų įmone sieja bendri dalyviai (dalyvavimas), kontrolė (kai turima 20 procentų ar daugiau akcijų arba balsavimo teisė, arba teisė skirti valdymo organų narius) ar vadovai, taip pat įmonė, priklausanti tiems patiems akcininkams.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46) sistemos naudotojas – fizinis ar juridinis asmuo, kuris tiekia gamtines dujas ar vandenilį į sistemą arba kuriam gamtinės dujos ar vandenilis tiekiamos (-as) iš sistemos;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48.</w:t>
                </w:r>
                <w:r>
                  <w:rPr>
                    <w:b/>
                    <w:bCs/>
                    <w:color w:val="000000"/>
                    <w:sz w:val="22"/>
                    <w:szCs w:val="22"/>
                    <w:lang w:eastAsia="lt-LT"/>
                  </w:rPr>
                  <w:t xml:space="preserve"> Vandenilio sistemos naudotojas</w:t>
                </w:r>
                <w:r>
                  <w:rPr>
                    <w:color w:val="000000"/>
                    <w:sz w:val="22"/>
                    <w:szCs w:val="22"/>
                    <w:lang w:eastAsia="lt-LT"/>
                  </w:rPr>
                  <w:t xml:space="preserve"> – </w:t>
                </w:r>
                <w:r>
                  <w:rPr>
                    <w:b/>
                    <w:bCs/>
                    <w:color w:val="000000"/>
                    <w:sz w:val="22"/>
                    <w:szCs w:val="22"/>
                    <w:lang w:eastAsia="lt-LT"/>
                  </w:rPr>
                  <w:t>fizinis ar juridinis asmuo, kuris tiekia vandenilį į vandenilio sistemą arba kuriam vandenilis tiekiamas iš sistemos.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ind w:firstLine="57"/>
                  <w:jc w:val="both"/>
                  <w:rPr>
                    <w:b/>
                    <w:bCs/>
                    <w:color w:val="000000"/>
                    <w:kern w:val="2"/>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47) vartotojas – gamtinių dujų arba vandenilio didmenininkas ar galutinis vartotojas arba gamtinių dujų ar vandenilio įmonė, kuris (-i) perka gamtines dujas arba vandenilį;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38. </w:t>
                </w:r>
                <w:r>
                  <w:rPr>
                    <w:b/>
                    <w:bCs/>
                    <w:color w:val="000000"/>
                    <w:sz w:val="22"/>
                    <w:szCs w:val="22"/>
                    <w:lang w:eastAsia="lt-LT"/>
                  </w:rPr>
                  <w:t>Gamtinių dujų vartotojas</w:t>
                </w:r>
                <w:r>
                  <w:rPr>
                    <w:color w:val="000000"/>
                    <w:sz w:val="22"/>
                    <w:szCs w:val="22"/>
                    <w:lang w:eastAsia="lt-LT"/>
                  </w:rPr>
                  <w:t> (toliau – vartotojas) – asmuo, perkantis gamtines dujas.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63. </w:t>
                </w:r>
                <w:r>
                  <w:rPr>
                    <w:b/>
                    <w:bCs/>
                    <w:color w:val="000000"/>
                    <w:sz w:val="22"/>
                    <w:szCs w:val="22"/>
                    <w:lang w:eastAsia="ar-SA"/>
                  </w:rPr>
                  <w:t>Vandenilio vartotojas (toliau – vartotojas) – vandenilio didmenininkas, galutinis vandenilio vartotojas arba vandenilio įmonė, kurie perka vandenilį.</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color w:val="000000"/>
                    <w:sz w:val="22"/>
                    <w:szCs w:val="22"/>
                    <w:lang w:eastAsia="ar-SA"/>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5140"/>
                  </w:tabs>
                  <w:jc w:val="both"/>
                  <w:rPr>
                    <w:color w:val="000000"/>
                    <w:sz w:val="22"/>
                    <w:szCs w:val="22"/>
                    <w:lang w:eastAsia="lt-LT"/>
                  </w:rPr>
                </w:pPr>
                <w:r>
                  <w:rPr>
                    <w:color w:val="000000"/>
                    <w:sz w:val="22"/>
                    <w:szCs w:val="22"/>
                    <w:lang w:eastAsia="lt-LT"/>
                  </w:rPr>
                  <w:t>48) namų ūkio vartotojas – vartotojas, perkantis gamtines dujas arba vandenilį naudoti savo namų ūkio reikmėms;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ind w:firstLine="720"/>
                  <w:jc w:val="both"/>
                  <w:rPr>
                    <w:b/>
                    <w:bCs/>
                    <w:color w:val="000000"/>
                    <w:sz w:val="22"/>
                    <w:szCs w:val="22"/>
                    <w:lang w:eastAsia="ar-SA"/>
                  </w:rPr>
                </w:pPr>
                <w:r>
                  <w:rPr>
                    <w:bCs/>
                    <w:color w:val="000000"/>
                    <w:szCs w:val="24"/>
                    <w:lang w:eastAsia="ar-SA"/>
                  </w:rPr>
                  <w:t xml:space="preserve">1. </w:t>
                </w:r>
                <w:r>
                  <w:rPr>
                    <w:b/>
                    <w:bCs/>
                    <w:color w:val="000000"/>
                    <w:sz w:val="22"/>
                    <w:szCs w:val="22"/>
                    <w:lang w:eastAsia="ar-SA"/>
                  </w:rPr>
                  <w:t>Buitinis vandenilio vartotojas</w:t>
                </w:r>
                <w:r>
                  <w:rPr>
                    <w:color w:val="000000"/>
                    <w:sz w:val="22"/>
                    <w:szCs w:val="22"/>
                    <w:lang w:eastAsia="lt-LT"/>
                  </w:rPr>
                  <w:t xml:space="preserve"> </w:t>
                </w:r>
                <w:r>
                  <w:rPr>
                    <w:b/>
                    <w:bCs/>
                    <w:color w:val="000000"/>
                    <w:sz w:val="22"/>
                    <w:szCs w:val="22"/>
                    <w:lang w:eastAsia="ar-SA"/>
                  </w:rPr>
                  <w:t>(toliau – buitinis vartotojas) – fizinis asmuo, perkantis vandenilį asmeninėms, šeimos ar savo namų ūkio reikmėms, nesusijusioms su ūkine komercine ar profesine veikla.</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b/>
                    <w:bCs/>
                    <w:color w:val="000000"/>
                    <w:kern w:val="2"/>
                    <w:sz w:val="22"/>
                    <w:szCs w:val="22"/>
                    <w:lang w:eastAsia="ar-SA"/>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49) ne namų ūkio vartotojas – vartotojas, perkantis gamtines dujas arba vandenilį naudoti ne savo namų ūkio reikmėms; </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kern w:val="2"/>
                    <w:sz w:val="22"/>
                    <w:szCs w:val="22"/>
                    <w:lang w:eastAsia="lt-LT"/>
                  </w:rPr>
                  <w:t>14</w:t>
                </w:r>
                <w:r>
                  <w:rPr>
                    <w:b/>
                    <w:bCs/>
                    <w:kern w:val="2"/>
                    <w:sz w:val="22"/>
                    <w:szCs w:val="22"/>
                    <w:lang w:eastAsia="lt-LT"/>
                  </w:rPr>
                  <w:t xml:space="preserve">. </w:t>
                </w:r>
                <w:r>
                  <w:rPr>
                    <w:b/>
                    <w:bCs/>
                    <w:color w:val="333333"/>
                    <w:sz w:val="22"/>
                    <w:szCs w:val="22"/>
                    <w:lang w:eastAsia="lt-LT"/>
                  </w:rPr>
                  <w:t>Nebuitinis vandenilio vartotojas (toliau – nebuitinis vartotojas) – vandenilio vartotojas, perkantis vandenilį ne savo namų ūkio reikmėms.</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50) galutinis vartotojas – vartotojas, perkantis gamtines dujas arba vandenilį savo reikmėms;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sz w:val="22"/>
                    <w:szCs w:val="22"/>
                    <w:lang w:eastAsia="ar-SA"/>
                  </w:rPr>
                  <w:t>5</w:t>
                </w:r>
                <w:r>
                  <w:rPr>
                    <w:b/>
                    <w:bCs/>
                    <w:color w:val="000000"/>
                    <w:kern w:val="2"/>
                    <w:sz w:val="22"/>
                    <w:szCs w:val="22"/>
                    <w:lang w:eastAsia="ar-SA"/>
                  </w:rPr>
                  <w:t xml:space="preserve">. Galutinis </w:t>
                </w:r>
                <w:r>
                  <w:rPr>
                    <w:b/>
                    <w:bCs/>
                    <w:color w:val="000000"/>
                    <w:sz w:val="22"/>
                    <w:szCs w:val="22"/>
                    <w:lang w:eastAsia="ar-SA"/>
                  </w:rPr>
                  <w:t xml:space="preserve">vandenilio </w:t>
                </w:r>
                <w:r>
                  <w:rPr>
                    <w:b/>
                    <w:bCs/>
                    <w:color w:val="000000"/>
                    <w:kern w:val="2"/>
                    <w:sz w:val="22"/>
                    <w:szCs w:val="22"/>
                    <w:lang w:eastAsia="ar-SA"/>
                  </w:rPr>
                  <w:t xml:space="preserve">vartotojas – </w:t>
                </w:r>
                <w:r>
                  <w:rPr>
                    <w:b/>
                    <w:bCs/>
                    <w:color w:val="000000"/>
                    <w:sz w:val="22"/>
                    <w:szCs w:val="22"/>
                    <w:lang w:eastAsia="ar-SA"/>
                  </w:rPr>
                  <w:t xml:space="preserve">buitinis ar nebuitinis vandenilio </w:t>
                </w:r>
                <w:r>
                  <w:rPr>
                    <w:b/>
                    <w:bCs/>
                    <w:color w:val="000000"/>
                    <w:kern w:val="2"/>
                    <w:sz w:val="22"/>
                    <w:szCs w:val="22"/>
                    <w:lang w:eastAsia="ar-SA"/>
                  </w:rPr>
                  <w:t>vartotojas, perkant</w:t>
                </w:r>
                <w:r>
                  <w:rPr>
                    <w:b/>
                    <w:bCs/>
                    <w:color w:val="000000"/>
                    <w:sz w:val="22"/>
                    <w:szCs w:val="22"/>
                    <w:lang w:eastAsia="ar-SA"/>
                  </w:rPr>
                  <w:t>i</w:t>
                </w:r>
                <w:r>
                  <w:rPr>
                    <w:b/>
                    <w:bCs/>
                    <w:color w:val="000000"/>
                    <w:kern w:val="2"/>
                    <w:sz w:val="22"/>
                    <w:szCs w:val="22"/>
                    <w:lang w:eastAsia="ar-SA"/>
                  </w:rPr>
                  <w:t>s vandenilį savo reikmėms.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51) didmenininkas – fizinis ar juridinis asmuo, kuris nėra perdavimo sistemos operatorius ar skirstymo sistemos operatorius ir kuris perka gamtines dujas arba vandenilį ketindamas juos perparduoti sistemoje, kurioje asmuo yra įsisteigęs, arba už jos ribų;</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24</w:t>
                </w:r>
                <w:r>
                  <w:rPr>
                    <w:b/>
                    <w:bCs/>
                    <w:color w:val="000000"/>
                    <w:kern w:val="2"/>
                    <w:sz w:val="22"/>
                    <w:szCs w:val="22"/>
                    <w:lang w:eastAsia="ar-SA"/>
                  </w:rPr>
                  <w:t xml:space="preserve">. </w:t>
                </w:r>
                <w:r>
                  <w:rPr>
                    <w:b/>
                    <w:bCs/>
                    <w:color w:val="000000"/>
                    <w:sz w:val="22"/>
                    <w:szCs w:val="22"/>
                    <w:lang w:eastAsia="ar-SA"/>
                  </w:rPr>
                  <w:t xml:space="preserve">Vandenilio didmenininkas – fizinis ar juridinis asmuo, kuris  perka vandenilį ketindamas jį perparduoti sistemoje, kurioje yra įsisteigęs, arba už jos ribų ir kuris nėra vandenilio perdavimo tinklo operatorius ar vandenilio skirstymo tinklo operatorius.  </w:t>
                </w:r>
              </w:p>
              <w:p>
                <w:pPr>
                  <w:tabs>
                    <w:tab w:val="left" w:pos="10076"/>
                    <w:tab w:val="left" w:pos="10992"/>
                    <w:tab w:val="left" w:pos="11908"/>
                    <w:tab w:val="left" w:pos="12824"/>
                    <w:tab w:val="left" w:pos="13740"/>
                    <w:tab w:val="left" w:pos="14656"/>
                  </w:tabs>
                  <w:jc w:val="both"/>
                  <w:rPr>
                    <w:b/>
                    <w:bCs/>
                    <w:color w:val="000000"/>
                    <w:sz w:val="22"/>
                    <w:szCs w:val="22"/>
                    <w:lang w:eastAsia="ar-SA"/>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52) labai maža įmonė, mažoji įmonė arba vidutinė įmonė – labai maža įmonė, mažoji įmonė arba vidutinė įmonė, kaip apibrėžta Komisijos rekomendacijos 2003/361/EB (</w:t>
                </w:r>
                <w:r>
                  <w:rPr>
                    <w:color w:val="000000"/>
                    <w:sz w:val="22"/>
                    <w:szCs w:val="22"/>
                    <w:vertAlign w:val="superscript"/>
                    <w:lang w:eastAsia="lt-LT"/>
                  </w:rPr>
                  <w:t>39</w:t>
                </w:r>
                <w:r>
                  <w:rPr>
                    <w:color w:val="000000"/>
                    <w:sz w:val="22"/>
                    <w:szCs w:val="22"/>
                    <w:lang w:eastAsia="lt-LT"/>
                  </w:rPr>
                  <w:t>) priedo 2 straipsnyje;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39</w:t>
                </w:r>
                <w:r>
                  <w:rPr>
                    <w:color w:val="000000"/>
                    <w:sz w:val="22"/>
                    <w:szCs w:val="22"/>
                    <w:lang w:eastAsia="lt-LT"/>
                  </w:rPr>
                  <w:t>) 2003 m. gegužės 6 d. Komisijos rekomendacija 2003/361/EB dėl labai mažų, mažųjų ir vidutinių įmonių apibrėžties (OL L 124, 2003 5 20, p. 36).</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Lietuvos Respublikos smulkiojo ir vidutinio verslo plėtros įstatymas</w:t>
                </w:r>
              </w:p>
              <w:p>
                <w:pPr>
                  <w:shd w:val="clear" w:color="auto" w:fill="FFFFFF"/>
                  <w:jc w:val="both"/>
                  <w:rPr>
                    <w:b/>
                    <w:bCs/>
                    <w:color w:val="000000"/>
                    <w:sz w:val="22"/>
                    <w:szCs w:val="22"/>
                    <w:lang w:eastAsia="lt-LT"/>
                  </w:rPr>
                </w:pPr>
                <w:r>
                  <w:rPr>
                    <w:b/>
                    <w:bCs/>
                    <w:color w:val="000000"/>
                    <w:sz w:val="22"/>
                    <w:szCs w:val="22"/>
                    <w:lang w:eastAsia="lt-LT"/>
                  </w:rPr>
                  <w:t>&lt;...&gt;</w:t>
                </w:r>
              </w:p>
              <w:p>
                <w:pPr>
                  <w:spacing w:line="360" w:lineRule="atLeast"/>
                  <w:jc w:val="both"/>
                  <w:rPr>
                    <w:color w:val="000000"/>
                    <w:sz w:val="22"/>
                    <w:szCs w:val="22"/>
                    <w:lang w:val="fr-FR" w:eastAsia="lt-LT"/>
                  </w:rPr>
                </w:pPr>
                <w:r>
                  <w:rPr>
                    <w:b/>
                    <w:bCs/>
                    <w:color w:val="000000"/>
                    <w:sz w:val="22"/>
                    <w:szCs w:val="22"/>
                    <w:lang w:eastAsia="lt-LT"/>
                  </w:rPr>
                  <w:t>3 straipsnis. Vidutinės, mažos ir labai mažos įmonės</w:t>
                </w:r>
              </w:p>
              <w:p>
                <w:pPr>
                  <w:ind w:firstLine="720"/>
                  <w:jc w:val="both"/>
                  <w:rPr>
                    <w:color w:val="000000"/>
                    <w:sz w:val="22"/>
                    <w:szCs w:val="22"/>
                    <w:lang w:val="fr-FR" w:eastAsia="lt-LT"/>
                  </w:rPr>
                </w:pPr>
                <w:r>
                  <w:rPr>
                    <w:color w:val="000000"/>
                    <w:sz w:val="22"/>
                    <w:szCs w:val="22"/>
                    <w:lang w:eastAsia="lt-LT"/>
                  </w:rPr>
                  <w:t>1. Vidutinė įmonė – įmonė, kurioje dirba mažiau kaip 250 darbuotojų ir kurios finansiniai duomenys atitinka bent vieną iš šių sąlygų:</w:t>
                </w:r>
              </w:p>
              <w:p>
                <w:pPr>
                  <w:ind w:firstLine="720"/>
                  <w:jc w:val="both"/>
                  <w:rPr>
                    <w:color w:val="000000"/>
                    <w:sz w:val="22"/>
                    <w:szCs w:val="22"/>
                    <w:lang w:val="fr-FR" w:eastAsia="lt-LT"/>
                  </w:rPr>
                </w:pPr>
                <w:r>
                  <w:rPr>
                    <w:color w:val="000000"/>
                    <w:sz w:val="22"/>
                    <w:szCs w:val="22"/>
                    <w:lang w:eastAsia="lt-LT"/>
                  </w:rPr>
                  <w:t>1) įmonės metinės pajamos</w:t>
                </w:r>
                <w:r>
                  <w:rPr>
                    <w:b/>
                    <w:bCs/>
                    <w:color w:val="000000"/>
                    <w:sz w:val="22"/>
                    <w:szCs w:val="22"/>
                    <w:lang w:eastAsia="lt-LT"/>
                  </w:rPr>
                  <w:t> </w:t>
                </w:r>
                <w:r>
                  <w:rPr>
                    <w:color w:val="000000"/>
                    <w:sz w:val="22"/>
                    <w:szCs w:val="22"/>
                    <w:lang w:eastAsia="lt-LT"/>
                  </w:rPr>
                  <w:t>neviršija 50 mln. eurų;</w:t>
                </w:r>
              </w:p>
              <w:p>
                <w:pPr>
                  <w:ind w:firstLine="720"/>
                  <w:jc w:val="both"/>
                  <w:rPr>
                    <w:color w:val="000000"/>
                    <w:sz w:val="22"/>
                    <w:szCs w:val="22"/>
                    <w:lang w:val="en-US" w:eastAsia="lt-LT"/>
                  </w:rPr>
                </w:pPr>
                <w:r>
                  <w:rPr>
                    <w:color w:val="000000"/>
                    <w:sz w:val="22"/>
                    <w:szCs w:val="22"/>
                    <w:lang w:eastAsia="lt-LT"/>
                  </w:rPr>
                  <w:t>2) įmonės balanse nurodyto turto vertė neviršija 43 mln. eurų.</w:t>
                </w:r>
              </w:p>
              <w:p>
                <w:pPr>
                  <w:ind w:firstLine="720"/>
                  <w:jc w:val="both"/>
                  <w:rPr>
                    <w:color w:val="000000"/>
                    <w:sz w:val="22"/>
                    <w:szCs w:val="22"/>
                    <w:lang w:val="en-US" w:eastAsia="lt-LT"/>
                  </w:rPr>
                </w:pPr>
                <w:r>
                  <w:rPr>
                    <w:color w:val="000000"/>
                    <w:sz w:val="22"/>
                    <w:szCs w:val="22"/>
                    <w:lang w:eastAsia="lt-LT"/>
                  </w:rPr>
                  <w:t>2. Maža įmonė – įmonė, kurioje dirba mažiau kaip 50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10 mln. eurų;</w:t>
                </w:r>
              </w:p>
              <w:p>
                <w:pPr>
                  <w:ind w:firstLine="720"/>
                  <w:jc w:val="both"/>
                  <w:rPr>
                    <w:color w:val="000000"/>
                    <w:sz w:val="22"/>
                    <w:szCs w:val="22"/>
                    <w:lang w:val="pt-BR" w:eastAsia="lt-LT"/>
                  </w:rPr>
                </w:pPr>
                <w:r>
                  <w:rPr>
                    <w:color w:val="000000"/>
                    <w:sz w:val="22"/>
                    <w:szCs w:val="22"/>
                    <w:lang w:eastAsia="lt-LT"/>
                  </w:rPr>
                  <w:t>2) įmonės balanse nurodyto turto vertė neviršija 10 mln. eurų.</w:t>
                </w:r>
              </w:p>
              <w:p>
                <w:pPr>
                  <w:ind w:firstLine="720"/>
                  <w:jc w:val="both"/>
                  <w:rPr>
                    <w:color w:val="000000"/>
                    <w:sz w:val="22"/>
                    <w:szCs w:val="22"/>
                    <w:lang w:val="pt-BR" w:eastAsia="lt-LT"/>
                  </w:rPr>
                </w:pPr>
                <w:r>
                  <w:rPr>
                    <w:color w:val="000000"/>
                    <w:sz w:val="22"/>
                    <w:szCs w:val="22"/>
                    <w:lang w:eastAsia="lt-LT"/>
                  </w:rPr>
                  <w:t>3. Labai maža įmonė – įmonė, kurioje dirba mažiau kaip 10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2 mln. eurų;</w:t>
                </w:r>
              </w:p>
              <w:p>
                <w:pPr>
                  <w:ind w:firstLine="720"/>
                  <w:jc w:val="both"/>
                  <w:rPr>
                    <w:color w:val="000000"/>
                    <w:sz w:val="22"/>
                    <w:szCs w:val="22"/>
                    <w:lang w:val="en-US" w:eastAsia="lt-LT"/>
                  </w:rPr>
                </w:pPr>
                <w:r>
                  <w:rPr>
                    <w:color w:val="000000"/>
                    <w:sz w:val="22"/>
                    <w:szCs w:val="22"/>
                    <w:lang w:eastAsia="lt-LT"/>
                  </w:rPr>
                  <w:t>2) įmonės balanse nurodyto turto vertė neviršija 2 mln. eurų.</w:t>
                </w:r>
              </w:p>
              <w:p>
                <w:pPr>
                  <w:shd w:val="clear" w:color="auto" w:fill="FFFFFF"/>
                  <w:jc w:val="both"/>
                  <w:rPr>
                    <w:b/>
                    <w:bCs/>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304"/>
                  </w:tabs>
                  <w:jc w:val="both"/>
                  <w:rPr>
                    <w:color w:val="000000"/>
                    <w:sz w:val="22"/>
                    <w:szCs w:val="22"/>
                    <w:lang w:eastAsia="lt-LT"/>
                  </w:rPr>
                </w:pPr>
                <w:r>
                  <w:rPr>
                    <w:color w:val="000000"/>
                    <w:sz w:val="22"/>
                    <w:szCs w:val="22"/>
                    <w:lang w:eastAsia="lt-LT"/>
                  </w:rPr>
                  <w:t>53) dujų tiekimo sutartis – gamtinių dujų arba vandenilio tiekimo sutartis, išskyrus gamtinių dujų rinkos išvestinę finansinę priemonę;</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36. </w:t>
                </w:r>
                <w:r>
                  <w:rPr>
                    <w:b/>
                    <w:bCs/>
                    <w:color w:val="000000"/>
                    <w:sz w:val="22"/>
                    <w:szCs w:val="22"/>
                    <w:lang w:eastAsia="lt-LT"/>
                  </w:rPr>
                  <w:t>Gamtinių dujų tiekimo sutartis</w:t>
                </w:r>
                <w:r>
                  <w:rPr>
                    <w:color w:val="000000"/>
                    <w:sz w:val="22"/>
                    <w:szCs w:val="22"/>
                    <w:lang w:eastAsia="lt-LT"/>
                  </w:rPr>
                  <w:t> (toliau – tiekimo sutartis) – sutartis dėl gamtinių dujų tiekimo, išskyrus sutartis dėl gamtinių dujų rinkos finansinių priemonių.</w:t>
                </w:r>
              </w:p>
              <w:p>
                <w:pPr>
                  <w:shd w:val="clear" w:color="auto" w:fill="FFFFFF"/>
                  <w:jc w:val="both"/>
                  <w:rPr>
                    <w:b/>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left="720" w:hanging="360"/>
                  <w:jc w:val="both"/>
                  <w:rPr>
                    <w:b/>
                    <w:bCs/>
                    <w:color w:val="000000"/>
                    <w:sz w:val="22"/>
                    <w:szCs w:val="22"/>
                    <w:lang w:eastAsia="ar-SA"/>
                  </w:rPr>
                </w:pPr>
                <w:r>
                  <w:rPr>
                    <w:b/>
                    <w:bCs/>
                    <w:color w:val="000000"/>
                    <w:sz w:val="22"/>
                    <w:szCs w:val="22"/>
                    <w:lang w:eastAsia="ar-SA"/>
                  </w:rPr>
                  <w:t>57.</w:t>
                  <w:tab/>
                  <w:t>Vandenilio tiekimo sutartis</w:t>
                </w:r>
                <w:r>
                  <w:rPr>
                    <w:color w:val="000000"/>
                    <w:sz w:val="22"/>
                    <w:szCs w:val="22"/>
                    <w:lang w:eastAsia="ar-SA"/>
                  </w:rPr>
                  <w:t xml:space="preserve"> </w:t>
                </w:r>
                <w:r>
                  <w:rPr>
                    <w:b/>
                    <w:bCs/>
                    <w:color w:val="000000"/>
                    <w:sz w:val="22"/>
                    <w:szCs w:val="22"/>
                    <w:lang w:eastAsia="ar-SA"/>
                  </w:rPr>
                  <w:t>– sutartis dėl vandenilio tiekimo, išskyrus sutartis dėl vandenilio rinkos išvestinių finansinių priemonių.</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54) gamtinių dujų rinkos išvestinė finansinė priemonė – finansinė priemonė, nurodyta Europos Parlamento ir Tarybos direktyvos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 </w:t>
                </w:r>
                <w:r>
                  <w:rPr>
                    <w:color w:val="000000"/>
                    <w:sz w:val="22"/>
                    <w:szCs w:val="22"/>
                    <w:vertAlign w:val="superscript"/>
                    <w:lang w:eastAsia="lt-LT"/>
                  </w:rPr>
                  <w:t>40</w:t>
                </w:r>
                <w:r>
                  <w:rPr>
                    <w:color w:val="000000"/>
                    <w:sz w:val="22"/>
                    <w:szCs w:val="22"/>
                    <w:lang w:eastAsia="lt-LT"/>
                  </w:rPr>
                  <w:t>) I priedo C skirsnio 5, 6 ar 7 punkte, jei ta finansinė priemonė yra susijusi su gamtinėmis dujomis;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40</w:t>
                </w:r>
                <w:r>
                  <w:rPr>
                    <w:color w:val="000000"/>
                    <w:sz w:val="22"/>
                    <w:szCs w:val="22"/>
                    <w:lang w:eastAsia="lt-LT"/>
                  </w:rPr>
                  <w:t xml:space="preserve">) 2014 m. gegužės 15 d. Europos Parlamento ir Tarybos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dėl finansinių priemonių rinkų, kuria iš dalies keičiamos Direktyva </w:t>
                </w:r>
                <w:fldSimple w:instr="HYPERLINK http://eur-lex.europa.eu/legal-content/LIT/TXT/?uri=CELEX:32011L0061&amp;locale=lt \t _blank">
                  <w:r>
                    <w:rPr>
                      <w:color w:val="0000FF" w:themeColor="hyperlink"/>
                      <w:sz w:val="22"/>
                      <w:szCs w:val="22"/>
                      <w:lang w:eastAsia="lt-LT"/>
                      <w:u w:val="single"/>
                    </w:rPr>
                    <w:t>2011/61/ES</w:t>
                  </w:r>
                </w:fldSimple>
                <w:r>
                  <w:rPr>
                    <w:color w:val="000000"/>
                    <w:sz w:val="22"/>
                    <w:szCs w:val="22"/>
                    <w:lang w:eastAsia="lt-LT"/>
                  </w:rPr>
                  <w:t xml:space="preserve"> ir Direktyva </w:t>
                </w:r>
                <w:fldSimple w:instr="HYPERLINK http://eur-lex.europa.eu/legal-content/LIT/TXT/?uri=CELEX:32002L0092&amp;locale=lt \t _blank">
                  <w:r>
                    <w:rPr>
                      <w:color w:val="0000FF" w:themeColor="hyperlink"/>
                      <w:sz w:val="22"/>
                      <w:szCs w:val="22"/>
                      <w:lang w:eastAsia="lt-LT"/>
                      <w:u w:val="single"/>
                    </w:rPr>
                    <w:t>2002/92/EB</w:t>
                  </w:r>
                </w:fldSimple>
                <w:r>
                  <w:rPr>
                    <w:color w:val="000000"/>
                    <w:sz w:val="22"/>
                    <w:szCs w:val="22"/>
                    <w:lang w:eastAsia="lt-LT"/>
                  </w:rPr>
                  <w:t xml:space="preserve"> (OL L 173, 2014 6 12, p. 349).</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20. </w:t>
                </w:r>
                <w:r>
                  <w:rPr>
                    <w:b/>
                    <w:bCs/>
                    <w:color w:val="000000"/>
                    <w:sz w:val="22"/>
                    <w:szCs w:val="22"/>
                    <w:lang w:eastAsia="lt-LT"/>
                  </w:rPr>
                  <w:t>Gamtinių dujų rinkos finansinė priemonė</w:t>
                </w:r>
                <w:r>
                  <w:rPr>
                    <w:color w:val="000000"/>
                    <w:sz w:val="22"/>
                    <w:szCs w:val="22"/>
                    <w:lang w:eastAsia="lt-LT"/>
                  </w:rPr>
                  <w:t> – finansinė priemonė, nurodyta Lietuvos Respublikos finansinių priemonių rinkų įstatymo 3 straipsnio 15 dalies 5, 6, 7 punktuose, jeigu ta priemonė susijusi su gamtinėmis dujomis.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finansinių priemonių rinkų įstatymas</w:t>
                </w:r>
              </w:p>
              <w:p>
                <w:pPr>
                  <w:shd w:val="clear" w:color="auto" w:fill="FFFFFF"/>
                  <w:jc w:val="both"/>
                  <w:rPr>
                    <w:b/>
                    <w:bCs/>
                    <w:color w:val="000000"/>
                    <w:sz w:val="22"/>
                    <w:szCs w:val="22"/>
                    <w:lang w:eastAsia="lt-LT"/>
                  </w:rPr>
                </w:pPr>
                <w:r>
                  <w:rPr>
                    <w:b/>
                    <w:color w:val="000000"/>
                    <w:sz w:val="22"/>
                    <w:szCs w:val="22"/>
                    <w:lang w:eastAsia="lt-LT"/>
                  </w:rPr>
                  <w:t>3</w:t>
                </w:r>
                <w:r>
                  <w:rPr>
                    <w:b/>
                    <w:bCs/>
                    <w:color w:val="000000"/>
                    <w:sz w:val="22"/>
                    <w:szCs w:val="22"/>
                    <w:lang w:eastAsia="lt-LT"/>
                  </w:rPr>
                  <w:t xml:space="preserve"> straipsnis. Pagrindinės šio įstatymo sąvokos</w:t>
                </w:r>
              </w:p>
              <w:p>
                <w:pPr>
                  <w:shd w:val="clear" w:color="auto" w:fill="FFFFFF"/>
                  <w:jc w:val="both"/>
                  <w:rPr>
                    <w:color w:val="000000"/>
                    <w:sz w:val="22"/>
                    <w:szCs w:val="22"/>
                    <w:lang w:eastAsia="lt-LT"/>
                  </w:rPr>
                </w:pPr>
                <w:r>
                  <w:rPr>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15. </w:t>
                </w:r>
                <w:r>
                  <w:rPr>
                    <w:b/>
                    <w:bCs/>
                    <w:color w:val="000000"/>
                    <w:sz w:val="22"/>
                    <w:szCs w:val="22"/>
                    <w:lang w:eastAsia="lt-LT"/>
                  </w:rPr>
                  <w:t>Finansinės priemonės</w:t>
                </w:r>
                <w:r>
                  <w:rPr>
                    <w:color w:val="000000"/>
                    <w:sz w:val="22"/>
                    <w:szCs w:val="22"/>
                    <w:lang w:eastAsia="lt-LT"/>
                  </w:rPr>
                  <w:t xml:space="preserve"> – bet kuri iš šių priemonių, įskaitant priemonę, kuri išleista naudojant paskirstytojo registro technologiją, kaip ji apibrėžta Reglamento </w:t>
                </w:r>
                <w:fldSimple w:instr="HYPERLINK http://eur-lex.europa.eu/legal-content/LIT/TXT/?uri=CELEX:32022R0858&amp;locale=lt \t _blank">
                  <w:r>
                    <w:rPr>
                      <w:color w:val="0000FF" w:themeColor="hyperlink"/>
                      <w:sz w:val="22"/>
                      <w:szCs w:val="22"/>
                      <w:lang w:eastAsia="lt-LT"/>
                      <w:u w:val="single"/>
                    </w:rPr>
                    <w:t>(ES) 2022/858</w:t>
                  </w:r>
                </w:fldSimple>
                <w:r>
                  <w:rPr>
                    <w:color w:val="000000"/>
                    <w:sz w:val="22"/>
                    <w:szCs w:val="22"/>
                    <w:lang w:eastAsia="lt-LT"/>
                  </w:rPr>
                  <w:t xml:space="preserve"> 2 straipsnio 1 punkte:</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7" w:tgtFrame="_parent" w:history="1">
                  <w:r>
                    <w:rPr>
                      <w:i/>
                      <w:sz w:val="22"/>
                      <w:szCs w:val="22"/>
                      <w:lang w:eastAsia="lt-LT"/>
                    </w:rPr>
                    <w:t>XIV-1893</w:t>
                  </w:r>
                </w:hyperlink>
                <w:r>
                  <w:rPr>
                    <w:i/>
                    <w:iCs/>
                    <w:color w:val="000000"/>
                    <w:sz w:val="22"/>
                    <w:szCs w:val="22"/>
                    <w:lang w:eastAsia="lt-LT"/>
                  </w:rPr>
                  <w:t>, 2023-04-25, paskelbta TAR 2023-05-05, i. k. 2023-08612</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 biržos prekėmis susieti pasirinkimo, ateities, apsikeitimo, išankstiniai sandoriai ir kitos su biržos prekėmis susietos išvestinės finansinės priemonės, už kurias atsiskaitoma grynaisiais pinigais arba gali būti atsiskaitoma grynaisiais pinigais vienos iš šalių pasirinkimu (išskyrus nemokumo ir veiklos nutraukimo atvejus);</w:t>
                </w:r>
              </w:p>
              <w:p>
                <w:pPr>
                  <w:ind w:firstLine="720"/>
                  <w:jc w:val="both"/>
                  <w:rPr>
                    <w:color w:val="000000"/>
                    <w:sz w:val="22"/>
                    <w:szCs w:val="22"/>
                    <w:lang w:eastAsia="lt-LT"/>
                  </w:rPr>
                </w:pPr>
                <w:r>
                  <w:rPr>
                    <w:color w:val="000000"/>
                    <w:sz w:val="22"/>
                    <w:szCs w:val="22"/>
                    <w:lang w:eastAsia="lt-LT"/>
                  </w:rPr>
                  <w:t>6) su biržos prekėmis susieti ir į prekybą reguliuojamoje rinkoje, daugiašalėje prekybos sistemoje arba organizuotos prekybos sistemoje įtraukti pasirinkimo, ateities, apsikeitimo sandoriai ir kitos su biržos prekėmis susietos išvestinės finansinės priemonės, už kurias gali būti atsiskaitoma prekėmis, išskyrus didmeninius energetikos produktus, kuriais prekiaujama organizuotos prekybos sistemoje ir už kuriuos privalo būti atsiskaitoma prekėmis;</w:t>
                </w:r>
              </w:p>
              <w:p>
                <w:pPr>
                  <w:ind w:firstLine="720"/>
                  <w:jc w:val="both"/>
                  <w:rPr>
                    <w:color w:val="000000"/>
                    <w:sz w:val="22"/>
                    <w:szCs w:val="22"/>
                    <w:lang w:eastAsia="lt-LT"/>
                  </w:rPr>
                </w:pPr>
                <w:r>
                  <w:rPr>
                    <w:color w:val="000000"/>
                    <w:sz w:val="22"/>
                    <w:szCs w:val="22"/>
                    <w:lang w:eastAsia="lt-LT"/>
                  </w:rPr>
                  <w:t>7) su biržos prekėmis susieti pasirinkimo, ateities, apsikeitimo, išankstiniai sandoriai ir kiti su biržos prekėmis susieti išvestiniai susitarimai, už kuriuos gali būti atsiskaitoma prekėmis ir kurie nėra nurodyti šios dalies 6 punkte, su sąlyga, kad jie nėra skirti komerciniams tikslams, tačiau turi kitų išvestinių finansinių priemonių požymių;</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55) kontrolė – visos teisės, sutartys ar kitos priemonės, kurios kiekviena atskirai ar visos kartu, atsižvelgiant į atitinkamas faktines ar teisines aplinkybes, suteikia galimybę daryti lemiamą poveikį įmonei, visų pirma, naudojantis: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41. </w:t>
                </w:r>
                <w:r>
                  <w:rPr>
                    <w:b/>
                    <w:bCs/>
                    <w:color w:val="000000"/>
                    <w:sz w:val="22"/>
                    <w:szCs w:val="22"/>
                    <w:lang w:eastAsia="lt-LT"/>
                  </w:rPr>
                  <w:t>Įmonės kontrolė</w:t>
                </w:r>
                <w:r>
                  <w:rPr>
                    <w:color w:val="000000"/>
                    <w:sz w:val="22"/>
                    <w:szCs w:val="22"/>
                    <w:lang w:eastAsia="lt-LT"/>
                  </w:rPr>
                  <w:t> – teisės, susitarimai ar kitos priemonės, kurios kiekviena atskirai ar visos kartu, atsižvelgiant į atitinkamas faktines ir (ar) teisines aplinkybes, suteikia galimybę daryti lemiamą poveikį įmonei, visų pirma naudojantis:</w:t>
                </w:r>
              </w:p>
              <w:p>
                <w:pPr>
                  <w:ind w:firstLine="720"/>
                  <w:jc w:val="both"/>
                  <w:rPr>
                    <w:color w:val="000000"/>
                    <w:sz w:val="22"/>
                    <w:szCs w:val="22"/>
                    <w:lang w:eastAsia="lt-LT"/>
                  </w:rPr>
                </w:pPr>
              </w:p>
            </w:tc>
            <w:tc>
              <w:tcPr>
                <w:tcW w:w="1635" w:type="dxa"/>
                <w:gridSpan w:val="4"/>
                <w:vMerge w:val="restart"/>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a) nuosavybės teise ar teise naudotis visu įmonės turtu ar jo dalimi;</w:t>
                </w:r>
              </w:p>
            </w:tc>
            <w:tc>
              <w:tcPr>
                <w:tcW w:w="9475" w:type="dxa"/>
                <w:gridSpan w:val="4"/>
                <w:vAlign w:val="center"/>
              </w:tcPr>
              <w:p>
                <w:pPr>
                  <w:jc w:val="both"/>
                  <w:rPr>
                    <w:color w:val="000000"/>
                    <w:sz w:val="22"/>
                    <w:szCs w:val="22"/>
                    <w:lang w:eastAsia="lt-LT"/>
                  </w:rPr>
                </w:pPr>
                <w:r>
                  <w:rPr>
                    <w:color w:val="000000"/>
                    <w:sz w:val="22"/>
                    <w:szCs w:val="22"/>
                    <w:lang w:eastAsia="lt-LT"/>
                  </w:rPr>
                  <w:t>1) nuosavybės teise arba teise naudotis visu įmonės turtu ar jo dalimi;</w:t>
                </w:r>
              </w:p>
              <w:p>
                <w:pPr>
                  <w:ind w:firstLine="720"/>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445"/>
                  </w:tabs>
                  <w:jc w:val="both"/>
                  <w:rPr>
                    <w:color w:val="000000"/>
                    <w:sz w:val="22"/>
                    <w:szCs w:val="22"/>
                    <w:lang w:eastAsia="lt-LT"/>
                  </w:rPr>
                </w:pPr>
                <w:r>
                  <w:rPr>
                    <w:color w:val="000000"/>
                    <w:sz w:val="22"/>
                    <w:szCs w:val="22"/>
                    <w:lang w:eastAsia="lt-LT"/>
                  </w:rPr>
                  <w:t>b) teisėmis ar sutartimis, kurios suteikia teisę daryti lemiamą poveikį formuojant įmonės organus, jiems balsuojant ar priimant sprendimus;</w:t>
                </w:r>
              </w:p>
            </w:tc>
            <w:tc>
              <w:tcPr>
                <w:tcW w:w="9475" w:type="dxa"/>
                <w:gridSpan w:val="4"/>
                <w:vAlign w:val="center"/>
              </w:tcPr>
              <w:p>
                <w:pPr>
                  <w:jc w:val="both"/>
                  <w:rPr>
                    <w:color w:val="000000"/>
                    <w:sz w:val="22"/>
                    <w:szCs w:val="22"/>
                    <w:lang w:eastAsia="lt-LT"/>
                  </w:rPr>
                </w:pPr>
                <w:r>
                  <w:rPr>
                    <w:color w:val="000000"/>
                    <w:sz w:val="22"/>
                    <w:szCs w:val="22"/>
                    <w:lang w:eastAsia="lt-LT"/>
                  </w:rPr>
                  <w:t>2) teisėmis arba susitarimais, turinčiais lemiamą įtaką sudarant įmonės valdymo organus, balsuojant arba priimant sprendimus.</w:t>
                </w:r>
              </w:p>
              <w:p>
                <w:pPr>
                  <w:shd w:val="clear" w:color="auto" w:fill="FFFFFF"/>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sz w:val="22"/>
                    <w:szCs w:val="22"/>
                    <w:lang w:eastAsia="lt-LT"/>
                  </w:rPr>
                </w:pPr>
                <w:r>
                  <w:rPr>
                    <w:sz w:val="22"/>
                    <w:szCs w:val="22"/>
                    <w:lang w:eastAsia="lt-LT"/>
                  </w:rPr>
                  <w:t>56) ilgalaikė sutartis – dujų tiekimo sutartis, sudaryta ilgiau nei vieniems metams;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jc w:val="both"/>
                  <w:rPr>
                    <w:b/>
                    <w:bCs/>
                    <w:sz w:val="22"/>
                    <w:szCs w:val="22"/>
                    <w:lang w:eastAsia="lt-LT"/>
                  </w:rPr>
                </w:pPr>
              </w:p>
              <w:p>
                <w:pPr>
                  <w:jc w:val="both"/>
                  <w:rPr>
                    <w:sz w:val="22"/>
                    <w:szCs w:val="22"/>
                    <w:lang w:eastAsia="lt-LT"/>
                  </w:rPr>
                </w:pPr>
                <w:r>
                  <w:rPr>
                    <w:color w:val="000000"/>
                    <w:sz w:val="22"/>
                    <w:szCs w:val="22"/>
                    <w:lang w:eastAsia="lt-LT"/>
                  </w:rPr>
                  <w:t>&lt;…&gt;</w:t>
                </w:r>
              </w:p>
              <w:p>
                <w:pPr>
                  <w:jc w:val="both"/>
                  <w:rPr>
                    <w:sz w:val="22"/>
                    <w:szCs w:val="22"/>
                    <w:lang w:eastAsia="lt-LT"/>
                  </w:rPr>
                </w:pPr>
                <w:r>
                  <w:rPr>
                    <w:sz w:val="22"/>
                    <w:szCs w:val="22"/>
                    <w:lang w:eastAsia="lt-LT"/>
                  </w:rPr>
                  <w:t xml:space="preserve">17. Rinkos dalyviai </w:t>
                </w:r>
                <w:r>
                  <w:rPr>
                    <w:b/>
                    <w:bCs/>
                    <w:sz w:val="22"/>
                    <w:szCs w:val="22"/>
                    <w:lang w:eastAsia="lt-LT"/>
                  </w:rPr>
                  <w:t>gali sudaryti ilgalaikes</w:t>
                </w:r>
                <w:r>
                  <w:rPr>
                    <w:sz w:val="22"/>
                    <w:szCs w:val="22"/>
                    <w:lang w:eastAsia="lt-LT"/>
                  </w:rPr>
                  <w:t xml:space="preserve"> ar trumpalaikes pirkimo– pardavimo sutartis.</w:t>
                </w:r>
              </w:p>
              <w:p>
                <w:pPr>
                  <w:jc w:val="both"/>
                  <w:rPr>
                    <w:sz w:val="22"/>
                    <w:szCs w:val="22"/>
                    <w:lang w:eastAsia="lt-LT"/>
                  </w:rPr>
                </w:pPr>
              </w:p>
              <w:p>
                <w:pPr>
                  <w:jc w:val="both"/>
                  <w:rPr>
                    <w:sz w:val="22"/>
                    <w:szCs w:val="22"/>
                    <w:lang w:eastAsia="lt-LT"/>
                  </w:rPr>
                </w:pPr>
                <w:r>
                  <w:rPr>
                    <w:sz w:val="22"/>
                    <w:szCs w:val="22"/>
                    <w:lang w:eastAsia="lt-LT"/>
                  </w:rPr>
                  <w:t>4.13. </w:t>
                </w:r>
                <w:r>
                  <w:rPr>
                    <w:b/>
                    <w:bCs/>
                    <w:sz w:val="22"/>
                    <w:szCs w:val="22"/>
                    <w:lang w:eastAsia="lt-LT"/>
                  </w:rPr>
                  <w:t>Trumpalaikė gamtinių dujų pirkimo–pardavimo sutartis</w:t>
                </w:r>
                <w:r>
                  <w:rPr>
                    <w:sz w:val="22"/>
                    <w:szCs w:val="22"/>
                    <w:lang w:eastAsia="lt-LT"/>
                  </w:rPr>
                  <w:t>  (toliau – </w:t>
                </w:r>
                <w:r>
                  <w:rPr>
                    <w:b/>
                    <w:bCs/>
                    <w:sz w:val="22"/>
                    <w:szCs w:val="22"/>
                    <w:lang w:eastAsia="lt-LT"/>
                  </w:rPr>
                  <w:t>trumpalaikė pirkimo– pardavimo sutartis</w:t>
                </w:r>
                <w:r>
                  <w:rPr>
                    <w:sz w:val="22"/>
                    <w:szCs w:val="22"/>
                    <w:lang w:eastAsia="lt-LT"/>
                  </w:rPr>
                  <w:t>) – pirkimo– pardavimo sutartis, sudaroma trumpesniam nei vienų metų laikotarpiui.</w:t>
                </w:r>
              </w:p>
              <w:p>
                <w:pPr>
                  <w:shd w:val="clear" w:color="auto" w:fill="FFFFFF"/>
                  <w:jc w:val="both"/>
                  <w:rPr>
                    <w:i/>
                    <w:iCs/>
                    <w:color w:val="000000"/>
                    <w:sz w:val="22"/>
                    <w:szCs w:val="22"/>
                    <w:lang w:eastAsia="lt-LT"/>
                  </w:rPr>
                </w:pPr>
              </w:p>
              <w:p>
                <w:pPr>
                  <w:shd w:val="clear" w:color="auto" w:fill="FFFFFF"/>
                  <w:jc w:val="both"/>
                  <w:rPr>
                    <w:sz w:val="22"/>
                    <w:szCs w:val="22"/>
                    <w:lang w:eastAsia="lt-LT"/>
                  </w:rPr>
                </w:pPr>
                <w:r>
                  <w:rPr>
                    <w:i/>
                    <w:iCs/>
                    <w:color w:val="000000"/>
                    <w:sz w:val="22"/>
                    <w:szCs w:val="22"/>
                    <w:lang w:eastAsia="lt-LT"/>
                  </w:rPr>
                  <w:t>Pastaba. Sąvoka bus perkelta atskiru Gamtinių dujų įstatymo pakeitimo įstatymo projektu (planuojama LRS 2026 m. rudens sesijoje).</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57) įleidimo ir išleidimo sistema – prieigos prie gamtinių dujų ar vandenilio modelis, pagal kurį sistemos naudotojai nepriklausomai užsako teises naudotis pajėgumu įleidimo ir išleidimo taškuose, kuris apima perdavimo sistemą ir gali apimti visą skirstymo sistemą ar jos dalį, arba vandenilio tinklai;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w:t>
                </w:r>
                <w:r>
                  <w:rPr>
                    <w:color w:val="000000"/>
                    <w:sz w:val="22"/>
                    <w:szCs w:val="22"/>
                    <w:vertAlign w:val="superscript"/>
                    <w:lang w:eastAsia="lt-LT"/>
                  </w:rPr>
                  <w:t>2</w:t>
                </w:r>
                <w:r>
                  <w:rPr>
                    <w:color w:val="000000"/>
                    <w:sz w:val="22"/>
                    <w:szCs w:val="22"/>
                    <w:lang w:eastAsia="lt-LT"/>
                  </w:rPr>
                  <w:t>.</w:t>
                </w:r>
                <w:r>
                  <w:rPr>
                    <w:b/>
                    <w:bCs/>
                    <w:color w:val="000000"/>
                    <w:sz w:val="22"/>
                    <w:szCs w:val="22"/>
                    <w:lang w:eastAsia="lt-LT"/>
                  </w:rPr>
                  <w:t> Gamtinių dujų įleidimo ir išleidimo taškų sistema</w:t>
                </w:r>
                <w:r>
                  <w:rPr>
                    <w:color w:val="000000"/>
                    <w:sz w:val="22"/>
                    <w:szCs w:val="22"/>
                    <w:lang w:eastAsia="lt-LT"/>
                  </w:rPr>
                  <w:t> (toliau – įleidimo ir išleidimo taškų sistema) – visus gamtinių dujų įleidimo ir išleidimo taškus regioninės gamtinių dujų rinkos zonoje apimanti sistema, suteikianti teisę sistemos naudotojams, turintiems sutartis su gamtinių dujų perdavimo sistemos operatoriumi (operatoriais), laisvai rezervuoti gamtinių dujų įleidimo ir išleidimo pajėgumus kiekvienam įleidimo į sistemą ir išleidimo iš sistemos taškui ir taip užtikrinti gamtinių dujų transportavimą per regioninės gamtinių dujų rinkos zoną.</w:t>
                </w:r>
              </w:p>
              <w:p>
                <w:pPr>
                  <w:jc w:val="both"/>
                  <w:rPr>
                    <w:color w:val="000000"/>
                    <w:sz w:val="22"/>
                    <w:szCs w:val="22"/>
                    <w:lang w:val="pt-BR" w:eastAsia="lt-LT"/>
                  </w:rPr>
                </w:pPr>
                <w:r>
                  <w:rPr>
                    <w:i/>
                    <w:iCs/>
                    <w:color w:val="000000"/>
                    <w:sz w:val="22"/>
                    <w:szCs w:val="22"/>
                    <w:lang w:eastAsia="lt-LT"/>
                  </w:rPr>
                  <w:t>Papildyta straipsnio dalimi:</w:t>
                </w:r>
              </w:p>
              <w:p>
                <w:pPr>
                  <w:jc w:val="both"/>
                  <w:rPr>
                    <w:color w:val="000000"/>
                    <w:sz w:val="22"/>
                    <w:szCs w:val="22"/>
                    <w:lang w:val="pt-BR" w:eastAsia="lt-LT"/>
                  </w:rPr>
                </w:pPr>
                <w:r>
                  <w:rPr>
                    <w:i/>
                    <w:iCs/>
                    <w:color w:val="000000"/>
                    <w:sz w:val="22"/>
                    <w:szCs w:val="22"/>
                    <w:lang w:eastAsia="lt-LT"/>
                  </w:rPr>
                  <w:t>Nr. </w:t>
                </w:r>
                <w:hyperlink r:id="rId8" w:tgtFrame="_parent" w:history="1">
                  <w:r>
                    <w:rPr>
                      <w:i/>
                      <w:sz w:val="22"/>
                      <w:szCs w:val="22"/>
                      <w:u w:val="single"/>
                      <w:lang w:eastAsia="lt-LT"/>
                    </w:rPr>
                    <w:t>XIII-1782</w:t>
                  </w:r>
                </w:hyperlink>
                <w:r>
                  <w:rPr>
                    <w:i/>
                    <w:iCs/>
                    <w:color w:val="000000"/>
                    <w:sz w:val="22"/>
                    <w:szCs w:val="22"/>
                    <w:lang w:eastAsia="lt-LT"/>
                  </w:rPr>
                  <w:t>, 2018-12-18, paskelbta TAR 2018-12-21, i. k. 2018-21216</w:t>
                </w:r>
              </w:p>
              <w:p>
                <w:pPr>
                  <w:ind w:firstLine="5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30. </w:t>
                </w:r>
                <w:r>
                  <w:rPr>
                    <w:b/>
                    <w:bCs/>
                    <w:color w:val="000000"/>
                    <w:sz w:val="22"/>
                    <w:szCs w:val="22"/>
                    <w:lang w:eastAsia="ar-SA"/>
                  </w:rPr>
                  <w:t>Vandenilio įleidimo ir išleidimo sistema – naudojimosi vandenilio tinklais modelis, pagal kurį vandenilio tinklo naudotojai nepriklausomai nuo transportavimo maršruto užsako teises naudotis pajėgumais įleidimo ir išleidimo taškuose ir (ar) įleidimo ir išleidimo punktuose.</w:t>
                </w:r>
              </w:p>
              <w:p>
                <w:pPr>
                  <w:jc w:val="both"/>
                  <w:rPr>
                    <w:b/>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58) balansavimo zona – sistema, kuriai taikomas konkretus balansavimo režimas, kuri apima perdavimo sistemą ir gali apimti visas skirstymo sistemas ar jų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Balansavimo taisyklės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14. Taisyklėse vartojamos sąvokos:</w:t>
                </w:r>
              </w:p>
              <w:p>
                <w:pPr>
                  <w:shd w:val="clear" w:color="auto" w:fill="FFFFFF"/>
                  <w:jc w:val="both"/>
                  <w:rPr>
                    <w:b/>
                    <w:bCs/>
                    <w:color w:val="000000"/>
                    <w:sz w:val="22"/>
                    <w:szCs w:val="22"/>
                    <w:lang w:eastAsia="lt-LT"/>
                  </w:rPr>
                </w:pPr>
                <w:r>
                  <w:rPr>
                    <w:b/>
                    <w:bCs/>
                    <w:color w:val="000000"/>
                    <w:sz w:val="22"/>
                    <w:szCs w:val="22"/>
                    <w:lang w:eastAsia="lt-LT"/>
                  </w:rPr>
                  <w:t>Balansavimo zona</w:t>
                </w:r>
                <w:r>
                  <w:rPr>
                    <w:color w:val="000000"/>
                    <w:sz w:val="22"/>
                    <w:szCs w:val="22"/>
                    <w:lang w:eastAsia="lt-LT"/>
                  </w:rPr>
                  <w:t> – įleidimo–išleidimo perdavimo sistema, kurią gali sudaryti viena ar daugiau infrastruktūros segmentų (sistemų), nurodytų Gamtinių dujų įstatymo 2 straipsnio 24 dalyje, kurioms taikomas specifinis balansavimo režimas. Gamtinių dujų skirstymo sistemos bei suskystintų gamtinių dujų pakartotinio dujinimo ir saugojimo infrastruktūra (tiek įleidimo, tiek išleidimo perdavimo sistemos atveju) yra viena balansavimo zonos dalis.</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59) virtualusis prekybos taškas – nefizinis komercinis taškas įleidimo ir išleidimo sistemoje, kuriame vykdomi pardavėjo ir pirkėjo gamtinių dujų ar vandenilio mainai, kuriems nereikia užsakyti pajėgumo;</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67</w:t>
                </w:r>
                <w:r>
                  <w:rPr>
                    <w:b/>
                    <w:bCs/>
                    <w:color w:val="000000"/>
                    <w:kern w:val="2"/>
                    <w:sz w:val="22"/>
                    <w:szCs w:val="22"/>
                    <w:lang w:eastAsia="ar-SA"/>
                  </w:rPr>
                  <w:t xml:space="preserve">. </w:t>
                </w:r>
                <w:r>
                  <w:rPr>
                    <w:b/>
                    <w:bCs/>
                    <w:color w:val="000000"/>
                    <w:sz w:val="22"/>
                    <w:szCs w:val="22"/>
                    <w:lang w:eastAsia="ar-SA"/>
                  </w:rPr>
                  <w:t>Virtualusis vandenilio prekybos taškas –</w:t>
                </w:r>
                <w:r>
                  <w:rPr>
                    <w:b/>
                    <w:bCs/>
                    <w:color w:val="000000"/>
                    <w:sz w:val="22"/>
                    <w:szCs w:val="22"/>
                    <w:lang w:eastAsia="lt-LT"/>
                  </w:rPr>
                  <w:t xml:space="preserve"> nefizinis komercinis taškas </w:t>
                </w:r>
                <w:r>
                  <w:rPr>
                    <w:b/>
                    <w:bCs/>
                    <w:color w:val="000000"/>
                    <w:sz w:val="22"/>
                    <w:szCs w:val="22"/>
                    <w:lang w:eastAsia="ar-SA"/>
                  </w:rPr>
                  <w:t>vandenilio įleidimo ir išleidimo sistemoje, kurio atžvilgiu, nepriklausomai nuo konkrečių įleidimo ar išleidimo taškų, vykdomi vandenilio pirkimo–pardavimo sandoriai, kuriems nereikia užsakyti perdavimo sistemos pajėgumų.</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p>
              <w:p>
                <w:pPr>
                  <w:rPr>
                    <w:b/>
                    <w:bCs/>
                    <w:color w:val="000000"/>
                    <w:sz w:val="22"/>
                    <w:szCs w:val="22"/>
                    <w:lang w:eastAsia="lt-LT"/>
                  </w:rPr>
                </w:pPr>
                <w:r>
                  <w:rPr>
                    <w:b/>
                    <w:bCs/>
                    <w:color w:val="000000"/>
                    <w:sz w:val="22"/>
                    <w:szCs w:val="22"/>
                    <w:lang w:eastAsia="lt-LT"/>
                  </w:rPr>
                  <w:t>Prekybos gamtinėmis dujomis taisyklės</w:t>
                </w:r>
              </w:p>
              <w:p>
                <w:pPr>
                  <w:ind w:firstLine="567"/>
                  <w:jc w:val="both"/>
                  <w:rPr>
                    <w:color w:val="000000"/>
                    <w:sz w:val="22"/>
                    <w:szCs w:val="22"/>
                    <w:lang w:eastAsia="lt-LT"/>
                  </w:rPr>
                </w:pPr>
                <w:r>
                  <w:rPr>
                    <w:color w:val="000000"/>
                    <w:sz w:val="22"/>
                    <w:szCs w:val="22"/>
                    <w:lang w:eastAsia="lt-LT"/>
                  </w:rPr>
                  <w:t>&lt;...&gt;</w:t>
                </w:r>
              </w:p>
              <w:p>
                <w:pPr>
                  <w:ind w:firstLine="567"/>
                  <w:jc w:val="both"/>
                  <w:rPr>
                    <w:color w:val="000000"/>
                    <w:sz w:val="22"/>
                    <w:szCs w:val="22"/>
                    <w:lang w:eastAsia="lt-LT"/>
                  </w:rPr>
                </w:pPr>
                <w:r>
                  <w:rPr>
                    <w:color w:val="000000"/>
                    <w:sz w:val="22"/>
                    <w:szCs w:val="22"/>
                    <w:lang w:eastAsia="lt-LT"/>
                  </w:rPr>
                  <w:t>4.11. </w:t>
                </w:r>
                <w:r>
                  <w:rPr>
                    <w:b/>
                    <w:bCs/>
                    <w:color w:val="000000"/>
                    <w:sz w:val="22"/>
                    <w:szCs w:val="22"/>
                    <w:lang w:eastAsia="lt-LT"/>
                  </w:rPr>
                  <w:t>Prekybos gamtinėmis dujomis vieta</w:t>
                </w:r>
                <w:r>
                  <w:rPr>
                    <w:color w:val="000000"/>
                    <w:sz w:val="22"/>
                    <w:szCs w:val="22"/>
                    <w:lang w:eastAsia="lt-LT"/>
                  </w:rPr>
                  <w:t> (toliau – </w:t>
                </w:r>
                <w:r>
                  <w:rPr>
                    <w:b/>
                    <w:bCs/>
                    <w:color w:val="000000"/>
                    <w:sz w:val="22"/>
                    <w:szCs w:val="22"/>
                    <w:lang w:eastAsia="lt-LT"/>
                  </w:rPr>
                  <w:t>prekybos vieta</w:t>
                </w:r>
                <w:r>
                  <w:rPr>
                    <w:color w:val="000000"/>
                    <w:sz w:val="22"/>
                    <w:szCs w:val="22"/>
                    <w:lang w:eastAsia="lt-LT"/>
                  </w:rPr>
                  <w:t xml:space="preserve">) – perdavimo sistemos operatoriaus, atsižvelgiant į techninius ir saugumo reikalavimus, nustatytas </w:t>
                </w:r>
                <w:r>
                  <w:rPr>
                    <w:b/>
                    <w:bCs/>
                    <w:color w:val="000000"/>
                    <w:sz w:val="22"/>
                    <w:szCs w:val="22"/>
                    <w:lang w:eastAsia="lt-LT"/>
                  </w:rPr>
                  <w:t>gamtinių dujų perdavimo sistemos virtualus prekybos taškas</w:t>
                </w:r>
                <w:r>
                  <w:rPr>
                    <w:color w:val="000000"/>
                    <w:sz w:val="22"/>
                    <w:szCs w:val="22"/>
                    <w:lang w:eastAsia="lt-LT"/>
                  </w:rPr>
                  <w:t>, kuriame prekiaujama gamtinėmis dujomis ar suskystintų gamtinių dujų prekybos vieta, numatyta dvišalėje gamtinių dujų pirkimo–pardavimo sutartyje.</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9" w:tgtFrame="_parent" w:history="1">
                  <w:r>
                    <w:rPr>
                      <w:i/>
                      <w:sz w:val="22"/>
                      <w:szCs w:val="22"/>
                      <w:lang w:eastAsia="lt-LT"/>
                    </w:rPr>
                    <w:t>1-348</w:t>
                  </w:r>
                </w:hyperlink>
                <w:r>
                  <w:rPr>
                    <w:i/>
                    <w:iCs/>
                    <w:color w:val="000000"/>
                    <w:sz w:val="22"/>
                    <w:szCs w:val="22"/>
                    <w:lang w:eastAsia="lt-LT"/>
                  </w:rPr>
                  <w:t>, 2014-12-30, paskelbta TAR 2014-12-30, i. k. 2014-21103</w:t>
                </w:r>
              </w:p>
              <w:p>
                <w:pPr>
                  <w:jc w:val="both"/>
                  <w:rPr>
                    <w:color w:val="000000"/>
                    <w:sz w:val="22"/>
                    <w:szCs w:val="22"/>
                    <w:lang w:val="en-US" w:eastAsia="lt-LT"/>
                  </w:rPr>
                </w:pPr>
                <w:r>
                  <w:rPr>
                    <w:i/>
                    <w:iCs/>
                    <w:color w:val="000000"/>
                    <w:sz w:val="22"/>
                    <w:szCs w:val="22"/>
                    <w:lang w:eastAsia="lt-LT"/>
                  </w:rPr>
                  <w:t>Nr. </w:t>
                </w:r>
                <w:hyperlink r:id="rId10" w:tgtFrame="_parent" w:history="1">
                  <w:r>
                    <w:rPr>
                      <w:i/>
                      <w:sz w:val="22"/>
                      <w:szCs w:val="22"/>
                      <w:lang w:eastAsia="lt-LT"/>
                    </w:rPr>
                    <w:t>1-63</w:t>
                  </w:r>
                </w:hyperlink>
                <w:r>
                  <w:rPr>
                    <w:i/>
                    <w:iCs/>
                    <w:color w:val="000000"/>
                    <w:sz w:val="22"/>
                    <w:szCs w:val="22"/>
                    <w:lang w:eastAsia="lt-LT"/>
                  </w:rPr>
                  <w:t>, 2020-03-27, paskelbta TAR 2020-03-27, i. k. 2020-06215</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60) tinklo naudotojas – sistemos operatoriaus vartotojas ar potencialus vartotojas arba pats sistemos operatorius tiek, kiek tam sistemos operatoriui tai būtina jo su gamtinių dujų ar vandenilio transportavimu susijusioms funkcijoms vykdyti;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60. </w:t>
                </w:r>
                <w:r>
                  <w:rPr>
                    <w:b/>
                    <w:bCs/>
                    <w:color w:val="000000"/>
                    <w:sz w:val="22"/>
                    <w:szCs w:val="22"/>
                    <w:lang w:eastAsia="ar-SA"/>
                  </w:rPr>
                  <w:t xml:space="preserve">Vandenilio tinklo naudotojas – vandenilio tinklo operatoriaus klientas ar potencialus klientas arba pats vandenilio tinklo operatorius, kai  vandenilio tinklo naudojimas jam yra būtinas su vandenilio transportavimu susijusioms funkcijoms vykdyti.</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61) įleidimo taškas – taškas, kuriame tinklo naudotojams taikomos užsakymo procedūros ir kuriuo suteikiama prieiga prie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32. </w:t>
                </w:r>
                <w:r>
                  <w:rPr>
                    <w:b/>
                    <w:bCs/>
                    <w:color w:val="000000"/>
                    <w:sz w:val="22"/>
                    <w:szCs w:val="22"/>
                    <w:lang w:eastAsia="ar-SA"/>
                  </w:rPr>
                  <w:t xml:space="preserve">Vandenilio įleidimo taškas (toliau – įleidimo taškas) – </w:t>
                </w:r>
                <w:r>
                  <w:rPr>
                    <w:b/>
                    <w:bCs/>
                    <w:color w:val="000000"/>
                    <w:sz w:val="22"/>
                    <w:szCs w:val="22"/>
                    <w:lang w:eastAsia="lt-LT"/>
                  </w:rPr>
                  <w:t xml:space="preserve">vieta, kurioje </w:t>
                </w:r>
                <w:r>
                  <w:rPr>
                    <w:b/>
                    <w:bCs/>
                    <w:color w:val="000000"/>
                    <w:sz w:val="22"/>
                    <w:szCs w:val="22"/>
                    <w:lang w:eastAsia="ar-SA"/>
                  </w:rPr>
                  <w:t xml:space="preserve">vandenilio tinklo naudotojams  taikant užsakymo procedūras, suteikiama teisė naudotis vandenilio įleidimo ir išleidimo sistema. </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3</w:t>
                </w:r>
                <w:r>
                  <w:rPr>
                    <w:color w:val="000000"/>
                    <w:sz w:val="22"/>
                    <w:szCs w:val="22"/>
                    <w:lang w:val="lt" w:eastAsia="lt-LT"/>
                  </w:rPr>
                  <w:t xml:space="preserve">. </w:t>
                </w:r>
                <w:r>
                  <w:rPr>
                    <w:b/>
                    <w:bCs/>
                    <w:color w:val="000000"/>
                    <w:sz w:val="22"/>
                    <w:szCs w:val="22"/>
                    <w:lang w:val="lt" w:eastAsia="lt-LT"/>
                  </w:rPr>
                  <w:t>Gamtinių dujų įleidimo taškas</w:t>
                </w:r>
                <w:r>
                  <w:rPr>
                    <w:color w:val="000000"/>
                    <w:sz w:val="22"/>
                    <w:szCs w:val="22"/>
                    <w:lang w:val="lt" w:eastAsia="lt-LT"/>
                  </w:rPr>
                  <w:t xml:space="preserve"> (toliau – įleidimo taškas) – vieta, kurioje gamtinės dujos įleidžiamos į perdavimo sistemą iš gretimos perdavimo sistemos, SGD terminalo ar požeminės gamtinių dujų saugyklos.</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62) išleidimo taškas – taškas, kuriame tinklo naudotojams taikomos užsakymo procedūros ir kuriuo suteikiama galimybė išleisti dujas iš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29. </w:t>
                </w:r>
                <w:r>
                  <w:rPr>
                    <w:b/>
                    <w:bCs/>
                    <w:color w:val="000000"/>
                    <w:sz w:val="22"/>
                    <w:szCs w:val="22"/>
                    <w:lang w:eastAsia="ar-SA"/>
                  </w:rPr>
                  <w:t>Vandenilio išleidimo taškas</w:t>
                </w:r>
                <w:r>
                  <w:rPr>
                    <w:color w:val="000000"/>
                    <w:sz w:val="22"/>
                    <w:szCs w:val="22"/>
                    <w:lang w:eastAsia="ar-SA"/>
                  </w:rPr>
                  <w:t xml:space="preserve"> </w:t>
                </w:r>
                <w:r>
                  <w:rPr>
                    <w:b/>
                    <w:bCs/>
                    <w:color w:val="000000"/>
                    <w:sz w:val="22"/>
                    <w:szCs w:val="22"/>
                    <w:lang w:eastAsia="ar-SA"/>
                  </w:rPr>
                  <w:t>(toliau – išleidimo taškas) – vieta, kurios atžvilgiu vandenilio tinklo naudotojams taikomos užsakymo procedūros ir kurioje suteikiama teisė išleisti vandenilį iš vandenilio tinklo.</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w:t>
                </w:r>
                <w:r>
                  <w:rPr>
                    <w:b/>
                    <w:bCs/>
                    <w:color w:val="000000"/>
                    <w:sz w:val="22"/>
                    <w:szCs w:val="22"/>
                    <w:lang w:val="lt" w:eastAsia="lt-LT"/>
                  </w:rPr>
                  <w:t xml:space="preserve"> Gamtinių dujų išleidimo taškas</w:t>
                </w:r>
                <w:r>
                  <w:rPr>
                    <w:color w:val="000000"/>
                    <w:sz w:val="22"/>
                    <w:szCs w:val="22"/>
                    <w:lang w:val="lt" w:eastAsia="lt-LT"/>
                  </w:rPr>
                  <w:t xml:space="preserve"> (toliau – išleidimo taškas) – vieta, kurioje gamtinės dujos išleidžiamos iš perdavimo sistemos į kitą perdavimo sistemą, požeminę gamtinių dujų saugyklą, skirstymo sistemą ar tiesiogiai prie perdavimo sistemos prijungtą gamtinių dujų vartotojo sistemą.</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5"/>
            </w:trPr>
            <w:tc>
              <w:tcPr>
                <w:tcW w:w="3913" w:type="dxa"/>
              </w:tcPr>
              <w:p>
                <w:pPr>
                  <w:shd w:val="clear" w:color="auto" w:fill="FFFFFF"/>
                  <w:rPr>
                    <w:sz w:val="22"/>
                    <w:szCs w:val="22"/>
                    <w:lang w:eastAsia="lt-LT"/>
                  </w:rPr>
                </w:pPr>
                <w:r>
                  <w:rPr>
                    <w:sz w:val="22"/>
                    <w:szCs w:val="22"/>
                    <w:lang w:eastAsia="lt-LT"/>
                  </w:rPr>
                  <w:t>63) sujungimo taškas – fizinis ar virtualus taškas, jungiantis gretimas įleidimo ir išleidimo sistemas arba jungiantis įleidimo ir išleidimo sistemą su jungtimi, jei tokiame taške tinklo naudotojams taikomos užsakymo procedūros;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20. Sujungimo taškas – fizinis ar virtualus taškas, jungiantis gretimas įleidimo ir išleidimo sistemas arba jungiantis įleidimo ir išleidimo sistemą su vandenilio jungtimi, jei to taško atžvilgiu tinklo naudotojams taikomos užsakymo procedūros.</w:t>
                </w:r>
              </w:p>
              <w:p>
                <w:pPr>
                  <w:jc w:val="both"/>
                  <w:rPr>
                    <w:rFonts w:eastAsia="Times New Roman, Aptos"/>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rFonts w:eastAsia="Times New Roman, Aptos"/>
                    <w:color w:val="515B5C"/>
                    <w:sz w:val="22"/>
                    <w:szCs w:val="22"/>
                    <w:lang w:eastAsia="lt-LT"/>
                  </w:rPr>
                </w:pPr>
                <w:r>
                  <w:rPr>
                    <w:color w:val="000000"/>
                    <w:sz w:val="22"/>
                    <w:szCs w:val="22"/>
                    <w:lang w:eastAsia="lt-LT"/>
                  </w:rPr>
                  <w:t xml:space="preserve">9.68. Sujungimo taškas (angl. </w:t>
                </w:r>
                <w:r>
                  <w:rPr>
                    <w:i/>
                    <w:color w:val="000000"/>
                    <w:sz w:val="22"/>
                    <w:szCs w:val="22"/>
                    <w:lang w:eastAsia="lt-LT"/>
                  </w:rPr>
                  <w:t>interconnection point</w:t>
                </w:r>
                <w:r>
                  <w:rPr>
                    <w:color w:val="000000"/>
                    <w:sz w:val="22"/>
                    <w:szCs w:val="22"/>
                    <w:lang w:eastAsia="lt-LT"/>
                  </w:rPr>
                  <w:t>) – fizinis ar virtualus taškas, jungiantis gretimas dujų įleidimo ir išleidimo sistemas.</w:t>
                </w: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00"/>
                  </w:tabs>
                  <w:jc w:val="both"/>
                  <w:rPr>
                    <w:sz w:val="22"/>
                    <w:szCs w:val="22"/>
                    <w:lang w:eastAsia="lt-LT"/>
                  </w:rPr>
                </w:pPr>
                <w:r>
                  <w:rPr>
                    <w:sz w:val="22"/>
                    <w:szCs w:val="22"/>
                    <w:lang w:eastAsia="lt-LT"/>
                  </w:rPr>
                  <w:t>64) virtualusis sujungimo taškas – du ar daugiau tų pačių dviejų gretimų įleidimo ir išleidimo sistemų sujungimo taškų, sujungtų, kad būtų galima teikti vieną bendrą pajėgumo paslaugą;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color w:val="000000"/>
                    <w:sz w:val="22"/>
                    <w:szCs w:val="22"/>
                    <w:lang w:eastAsia="lt-LT"/>
                  </w:rPr>
                </w:pPr>
                <w:r>
                  <w:rPr>
                    <w:b/>
                    <w:bCs/>
                    <w:color w:val="000000"/>
                    <w:sz w:val="22"/>
                    <w:szCs w:val="22"/>
                    <w:lang w:eastAsia="lt-LT"/>
                  </w:rPr>
                  <w:t>68. Virtualusis vandenilio įleidimo ir išleidimo sistemų sujungimo taškas – du ar daugiau dviejų gretimų vandenilio įleidimo ir išleidimo sistemų sujungimo taškų, virtualiai sujungtų, kad būtų galima teikti vieną bendrą pajėgumo paslaugą.</w:t>
                </w:r>
              </w:p>
              <w:p>
                <w:pPr>
                  <w:jc w:val="both"/>
                  <w:rPr>
                    <w:rFonts w:eastAsia="Times New Roman, Aptos"/>
                    <w:b/>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 xml:space="preserve">9.68. </w:t>
                </w:r>
                <w:r>
                  <w:rPr>
                    <w:b/>
                    <w:color w:val="000000"/>
                    <w:sz w:val="22"/>
                    <w:szCs w:val="22"/>
                    <w:lang w:eastAsia="lt-LT"/>
                  </w:rPr>
                  <w:t>Sujungimo taškas</w:t>
                </w:r>
                <w:r>
                  <w:rPr>
                    <w:color w:val="000000"/>
                    <w:sz w:val="22"/>
                    <w:szCs w:val="22"/>
                    <w:lang w:eastAsia="lt-LT"/>
                  </w:rPr>
                  <w:t xml:space="preserve"> (angl. </w:t>
                </w:r>
                <w:r>
                  <w:rPr>
                    <w:i/>
                    <w:color w:val="000000"/>
                    <w:sz w:val="22"/>
                    <w:szCs w:val="22"/>
                    <w:lang w:eastAsia="lt-LT"/>
                  </w:rPr>
                  <w:t>interconnection point)</w:t>
                </w:r>
                <w:r>
                  <w:rPr>
                    <w:color w:val="000000"/>
                    <w:sz w:val="22"/>
                    <w:szCs w:val="22"/>
                    <w:lang w:eastAsia="lt-LT"/>
                  </w:rPr>
                  <w:t xml:space="preserve"> – fizinis ar virtualus taškas, jungiantis gretimas dujų įleidimo ir išleidimo sistemas.</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Terminas „virtualus</w:t>
                </w:r>
                <w:r>
                  <w:rPr>
                    <w:i/>
                    <w:iCs/>
                    <w:color w:val="000000"/>
                    <w:sz w:val="22"/>
                    <w:szCs w:val="22"/>
                    <w:lang w:eastAsia="lt-LT"/>
                  </w:rPr>
                  <w:t>is</w:t>
                </w:r>
                <w:r>
                  <w:rPr>
                    <w:i/>
                    <w:color w:val="000000"/>
                    <w:sz w:val="22"/>
                    <w:szCs w:val="22"/>
                    <w:lang w:eastAsia="lt-LT"/>
                  </w:rPr>
                  <w:t xml:space="preserve"> sujungimo taškas“ nėra naudojamas Vandenilio įstatymo projekte. Todėl perkėlimo</w:t>
                </w:r>
                <w:r>
                  <w:rPr>
                    <w:i/>
                    <w:iCs/>
                    <w:color w:val="000000"/>
                    <w:sz w:val="22"/>
                    <w:szCs w:val="22"/>
                    <w:lang w:eastAsia="lt-LT"/>
                  </w:rPr>
                  <w:t xml:space="preserve"> į Vandenilio įstatymo projektą</w:t>
                </w:r>
                <w:r>
                  <w:rPr>
                    <w:i/>
                    <w:color w:val="000000"/>
                    <w:sz w:val="22"/>
                    <w:szCs w:val="22"/>
                    <w:lang w:eastAsia="lt-LT"/>
                  </w:rPr>
                  <w:t xml:space="preserve"> nereikalauja.</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65) rinkos dalyvis – fizinis ar juridinis asmuo, kuris perka, parduoda ar gamina gamtines dujas arba vandenilį arba kuris yra laikymo paslaugų operatorius, be kita ko, teikdamas prekybos pavedimus vienoje ar daugiau gamtinių dujų arba vandenilio rinkų, įskaitant balansavimo rinkas;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w:t>
                </w:r>
                <w:r>
                  <w:rPr>
                    <w:b/>
                    <w:bCs/>
                    <w:color w:val="000000"/>
                    <w:sz w:val="22"/>
                    <w:szCs w:val="22"/>
                    <w:lang w:eastAsia="lt-LT"/>
                  </w:rPr>
                  <w:t>rinkos dalyviai</w:t>
                </w:r>
                <w:r>
                  <w:rPr>
                    <w:color w:val="000000"/>
                    <w:sz w:val="22"/>
                    <w:szCs w:val="22"/>
                    <w:lang w:eastAsia="lt-LT"/>
                  </w:rPr>
                  <w:t>)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11" w:tgtFrame="_parent"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44. </w:t>
                </w:r>
                <w:r>
                  <w:rPr>
                    <w:b/>
                    <w:bCs/>
                    <w:color w:val="000000"/>
                    <w:sz w:val="22"/>
                    <w:szCs w:val="22"/>
                    <w:lang w:eastAsia="lt-LT"/>
                  </w:rPr>
                  <w:t>Vandenilio rinkos dalyvis</w:t>
                </w:r>
                <w:r>
                  <w:rPr>
                    <w:color w:val="000000"/>
                    <w:sz w:val="22"/>
                    <w:szCs w:val="22"/>
                    <w:lang w:eastAsia="lt-LT"/>
                  </w:rPr>
                  <w:t xml:space="preserve"> </w:t>
                </w:r>
                <w:r>
                  <w:rPr>
                    <w:b/>
                    <w:bCs/>
                    <w:color w:val="000000"/>
                    <w:sz w:val="22"/>
                    <w:szCs w:val="22"/>
                    <w:lang w:eastAsia="lt-LT"/>
                  </w:rPr>
                  <w:t>– fizinis ar juridinis asmuo, kuris perka, parduoda ar gamina vandenilį arba kuris yra vandenilio saugyklos operatorius, vandenilio laikymo įrenginio operatorius, be kita ko, teikdamas prekybos pavedimus vienoje ar daugiau vandenilio rinkų, įskaitant balansavimo rinkas.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66) sutarties nutraukimo mokestis – mokestis arba sankcija, kurią tiekėjai ar rinkos dalyviai taiko vartotojams, kai jie nutraukia dujų tiekimo ar paslaugų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Lietuvos Respublikos energetikos ministro 2012 m. kovo 22 d. įsakymas Nr. 1-54 „Dėl sutarčių su buitiniais vartotojais dėl gamtinių dujų tiekimo, perdavimo ir skirstymo standartinių sąlygų aprašo patvirtinimo“.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52. </w:t>
                </w:r>
                <w:r>
                  <w:rPr>
                    <w:color w:val="000000"/>
                    <w:spacing w:val="-1"/>
                    <w:sz w:val="22"/>
                    <w:szCs w:val="22"/>
                    <w:lang w:eastAsia="lt-LT"/>
                  </w:rPr>
                  <w:t>Buitinis vartotojas turi teisę vienašališkai nutraukti sutartį, jei keičiamos sutarties sąlygos </w:t>
                </w:r>
                <w:r>
                  <w:rPr>
                    <w:color w:val="000000"/>
                    <w:sz w:val="22"/>
                    <w:szCs w:val="22"/>
                    <w:lang w:eastAsia="lt-LT"/>
                  </w:rPr>
                  <w:t xml:space="preserve">ir jos buitiniam vartotojui yra nepriimtinos. Buitinis vartotojas </w:t>
                </w:r>
                <w:r>
                  <w:rPr>
                    <w:b/>
                    <w:bCs/>
                    <w:color w:val="000000"/>
                    <w:sz w:val="22"/>
                    <w:szCs w:val="22"/>
                    <w:lang w:eastAsia="lt-LT"/>
                  </w:rPr>
                  <w:t>turi teisę nutraukti sutartį vienašališkai ir neatlygintinai</w:t>
                </w:r>
                <w:r>
                  <w:rPr>
                    <w:color w:val="000000"/>
                    <w:sz w:val="22"/>
                    <w:szCs w:val="22"/>
                    <w:lang w:eastAsia="lt-LT"/>
                  </w:rPr>
                  <w:t xml:space="preserve">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ind w:right="57" w:firstLine="720"/>
                  <w:jc w:val="both"/>
                  <w:rPr>
                    <w:color w:val="000000"/>
                    <w:sz w:val="22"/>
                    <w:szCs w:val="22"/>
                    <w:lang w:eastAsia="lt-LT"/>
                  </w:rPr>
                </w:pPr>
                <w:r>
                  <w:rPr>
                    <w:color w:val="000000"/>
                    <w:sz w:val="22"/>
                    <w:szCs w:val="22"/>
                    <w:lang w:eastAsia="lt-LT"/>
                  </w:rPr>
                  <w:t>1) su laisvai pasirinkta gamtinių dujų tiekimo įmone sudaryti sutartį, kurioje nurodoma &lt;...&gt;</w:t>
                </w:r>
                <w:r>
                  <w:rPr>
                    <w:color w:val="000000"/>
                    <w:sz w:val="22"/>
                    <w:szCs w:val="22"/>
                    <w:shd w:val="clear" w:color="auto" w:fill="FFFFFF"/>
                    <w:lang w:eastAsia="lt-LT"/>
                  </w:rPr>
                  <w:t xml:space="preserve"> ar numatyta</w:t>
                </w:r>
                <w:r>
                  <w:rPr>
                    <w:b/>
                    <w:bCs/>
                    <w:color w:val="000000"/>
                    <w:sz w:val="22"/>
                    <w:szCs w:val="22"/>
                    <w:lang w:eastAsia="lt-LT"/>
                  </w:rPr>
                  <w:t> </w:t>
                </w:r>
                <w:r>
                  <w:rPr>
                    <w:color w:val="000000"/>
                    <w:sz w:val="22"/>
                    <w:szCs w:val="22"/>
                    <w:lang w:eastAsia="lt-LT"/>
                  </w:rPr>
                  <w:t>teisė nutraukti sutartį netaikant sankcijų, &lt;...&gt;.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eastAsia="lt-LT"/>
                  </w:rPr>
                </w:pPr>
                <w:r>
                  <w:rPr>
                    <w:color w:val="000000"/>
                    <w:sz w:val="22"/>
                    <w:szCs w:val="22"/>
                    <w:lang w:eastAsia="lt-LT"/>
                  </w:rPr>
                  <w:t>2) &lt;...&gt;.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i/>
                    <w:iCs/>
                    <w:sz w:val="22"/>
                    <w:szCs w:val="22"/>
                    <w:lang w:eastAsia="lt-LT"/>
                  </w:rPr>
                </w:pPr>
                <w:r>
                  <w:rPr>
                    <w:i/>
                    <w:iCs/>
                    <w:sz w:val="22"/>
                    <w:szCs w:val="22"/>
                    <w:lang w:eastAsia="lt-LT"/>
                  </w:rPr>
                  <w:t>Pastaba. Lietuvoje sutarties nutraukimo mokesčiai vartotojams netaikomi.</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tabs>
                    <w:tab w:val="left" w:pos="4154"/>
                  </w:tabs>
                  <w:jc w:val="both"/>
                  <w:rPr>
                    <w:color w:val="000000"/>
                    <w:sz w:val="22"/>
                    <w:szCs w:val="22"/>
                    <w:lang w:eastAsia="lt-LT"/>
                  </w:rPr>
                </w:pPr>
                <w:r>
                  <w:rPr>
                    <w:color w:val="000000"/>
                    <w:sz w:val="22"/>
                    <w:szCs w:val="22"/>
                    <w:lang w:eastAsia="lt-LT"/>
                  </w:rPr>
                  <w:t>67) tiekėjo pakeitimo mokestis – mokestis arba sankcija, įskaitant sutarties nutraukimo mokesčius, kuriuos tiekėjai, rinkos dalyviai ar sistemos operatoriai tiesiogiai ar netiesiogiai taiko vartotojams, kai jie pakeičia tiekėją ar rinkos dalyvį;</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i/>
                    <w:iCs/>
                    <w:sz w:val="22"/>
                    <w:szCs w:val="22"/>
                    <w:lang w:eastAsia="lt-LT"/>
                  </w:rPr>
                </w:pPr>
                <w:r>
                  <w:rPr>
                    <w:i/>
                    <w:iCs/>
                    <w:sz w:val="22"/>
                    <w:szCs w:val="22"/>
                    <w:lang w:eastAsia="lt-LT"/>
                  </w:rPr>
                  <w:t>Pastaba. Lietuvoje dujų tiekėjo pakeitimo mokesčiai vartotojams netaikomi.</w:t>
                </w:r>
              </w:p>
              <w:p>
                <w:pPr>
                  <w:shd w:val="clear" w:color="auto" w:fill="FFFFFF"/>
                  <w:jc w:val="both"/>
                  <w:rPr>
                    <w:i/>
                    <w:iCs/>
                    <w:sz w:val="22"/>
                    <w:szCs w:val="22"/>
                    <w:lang w:eastAsia="lt-LT"/>
                  </w:rPr>
                </w:pPr>
              </w:p>
              <w:p>
                <w:pPr>
                  <w:shd w:val="clear" w:color="auto" w:fill="FFFFFF"/>
                  <w:jc w:val="both"/>
                  <w:rPr>
                    <w:i/>
                    <w:iCs/>
                    <w:sz w:val="22"/>
                    <w:szCs w:val="22"/>
                    <w:lang w:eastAsia="lt-LT"/>
                  </w:rPr>
                </w:pPr>
              </w:p>
              <w:p>
                <w:pPr>
                  <w:shd w:val="clear" w:color="auto" w:fill="FFFFFF"/>
                  <w:jc w:val="both"/>
                  <w:rPr>
                    <w:i/>
                    <w:color w:val="000000"/>
                    <w:sz w:val="22"/>
                    <w:szCs w:val="22"/>
                    <w:lang w:eastAsia="lt-LT"/>
                  </w:rPr>
                </w:pPr>
                <w:r>
                  <w:rPr>
                    <w:i/>
                    <w:color w:val="000000"/>
                    <w:sz w:val="22"/>
                    <w:szCs w:val="22"/>
                    <w:lang w:eastAsia="lt-LT"/>
                  </w:rPr>
                  <w:t>Pirma pastaba. Sąvoka bus perkelta atskiru Gamtinių dujų įstatymo pakeitimo įstatymo projektu (planuojama LRS 2026 m. rudens sesijoje).</w:t>
                </w:r>
              </w:p>
              <w:p>
                <w:pPr>
                  <w:shd w:val="clear" w:color="auto" w:fill="FFFFFF"/>
                  <w:jc w:val="both"/>
                  <w:rPr>
                    <w:i/>
                    <w:iCs/>
                    <w:sz w:val="22"/>
                    <w:szCs w:val="22"/>
                    <w:lang w:eastAsia="lt-LT"/>
                  </w:rPr>
                </w:pPr>
                <w:r>
                  <w:rPr>
                    <w:i/>
                    <w:color w:val="000000"/>
                    <w:sz w:val="22"/>
                    <w:szCs w:val="22"/>
                    <w:lang w:eastAsia="lt-LT"/>
                  </w:rPr>
                  <w:t>Antra pastaba. Vandenilio įstatymo projekte nenaudojama sąvoka „tiekėjo pakeitimo mokestis“, tačiau Vandenilio įstatymo projekto 51 straipsni</w:t>
                </w:r>
                <w:r>
                  <w:rPr>
                    <w:i/>
                    <w:iCs/>
                    <w:color w:val="000000"/>
                    <w:sz w:val="22"/>
                    <w:szCs w:val="22"/>
                    <w:lang w:eastAsia="lt-LT"/>
                  </w:rPr>
                  <w:t>o 1 dalis</w:t>
                </w:r>
                <w:r>
                  <w:rPr>
                    <w:i/>
                    <w:color w:val="000000"/>
                    <w:sz w:val="22"/>
                    <w:szCs w:val="22"/>
                    <w:lang w:eastAsia="lt-LT"/>
                  </w:rPr>
                  <w:t xml:space="preserve"> nustato, kad „Buitinis vartotojas, maža įmonė ir labai maža įmonė, kaip jos apibrėžiamos Smulkiojo ir vidutinio verslo plėtros įstatyme,  turi teisę bet kuriuo metu keisti vandenilio tiekėją be papildomų mokesčių ar sankcijų, kuriuos tiekėjai, rinkos dalyviai ar sistemos operatoriai tiesiogiai ar netiesiogiai taiko vartotojams, kai jie pakeičia tiekėją&lt;...&gt;“. </w:t>
                </w:r>
                <w:r>
                  <w:rPr>
                    <w:i/>
                    <w:iCs/>
                    <w:color w:val="000000"/>
                    <w:sz w:val="22"/>
                    <w:szCs w:val="22"/>
                    <w:lang w:eastAsia="lt-LT"/>
                  </w:rPr>
                  <w:t>Kadangi 51 straipsnio 1 dalies tekstas išsamiai paaiškina, kokie mokesčius ar sankcijos turimi omenyje (t. y. tokie, kuriuos tiekėjas, rinkos dalyviai ar sistemos operatoriai tiesiogiai ar netiesiogiai taiko vartotojams) ir tai yra vienintelė vieta, kurioje reguliuojamas šis aspektas, atskiras terminas į Vandenilio įstatymo projektą neįtraukiamas.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68) </w:t>
                </w:r>
                <w:r>
                  <w:rPr>
                    <w:color w:val="000000"/>
                    <w:sz w:val="22"/>
                    <w:szCs w:val="22"/>
                    <w:lang w:eastAsia="lt-LT"/>
                  </w:rPr>
                  <w:t>sąskaitų informacija</w:t>
                </w:r>
                <w:r>
                  <w:rPr>
                    <w:sz w:val="22"/>
                    <w:szCs w:val="22"/>
                    <w:lang w:eastAsia="lt-LT"/>
                  </w:rPr>
                  <w:t xml:space="preserve"> – galutinio vartotojo sąskaitoje pateikiama informacija, išskyrus mokėjimo pranešimą;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333333"/>
                    <w:sz w:val="22"/>
                    <w:szCs w:val="22"/>
                    <w:lang w:eastAsia="lt-LT"/>
                  </w:rPr>
                </w:pPr>
                <w:r>
                  <w:rPr>
                    <w:b/>
                    <w:bCs/>
                    <w:color w:val="333333"/>
                    <w:sz w:val="22"/>
                    <w:szCs w:val="22"/>
                    <w:lang w:eastAsia="lt-LT"/>
                  </w:rPr>
                  <w:t>18. Sąskaitos informacija – galutinio vartotojo sąskaitoje pateikiama informacija, išskyrus mokėjimo pranešimą.</w:t>
                </w:r>
              </w:p>
              <w:p>
                <w:pPr>
                  <w:shd w:val="clear" w:color="auto" w:fill="FFFFFF"/>
                  <w:jc w:val="both"/>
                  <w:rPr>
                    <w:b/>
                    <w:bCs/>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tiekimo ir vartojimo taisyklės</w:t>
                </w:r>
              </w:p>
              <w:p>
                <w:pPr>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102.4. nemokamai teikti vartotojams informaciją apie efektyvų dujų vartojimą, teikiamas paslaugas, paslaugų teikimo sąlygas, paslaugų ir dujų kainas bei tarifus, numatomus sutarties pakeitimus ir kitą Gamtinių dujų įstatyme, kituose teisės aktuose bei sutartyje nustatyta tvarka reikalaujamą pateikti informaciją, taip pat vartotojams, išskyrus tuos vartotojus, kurie dujas naudoja tik maistui ruošti, be papildomo mokesčio teikti mokėjimų dokumentus su informacija apie faktinį (Taisyklių 110</w:t>
                </w:r>
                <w:r>
                  <w:rPr>
                    <w:color w:val="000000"/>
                    <w:sz w:val="22"/>
                    <w:szCs w:val="22"/>
                    <w:vertAlign w:val="superscript"/>
                    <w:lang w:val="lt" w:eastAsia="lt-LT"/>
                  </w:rPr>
                  <w:t>1</w:t>
                </w:r>
                <w:r>
                  <w:rPr>
                    <w:color w:val="000000"/>
                    <w:sz w:val="22"/>
                    <w:szCs w:val="22"/>
                    <w:lang w:val="lt" w:eastAsia="lt-LT"/>
                  </w:rPr>
                  <w:t xml:space="preserve"> papunktyje nustatyta tvarka apskaičiuotą dujų kiekį) dujų suvartojimą ir palyginamąjį praėjusių metų to paties laikotarpio suvartojimą. Taip pat, vartotojo prašymu bei atsižvelgiant į vartotojo dujų suvartojimą, tiekimo įmonė raštu ir (ar) elektroninių ryšių priemonėmis pateikia aiškius ir suprantamus pasiūlymus dėl dujų kainų. Mokėjimų dokumentai vartotojams pateikiami ne rečiau kaip du kartus per metus, o vartotojo prašymu, arba kai vartotojas pasirinko gauti mokėjimų dokumentus elektroniniu būdu – ne rečiau kaip kas ketvirtį;</w:t>
                </w:r>
              </w:p>
              <w:p>
                <w:pPr>
                  <w:shd w:val="clear" w:color="auto" w:fill="FFFFFF"/>
                  <w:jc w:val="both"/>
                  <w:rPr>
                    <w:b/>
                    <w:bCs/>
                    <w:color w:val="000000"/>
                    <w:sz w:val="22"/>
                    <w:szCs w:val="22"/>
                    <w:lang w:eastAsia="lt-LT"/>
                  </w:rPr>
                </w:pPr>
              </w:p>
              <w:p>
                <w:pPr>
                  <w:jc w:val="both"/>
                  <w:rPr>
                    <w:i/>
                    <w:color w:val="000000"/>
                    <w:sz w:val="22"/>
                    <w:szCs w:val="22"/>
                    <w:lang w:eastAsia="lt-LT"/>
                  </w:rPr>
                </w:pPr>
                <w:r>
                  <w:rPr>
                    <w:color w:val="000000"/>
                    <w:sz w:val="22"/>
                    <w:szCs w:val="22"/>
                    <w:lang w:eastAsia="lt-LT"/>
                  </w:rPr>
                  <w:t>Pastaba. Sąvoka bus</w:t>
                </w:r>
                <w:r>
                  <w:rPr>
                    <w:i/>
                    <w:iCs/>
                    <w:color w:val="000000"/>
                    <w:sz w:val="22"/>
                    <w:szCs w:val="22"/>
                    <w:lang w:eastAsia="lt-LT"/>
                  </w:rPr>
                  <w:t xml:space="preserve"> perkelta į nacionalinę teisę parengus ir priėmus gamtinių dujų tiekimo ir vartojimo taisyklių pakeitimo projektą.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69) įprastas skaitiklis – analoginis ar elektroninis skaitiklis, neturintis galimybės perduoti ir priimti duomenis;</w:t>
                </w:r>
              </w:p>
            </w:tc>
            <w:tc>
              <w:tcPr>
                <w:tcW w:w="9407" w:type="dxa"/>
                <w:gridSpan w:val="3"/>
              </w:tcPr>
              <w:p>
                <w:pPr>
                  <w:shd w:val="clear" w:color="auto" w:fill="FFFFFF"/>
                  <w:jc w:val="both"/>
                  <w:rPr>
                    <w:i/>
                    <w:color w:val="000000"/>
                    <w:sz w:val="22"/>
                    <w:szCs w:val="22"/>
                    <w:lang w:eastAsia="lt-LT"/>
                  </w:rPr>
                </w:pPr>
                <w:r>
                  <w:rPr>
                    <w:i/>
                    <w:iCs/>
                    <w:color w:val="000000"/>
                    <w:sz w:val="22"/>
                    <w:szCs w:val="22"/>
                    <w:lang w:eastAsia="lt-LT"/>
                  </w:rPr>
                  <w:t>Pastaba. Direktyvoje sąsajoje su vandenilio sektoriaus nuostatomis įprastinio skaitiklio sąvoka nenaudojama.</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energetikos ministro 2013 m. gruodžio 27 d. įsakymas Nr. 1-245 „Dėl Gamtinių dujų apskaitos tvarkos aprašo patvirtinimo“</w:t>
                </w:r>
              </w:p>
              <w:p>
                <w:pPr>
                  <w:shd w:val="clear" w:color="auto" w:fill="FFFFFF"/>
                  <w:jc w:val="both"/>
                  <w:rPr>
                    <w:color w:val="000000"/>
                    <w:sz w:val="22"/>
                    <w:szCs w:val="22"/>
                    <w:lang w:eastAsia="lt-LT"/>
                  </w:rPr>
                </w:pPr>
              </w:p>
              <w:p>
                <w:pPr>
                  <w:shd w:val="clear" w:color="auto" w:fill="FFFFFF"/>
                  <w:jc w:val="both"/>
                  <w:rPr>
                    <w:rFonts w:eastAsia="Times New Roman, Aptos"/>
                    <w:color w:val="000000"/>
                    <w:sz w:val="22"/>
                    <w:szCs w:val="22"/>
                    <w:lang w:eastAsia="lt-LT"/>
                  </w:rPr>
                </w:pPr>
                <w:r>
                  <w:rPr>
                    <w:rFonts w:eastAsia="Times New Roman, Aptos"/>
                    <w:color w:val="000000"/>
                    <w:sz w:val="22"/>
                    <w:szCs w:val="22"/>
                    <w:lang w:eastAsia="lt-LT"/>
                  </w:rPr>
                  <w:t xml:space="preserve">10.5. </w:t>
                </w:r>
                <w:r>
                  <w:rPr>
                    <w:rFonts w:eastAsia="Times New Roman, Aptos"/>
                    <w:b/>
                    <w:color w:val="000000"/>
                    <w:sz w:val="22"/>
                    <w:szCs w:val="22"/>
                    <w:lang w:eastAsia="lt-LT"/>
                  </w:rPr>
                  <w:t>Gamtinių dujų kiekio matavimo priemonė</w:t>
                </w:r>
                <w:r>
                  <w:rPr>
                    <w:rFonts w:eastAsia="Times New Roman, Aptos"/>
                    <w:color w:val="000000"/>
                    <w:sz w:val="22"/>
                    <w:szCs w:val="22"/>
                    <w:lang w:eastAsia="lt-LT"/>
                  </w:rPr>
                  <w:t xml:space="preserve"> (toliau – matavimo priemonė) – gamtinių dujų skaitiklis, dujų tūrio korektorius, tūrio konvertavimo įtaisas, kurie naudojami dujų kiekiui matuoti.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825"/>
            </w:trPr>
            <w:tc>
              <w:tcPr>
                <w:tcW w:w="3913" w:type="dxa"/>
              </w:tcPr>
              <w:p>
                <w:pPr>
                  <w:shd w:val="clear" w:color="auto" w:fill="FFFFFF"/>
                  <w:rPr>
                    <w:color w:val="000000"/>
                    <w:sz w:val="22"/>
                    <w:szCs w:val="22"/>
                    <w:lang w:eastAsia="lt-LT"/>
                  </w:rPr>
                </w:pPr>
                <w:r>
                  <w:rPr>
                    <w:color w:val="000000"/>
                    <w:sz w:val="22"/>
                    <w:szCs w:val="22"/>
                    <w:lang w:eastAsia="lt-LT"/>
                  </w:rPr>
                  <w:t>70) išmanioji apskaitos sistema – elektroninė sistema, kuria galima išmatuoti į tinklą įleidžiamų arba iš tinklo suvartojamų gamtinių dujų arba vandenilio kiekį ir gauti daugiau informacijos nei naudojant įprastą skaitiklį ir kuri, naudodama elektroninį ryšį, gali perduoti ir priimti duomenis informacijos, stebėjimo ir kontrolės tikslais;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22. </w:t>
                </w:r>
                <w:r>
                  <w:rPr>
                    <w:b/>
                    <w:bCs/>
                    <w:color w:val="000000"/>
                    <w:sz w:val="22"/>
                    <w:szCs w:val="22"/>
                    <w:lang w:eastAsia="lt-LT"/>
                  </w:rPr>
                  <w:t>Išmanioji energijos apskaitos sistema</w:t>
                </w:r>
                <w:r>
                  <w:rPr>
                    <w:color w:val="000000"/>
                    <w:sz w:val="22"/>
                    <w:szCs w:val="22"/>
                    <w:lang w:eastAsia="lt-LT"/>
                  </w:rPr>
                  <w:t>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p>
                <w:pPr>
                  <w:jc w:val="both"/>
                  <w:rPr>
                    <w:color w:val="000000"/>
                    <w:sz w:val="22"/>
                    <w:szCs w:val="22"/>
                    <w:lang w:eastAsia="lt-LT"/>
                  </w:rPr>
                </w:pPr>
                <w:r>
                  <w:rPr>
                    <w:i/>
                    <w:iCs/>
                    <w:color w:val="000000"/>
                    <w:sz w:val="22"/>
                    <w:szCs w:val="22"/>
                    <w:lang w:eastAsia="lt-LT"/>
                  </w:rPr>
                  <w:t>Papildyta straipsnio dalimi:</w:t>
                </w:r>
              </w:p>
              <w:p>
                <w:pPr>
                  <w:jc w:val="both"/>
                  <w:rPr>
                    <w:color w:val="000000"/>
                    <w:sz w:val="22"/>
                    <w:szCs w:val="22"/>
                    <w:lang w:eastAsia="lt-LT"/>
                  </w:rPr>
                </w:pPr>
                <w:r>
                  <w:rPr>
                    <w:i/>
                    <w:iCs/>
                    <w:color w:val="000000"/>
                    <w:sz w:val="22"/>
                    <w:szCs w:val="22"/>
                    <w:lang w:eastAsia="lt-LT"/>
                  </w:rPr>
                  <w:t>Nr. </w:t>
                </w:r>
                <w:hyperlink r:id="rId12" w:tgtFrame="_parent" w:history="1">
                  <w:r>
                    <w:rPr>
                      <w:i/>
                      <w:sz w:val="22"/>
                      <w:szCs w:val="22"/>
                      <w:lang w:eastAsia="lt-LT"/>
                    </w:rPr>
                    <w:t>XIII-603</w:t>
                  </w:r>
                </w:hyperlink>
                <w:r>
                  <w:rPr>
                    <w:i/>
                    <w:iCs/>
                    <w:color w:val="000000"/>
                    <w:sz w:val="22"/>
                    <w:szCs w:val="22"/>
                    <w:lang w:eastAsia="lt-LT"/>
                  </w:rPr>
                  <w:t>, 2017-07-04, paskelbta TAR 2017-07-17, i. k. 2017-12304</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3" w:tgtFrame="_parent" w:history="1">
                  <w:r>
                    <w:rPr>
                      <w:i/>
                      <w:sz w:val="22"/>
                      <w:szCs w:val="22"/>
                      <w:lang w:eastAsia="lt-LT"/>
                    </w:rPr>
                    <w:t>XIV-630</w:t>
                  </w:r>
                </w:hyperlink>
                <w:r>
                  <w:rPr>
                    <w:i/>
                    <w:iCs/>
                    <w:color w:val="000000"/>
                    <w:sz w:val="22"/>
                    <w:szCs w:val="22"/>
                    <w:lang w:eastAsia="lt-LT"/>
                  </w:rPr>
                  <w:t>, 2021-11-11, paskelbta TAR 2021-11-25, i. k. 2021-24222</w:t>
                </w:r>
              </w:p>
              <w:p>
                <w:pPr>
                  <w:tabs>
                    <w:tab w:val="left" w:pos="10076"/>
                    <w:tab w:val="left" w:pos="10992"/>
                    <w:tab w:val="left" w:pos="11908"/>
                    <w:tab w:val="left" w:pos="12824"/>
                    <w:tab w:val="left" w:pos="13740"/>
                    <w:tab w:val="left" w:pos="14656"/>
                  </w:tabs>
                  <w:suppressAutoHyphens/>
                  <w:spacing w:line="259" w:lineRule="auto"/>
                  <w:ind w:firstLine="57"/>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4.Pakeisti 2 straipsnio 14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„14. Energija – elektros energija, šilumos energija ir (ar) vėsumos energija. Energija yra laikoma preke. Šio įstatymo tikslais energijai priskiriamos gamtinės dujos, vandenilis ir centralizuotai tiekiamos suskystintos naftos dujos.“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8</w:t>
                </w:r>
                <w:r>
                  <w:rPr>
                    <w:b/>
                    <w:color w:val="000000"/>
                    <w:sz w:val="22"/>
                    <w:szCs w:val="22"/>
                    <w:lang w:eastAsia="ar-SA"/>
                  </w:rPr>
                  <w:t xml:space="preserve">. </w:t>
                </w:r>
                <w:r>
                  <w:rPr>
                    <w:b/>
                    <w:bCs/>
                    <w:color w:val="000000"/>
                    <w:sz w:val="22"/>
                    <w:szCs w:val="22"/>
                    <w:lang w:eastAsia="ar-SA"/>
                  </w:rPr>
                  <w:t>Išmanioji vandenilio apskaitos sistema</w:t>
                </w:r>
                <w:r>
                  <w:rPr>
                    <w:b/>
                    <w:color w:val="000000"/>
                    <w:sz w:val="22"/>
                    <w:szCs w:val="22"/>
                    <w:lang w:eastAsia="ar-SA"/>
                  </w:rPr>
                  <w:t xml:space="preserve"> </w:t>
                </w:r>
                <w:r>
                  <w:rPr>
                    <w:b/>
                    <w:bCs/>
                    <w:color w:val="000000"/>
                    <w:sz w:val="22"/>
                    <w:szCs w:val="22"/>
                    <w:lang w:eastAsia="ar-SA"/>
                  </w:rPr>
                  <w:t xml:space="preserve">– elektroninė sistema, kuria galima išmatuoti į vandenilio tinklą įleidžiamo arba iš tinklo suvartojamo vandenilio kiekį ir gauti daugiau informacijos nei naudojant įprastą apskaitos prietaisą ir kuri gali elektroniniu ryšiu perduoti ir priimti duomenis informacijos, stebėjimo ir kontrolės tikslais.  </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71) sąveikumas – atliekant išmaniąją apskaitą naudojamų dviejų ar daugiau energijos ar ryšių tinklų, sistemų, prietaisų, taikomųjų programų ar komponentų gebėjimas veikti tarpusavyje ir keistis bei naudotis informacija, kad galėtų atlikti reikalingas funkcijas;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000000"/>
                    <w:sz w:val="22"/>
                    <w:szCs w:val="22"/>
                    <w:lang w:eastAsia="lt-LT"/>
                  </w:rPr>
                  <w:t>19. Sąveikumas</w:t>
                </w:r>
                <w:r>
                  <w:rPr>
                    <w:color w:val="000000"/>
                    <w:sz w:val="22"/>
                    <w:szCs w:val="22"/>
                    <w:lang w:eastAsia="lt-LT"/>
                  </w:rPr>
                  <w:t xml:space="preserve"> – </w:t>
                </w:r>
                <w:r>
                  <w:rPr>
                    <w:b/>
                    <w:bCs/>
                    <w:color w:val="000000"/>
                    <w:sz w:val="22"/>
                    <w:szCs w:val="22"/>
                    <w:lang w:eastAsia="lt-LT"/>
                  </w:rPr>
                  <w:t>atliekant išmaniąją apskaitą naudojamų dviejų ar daugiau energijos ar ryšių tinklų, sistemų, prietaisų, taikomųjų programų ar komponentų gebėjimas veikti tarpusavyje ir keistis bei naudotis informacija, kad galėtų atlikti reikalingas funkcijas.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722"/>
                  </w:tabs>
                  <w:jc w:val="both"/>
                  <w:rPr>
                    <w:sz w:val="22"/>
                    <w:szCs w:val="22"/>
                    <w:lang w:eastAsia="lt-LT"/>
                  </w:rPr>
                </w:pPr>
                <w:r>
                  <w:rPr>
                    <w:sz w:val="22"/>
                    <w:szCs w:val="22"/>
                    <w:lang w:eastAsia="lt-LT"/>
                  </w:rPr>
                  <w:t xml:space="preserve">72) </w:t>
                </w:r>
                <w:r>
                  <w:rPr>
                    <w:color w:val="000000"/>
                    <w:sz w:val="22"/>
                    <w:szCs w:val="22"/>
                    <w:lang w:eastAsia="lt-LT"/>
                  </w:rPr>
                  <w:t>naujausi turimi</w:t>
                </w:r>
                <w:r>
                  <w:rPr>
                    <w:sz w:val="22"/>
                    <w:szCs w:val="22"/>
                    <w:lang w:eastAsia="lt-LT"/>
                  </w:rPr>
                  <w:t xml:space="preserve"> – tokie išmaniosios apskaitos duomenys, kurie pateikiami laikotarpiu, atitinkančiu trumpiausią nacionalinėje rinkoje taikomą atsiskaitymo laikotarpį;</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Pirma pastaba. Terminas „naujausi turimi“ Vandenilio įstatymo projekte nenaudojamas. Todėl jis į Vandenilio įstatymo projektą neperkeltas.</w:t>
                </w:r>
              </w:p>
              <w:p>
                <w:pPr>
                  <w:shd w:val="clear" w:color="auto" w:fill="FFFFFF"/>
                  <w:jc w:val="both"/>
                  <w:rPr>
                    <w:i/>
                    <w:color w:val="000000"/>
                    <w:sz w:val="22"/>
                    <w:szCs w:val="22"/>
                    <w:lang w:eastAsia="lt-LT"/>
                  </w:rPr>
                </w:pPr>
                <w:r>
                  <w:rPr>
                    <w:i/>
                    <w:iCs/>
                    <w:color w:val="000000"/>
                    <w:sz w:val="22"/>
                    <w:szCs w:val="22"/>
                    <w:lang w:eastAsia="lt-LT"/>
                  </w:rPr>
                  <w:t>Antra pastaba</w:t>
                </w:r>
                <w:r>
                  <w:rPr>
                    <w:i/>
                    <w:color w:val="000000"/>
                    <w:sz w:val="22"/>
                    <w:szCs w:val="22"/>
                    <w:lang w:eastAsia="lt-LT"/>
                  </w:rPr>
                  <w:t>.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73) geriausi turimi būdai – duomenų apsaugos ir saugumo užtikrinimo išmaniosios apskaitos aplinkoje atveju tai yra veiksmingiausi, pažangiausi ir praktiškai tinkamiausi būdai, kuriais iš esmės užtikrinamas Sąjungos duomenų apsaugos ir saugumo taisyklių laikymasis;</w:t>
                </w:r>
              </w:p>
            </w:tc>
            <w:tc>
              <w:tcPr>
                <w:tcW w:w="9407" w:type="dxa"/>
                <w:gridSpan w:val="3"/>
                <w:vAlign w:val="center"/>
              </w:tcPr>
              <w:p>
                <w:pPr>
                  <w:shd w:val="clear" w:color="auto" w:fill="FFFFFF"/>
                  <w:jc w:val="both"/>
                  <w:rPr>
                    <w:i/>
                    <w:color w:val="000000"/>
                    <w:sz w:val="22"/>
                    <w:szCs w:val="22"/>
                    <w:lang w:eastAsia="lt-LT"/>
                  </w:rPr>
                </w:pPr>
                <w:r>
                  <w:rPr>
                    <w:i/>
                    <w:iCs/>
                    <w:color w:val="000000"/>
                    <w:sz w:val="22"/>
                    <w:szCs w:val="22"/>
                    <w:lang w:eastAsia="lt-LT"/>
                  </w:rPr>
                  <w:t>Pirma pastaba</w:t>
                </w:r>
                <w:r>
                  <w:rPr>
                    <w:i/>
                    <w:color w:val="000000"/>
                    <w:sz w:val="22"/>
                    <w:szCs w:val="22"/>
                    <w:lang w:eastAsia="lt-LT"/>
                  </w:rPr>
                  <w:t>.</w:t>
                </w:r>
                <w:r>
                  <w:rPr>
                    <w:i/>
                    <w:iCs/>
                    <w:color w:val="000000"/>
                    <w:sz w:val="22"/>
                    <w:szCs w:val="22"/>
                    <w:lang w:eastAsia="lt-LT"/>
                  </w:rPr>
                  <w:t xml:space="preserve"> </w:t>
                </w:r>
                <w:r>
                  <w:rPr>
                    <w:i/>
                    <w:color w:val="000000"/>
                    <w:sz w:val="22"/>
                    <w:szCs w:val="22"/>
                    <w:lang w:eastAsia="lt-LT"/>
                  </w:rPr>
                  <w:t>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r>
                  <w:rPr>
                    <w:i/>
                    <w:iCs/>
                    <w:color w:val="000000"/>
                    <w:sz w:val="22"/>
                    <w:szCs w:val="22"/>
                    <w:lang w:eastAsia="lt-LT"/>
                  </w:rPr>
                  <w:t>Antra pastaba. Vandenilio įstatymo projekte terminas „Geriausi turimi būdai“ naudojamas vieną kartą. Paaiškinimas, kas turima omenyje naudojant šį terminą, įdėtas į 10 straipsnio 7 dalies tekstą.</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10 straipsnis. Vandenilio tiekimas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spacing w:line="276" w:lineRule="auto"/>
                  <w:ind w:right="57"/>
                  <w:jc w:val="both"/>
                  <w:rPr>
                    <w:b/>
                    <w:bCs/>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74) energijos nepriteklius – energijos nepriteklius,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52 punkte;</w:t>
                </w:r>
              </w:p>
            </w:tc>
            <w:tc>
              <w:tcPr>
                <w:tcW w:w="9407" w:type="dxa"/>
                <w:gridSpan w:val="3"/>
              </w:tcPr>
              <w:p>
                <w:pPr>
                  <w:jc w:val="both"/>
                  <w:rPr>
                    <w:b/>
                    <w:color w:val="000000"/>
                    <w:sz w:val="22"/>
                    <w:szCs w:val="22"/>
                    <w:lang w:eastAsia="lt-LT"/>
                  </w:rPr>
                </w:pPr>
                <w:r>
                  <w:rPr>
                    <w:b/>
                    <w:bCs/>
                    <w:color w:val="000000"/>
                    <w:sz w:val="22"/>
                    <w:szCs w:val="22"/>
                    <w:lang w:eastAsia="lt-LT"/>
                  </w:rPr>
                  <w:t>Energetikos įstatymo pakeitimo įstatymas Nr. XV-</w:t>
                </w:r>
                <w:r>
                  <w:rPr>
                    <w:b/>
                    <w:color w:val="000000"/>
                    <w:sz w:val="22"/>
                    <w:szCs w:val="22"/>
                    <w:lang w:eastAsia="lt-LT"/>
                  </w:rPr>
                  <w:t>238</w:t>
                </w:r>
              </w:p>
              <w:p>
                <w:pPr>
                  <w:jc w:val="both"/>
                  <w:rPr>
                    <w:b/>
                    <w:color w:val="000000"/>
                    <w:sz w:val="22"/>
                    <w:szCs w:val="22"/>
                    <w:lang w:eastAsia="lt-LT"/>
                  </w:rPr>
                </w:pPr>
                <w:r>
                  <w:rPr>
                    <w:b/>
                    <w:bCs/>
                    <w:color w:val="000000"/>
                    <w:sz w:val="22"/>
                    <w:szCs w:val="22"/>
                    <w:lang w:eastAsia="lt-LT"/>
                  </w:rPr>
                  <w:t>1 straipsnis. 2 straipsnio pakeitimas</w:t>
                </w:r>
              </w:p>
              <w:p>
                <w:pPr>
                  <w:jc w:val="both"/>
                  <w:rPr>
                    <w:b/>
                    <w:color w:val="000000"/>
                    <w:sz w:val="22"/>
                    <w:szCs w:val="22"/>
                    <w:lang w:eastAsia="lt-LT"/>
                  </w:rPr>
                </w:pPr>
                <w:r>
                  <w:rPr>
                    <w:b/>
                    <w:bCs/>
                    <w:color w:val="000000"/>
                    <w:sz w:val="22"/>
                    <w:szCs w:val="22"/>
                    <w:lang w:eastAsia="lt-LT"/>
                  </w:rPr>
                  <w:t>1. Papildyti 2 straipsnį 15</w:t>
                </w:r>
                <w:r>
                  <w:rPr>
                    <w:b/>
                    <w:bCs/>
                    <w:color w:val="000000"/>
                    <w:sz w:val="22"/>
                    <w:szCs w:val="22"/>
                    <w:vertAlign w:val="superscript"/>
                    <w:lang w:eastAsia="lt-LT"/>
                  </w:rPr>
                  <w:t>1</w:t>
                </w:r>
                <w:r>
                  <w:rPr>
                    <w:b/>
                    <w:bCs/>
                    <w:color w:val="000000"/>
                    <w:sz w:val="22"/>
                    <w:szCs w:val="22"/>
                    <w:lang w:eastAsia="lt-LT"/>
                  </w:rPr>
                  <w:t> dalimi:</w:t>
                </w:r>
              </w:p>
              <w:p>
                <w:pPr>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w:t>
                </w:r>
                <w:r>
                  <w:rPr>
                    <w:b/>
                    <w:bCs/>
                    <w:color w:val="000000"/>
                    <w:sz w:val="22"/>
                    <w:szCs w:val="22"/>
                    <w:lang w:eastAsia="lt-LT"/>
                  </w:rPr>
                  <w:t>Energijos nepriteklius</w:t>
                </w:r>
                <w:r>
                  <w:rPr>
                    <w:color w:val="000000"/>
                    <w:sz w:val="22"/>
                    <w:szCs w:val="22"/>
                    <w:lang w:eastAsia="lt-LT"/>
                  </w:rPr>
                  <w:t> – namų ūkio padėtis, kai stokojama galimybių pasinaudoti pagrindinėmis energetikos paslaugomis, kuriomis užtikrinamas įprastas patogumo, gyvenimo ir sveikatos lygis, įskaitant tinkamą šilumos, karšto vandens ir vėsumos tiekimą, apšvietimą ir buitiniams prietaisams būtiną elektros energiją, ir kai tokia padėtis susidaro dėl to, kad pastatas, kuriame yra namų ūkis, neatitinka nustatytų minimalių pastato statybos metų, energinio naudingumo, higienos reikalavimų ir (ar) namų ūkio pajamos neatitinka nustatytų namų ūkio pajamų reikalavimų.“</w:t>
                </w:r>
              </w:p>
              <w:p>
                <w:pPr>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75) aktyvusis vartotojas – galutinis gamtinių dujų vartotojas arba kartu veikiančių galutinių gamtinių dujų vartotojų grupė, kuris (-i):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a) vartoja ar laiko dujas iš atsinaujinančiųjų išteklių, kurios gaminamos: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 jų patalpose, esančiose ribotose valdose,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kitose patalpose, jei tai leidžia atitinkama valstybė narė;</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b) jei nurodyta jo veikla nėra galutinio vartotojo pirminė komercinė ar profesinė veikla ir ji atitinka dujų iš atsinaujinančiųjų išteklių gamybai taikytiną teisę, visų pirma, susijusią su išmetamu šiltnamio efektą sukeliančių dujų kiekiu: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86"/>
                  </w:tabs>
                  <w:jc w:val="both"/>
                  <w:rPr>
                    <w:sz w:val="22"/>
                    <w:szCs w:val="22"/>
                    <w:lang w:eastAsia="lt-LT"/>
                  </w:rPr>
                </w:pPr>
                <w:r>
                  <w:rPr>
                    <w:sz w:val="22"/>
                    <w:szCs w:val="22"/>
                    <w:lang w:eastAsia="lt-LT"/>
                  </w:rPr>
                  <w:t>i) parduoda savo pagamintas dujas iš atsinaujinančiųjų išteklių naudodamiesi gamtinių dujų sistema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dalyvauja lankstumo programose arba energijos vartojimo efektyvumo sistemose;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76) principas „svarbiausia – energijos vartojimo efektyvumas“ – energijos vartojimo efektyvumo pirmenybės principas, kaip apibrėžta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2 straipsnio 18 punkte;</w:t>
                </w:r>
              </w:p>
            </w:tc>
            <w:tc>
              <w:tcPr>
                <w:tcW w:w="9407" w:type="dxa"/>
                <w:gridSpan w:val="3"/>
              </w:tcPr>
              <w:p>
                <w:pPr>
                  <w:jc w:val="both"/>
                  <w:textAlignment w:val="baseline"/>
                  <w:rPr>
                    <w:color w:val="000000"/>
                    <w:sz w:val="22"/>
                    <w:szCs w:val="22"/>
                    <w:lang w:eastAsia="lt-LT"/>
                  </w:rPr>
                </w:pPr>
                <w:r>
                  <w:rPr>
                    <w:b/>
                    <w:bCs/>
                    <w:color w:val="000000"/>
                    <w:sz w:val="22"/>
                    <w:szCs w:val="22"/>
                    <w:lang w:eastAsia="lt-LT"/>
                  </w:rPr>
                  <w:t>EVEDĮ Nr. XV-237</w:t>
                </w:r>
                <w:r>
                  <w:rPr>
                    <w:color w:val="000000"/>
                    <w:sz w:val="22"/>
                    <w:szCs w:val="22"/>
                    <w:lang w:eastAsia="lt-LT"/>
                  </w:rPr>
                  <w:t> </w:t>
                </w:r>
              </w:p>
              <w:p>
                <w:pPr>
                  <w:jc w:val="both"/>
                  <w:textAlignment w:val="baseline"/>
                  <w:rPr>
                    <w:color w:val="000000"/>
                    <w:sz w:val="22"/>
                    <w:szCs w:val="22"/>
                    <w:lang w:eastAsia="lt-LT"/>
                  </w:rPr>
                </w:pPr>
                <w:r>
                  <w:rPr>
                    <w:b/>
                    <w:bCs/>
                    <w:color w:val="000000"/>
                    <w:sz w:val="22"/>
                    <w:szCs w:val="22"/>
                    <w:lang w:eastAsia="lt-LT"/>
                  </w:rPr>
                  <w:t>3 straipsnis. Lietuvos Respublikos energijos vartojimo efektyvumo didinimo įstatymo Nr. XII-2702 nauja redakcija</w:t>
                </w:r>
                <w:r>
                  <w:rPr>
                    <w:color w:val="000000"/>
                    <w:sz w:val="22"/>
                    <w:szCs w:val="22"/>
                    <w:lang w:eastAsia="lt-LT"/>
                  </w:rPr>
                  <w:t> </w:t>
                </w:r>
              </w:p>
              <w:p>
                <w:pPr>
                  <w:jc w:val="both"/>
                  <w:textAlignment w:val="baseline"/>
                  <w:rPr>
                    <w:color w:val="000000"/>
                    <w:sz w:val="22"/>
                    <w:szCs w:val="22"/>
                    <w:lang w:eastAsia="lt-LT"/>
                  </w:rPr>
                </w:pPr>
                <w:r>
                  <w:rPr>
                    <w:color w:val="000000"/>
                    <w:sz w:val="22"/>
                    <w:szCs w:val="22"/>
                    <w:lang w:eastAsia="lt-LT"/>
                  </w:rPr>
                  <w:t>Pakeisti Lietuvos Respublikos energijos vartojimo efektyvumo didinimo įstatymą Nr. XII-2702 ir jį išdėstyti taip: </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color w:val="000000"/>
                    <w:sz w:val="22"/>
                    <w:szCs w:val="22"/>
                    <w:lang w:eastAsia="lt-LT"/>
                  </w:rPr>
                </w:pPr>
                <w:r>
                  <w:rPr>
                    <w:b/>
                    <w:bCs/>
                    <w:color w:val="000000"/>
                    <w:sz w:val="22"/>
                    <w:szCs w:val="22"/>
                    <w:lang w:eastAsia="lt-LT"/>
                  </w:rPr>
                  <w:t>3 straipsnis. Energijos vartojimo efektyvumo didinimo principai</w:t>
                </w:r>
              </w:p>
              <w:p>
                <w:pPr>
                  <w:jc w:val="both"/>
                  <w:textAlignment w:val="baseline"/>
                  <w:rPr>
                    <w:color w:val="000000"/>
                    <w:sz w:val="22"/>
                    <w:szCs w:val="22"/>
                    <w:lang w:eastAsia="lt-LT"/>
                  </w:rPr>
                </w:pPr>
                <w:r>
                  <w:rPr>
                    <w:color w:val="000000"/>
                    <w:sz w:val="22"/>
                    <w:szCs w:val="22"/>
                    <w:lang w:eastAsia="lt-LT"/>
                  </w:rPr>
                  <w:t>Energijos vartojimo efektyvumo didinimo pagrindiniai principai yra šie:</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sz w:val="22"/>
                    <w:szCs w:val="22"/>
                    <w:lang w:eastAsia="lt-LT"/>
                  </w:rPr>
                </w:pPr>
                <w:r>
                  <w:rPr>
                    <w:color w:val="000000"/>
                    <w:sz w:val="22"/>
                    <w:szCs w:val="22"/>
                    <w:lang w:eastAsia="lt-LT"/>
                  </w:rPr>
                  <w:t>4) energijos vartojimo efektyvumo didinimo pirmumo – kaip tai apibrėžta 2018 m. gruodžio 11 d. Europos Parlamento ir Tarybos reglamento </w:t>
                </w:r>
                <w:fldSimple w:instr="HYPERLINK http://eur-lex.europa.eu/legal-content/LIT/TXT/?uri=CELEX:32018R1999&amp;locale=lt \t _blank">
                  <w:r>
                    <w:rPr>
                      <w:sz w:val="22"/>
                      <w:szCs w:val="22"/>
                      <w:lang w:eastAsia="lt-LT"/>
                      <w:u w:val="single"/>
                      <w:color w:val="0000FF" w:themeColor="hyperlink"/>
                    </w:rPr>
                    <w:t>(ES) 2018/1999</w:t>
                  </w:r>
                </w:fldSimple>
                <w:r>
                  <w:rPr>
                    <w:color w:val="000000"/>
                    <w:sz w:val="22"/>
                    <w:szCs w:val="22"/>
                    <w:lang w:eastAsia="lt-LT"/>
                  </w:rPr>
                  <w:t> dėl energetikos sąjungos ir klimato politikos veiksmų valdymo, kuriuo iš dalies keičiami Europos Parlamento ir Tarybos reglamentai </w:t>
                </w:r>
                <w:fldSimple w:instr="HYPERLINK http://eur-lex.europa.eu/legal-content/LIT/TXT/?uri=CELEX:32009R0663&amp;locale=lt \t _blank">
                  <w:r>
                    <w:rPr>
                      <w:sz w:val="22"/>
                      <w:szCs w:val="22"/>
                      <w:lang w:eastAsia="lt-LT"/>
                      <w:u w:val="single"/>
                      <w:color w:val="0000FF" w:themeColor="hyperlink"/>
                    </w:rPr>
                    <w:t>(EB) Nr. 663/2009</w:t>
                  </w:r>
                </w:fldSimple>
                <w:r>
                  <w:rPr>
                    <w:color w:val="000000"/>
                    <w:sz w:val="22"/>
                    <w:szCs w:val="22"/>
                    <w:lang w:eastAsia="lt-LT"/>
                  </w:rPr>
                  <w:t> ir </w:t>
                </w:r>
                <w:fldSimple w:instr="HYPERLINK http://eur-lex.europa.eu/legal-content/LIT/TXT/?uri=CELEX:32009R0715&amp;locale=lt \t _blank">
                  <w:r>
                    <w:rPr>
                      <w:sz w:val="22"/>
                      <w:szCs w:val="22"/>
                      <w:lang w:eastAsia="lt-LT"/>
                      <w:u w:val="single"/>
                      <w:color w:val="0000FF" w:themeColor="hyperlink"/>
                    </w:rPr>
                    <w:t>(EB) Nr. 715/2009</w:t>
                  </w:r>
                </w:fldSimple>
                <w:r>
                  <w:rPr>
                    <w:color w:val="000000"/>
                    <w:sz w:val="22"/>
                    <w:szCs w:val="22"/>
                    <w:lang w:eastAsia="lt-LT"/>
                  </w:rPr>
                  <w:t>, Europos Parlamento ir Tarybos direktyvos </w:t>
                </w:r>
                <w:fldSimple w:instr="HYPERLINK http://eur-lex.europa.eu/legal-content/LIT/TXT/?uri=CELEX:31994L0022&amp;locale=lt \t _blank">
                  <w:r>
                    <w:rPr>
                      <w:sz w:val="22"/>
                      <w:szCs w:val="22"/>
                      <w:lang w:eastAsia="lt-LT"/>
                      <w:u w:val="single"/>
                      <w:color w:val="0000FF" w:themeColor="hyperlink"/>
                    </w:rPr>
                    <w:t>94/22/EB</w:t>
                  </w:r>
                </w:fldSimple>
                <w:r>
                  <w:rPr>
                    <w:color w:val="000000"/>
                    <w:sz w:val="22"/>
                    <w:szCs w:val="22"/>
                    <w:lang w:eastAsia="lt-LT"/>
                  </w:rPr>
                  <w:t>, </w:t>
                </w:r>
                <w:fldSimple w:instr="HYPERLINK http://eur-lex.europa.eu/legal-content/LIT/TXT/?uri=CELEX:31998L0070&amp;locale=lt \t _blank">
                  <w:r>
                    <w:rPr>
                      <w:sz w:val="22"/>
                      <w:szCs w:val="22"/>
                      <w:lang w:eastAsia="lt-LT"/>
                      <w:u w:val="single"/>
                      <w:color w:val="0000FF" w:themeColor="hyperlink"/>
                    </w:rPr>
                    <w:t>98/70/EB</w:t>
                  </w:r>
                </w:fldSimple>
                <w:r>
                  <w:rPr>
                    <w:color w:val="000000"/>
                    <w:sz w:val="22"/>
                    <w:szCs w:val="22"/>
                    <w:lang w:eastAsia="lt-LT"/>
                  </w:rPr>
                  <w:t>, </w:t>
                </w:r>
                <w:fldSimple w:instr="HYPERLINK http://eur-lex.europa.eu/legal-content/LIT/TXT/?uri=CELEX:32009L0031&amp;locale=lt \t _blank">
                  <w:r>
                    <w:rPr>
                      <w:sz w:val="22"/>
                      <w:szCs w:val="22"/>
                      <w:lang w:eastAsia="lt-LT"/>
                      <w:u w:val="single"/>
                      <w:color w:val="0000FF" w:themeColor="hyperlink"/>
                    </w:rPr>
                    <w:t>2009/31/EB</w:t>
                  </w:r>
                </w:fldSimple>
                <w:r>
                  <w:rPr>
                    <w:color w:val="000000"/>
                    <w:sz w:val="22"/>
                    <w:szCs w:val="22"/>
                    <w:lang w:eastAsia="lt-LT"/>
                  </w:rPr>
                  <w:t>, </w:t>
                </w:r>
                <w:fldSimple w:instr="HYPERLINK http://eur-lex.europa.eu/legal-content/LIT/TXT/?uri=CELEX:32009L0073&amp;locale=lt \t _blank">
                  <w:r>
                    <w:rPr>
                      <w:sz w:val="22"/>
                      <w:szCs w:val="22"/>
                      <w:lang w:eastAsia="lt-LT"/>
                      <w:u w:val="single"/>
                      <w:color w:val="0000FF" w:themeColor="hyperlink"/>
                    </w:rPr>
                    <w:t>2009/73/EB</w:t>
                  </w:r>
                </w:fldSimple>
                <w:r>
                  <w:rPr>
                    <w:color w:val="000000"/>
                    <w:sz w:val="22"/>
                    <w:szCs w:val="22"/>
                    <w:lang w:eastAsia="lt-LT"/>
                  </w:rPr>
                  <w:t>, </w:t>
                </w:r>
                <w:fldSimple w:instr="HYPERLINK http://eur-lex.europa.eu/legal-content/LIT/TXT/?uri=CELEX:32010L0031&amp;locale=lt \t _blank">
                  <w:r>
                    <w:rPr>
                      <w:sz w:val="22"/>
                      <w:szCs w:val="22"/>
                      <w:lang w:eastAsia="lt-LT"/>
                      <w:u w:val="single"/>
                      <w:color w:val="0000FF" w:themeColor="hyperlink"/>
                    </w:rPr>
                    <w:t>2010/31/ES</w:t>
                  </w:r>
                </w:fldSimple>
                <w:r>
                  <w:rPr>
                    <w:color w:val="000000"/>
                    <w:sz w:val="22"/>
                    <w:szCs w:val="22"/>
                    <w:lang w:eastAsia="lt-LT"/>
                  </w:rPr>
                  <w:t>, </w:t>
                </w:r>
                <w:fldSimple w:instr="HYPERLINK http://eur-lex.europa.eu/legal-content/LIT/TXT/?uri=CELEX:32012L0027&amp;locale=lt \t _blank">
                  <w:r>
                    <w:rPr>
                      <w:sz w:val="22"/>
                      <w:szCs w:val="22"/>
                      <w:lang w:eastAsia="lt-LT"/>
                      <w:u w:val="single"/>
                      <w:color w:val="0000FF" w:themeColor="hyperlink"/>
                    </w:rPr>
                    <w:t>2012/27/ES</w:t>
                  </w:r>
                </w:fldSimple>
                <w:r>
                  <w:rPr>
                    <w:color w:val="000000"/>
                    <w:sz w:val="22"/>
                    <w:szCs w:val="22"/>
                    <w:lang w:eastAsia="lt-LT"/>
                  </w:rPr>
                  <w:t> ir </w:t>
                </w:r>
                <w:fldSimple w:instr="HYPERLINK http://eur-lex.europa.eu/legal-content/LIT/TXT/?uri=CELEX:32013L0030&amp;locale=lt \t _blank">
                  <w:r>
                    <w:rPr>
                      <w:sz w:val="22"/>
                      <w:szCs w:val="22"/>
                      <w:lang w:eastAsia="lt-LT"/>
                      <w:u w:val="single"/>
                      <w:color w:val="0000FF" w:themeColor="hyperlink"/>
                    </w:rPr>
                    <w:t>2013/30/ES</w:t>
                  </w:r>
                </w:fldSimple>
                <w:r>
                  <w:rPr>
                    <w:color w:val="000000"/>
                    <w:sz w:val="22"/>
                    <w:szCs w:val="22"/>
                    <w:lang w:eastAsia="lt-LT"/>
                  </w:rPr>
                  <w:t>, Tarybos direktyvos </w:t>
                </w:r>
                <w:fldSimple w:instr="HYPERLINK http://eur-lex.europa.eu/legal-content/LIT/TXT/?uri=CELEX:32009L0119&amp;locale=lt \t _blank">
                  <w:r>
                    <w:rPr>
                      <w:sz w:val="22"/>
                      <w:szCs w:val="22"/>
                      <w:lang w:eastAsia="lt-LT"/>
                      <w:u w:val="single"/>
                      <w:color w:val="0000FF" w:themeColor="hyperlink"/>
                    </w:rPr>
                    <w:t>2009/119/EB</w:t>
                  </w:r>
                </w:fldSimple>
                <w:r>
                  <w:rPr>
                    <w:color w:val="000000"/>
                    <w:sz w:val="22"/>
                    <w:szCs w:val="22"/>
                    <w:lang w:eastAsia="lt-LT"/>
                  </w:rPr>
                  <w:t> ir </w:t>
                </w:r>
                <w:fldSimple w:instr="HYPERLINK http://eur-lex.europa.eu/legal-content/LIT/TXT/?uri=CELEX:32015L0652&amp;locale=lt \t _blank">
                  <w:r>
                    <w:rPr>
                      <w:sz w:val="22"/>
                      <w:szCs w:val="22"/>
                      <w:lang w:eastAsia="lt-LT"/>
                      <w:u w:val="single"/>
                      <w:color w:val="0000FF" w:themeColor="hyperlink"/>
                    </w:rPr>
                    <w:t>(ES) 2015/652</w:t>
                  </w:r>
                </w:fldSimple>
                <w:r>
                  <w:rPr>
                    <w:color w:val="000000"/>
                    <w:sz w:val="22"/>
                    <w:szCs w:val="22"/>
                    <w:lang w:eastAsia="lt-LT"/>
                  </w:rPr>
                  <w:t> ir panaikinamas Europos Parlamento ir Tarybos reglamentas </w:t>
                </w:r>
                <w:fldSimple w:instr="HYPERLINK http://eur-lex.europa.eu/legal-content/LIT/TXT/?uri=CELEX:32013R0525&amp;locale=lt \t _blank">
                  <w:r>
                    <w:rPr>
                      <w:sz w:val="22"/>
                      <w:szCs w:val="22"/>
                      <w:lang w:eastAsia="lt-LT"/>
                      <w:u w:val="single"/>
                      <w:color w:val="0000FF" w:themeColor="hyperlink"/>
                    </w:rPr>
                    <w:t>(ES) Nr. 525/2013</w:t>
                  </w:r>
                </w:fldSimple>
                <w:r>
                  <w:rPr>
                    <w:color w:val="000000"/>
                    <w:sz w:val="22"/>
                    <w:szCs w:val="22"/>
                    <w:lang w:eastAsia="lt-LT"/>
                  </w:rPr>
                  <w:t>, su visais pakeitimais 2 straipsnio 18 punkte.</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77) paskirties keitimas – paskirties keitimas, kaip apibrėžta Europos Parlamento ir Tarybos reglamento </w:t>
                </w:r>
                <w:fldSimple w:instr="HYPERLINK http://eur-lex.europa.eu/legal-content/LIT/TXT/?uri=CELEX:32022R0869&amp;locale=lt \t _blank">
                  <w:r>
                    <w:rPr>
                      <w:sz w:val="22"/>
                      <w:szCs w:val="22"/>
                      <w:lang w:eastAsia="lt-LT"/>
                      <w:u w:val="single"/>
                      <w:color w:val="0000FF" w:themeColor="hyperlink"/>
                    </w:rPr>
                    <w:t>(ES) 2022/869</w:t>
                  </w:r>
                </w:fldSimple>
                <w:r>
                  <w:rPr>
                    <w:sz w:val="22"/>
                    <w:szCs w:val="22"/>
                    <w:lang w:eastAsia="lt-LT"/>
                  </w:rPr>
                  <w:t xml:space="preserve"> ( </w:t>
                </w:r>
                <w:r>
                  <w:rPr>
                    <w:sz w:val="22"/>
                    <w:szCs w:val="22"/>
                    <w:vertAlign w:val="superscript"/>
                    <w:lang w:eastAsia="lt-LT"/>
                  </w:rPr>
                  <w:t>41</w:t>
                </w:r>
                <w:r>
                  <w:rPr>
                    <w:sz w:val="22"/>
                    <w:szCs w:val="22"/>
                    <w:lang w:eastAsia="lt-LT"/>
                  </w:rPr>
                  <w:t>) 2 straipsnio 18 punkte.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41</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6</w:t>
                </w:r>
                <w:r>
                  <w:rPr>
                    <w:b/>
                    <w:bCs/>
                    <w:color w:val="000000"/>
                    <w:kern w:val="2"/>
                    <w:sz w:val="22"/>
                    <w:szCs w:val="22"/>
                    <w:lang w:eastAsia="ar-SA"/>
                  </w:rPr>
                  <w:t xml:space="preserve">. </w:t>
                </w:r>
                <w:r>
                  <w:rPr>
                    <w:b/>
                    <w:bCs/>
                    <w:color w:val="000000"/>
                    <w:sz w:val="22"/>
                    <w:szCs w:val="22"/>
                    <w:lang w:eastAsia="ar-SA"/>
                  </w:rPr>
                  <w:t xml:space="preserve">Gamtinių dujų infrastruktūros paskirties keitimas –  kaip apibrėžta 2022 m. gegužės 30 d. Europos Parlamento ir Tarybos reglamento </w:t>
                </w:r>
                <w:fldSimple w:instr="HYPERLINK http://eur-lex.europa.eu/legal-content/LIT/TXT/?uri=CELEX:32022R0869&amp;locale=lt \t _blank">
                  <w:r>
                    <w:rPr>
                      <w:b/>
                      <w:bCs/>
                      <w:color w:val="0000FF" w:themeColor="hyperlink"/>
                      <w:sz w:val="22"/>
                      <w:szCs w:val="22"/>
                      <w:lang w:eastAsia="ar-SA"/>
                      <w:u w:val="single"/>
                    </w:rPr>
                    <w:t>(ES) 2022/869</w:t>
                  </w:r>
                </w:fldSimple>
                <w:r>
                  <w:rPr>
                    <w:b/>
                    <w:bCs/>
                    <w:color w:val="000000"/>
                    <w:sz w:val="22"/>
                    <w:szCs w:val="22"/>
                    <w:lang w:eastAsia="ar-SA"/>
                  </w:rPr>
                  <w:t xml:space="preserve"> dėl transeuropinės energetikos infrastruktūros gairių, kuriuo iš dalies keičiami reglamentai </w:t>
                </w:r>
                <w:fldSimple w:instr="HYPERLINK http://eur-lex.europa.eu/legal-content/LIT/TXT/?uri=CELEX:32009R0715&amp;locale=lt \t _blank">
                  <w:r>
                    <w:rPr>
                      <w:b/>
                      <w:bCs/>
                      <w:color w:val="0000FF" w:themeColor="hyperlink"/>
                      <w:sz w:val="22"/>
                      <w:szCs w:val="22"/>
                      <w:lang w:eastAsia="ar-SA"/>
                      <w:u w:val="single"/>
                    </w:rPr>
                    <w:t>(EB) Nr. 715/2009</w:t>
                  </w:r>
                </w:fldSimple>
                <w:r>
                  <w:rPr>
                    <w:b/>
                    <w:bCs/>
                    <w:color w:val="000000"/>
                    <w:sz w:val="22"/>
                    <w:szCs w:val="22"/>
                    <w:lang w:eastAsia="ar-SA"/>
                  </w:rPr>
                  <w:t xml:space="preserve">, </w:t>
                </w:r>
                <w:fldSimple w:instr="HYPERLINK http://eur-lex.europa.eu/legal-content/LIT/TXT/?uri=CELEX:32019R0942&amp;locale=lt \t _blank">
                  <w:r>
                    <w:rPr>
                      <w:b/>
                      <w:bCs/>
                      <w:color w:val="0000FF" w:themeColor="hyperlink"/>
                      <w:sz w:val="22"/>
                      <w:szCs w:val="22"/>
                      <w:lang w:eastAsia="ar-SA"/>
                      <w:u w:val="single"/>
                    </w:rPr>
                    <w:t>(ES) 2019/942</w:t>
                  </w:r>
                </w:fldSimple>
                <w:r>
                  <w:rPr>
                    <w:b/>
                    <w:bCs/>
                    <w:color w:val="000000"/>
                    <w:sz w:val="22"/>
                    <w:szCs w:val="22"/>
                    <w:lang w:eastAsia="ar-SA"/>
                  </w:rPr>
                  <w:t xml:space="preserve"> bei </w:t>
                </w:r>
                <w:fldSimple w:instr="HYPERLINK http://eur-lex.europa.eu/legal-content/LIT/TXT/?uri=CELEX:32019R0943&amp;locale=lt \t _blank">
                  <w:r>
                    <w:rPr>
                      <w:b/>
                      <w:bCs/>
                      <w:color w:val="0000FF" w:themeColor="hyperlink"/>
                      <w:sz w:val="22"/>
                      <w:szCs w:val="22"/>
                      <w:lang w:eastAsia="ar-SA"/>
                      <w:u w:val="single"/>
                    </w:rPr>
                    <w:t>(ES) 2019/943</w:t>
                  </w:r>
                </w:fldSimple>
                <w:r>
                  <w:rPr>
                    <w:b/>
                    <w:bCs/>
                    <w:color w:val="000000"/>
                    <w:sz w:val="22"/>
                    <w:szCs w:val="22"/>
                    <w:lang w:eastAsia="ar-SA"/>
                  </w:rPr>
                  <w:t xml:space="preserve"> ir direktyvos </w:t>
                </w:r>
                <w:fldSimple w:instr="HYPERLINK http://eur-lex.europa.eu/legal-content/LIT/TXT/?uri=CELEX:32009L0073&amp;locale=lt \t _blank">
                  <w:r>
                    <w:rPr>
                      <w:b/>
                      <w:bCs/>
                      <w:color w:val="0000FF" w:themeColor="hyperlink"/>
                      <w:sz w:val="22"/>
                      <w:szCs w:val="22"/>
                      <w:lang w:eastAsia="ar-SA"/>
                      <w:u w:val="single"/>
                    </w:rPr>
                    <w:t>2009/73/EB</w:t>
                  </w:r>
                </w:fldSimple>
                <w:r>
                  <w:rPr>
                    <w:b/>
                    <w:bCs/>
                    <w:color w:val="000000"/>
                    <w:sz w:val="22"/>
                    <w:szCs w:val="22"/>
                    <w:lang w:eastAsia="ar-SA"/>
                  </w:rPr>
                  <w:t xml:space="preserve"> bei </w:t>
                </w:r>
                <w:fldSimple w:instr="HYPERLINK http://eur-lex.europa.eu/legal-content/LIT/TXT/?uri=CELEX:32019L0944&amp;locale=lt \t _blank">
                  <w:r>
                    <w:rPr>
                      <w:b/>
                      <w:bCs/>
                      <w:color w:val="0000FF" w:themeColor="hyperlink"/>
                      <w:sz w:val="22"/>
                      <w:szCs w:val="22"/>
                      <w:lang w:eastAsia="ar-SA"/>
                      <w:u w:val="single"/>
                    </w:rPr>
                    <w:t>(ES) 2019/944</w:t>
                  </w:r>
                </w:fldSimple>
                <w:r>
                  <w:rPr>
                    <w:b/>
                    <w:bCs/>
                    <w:color w:val="000000"/>
                    <w:sz w:val="22"/>
                    <w:szCs w:val="22"/>
                    <w:lang w:eastAsia="ar-SA"/>
                  </w:rPr>
                  <w:t xml:space="preserve"> ir panaikinamas Reglamentas </w:t>
                </w:r>
                <w:fldSimple w:instr="HYPERLINK http://eur-lex.europa.eu/legal-content/LIT/TXT/?uri=CELEX:32013R0347&amp;locale=lt \t _blank">
                  <w:r>
                    <w:rPr>
                      <w:b/>
                      <w:bCs/>
                      <w:color w:val="0000FF" w:themeColor="hyperlink"/>
                      <w:sz w:val="22"/>
                      <w:szCs w:val="22"/>
                      <w:lang w:eastAsia="ar-SA"/>
                      <w:u w:val="single"/>
                    </w:rPr>
                    <w:t>(ES) Nr. 347/2013</w:t>
                  </w:r>
                </w:fldSimple>
                <w:r>
                  <w:rPr>
                    <w:b/>
                    <w:bCs/>
                    <w:color w:val="000000"/>
                    <w:sz w:val="22"/>
                    <w:szCs w:val="22"/>
                    <w:lang w:eastAsia="ar-SA"/>
                  </w:rPr>
                  <w:t>, 2 straipsnio 18 punkte.</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tabs>
                    <w:tab w:val="left" w:pos="4663"/>
                  </w:tabs>
                  <w:jc w:val="both"/>
                  <w:rPr>
                    <w:b/>
                    <w:bCs/>
                    <w:color w:val="000000"/>
                    <w:sz w:val="22"/>
                    <w:szCs w:val="22"/>
                    <w:lang w:eastAsia="lt-LT"/>
                  </w:rPr>
                </w:pPr>
                <w:r>
                  <w:rPr>
                    <w:b/>
                    <w:bCs/>
                    <w:color w:val="000000"/>
                    <w:sz w:val="22"/>
                    <w:szCs w:val="22"/>
                    <w:lang w:eastAsia="lt-LT"/>
                  </w:rPr>
                  <w:t>II SKYRIUS</w:t>
                </w:r>
              </w:p>
              <w:p>
                <w:pPr>
                  <w:shd w:val="clear" w:color="auto" w:fill="FFFFFF"/>
                  <w:jc w:val="both"/>
                  <w:rPr>
                    <w:b/>
                    <w:bCs/>
                    <w:color w:val="000000"/>
                    <w:sz w:val="22"/>
                    <w:szCs w:val="22"/>
                    <w:lang w:eastAsia="lt-LT"/>
                  </w:rPr>
                </w:pPr>
                <w:r>
                  <w:rPr>
                    <w:b/>
                    <w:bCs/>
                    <w:color w:val="000000"/>
                    <w:sz w:val="22"/>
                    <w:szCs w:val="22"/>
                    <w:lang w:eastAsia="lt-LT"/>
                  </w:rPr>
                  <w:t>RINKOS ORGANIZAVIMO BENDROSIOS TAISYKLĖS</w:t>
                </w:r>
              </w:p>
              <w:p>
                <w:pPr>
                  <w:shd w:val="clear" w:color="auto" w:fill="FFFFFF"/>
                  <w:tabs>
                    <w:tab w:val="left" w:pos="1717"/>
                  </w:tabs>
                  <w:jc w:val="both"/>
                  <w:rPr>
                    <w:b/>
                    <w:bCs/>
                    <w:color w:val="000000"/>
                    <w:sz w:val="22"/>
                    <w:szCs w:val="22"/>
                    <w:lang w:eastAsia="lt-LT"/>
                  </w:rPr>
                </w:pPr>
                <w:r>
                  <w:rPr>
                    <w:i/>
                    <w:iCs/>
                    <w:color w:val="000000"/>
                    <w:sz w:val="22"/>
                    <w:szCs w:val="22"/>
                    <w:lang w:eastAsia="lt-LT"/>
                  </w:rPr>
                  <w:t>3 straipsnis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77"/>
                  </w:tabs>
                  <w:jc w:val="both"/>
                  <w:rPr>
                    <w:b/>
                    <w:bCs/>
                    <w:color w:val="000000"/>
                    <w:sz w:val="22"/>
                    <w:szCs w:val="22"/>
                    <w:lang w:eastAsia="lt-LT"/>
                  </w:rPr>
                </w:pPr>
                <w:r>
                  <w:rPr>
                    <w:b/>
                    <w:bCs/>
                    <w:color w:val="000000"/>
                    <w:sz w:val="22"/>
                    <w:szCs w:val="22"/>
                    <w:lang w:eastAsia="lt-LT"/>
                  </w:rPr>
                  <w:t>Konkurencinės, į vartotojus orientuotos, lanksčios ir nediskriminacinės gamtinių dujų ir vandenilio rinkos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visi vartotojai galėtų pirkti gamtines dujas ir vandenilį iš jų pasirinkto tiekėjo ir </w:t>
                </w:r>
                <w:r>
                  <w:rPr>
                    <w:b/>
                    <w:color w:val="000000"/>
                    <w:sz w:val="22"/>
                    <w:szCs w:val="22"/>
                    <w:lang w:eastAsia="lt-LT"/>
                  </w:rPr>
                  <w:t xml:space="preserve">kad visi vartotojai galėtų laisvai vienu metu turėti daugiau nei vieną gamtinių dujų </w:t>
                </w:r>
                <w:r>
                  <w:rPr>
                    <w:color w:val="000000"/>
                    <w:sz w:val="22"/>
                    <w:szCs w:val="22"/>
                    <w:lang w:eastAsia="lt-LT"/>
                  </w:rPr>
                  <w:t>arba vandenilio tiekimo sutartį su sąlyga, kad yra įdiegti reikiami prijungimo ir apskaitos taškai.</w:t>
                </w:r>
              </w:p>
            </w:tc>
            <w:tc>
              <w:tcPr>
                <w:tcW w:w="9407" w:type="dxa"/>
                <w:gridSpan w:val="3"/>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1 straipsnis. Įstatymo paskirtis</w:t>
                </w:r>
              </w:p>
              <w:p>
                <w:pPr>
                  <w:ind w:right="57"/>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eastAsia="lt-LT"/>
                  </w:rPr>
                </w:pPr>
                <w:r>
                  <w:rPr>
                    <w:color w:val="000000"/>
                    <w:sz w:val="22"/>
                    <w:szCs w:val="22"/>
                    <w:lang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ind w:right="57"/>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ind w:right="57"/>
                  <w:jc w:val="both"/>
                  <w:rPr>
                    <w:color w:val="000000"/>
                    <w:sz w:val="22"/>
                    <w:szCs w:val="22"/>
                    <w:lang w:eastAsia="lt-LT"/>
                  </w:rPr>
                </w:pP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jų nacionaline teise nebūtų nepagrįstai varžoma tarpvalstybinė prekyba gamtinėmis dujomis ir vandeniliu, likvidžios prekybos gamtinėmis dujomis ir vandeniliu veikimas ir formavimasis, vartotojų dalyvavimas, investavimas visų pirma į dujas iš atsinaujinančiųjų išteklių ir mažo anglies dioksido pėdsako dujas arba tarpvalstybinį energijos kaupimą ir kad gamtinių dujų ir vandenilio kainos atspindėtų faktinę paklausą ir pasiūlą.</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1) skatinti konkurencingos, saugios ir aplinką tausojančios lanksčios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720"/>
                  <w:jc w:val="both"/>
                  <w:rPr>
                    <w:color w:val="000000"/>
                    <w:sz w:val="22"/>
                    <w:szCs w:val="22"/>
                    <w:lang w:eastAsia="lt-LT"/>
                  </w:rPr>
                </w:pPr>
                <w:r>
                  <w:rPr>
                    <w:color w:val="000000"/>
                    <w:sz w:val="22"/>
                    <w:szCs w:val="22"/>
                    <w:lang w:eastAsia="lt-LT"/>
                  </w:rPr>
                  <w:t>2) plėtoti konkurencingas ir tinkamai veikiančias regionines tarpvalstybines elektros energijos ir gamtinių dujų rinkas Europos Sąjungoje;</w:t>
                </w:r>
              </w:p>
              <w:p>
                <w:pPr>
                  <w:ind w:firstLine="720"/>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tarpvalstybinių elektros energijos ir dujų perdavimo pajėgumų plėtros apribojimus, kad būtų patenkinta paklausa ir didinama nacionalinių rinkų integracija, kuri gali sudaryti palankesnes sąlygas elektros energijos ir gamtinių dujų perdavimui Europos Sąjungoje;</w:t>
                </w:r>
              </w:p>
              <w:p>
                <w:pPr>
                  <w:ind w:firstLine="720"/>
                  <w:jc w:val="both"/>
                  <w:rPr>
                    <w:color w:val="000000"/>
                    <w:sz w:val="22"/>
                    <w:szCs w:val="22"/>
                    <w:lang w:eastAsia="lt-LT"/>
                  </w:rPr>
                </w:pPr>
                <w:r>
                  <w:rPr>
                    <w:color w:val="000000"/>
                    <w:sz w:val="22"/>
                    <w:szCs w:val="22"/>
                    <w:lang w:eastAsia="lt-LT"/>
                  </w:rPr>
                  <w:t>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 bei sudaryti palankesnes sąlygas šiems tinklams (sistemoms), susijusiems (susijusioms) su kitais dujų ar šilumos perdavimo tinklais (sistema), eksploatuoti;</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r>
                  <w:rPr>
                    <w:color w:val="000000"/>
                    <w:sz w:val="22"/>
                    <w:szCs w:val="22"/>
                    <w:lang w:eastAsia="lt-LT"/>
                  </w:rPr>
                  <w:t>6) siekiant didinti sistemos, ypač energijos vartojimo, efektyvumą ir skatinti rinkos integraciją, užtikrinti, kad tinklų (sistemos) operatoriams ir tinklų (sistemos) naudotojams būtų suteiktos tinkamos paskatos trumpuoju ir ilgalaikiu laikotarpiais;</w:t>
                </w:r>
              </w:p>
              <w:p>
                <w:pPr>
                  <w:ind w:firstLine="72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15 straipsnis. Gamtinių</w:t>
                </w:r>
                <w:r>
                  <w:rPr>
                    <w:color w:val="000000"/>
                    <w:sz w:val="22"/>
                    <w:szCs w:val="22"/>
                    <w:lang w:val="lt" w:eastAsia="lt-LT"/>
                  </w:rPr>
                  <w:t xml:space="preserve"> </w:t>
                </w:r>
                <w:r>
                  <w:rPr>
                    <w:b/>
                    <w:bCs/>
                    <w:color w:val="000000"/>
                    <w:sz w:val="22"/>
                    <w:szCs w:val="22"/>
                    <w:lang w:val="lt" w:eastAsia="lt-LT"/>
                  </w:rPr>
                  <w:t>dujų įmonių, vartotojų ir sistemos naudotojų santykiai</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eastAsia="lt-LT"/>
                  </w:rPr>
                </w:pPr>
                <w:r>
                  <w:rPr>
                    <w:color w:val="000000"/>
                    <w:sz w:val="22"/>
                    <w:szCs w:val="22"/>
                    <w:lang w:val="lt" w:eastAsia="lt-LT"/>
                  </w:rPr>
                  <w:t>4. Vartotojai turi teisę pakeisti gamtinių dujų tiekimo įmonę. Prie gamtinių dujų sistemos prisijungę vartotojai turi teisę pirkti gamtines dujas iš bet kurioje valstybėje narėje registruotų gamtinių dujų tiekimo įmonių, kurios turi galimybę patiekti dujas vartotojui ir laikosi Lietuvos Respublikoje nustatytų Prekybos gamtinėmis dujomis taisyklių, balansavimo taisyklių ir tiekimo saugumo reikalavimų.</w:t>
                </w:r>
              </w:p>
              <w:p>
                <w:pPr>
                  <w:ind w:right="57"/>
                  <w:jc w:val="both"/>
                  <w:rPr>
                    <w:color w:val="000000"/>
                    <w:sz w:val="22"/>
                    <w:szCs w:val="22"/>
                    <w:lang w:val="lt"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1) vandenilio kainos formuojamos remiantis paklausa ir pasiūla;</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rinkos taisyklėmis vengiama veiksmų, kuriais užkertamas kelias vandenilio paklausa ir pasiūla grindžiamai kainodarai; </w:t>
                </w:r>
              </w:p>
              <w:p>
                <w:pPr>
                  <w:ind w:right="57" w:firstLine="720"/>
                  <w:jc w:val="both"/>
                  <w:rPr>
                    <w:color w:val="000000"/>
                    <w:sz w:val="22"/>
                    <w:szCs w:val="22"/>
                    <w:lang w:eastAsia="lt-LT"/>
                  </w:rPr>
                </w:pPr>
                <w:r>
                  <w:rPr>
                    <w:b/>
                    <w:bCs/>
                    <w:color w:val="000000"/>
                    <w:sz w:val="22"/>
                    <w:szCs w:val="22"/>
                    <w:lang w:eastAsia="lt-LT"/>
                  </w:rPr>
                  <w:t xml:space="preserve">8) vandenilio rinkoje laikomasi į vartotoją orientuoto ir efektyvaus energijos vartojimo požiūrio; </w:t>
                </w:r>
              </w:p>
              <w:p>
                <w:pPr>
                  <w:ind w:right="57" w:firstLine="720"/>
                  <w:jc w:val="both"/>
                  <w:rPr>
                    <w:color w:val="000000"/>
                    <w:sz w:val="22"/>
                    <w:szCs w:val="22"/>
                    <w:lang w:eastAsia="lt-LT"/>
                  </w:rPr>
                </w:pPr>
                <w:r>
                  <w:rPr>
                    <w:b/>
                    <w:bCs/>
                    <w:color w:val="000000"/>
                    <w:sz w:val="22"/>
                    <w:szCs w:val="22"/>
                    <w:lang w:eastAsia="lt-LT"/>
                  </w:rPr>
                  <w:t xml:space="preserve">9) skatinamas likvidžios prekybos vandeniliu atsiradimas ir veikimas, skatinantis kainos formavimąsi ir skaidrumą; </w:t>
                </w:r>
              </w:p>
              <w:p>
                <w:pPr>
                  <w:ind w:right="57" w:firstLine="720"/>
                  <w:jc w:val="both"/>
                  <w:rPr>
                    <w:color w:val="000000"/>
                    <w:sz w:val="22"/>
                    <w:szCs w:val="22"/>
                    <w:lang w:eastAsia="lt-LT"/>
                  </w:rPr>
                </w:pPr>
                <w:r>
                  <w:rPr>
                    <w:b/>
                    <w:bCs/>
                    <w:color w:val="000000"/>
                    <w:sz w:val="22"/>
                    <w:szCs w:val="22"/>
                    <w:lang w:eastAsia="lt-LT"/>
                  </w:rPr>
                  <w:t xml:space="preserve">10) sudaroma galimybė į rinkas integruoti vandenilį iš atsinaujinančių energijos išteklių ir teikiant paskatas taupyti ir efektyviai vartoti energiją, mažinti paklausą, didinti paklausos lankstumą ir integruoti energetikos sistemą, bei sudaryti palankesnes sąlygas siekti Europos Sąjungos klimato ir energetikos tikslų; </w:t>
                </w:r>
              </w:p>
              <w:p>
                <w:pPr>
                  <w:ind w:right="57" w:firstLine="720"/>
                  <w:jc w:val="both"/>
                  <w:rPr>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right="57" w:firstLine="720"/>
                  <w:jc w:val="both"/>
                  <w:rPr>
                    <w:color w:val="000000"/>
                    <w:sz w:val="22"/>
                    <w:szCs w:val="22"/>
                    <w:lang w:eastAsia="lt-LT"/>
                  </w:rPr>
                </w:pPr>
                <w:r>
                  <w:rPr>
                    <w:b/>
                    <w:bCs/>
                    <w:color w:val="000000"/>
                    <w:sz w:val="22"/>
                    <w:szCs w:val="22"/>
                    <w:lang w:eastAsia="lt-LT"/>
                  </w:rPr>
                  <w:t xml:space="preserve">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 </w:t>
                </w:r>
              </w:p>
              <w:p>
                <w:pPr>
                  <w:ind w:right="57" w:firstLine="720"/>
                  <w:jc w:val="both"/>
                  <w:rPr>
                    <w:b/>
                    <w:bCs/>
                    <w:color w:val="000000"/>
                    <w:sz w:val="22"/>
                    <w:szCs w:val="22"/>
                    <w:lang w:eastAsia="lt-LT"/>
                  </w:rPr>
                </w:pPr>
                <w:r>
                  <w:rPr>
                    <w:b/>
                    <w:bCs/>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2. Vandenilio tiekėjai turi teisę laisvai nustatyti vandenilio tiekimo kainas galutiniams vandenilio vartotojams, vadovaudamiesi rinkos sąlygomis.</w:t>
                </w:r>
              </w:p>
              <w:p>
                <w:pPr>
                  <w:ind w:right="57"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nebūtų nepagrįstų kliūčių patekti į gamtinių dujų ir vandenilio vidaus rinkas ir iš jų pasitraukti, jose prekiauti ir veikti.</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p>
              <w:p>
                <w:pPr>
                  <w:ind w:firstLine="720"/>
                  <w:jc w:val="both"/>
                  <w:rPr>
                    <w:b/>
                    <w:bCs/>
                    <w:color w:val="000000"/>
                    <w:sz w:val="22"/>
                    <w:szCs w:val="22"/>
                    <w:lang w:eastAsia="lt-LT"/>
                  </w:rPr>
                </w:pPr>
                <w:r>
                  <w:rPr>
                    <w:b/>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val="lt" w:eastAsia="lt-LT"/>
                  </w:rPr>
                  <w:t>26 straipsnis. Perdavimo, laikymo ir (arba) SGD sistemos operatorių užduotys</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p>
                <w:pPr>
                  <w:ind w:firstLine="720"/>
                  <w:jc w:val="both"/>
                  <w:rPr>
                    <w:color w:val="000000"/>
                    <w:sz w:val="22"/>
                    <w:szCs w:val="22"/>
                    <w:lang w:val="lt" w:eastAsia="lt-LT"/>
                  </w:rPr>
                </w:pPr>
                <w:r>
                  <w:rPr>
                    <w:color w:val="000000"/>
                    <w:sz w:val="22"/>
                    <w:szCs w:val="22"/>
                    <w:lang w:val="lt"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r>
                  <w:rPr>
                    <w:b/>
                    <w:bCs/>
                    <w:color w:val="000000"/>
                    <w:sz w:val="22"/>
                    <w:szCs w:val="22"/>
                    <w:lang w:eastAsia="lt-LT"/>
                  </w:rPr>
                  <w:t>14) rinkos taisyklėmis skatinamas regioninis bendradarbiavimas ir integracija;</w:t>
                </w:r>
              </w:p>
              <w:p>
                <w:pPr>
                  <w:ind w:right="57" w:firstLine="720"/>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ind w:left="108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 xml:space="preserve">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  </w:t>
                </w:r>
              </w:p>
              <w:p>
                <w:pPr>
                  <w:ind w:right="57" w:firstLine="720"/>
                  <w:jc w:val="both"/>
                  <w:rPr>
                    <w:b/>
                    <w:color w:val="000000"/>
                    <w:sz w:val="22"/>
                    <w:szCs w:val="22"/>
                    <w:lang w:eastAsia="lt-LT"/>
                  </w:rPr>
                </w:pPr>
              </w:p>
              <w:p>
                <w:pPr>
                  <w:ind w:right="57" w:firstLine="720"/>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ir reguliavimo institucijos užtikrina, kad energetikos įmonėms būtų taikomos skaidrios, proporcingos ir nediskriminacinės taisyklės, mokesčiai ir režimas, visų pirma prisijungimo prie tinklo, patekimo į didmenines rinkas, prieigos prie duomenų, tiekėjo pakeitimo proceso ir sąskaitų išrašymo tvarkos ir, kai taikoma, licencijavimo atžvilgiu.</w:t>
                </w:r>
              </w:p>
            </w:tc>
            <w:tc>
              <w:tcPr>
                <w:tcW w:w="9407" w:type="dxa"/>
                <w:gridSpan w:val="3"/>
              </w:tcPr>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jc w:val="both"/>
                  <w:rPr>
                    <w:b/>
                    <w:bCs/>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2.</w:t>
                </w:r>
                <w:r>
                  <w:rPr>
                    <w:b/>
                    <w:bCs/>
                    <w:color w:val="000000"/>
                    <w:sz w:val="22"/>
                    <w:szCs w:val="22"/>
                    <w:lang w:eastAsia="lt-LT"/>
                  </w:rPr>
                  <w:t xml:space="preserve"> </w:t>
                </w:r>
                <w:r>
                  <w:rPr>
                    <w:b/>
                    <w:color w:val="000000"/>
                    <w:sz w:val="22"/>
                    <w:szCs w:val="22"/>
                    <w:lang w:eastAsia="lt-LT"/>
                  </w:rPr>
                  <w:t xml:space="preserve">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2) gamtinių dujų vartojimo efektyvumo didinimo;</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val="lt" w:eastAsia="lt-LT"/>
                  </w:rPr>
                </w:pPr>
                <w:r>
                  <w:rPr>
                    <w:color w:val="000000"/>
                    <w:sz w:val="22"/>
                    <w:szCs w:val="22"/>
                    <w:lang w:val="lt" w:eastAsia="lt-LT"/>
                  </w:rPr>
                  <w:t>4) konkurencijos tarp gamtinių dujų rinkos dalyvių;</w:t>
                </w:r>
              </w:p>
              <w:p>
                <w:pPr>
                  <w:ind w:firstLine="720"/>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val="lt" w:eastAsia="lt-LT"/>
                  </w:rPr>
                </w:pPr>
                <w:r>
                  <w:rPr>
                    <w:color w:val="000000"/>
                    <w:sz w:val="22"/>
                    <w:szCs w:val="22"/>
                    <w:lang w:val="lt" w:eastAsia="lt-LT"/>
                  </w:rPr>
                  <w:t>6) nediskriminavimo, skaidrumo ir teisinio tikrumo.</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5. Valstybės narės užtikrina, kad rinkos dalyviai iš trečiųjų valstybių, veikdami gamtinių dujų ir vandenilio vidaus rinkose, laikytųsi taikytinos Sąjungos ir nacionalinės teisės, be kita ko, aplinkos ir saugos srityse.</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ind w:right="57"/>
                  <w:jc w:val="both"/>
                  <w:rPr>
                    <w:b/>
                    <w:bCs/>
                    <w:color w:val="000000"/>
                    <w:sz w:val="22"/>
                    <w:szCs w:val="22"/>
                    <w:lang w:eastAsia="lt-LT"/>
                  </w:rPr>
                </w:pPr>
                <w:r>
                  <w:rPr>
                    <w:b/>
                    <w:color w:val="000000"/>
                    <w:sz w:val="22"/>
                    <w:szCs w:val="22"/>
                    <w:lang w:eastAsia="lt-LT"/>
                  </w:rPr>
                  <w:t xml:space="preserve">9 straipsnis. Bendrieji vandenilio sektoriaus organizavimo principai  </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15) rinkos dalyviai (įskaitant rinkos dalyvius iš trečiųjų šalių), veikdami vandenilio vidaus rinkoje, laikosi šio įstatymo, kitos taikytinos Europos Sąjungos ir nacionalinės teisės, taip pat, aplinkos ir saugos srityse;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pacing w:line="276" w:lineRule="auto"/>
                  <w:jc w:val="both"/>
                  <w:rPr>
                    <w:color w:val="000000"/>
                    <w:sz w:val="22"/>
                    <w:szCs w:val="22"/>
                    <w:lang w:val="lt"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spacing w:line="276" w:lineRule="auto"/>
                  <w:jc w:val="both"/>
                  <w:rPr>
                    <w:color w:val="000000"/>
                    <w:sz w:val="22"/>
                    <w:szCs w:val="22"/>
                    <w:lang w:val="lt" w:eastAsia="lt-LT"/>
                  </w:rPr>
                </w:pPr>
                <w:r>
                  <w:rPr>
                    <w:color w:val="000000"/>
                    <w:sz w:val="22"/>
                    <w:szCs w:val="22"/>
                    <w:lang w:val="lt" w:eastAsia="lt-LT"/>
                  </w:rPr>
                  <w:t>&lt;...&gt;</w:t>
                </w:r>
              </w:p>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rinkos dalyviai)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27" w:tgtFrame="_parent" w:history="1">
                  <w:r>
                    <w:rPr>
                      <w:i/>
                      <w:iCs/>
                      <w:sz w:val="22"/>
                      <w:szCs w:val="22"/>
                      <w:lang w:eastAsia="lt-LT"/>
                    </w:rPr>
                    <w:t>1-283</w:t>
                  </w:r>
                </w:hyperlink>
                <w:r>
                  <w:rPr>
                    <w:i/>
                    <w:color w:val="000000"/>
                    <w:sz w:val="22"/>
                    <w:szCs w:val="22"/>
                    <w:lang w:eastAsia="lt-LT"/>
                  </w:rPr>
                  <w:t>,</w:t>
                </w:r>
                <w:r>
                  <w:rPr>
                    <w:i/>
                    <w:iCs/>
                    <w:color w:val="000000"/>
                    <w:sz w:val="22"/>
                    <w:szCs w:val="22"/>
                    <w:lang w:eastAsia="lt-LT"/>
                  </w:rPr>
                  <w:t xml:space="preserve"> 2016-10-28, paskelbta TAR 2016-10-28, i. k. 2016-25870</w:t>
                </w:r>
              </w:p>
              <w:p>
                <w:pPr>
                  <w:spacing w:line="276" w:lineRule="auto"/>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color w:val="000000"/>
                    <w:sz w:val="22"/>
                    <w:szCs w:val="22"/>
                    <w:lang w:eastAsia="lt-LT"/>
                  </w:rPr>
                </w:pPr>
                <w:r>
                  <w:rPr>
                    <w:b/>
                    <w:bCs/>
                    <w:color w:val="000000"/>
                    <w:sz w:val="22"/>
                    <w:szCs w:val="22"/>
                    <w:lang w:eastAsia="lt-LT"/>
                  </w:rPr>
                  <w:t xml:space="preserve">1 straipsnis. Įstatymo paskirtis </w:t>
                </w:r>
                <w:r>
                  <w:rPr>
                    <w:color w:val="000000"/>
                    <w:sz w:val="22"/>
                    <w:szCs w:val="22"/>
                    <w:lang w:eastAsia="lt-LT"/>
                  </w:rPr>
                  <w:t xml:space="preserve"> </w:t>
                </w:r>
              </w:p>
              <w:p>
                <w:pPr>
                  <w:tabs>
                    <w:tab w:val="left" w:pos="993"/>
                    <w:tab w:val="left" w:pos="10076"/>
                    <w:tab w:val="left" w:pos="10992"/>
                    <w:tab w:val="left" w:pos="11908"/>
                    <w:tab w:val="left" w:pos="12824"/>
                    <w:tab w:val="left" w:pos="13740"/>
                    <w:tab w:val="left" w:pos="14656"/>
                  </w:tabs>
                  <w:suppressAutoHyphens/>
                  <w:ind w:firstLine="720"/>
                  <w:jc w:val="both"/>
                  <w:rPr>
                    <w:b/>
                    <w:color w:val="000000"/>
                    <w:sz w:val="22"/>
                    <w:szCs w:val="22"/>
                    <w:lang w:eastAsia="ar-SA"/>
                  </w:rPr>
                </w:pPr>
                <w:r>
                  <w:rPr>
                    <w:b/>
                    <w:color w:val="000000"/>
                    <w:sz w:val="22"/>
                    <w:szCs w:val="22"/>
                    <w:lang w:eastAsia="ar-SA"/>
                  </w:rPr>
                  <w:t>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6. Valstybės narės užtikrina, kad vandenilio rinkoje būtų laikomasi į vartotojus orientuoto ir efektyvaus energijos vartojimo požiūrio. Vandenilio naudojimas turi būti skirtas vartotojams sektoriuose, kurių priklausomybę nuo iškastinio kuro sunku sumažinti, kurie turi didelį šiltnamio efektą sukeliančių dujų kiekio mažinimo potencialą ir kuriuose nėra kitų energijos vartojimo požiūriu ekonomiškai efektyvesnių galimybių.</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left="1080" w:right="57" w:hanging="360"/>
                  <w:jc w:val="both"/>
                  <w:rPr>
                    <w:b/>
                    <w:bCs/>
                    <w:color w:val="000000"/>
                    <w:sz w:val="22"/>
                    <w:szCs w:val="22"/>
                    <w:lang w:eastAsia="lt-LT"/>
                  </w:rPr>
                </w:pPr>
                <w:r>
                  <w:rPr>
                    <w:b/>
                    <w:bCs/>
                    <w:color w:val="000000"/>
                    <w:sz w:val="22"/>
                    <w:szCs w:val="22"/>
                    <w:lang w:eastAsia="lt-LT"/>
                  </w:rPr>
                  <w:t>1.</w:t>
                  <w:tab/>
                  <w:t>Vandenilio sektoriaus veiklos valdymo srities institucijos, vandenilio tinklų operatoriai, įgyvendindami šiame įstatyme nustatytas funkcijas, užtikrina, kad vandenilio rinka veiktų, vadovaujantis bendraisiais rinkos organizavimo principais:</w:t>
                </w:r>
              </w:p>
              <w:p>
                <w:pPr>
                  <w:ind w:left="1080" w:right="57"/>
                  <w:jc w:val="both"/>
                  <w:rPr>
                    <w:b/>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8) vandenilio rinkoje laikomasi į vartotoją orientuoto ir efektyvaus energijos vartojimo požiūrio;</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7. Valstybės narės užtikrina, kad ši direktyva būtų įgyvendinama taip, kad būtų skatinama energetikos sistemos integracija ir kartu nebūtų nepagrįstai diskriminuojami didesnio energijos efektyvumo sprendimai, pavyzdžiui, tiesioginė elektrifikacija, laikantis principo „svarbiausia – energijos vartojimo efektyvumas“.</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Borders>
                  <w:top w:val="single" w:sz="4" w:space="0" w:color="auto"/>
                  <w:left w:val="single" w:sz="4" w:space="0" w:color="auto"/>
                  <w:right w:val="single" w:sz="4" w:space="0" w:color="auto"/>
                </w:tcBorders>
              </w:tcPr>
              <w:p>
                <w:pPr>
                  <w:shd w:val="clear" w:color="auto" w:fill="FFFFFF"/>
                  <w:jc w:val="both"/>
                  <w:rPr>
                    <w:i/>
                    <w:iCs/>
                    <w:color w:val="000000"/>
                    <w:sz w:val="22"/>
                    <w:szCs w:val="22"/>
                    <w:lang w:eastAsia="lt-LT"/>
                  </w:rPr>
                </w:pPr>
                <w:r>
                  <w:rPr>
                    <w:i/>
                    <w:iCs/>
                    <w:color w:val="000000"/>
                    <w:sz w:val="22"/>
                    <w:szCs w:val="22"/>
                    <w:lang w:eastAsia="lt-LT"/>
                  </w:rPr>
                  <w:t>4 straipsnis</w:t>
                </w:r>
              </w:p>
              <w:p>
                <w:pPr>
                  <w:shd w:val="clear" w:color="auto" w:fill="FFFFFF"/>
                  <w:jc w:val="both"/>
                  <w:rPr>
                    <w:i/>
                    <w:iCs/>
                    <w:color w:val="000000"/>
                    <w:sz w:val="22"/>
                    <w:szCs w:val="22"/>
                    <w:lang w:eastAsia="lt-LT"/>
                  </w:rPr>
                </w:pPr>
                <w:r>
                  <w:rPr>
                    <w:b/>
                    <w:bCs/>
                    <w:color w:val="000000"/>
                    <w:sz w:val="22"/>
                    <w:szCs w:val="22"/>
                    <w:lang w:eastAsia="lt-LT"/>
                  </w:rPr>
                  <w:t>Rinkos veikimu pagrįstos tiekimo kainos</w:t>
                </w:r>
              </w:p>
            </w:tc>
            <w:tc>
              <w:tcPr>
                <w:tcW w:w="9407"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c>
              <w:tcPr>
                <w:tcW w:w="1703"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auto"/>
                </w:tcBorders>
              </w:tcPr>
              <w:p>
                <w:pPr>
                  <w:shd w:val="clear" w:color="auto" w:fill="FFFFFF"/>
                  <w:jc w:val="both"/>
                  <w:rPr>
                    <w:color w:val="000000"/>
                    <w:sz w:val="22"/>
                    <w:szCs w:val="22"/>
                    <w:lang w:eastAsia="lt-LT"/>
                  </w:rPr>
                </w:pPr>
                <w:r>
                  <w:rPr>
                    <w:color w:val="000000"/>
                    <w:sz w:val="22"/>
                    <w:szCs w:val="22"/>
                    <w:lang w:eastAsia="lt-LT"/>
                  </w:rPr>
                  <w:t>1. Tiekėjai gali laisvai nustatyti kainą, kuria jie tiekia gamtines dujas ir vandenilį vartotojams. Valstybės narės imasi tinkamų veiksmų siekdamos užtikrinti veiksmingą tiekėjų konkurenciją ir pagrįstas kainas galutiniams vartotojams.</w:t>
                </w:r>
              </w:p>
            </w:tc>
            <w:tc>
              <w:tcPr>
                <w:tcW w:w="9407" w:type="dxa"/>
                <w:gridSpan w:val="3"/>
                <w:tcBorders>
                  <w:top w:val="single" w:sz="4" w:space="0" w:color="auto"/>
                </w:tcBorders>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color w:val="000000"/>
                    <w:sz w:val="22"/>
                    <w:szCs w:val="22"/>
                    <w:lang w:eastAsia="lt-LT"/>
                  </w:rPr>
                  <w:t>10 straipsnis. Vandenilio tiekimas</w:t>
                </w:r>
              </w:p>
              <w:p>
                <w:pPr>
                  <w:ind w:right="57" w:firstLine="720"/>
                  <w:jc w:val="both"/>
                  <w:rPr>
                    <w:b/>
                    <w:color w:val="000000"/>
                    <w:sz w:val="22"/>
                    <w:szCs w:val="22"/>
                    <w:lang w:eastAsia="lt-LT"/>
                  </w:rPr>
                </w:pPr>
                <w:r>
                  <w:rPr>
                    <w:b/>
                    <w:color w:val="000000"/>
                    <w:sz w:val="22"/>
                    <w:szCs w:val="22"/>
                    <w:lang w:eastAsia="lt-LT"/>
                  </w:rPr>
                  <w:t>2. Vandenilio tiekėjai turi teisę laisvai nustatyti vandenilio tiekimo kainas galutiniams vartotojams, vadovaudamiesi rinkos sąlygomis.</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shd w:val="clear" w:color="auto" w:fill="FFFFFF"/>
                  <w:ind w:firstLine="57"/>
                  <w:jc w:val="both"/>
                  <w:rPr>
                    <w:color w:val="000000"/>
                    <w:sz w:val="22"/>
                    <w:szCs w:val="22"/>
                    <w:lang w:eastAsia="lt-LT"/>
                  </w:rPr>
                </w:pPr>
                <w:r>
                  <w:rPr>
                    <w:color w:val="000000"/>
                    <w:sz w:val="22"/>
                    <w:szCs w:val="22"/>
                    <w:lang w:val="lt" w:eastAsia="lt-LT"/>
                  </w:rPr>
                  <w:t>1. Prekybos gamtinėmis dujomis taisyklės (toliau – Taisyklės) nustato prekybos gamtinėmis dujomis Lietuvos Respublikos teritorijoje būdus, tvarką ir sąlygas bei reglamentuoja gamtinių dujų rinkos dalyvių tarpusavio santykius vykdant prekybą gamtinėmis dujomis.</w:t>
                </w:r>
              </w:p>
              <w:p>
                <w:pPr>
                  <w:jc w:val="both"/>
                  <w:rPr>
                    <w:color w:val="000000"/>
                    <w:sz w:val="22"/>
                    <w:szCs w:val="22"/>
                    <w:lang w:eastAsia="lt-LT"/>
                  </w:rPr>
                </w:pPr>
                <w:r>
                  <w:rPr>
                    <w:color w:val="000000"/>
                    <w:sz w:val="22"/>
                    <w:szCs w:val="22"/>
                    <w:lang w:eastAsia="lt-LT"/>
                  </w:rPr>
                  <w:t>2. Šių Taisyklių tikslas – sudaryti teisines ir organizacines sąlygas asmenims prekiauti gamtinėmis dujomis skaidrioje ir konkurencingoje gamtinių dujų rinkoje, tarp jų užtikrinant prekybos gamtinėmis dujomis alternatyvų vystymąsi ir galimybę gamtinių dujų rinkos dalyviams efektyviai pasinaudoti Lietuvos Respublikos gamtinių dujų įstatyme, Lietuvos Respublikos energijos išteklių rinkos įstatyme nustatytomis prekybos galimybėmis.</w:t>
                </w:r>
              </w:p>
              <w:p>
                <w:pPr>
                  <w:jc w:val="both"/>
                  <w:rPr>
                    <w:color w:val="000000"/>
                    <w:sz w:val="22"/>
                    <w:szCs w:val="22"/>
                    <w:lang w:eastAsia="lt-LT"/>
                  </w:rPr>
                </w:pPr>
                <w:r>
                  <w:rPr>
                    <w:i/>
                    <w:iCs/>
                    <w:color w:val="000000"/>
                    <w:sz w:val="22"/>
                    <w:szCs w:val="22"/>
                    <w:lang w:eastAsia="lt-LT"/>
                  </w:rPr>
                  <w:t>Punkto pakeitimai:</w:t>
                </w:r>
              </w:p>
              <w:p>
                <w:pPr>
                  <w:jc w:val="both"/>
                  <w:rPr>
                    <w:color w:val="000000"/>
                    <w:sz w:val="22"/>
                    <w:szCs w:val="22"/>
                    <w:lang w:eastAsia="lt-LT"/>
                  </w:rPr>
                </w:pPr>
                <w:r>
                  <w:rPr>
                    <w:i/>
                    <w:iCs/>
                    <w:color w:val="000000"/>
                    <w:sz w:val="22"/>
                    <w:szCs w:val="22"/>
                    <w:lang w:eastAsia="lt-LT"/>
                  </w:rPr>
                  <w:t>Nr. </w:t>
                </w:r>
                <w:hyperlink r:id="rId28" w:tgtFrame="_parent" w:history="1">
                  <w:r>
                    <w:rPr>
                      <w:i/>
                      <w:sz w:val="22"/>
                      <w:szCs w:val="22"/>
                      <w:lang w:eastAsia="lt-LT"/>
                    </w:rPr>
                    <w:t>1-54</w:t>
                  </w:r>
                </w:hyperlink>
                <w:r>
                  <w:rPr>
                    <w:i/>
                    <w:iCs/>
                    <w:color w:val="000000"/>
                    <w:sz w:val="22"/>
                    <w:szCs w:val="22"/>
                    <w:lang w:eastAsia="lt-LT"/>
                  </w:rPr>
                  <w:t xml:space="preserve">, 2013-03-05, Žin., 2013, Nr. </w:t>
                </w:r>
                <w:fldSimple w:instr="HYPERLINK https://www.e-tar.lt/portal/legalAct.html?documentId=TAIS.444267 \t _blank">
                  <w:r>
                    <w:rPr>
                      <w:i/>
                      <w:iCs/>
                      <w:color w:val="0000FF" w:themeColor="hyperlink"/>
                      <w:sz w:val="22"/>
                      <w:szCs w:val="22"/>
                      <w:lang w:eastAsia="lt-LT"/>
                      <w:u w:val="single"/>
                    </w:rPr>
                    <w:t>27-1300</w:t>
                  </w:r>
                </w:fldSimple>
                <w:r>
                  <w:rPr>
                    <w:i/>
                    <w:iCs/>
                    <w:color w:val="000000"/>
                    <w:sz w:val="22"/>
                    <w:szCs w:val="22"/>
                    <w:lang w:eastAsia="lt-LT"/>
                  </w:rPr>
                  <w:t xml:space="preserve"> (2013-03-13), i. k. 113203NISAK00001-54</w:t>
                </w:r>
              </w:p>
              <w:p>
                <w:pPr>
                  <w:jc w:val="both"/>
                  <w:rPr>
                    <w:i/>
                    <w:iCs/>
                    <w:color w:val="000000"/>
                    <w:sz w:val="22"/>
                    <w:szCs w:val="22"/>
                    <w:lang w:eastAsia="lt-LT"/>
                  </w:rPr>
                </w:pPr>
                <w:r>
                  <w:rPr>
                    <w:i/>
                    <w:iCs/>
                    <w:color w:val="000000"/>
                    <w:sz w:val="22"/>
                    <w:szCs w:val="22"/>
                    <w:lang w:eastAsia="lt-LT"/>
                  </w:rPr>
                  <w:t>Nr. </w:t>
                </w:r>
                <w:hyperlink r:id="rId29"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 Tiekimo įmonių su vartotojais sudaromose Dujų pirkimo–pardavimo ar Dujų pirkimo–pardavimo ir paslaugų teikimo sutartyje nurodoma: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17.6. informacija apie tiekiamų dujų kainas;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102.3. pirkti ir parduoti dujas teisės aktų nustatyta tvarka;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jc w:val="both"/>
                  <w:rPr>
                    <w:b/>
                    <w:bCs/>
                    <w:color w:val="000000"/>
                    <w:sz w:val="22"/>
                    <w:szCs w:val="22"/>
                    <w:lang w:eastAsia="lt-LT"/>
                  </w:rPr>
                </w:pPr>
              </w:p>
              <w:p>
                <w:pPr>
                  <w:jc w:val="both"/>
                  <w:rPr>
                    <w:color w:val="000000"/>
                    <w:sz w:val="22"/>
                    <w:szCs w:val="22"/>
                    <w:lang w:val="en-US" w:eastAsia="lt-LT"/>
                  </w:rPr>
                </w:pPr>
                <w:r>
                  <w:rPr>
                    <w:b/>
                    <w:bCs/>
                    <w:color w:val="000000"/>
                    <w:sz w:val="22"/>
                    <w:szCs w:val="22"/>
                    <w:lang w:eastAsia="lt-LT"/>
                  </w:rPr>
                  <w:t>58 straipsnis. Vartotojų teisių apsauga</w:t>
                </w:r>
              </w:p>
              <w:p>
                <w:pPr>
                  <w:ind w:left="1080" w:hanging="360"/>
                  <w:jc w:val="both"/>
                  <w:rPr>
                    <w:color w:val="000000"/>
                    <w:sz w:val="22"/>
                    <w:szCs w:val="22"/>
                    <w:lang w:eastAsia="lt-LT"/>
                  </w:rPr>
                </w:pPr>
                <w:r>
                  <w:rPr>
                    <w:color w:val="000000"/>
                    <w:sz w:val="22"/>
                    <w:szCs w:val="22"/>
                    <w:lang w:eastAsia="lt-LT"/>
                  </w:rPr>
                  <w:t>1.</w:t>
                  <w:tab/>
                  <w:t>Siekdama užtikrinti tinkamą vartotojų teisių apsaugą, Taryba:</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Lietuvos Respublikos gamtinių dujų įstatymas</w:t>
                </w:r>
              </w:p>
              <w:p>
                <w:pPr>
                  <w:jc w:val="both"/>
                  <w:rPr>
                    <w:b/>
                    <w:bCs/>
                    <w:color w:val="000000"/>
                    <w:sz w:val="22"/>
                    <w:szCs w:val="22"/>
                    <w:lang w:val="lt" w:eastAsia="lt-LT"/>
                  </w:rPr>
                </w:pPr>
                <w:r>
                  <w:rPr>
                    <w:b/>
                    <w:bCs/>
                    <w:color w:val="000000"/>
                    <w:sz w:val="22"/>
                    <w:szCs w:val="22"/>
                    <w:lang w:val="lt" w:eastAsia="lt-LT"/>
                  </w:rPr>
                  <w:t>1 straipsnis. Įstatymo paskirtis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jc w:val="both"/>
                  <w:rPr>
                    <w:color w:val="000000"/>
                    <w:sz w:val="22"/>
                    <w:szCs w:val="22"/>
                    <w:lang w:eastAsia="lt-LT"/>
                  </w:rPr>
                </w:pPr>
              </w:p>
              <w:p>
                <w:pPr>
                  <w:shd w:val="clear" w:color="auto" w:fill="FFFFFF"/>
                  <w:jc w:val="both"/>
                  <w:rPr>
                    <w:b/>
                    <w:bCs/>
                    <w:color w:val="000000"/>
                    <w:sz w:val="22"/>
                    <w:szCs w:val="22"/>
                    <w:lang w:eastAsia="lt-LT"/>
                  </w:rPr>
                </w:pP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tc>
            <w:tc>
              <w:tcPr>
                <w:tcW w:w="1703" w:type="dxa"/>
                <w:gridSpan w:val="3"/>
                <w:tcBorders>
                  <w:top w:val="single" w:sz="4" w:space="0" w:color="auto"/>
                </w:tcBorders>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energijos nepriteklių patiriančių vartotojų ir pažeidžiamų namų ūkio vartotojų apsaugą pagal 26–29 straipsnius, įgyvendindamos socialinę politiką ar kitomis priemonėmis, išskyrus viešąsias intervencijas į gamtinių dujų ir vandenilio tiekimo kainų nustatymą.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eastAsia="lt-LT"/>
                  </w:rPr>
                </w:pPr>
                <w:r>
                  <w:rPr>
                    <w:b/>
                    <w:bCs/>
                    <w:color w:val="000000"/>
                    <w:sz w:val="22"/>
                    <w:szCs w:val="22"/>
                    <w:lang w:eastAsia="lt-LT"/>
                  </w:rPr>
                  <w:t>47 straipsnis. Gamtinių dujų tiekimas pažeidžiamiems vartotojams</w:t>
                </w:r>
              </w:p>
              <w:p>
                <w:pPr>
                  <w:ind w:firstLine="720"/>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ind w:firstLine="720"/>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30" w:tgtFrame="_parent" w:history="1">
                  <w:r>
                    <w:rPr>
                      <w:i/>
                      <w:sz w:val="22"/>
                      <w:szCs w:val="22"/>
                      <w:lang w:eastAsia="lt-LT"/>
                    </w:rPr>
                    <w:t>XIV-1185</w:t>
                  </w:r>
                </w:hyperlink>
                <w:r>
                  <w:rPr>
                    <w:i/>
                    <w:iCs/>
                    <w:color w:val="000000"/>
                    <w:sz w:val="22"/>
                    <w:szCs w:val="22"/>
                    <w:lang w:eastAsia="lt-LT"/>
                  </w:rPr>
                  <w:t>, 2022-06-28, paskelbta TAR 2022-07-11, i. k. 2022-15168</w:t>
                </w:r>
              </w:p>
              <w:p>
                <w:pPr>
                  <w:ind w:firstLine="57"/>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ind w:firstLine="720"/>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w:t>
                </w:r>
              </w:p>
              <w:p>
                <w:pPr>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22)</w:t>
                  <w:tab/>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Nukrypstant nuo 1 ir 2 dalių, valstybės narės gali taikyti viešąsias intervencijas į gamtinių dujų tiekimo energijos nepriteklių patiriantiems vartotojams ar pažeidžiamiems namų ūkio vartotojams kainų nustatymą. Tokioms viešosioms intervencijoms taikomos sąlygos, nustatytos 4 ir 5 dalyse.</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47 straipsnis. Gamtinių dujų tiekimas pažeidžiamiems vartotojams</w:t>
                </w:r>
              </w:p>
              <w:p>
                <w:pPr>
                  <w:shd w:val="clear" w:color="auto" w:fill="FFFFFF"/>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shd w:val="clear" w:color="auto" w:fill="FFFFFF"/>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iCs/>
                    <w:color w:val="000000"/>
                    <w:sz w:val="22"/>
                    <w:szCs w:val="22"/>
                    <w:lang w:eastAsia="lt-LT"/>
                  </w:rPr>
                </w:pPr>
                <w:r>
                  <w:rPr>
                    <w:i/>
                    <w:iCs/>
                    <w:color w:val="000000"/>
                    <w:sz w:val="22"/>
                    <w:szCs w:val="22"/>
                    <w:lang w:eastAsia="lt-LT"/>
                  </w:rPr>
                  <w:t>Nr</w:t>
                </w:r>
                <w:r>
                  <w:rPr>
                    <w:i/>
                    <w:sz w:val="22"/>
                    <w:szCs w:val="22"/>
                    <w:lang w:eastAsia="lt-LT"/>
                  </w:rPr>
                  <w:t xml:space="preserve">. </w:t>
                </w:r>
                <w:hyperlink r:id="rId31">
                  <w:r>
                    <w:rPr>
                      <w:i/>
                      <w:sz w:val="22"/>
                      <w:szCs w:val="22"/>
                      <w:lang w:eastAsia="lt-LT"/>
                    </w:rPr>
                    <w:t>XIV-1185</w:t>
                  </w:r>
                </w:hyperlink>
                <w:r>
                  <w:rPr>
                    <w:i/>
                    <w:sz w:val="22"/>
                    <w:szCs w:val="22"/>
                    <w:lang w:eastAsia="lt-LT"/>
                  </w:rPr>
                  <w:t xml:space="preserve">, </w:t>
                </w:r>
                <w:r>
                  <w:rPr>
                    <w:i/>
                    <w:iCs/>
                    <w:color w:val="000000"/>
                    <w:sz w:val="22"/>
                    <w:szCs w:val="22"/>
                    <w:lang w:eastAsia="lt-LT"/>
                  </w:rPr>
                  <w:t>2022-06-28, paskelbta TAR 2022-07-11, i. k. 2022-15168</w:t>
                </w:r>
              </w:p>
              <w:p>
                <w:pPr>
                  <w:shd w:val="clear" w:color="auto" w:fill="FFFFFF"/>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shd w:val="clear" w:color="auto" w:fill="FFFFFF"/>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w:t>
                </w:r>
                <w:r>
                  <w:rPr>
                    <w:b/>
                    <w:bCs/>
                    <w:color w:val="000000"/>
                    <w:sz w:val="22"/>
                    <w:szCs w:val="22"/>
                    <w:vertAlign w:val="superscript"/>
                    <w:lang w:eastAsia="lt-LT"/>
                  </w:rPr>
                  <w:t>2</w:t>
                </w:r>
                <w:r>
                  <w:rPr>
                    <w:b/>
                    <w:bCs/>
                    <w:color w:val="000000"/>
                    <w:sz w:val="22"/>
                    <w:szCs w:val="22"/>
                    <w:lang w:eastAsia="lt-LT"/>
                  </w:rPr>
                  <w:t xml:space="preserve"> straipsnis. Energijos kainos dalies kompensavimas elektros energijos ir (ar) gamtinių dujų buitiniams vartotojams</w:t>
                </w:r>
              </w:p>
              <w:p>
                <w:pPr>
                  <w:shd w:val="clear" w:color="auto" w:fill="FFFFFF"/>
                  <w:jc w:val="both"/>
                  <w:rPr>
                    <w:color w:val="000000"/>
                    <w:sz w:val="22"/>
                    <w:szCs w:val="22"/>
                    <w:lang w:eastAsia="lt-LT"/>
                  </w:rPr>
                </w:pPr>
                <w:r>
                  <w:rPr>
                    <w:color w:val="000000"/>
                    <w:sz w:val="22"/>
                    <w:szCs w:val="22"/>
                    <w:lang w:eastAsia="lt-LT"/>
                  </w:rPr>
                  <w:t>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 &lt;...&gt;.</w:t>
                </w:r>
              </w:p>
              <w:p>
                <w:pPr>
                  <w:shd w:val="clear" w:color="auto" w:fill="FFFFFF"/>
                  <w:jc w:val="both"/>
                  <w:rPr>
                    <w:i/>
                    <w:color w:val="000000"/>
                    <w:sz w:val="22"/>
                    <w:szCs w:val="22"/>
                    <w:lang w:val="lt"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vAlign w:val="center"/>
              </w:tcPr>
              <w:p>
                <w:pPr>
                  <w:shd w:val="clear" w:color="auto" w:fill="FFFFFF"/>
                  <w:ind w:firstLine="57"/>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09"/>
                  </w:tabs>
                  <w:jc w:val="both"/>
                  <w:rPr>
                    <w:color w:val="000000"/>
                    <w:sz w:val="22"/>
                    <w:szCs w:val="22"/>
                    <w:lang w:eastAsia="lt-LT"/>
                  </w:rPr>
                </w:pPr>
                <w:r>
                  <w:rPr>
                    <w:color w:val="000000"/>
                    <w:sz w:val="22"/>
                    <w:szCs w:val="22"/>
                    <w:lang w:eastAsia="lt-LT"/>
                  </w:rPr>
                  <w:t>4. Viešosios intervencijos į gamtinių dujų tiekimo kainų nustatymą: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 straipsnis. Energijos kainos</w:t>
                </w:r>
              </w:p>
              <w:p>
                <w:pPr>
                  <w:shd w:val="clear" w:color="auto" w:fill="FFFFFF"/>
                  <w:jc w:val="both"/>
                  <w:rPr>
                    <w:color w:val="000000"/>
                    <w:sz w:val="22"/>
                    <w:szCs w:val="22"/>
                    <w:lang w:eastAsia="lt-LT"/>
                  </w:rPr>
                </w:pPr>
                <w:r>
                  <w:rPr>
                    <w:color w:val="000000"/>
                    <w:sz w:val="22"/>
                    <w:szCs w:val="22"/>
                    <w:lang w:eastAsia="lt-LT"/>
                  </w:rPr>
                  <w:t>1. Energetikos sektoriuje kainos yra sutartinės ir valstybės reguliuojamos. Kainos reguliuojamos tvirtinant paslaugų ar energijos kainas, nustatant jų viršutines ribas ar kainų reguliavimo tvarką. Valstybės reguliuojamų kainų reguliavimo principai nustatomi šiame įstatyme ir atskirus energetikos sektorius reglamentuojančiuose įstatymuose.</w:t>
                </w:r>
              </w:p>
              <w:p>
                <w:pPr>
                  <w:shd w:val="clear" w:color="auto" w:fill="FFFFFF"/>
                  <w:jc w:val="both"/>
                  <w:rPr>
                    <w:color w:val="000000"/>
                    <w:sz w:val="22"/>
                    <w:szCs w:val="22"/>
                    <w:lang w:eastAsia="lt-LT"/>
                  </w:rPr>
                </w:pPr>
                <w:r>
                  <w:rPr>
                    <w:color w:val="000000"/>
                    <w:sz w:val="22"/>
                    <w:szCs w:val="22"/>
                    <w:lang w:eastAsia="lt-LT"/>
                  </w:rPr>
                  <w:t>2. Nustatant valstybės reguliuojamas kainas, turi būti numatytos būtinos energijos išteklių gavybos, energijos gamybos, pirkimo, perdavimo, skirstymo, tiekimo ir šio įstatymo 8 straipsnio 18 dalyje numatytos išlaidos, įvertinta protingumo kriterijus atitinkanti investicijų grąža ir (ar) nuosavybės grąža, taip pat gali būti atsižvelgiama į energetikos sektoriaus plėtrą ir energijos efektyvumą, viešuosius interesus atitinkančių paslaugų teikimą. Energetikos įmonėms, diegiant energetikos inovacijas, su šia veikla susijusios išlaidos pripažįstamos pagrįstomis, vadovaujantis Tarybos nustatyta tvarka, atsižvelgiant į vartotojų interesus, kad inovacijomis būtų siekiama energetikos sektoriaus efektyvumo, lankstumo ir tvarumo.</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sz w:val="22"/>
                    <w:szCs w:val="22"/>
                    <w:lang w:eastAsia="lt-LT"/>
                  </w:rPr>
                </w:pPr>
                <w:r>
                  <w:rPr>
                    <w:i/>
                    <w:iCs/>
                    <w:color w:val="000000"/>
                    <w:sz w:val="22"/>
                    <w:szCs w:val="22"/>
                    <w:lang w:eastAsia="lt-LT"/>
                  </w:rPr>
                  <w:t>Nr</w:t>
                </w:r>
                <w:r>
                  <w:rPr>
                    <w:i/>
                    <w:sz w:val="22"/>
                    <w:szCs w:val="22"/>
                    <w:lang w:eastAsia="lt-LT"/>
                  </w:rPr>
                  <w:t xml:space="preserve">. </w:t>
                </w:r>
                <w:hyperlink r:id="rId32">
                  <w:r>
                    <w:rPr>
                      <w:i/>
                      <w:sz w:val="22"/>
                      <w:szCs w:val="22"/>
                      <w:lang w:eastAsia="lt-LT"/>
                    </w:rPr>
                    <w:t>XIII-1968</w:t>
                  </w:r>
                </w:hyperlink>
                <w:r>
                  <w:rPr>
                    <w:i/>
                    <w:sz w:val="22"/>
                    <w:szCs w:val="22"/>
                    <w:lang w:eastAsia="lt-LT"/>
                  </w:rPr>
                  <w:t>, 2019-02-14, paskelbta TAR 2019-02-26, i. k. 2019-03166</w:t>
                </w:r>
              </w:p>
              <w:p>
                <w:pPr>
                  <w:shd w:val="clear" w:color="auto" w:fill="FFFFFF"/>
                  <w:jc w:val="both"/>
                  <w:rPr>
                    <w:i/>
                    <w:iCs/>
                    <w:color w:val="000000"/>
                    <w:sz w:val="22"/>
                    <w:szCs w:val="22"/>
                    <w:lang w:eastAsia="lt-LT"/>
                  </w:rPr>
                </w:pPr>
                <w:r>
                  <w:rPr>
                    <w:i/>
                    <w:sz w:val="22"/>
                    <w:szCs w:val="22"/>
                    <w:lang w:eastAsia="lt-LT"/>
                  </w:rPr>
                  <w:t xml:space="preserve">Nr. </w:t>
                </w:r>
                <w:hyperlink r:id="rId33">
                  <w:r>
                    <w:rPr>
                      <w:i/>
                      <w:sz w:val="22"/>
                      <w:szCs w:val="22"/>
                      <w:lang w:eastAsia="lt-LT"/>
                    </w:rPr>
                    <w:t>XIII-2867</w:t>
                  </w:r>
                </w:hyperlink>
                <w:r>
                  <w:rPr>
                    <w:i/>
                    <w:sz w:val="22"/>
                    <w:szCs w:val="22"/>
                    <w:lang w:eastAsia="lt-LT"/>
                  </w:rPr>
                  <w:t>, 2020</w:t>
                </w:r>
                <w:r>
                  <w:rPr>
                    <w:i/>
                    <w:iCs/>
                    <w:color w:val="000000"/>
                    <w:sz w:val="22"/>
                    <w:szCs w:val="22"/>
                    <w:lang w:eastAsia="lt-LT"/>
                  </w:rPr>
                  <w:t>-04-28, paskelbta TAR 2020-05-06, i. k. 2020-09586</w:t>
                </w:r>
              </w:p>
              <w:p>
                <w:pPr>
                  <w:shd w:val="clear" w:color="auto" w:fill="FFFFFF"/>
                  <w:jc w:val="both"/>
                  <w:rPr>
                    <w:color w:val="000000"/>
                    <w:sz w:val="22"/>
                    <w:szCs w:val="22"/>
                    <w:lang w:eastAsia="lt-LT"/>
                  </w:rPr>
                </w:pPr>
                <w:r>
                  <w:rPr>
                    <w:color w:val="000000"/>
                    <w:sz w:val="22"/>
                    <w:szCs w:val="22"/>
                    <w:lang w:eastAsia="lt-LT"/>
                  </w:rPr>
                  <w:t>3. Valstybės reguliuojamos kainos turi būti skelbiamos viešai ne vėliau kaip prieš mėnesį iki jų taikymo pradžios ir taikomos nuo mėnesio pirmos dienos, išskyrus šio įstatymo 19</w:t>
                </w:r>
                <w:r>
                  <w:rPr>
                    <w:color w:val="000000"/>
                    <w:sz w:val="22"/>
                    <w:szCs w:val="22"/>
                    <w:vertAlign w:val="superscript"/>
                    <w:lang w:eastAsia="lt-LT"/>
                  </w:rPr>
                  <w:t>1</w:t>
                </w:r>
                <w:r>
                  <w:rPr>
                    <w:color w:val="000000"/>
                    <w:sz w:val="22"/>
                    <w:szCs w:val="22"/>
                    <w:lang w:eastAsia="lt-LT"/>
                  </w:rPr>
                  <w:t xml:space="preserve"> straipsnio 3 dalies 4 punkte ir kituose įstatymuose nurodytus atvejus.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color w:val="000000"/>
                    <w:sz w:val="22"/>
                    <w:szCs w:val="22"/>
                    <w:lang w:eastAsia="lt-LT"/>
                  </w:rPr>
                </w:pPr>
              </w:p>
              <w:p>
                <w:pPr>
                  <w:ind w:firstLine="720"/>
                  <w:jc w:val="both"/>
                  <w:rPr>
                    <w:color w:val="000000"/>
                    <w:sz w:val="22"/>
                    <w:szCs w:val="22"/>
                    <w:lang w:val="lt"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p>
              <w:p>
                <w:pPr>
                  <w:ind w:firstLine="720"/>
                  <w:jc w:val="both"/>
                  <w:rPr>
                    <w:color w:val="000000"/>
                    <w:sz w:val="22"/>
                    <w:szCs w:val="22"/>
                    <w:lang w:val="lt" w:eastAsia="lt-LT"/>
                  </w:rPr>
                </w:pP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sz w:val="22"/>
                    <w:szCs w:val="22"/>
                    <w:lang w:val="lt" w:eastAsia="lt-LT"/>
                  </w:rPr>
                </w:pPr>
                <w:r>
                  <w:rPr>
                    <w:i/>
                    <w:iCs/>
                    <w:color w:val="000000"/>
                    <w:sz w:val="22"/>
                    <w:szCs w:val="22"/>
                    <w:lang w:val="lt" w:eastAsia="lt-LT"/>
                  </w:rPr>
                  <w:t xml:space="preserve">Nr. </w:t>
                </w:r>
                <w:hyperlink r:id="rId34">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 xml:space="preserve">Nr. </w:t>
                </w:r>
                <w:hyperlink r:id="rId35">
                  <w:r>
                    <w:rPr>
                      <w:i/>
                      <w:sz w:val="22"/>
                      <w:szCs w:val="22"/>
                      <w:lang w:val="lt" w:eastAsia="lt-LT"/>
                    </w:rPr>
                    <w:t>XV-166</w:t>
                  </w:r>
                </w:hyperlink>
                <w:r>
                  <w:rPr>
                    <w:i/>
                    <w:sz w:val="22"/>
                    <w:szCs w:val="22"/>
                    <w:lang w:val="lt" w:eastAsia="lt-LT"/>
                  </w:rPr>
                  <w:t>, 2025-04-17, paskelbta TAR 2025-04-25, i. k. 2025-07424</w:t>
                </w:r>
              </w:p>
              <w:p>
                <w:pPr>
                  <w:ind w:firstLine="57"/>
                  <w:jc w:val="both"/>
                  <w:rPr>
                    <w:sz w:val="22"/>
                    <w:szCs w:val="22"/>
                    <w:u w:val="single"/>
                    <w:lang w:val="lt" w:eastAsia="lt-LT"/>
                  </w:rPr>
                </w:pPr>
              </w:p>
              <w:p>
                <w:pPr>
                  <w:ind w:firstLine="720"/>
                  <w:jc w:val="both"/>
                  <w:rPr>
                    <w:color w:val="000000"/>
                    <w:sz w:val="22"/>
                    <w:szCs w:val="22"/>
                    <w:lang w:val="lt" w:eastAsia="lt-LT"/>
                  </w:rPr>
                </w:pPr>
                <w:r>
                  <w:rPr>
                    <w:color w:val="000000"/>
                    <w:sz w:val="22"/>
                    <w:szCs w:val="22"/>
                    <w:lang w:val="lt" w:eastAsia="lt-LT"/>
                  </w:rPr>
                  <w:t>3. Taryba rengia ir tvirtina šio straipsnio 1 ir 2 dalyse nurodytų paslaugų kainų nustatymo metodikas.</w:t>
                </w:r>
              </w:p>
              <w:p>
                <w:pPr>
                  <w:ind w:firstLine="720"/>
                  <w:jc w:val="both"/>
                  <w:rPr>
                    <w:color w:val="000000"/>
                    <w:sz w:val="22"/>
                    <w:szCs w:val="22"/>
                    <w:lang w:val="lt" w:eastAsia="lt-LT"/>
                  </w:rPr>
                </w:pPr>
                <w:r>
                  <w:rPr>
                    <w:color w:val="000000"/>
                    <w:sz w:val="22"/>
                    <w:szCs w:val="22"/>
                    <w:lang w:val="lt" w:eastAsia="lt-LT"/>
                  </w:rPr>
                  <w:t>4. Taryba, nustatydama šio straipsnio 1 ir 2 dalyse nurodytas reguliuojamas kainas:</w:t>
                </w:r>
              </w:p>
              <w:p>
                <w:pPr>
                  <w:ind w:firstLine="720"/>
                  <w:jc w:val="both"/>
                  <w:rPr>
                    <w:color w:val="000000"/>
                    <w:sz w:val="22"/>
                    <w:szCs w:val="22"/>
                    <w:lang w:val="lt" w:eastAsia="lt-LT"/>
                  </w:rPr>
                </w:pPr>
                <w:r>
                  <w:rPr>
                    <w:color w:val="000000"/>
                    <w:sz w:val="22"/>
                    <w:szCs w:val="22"/>
                    <w:lang w:val="lt" w:eastAsia="lt-LT"/>
                  </w:rPr>
                  <w:t>1) nustato reikalavimus gamtinių dujų įmonėms teikti paslaugas kainomis, pagrįstomis sąnaudomis, įskaitant protingumo kriterijų atitinkančią investicijų grąžą, ir turi teisę pareikalauti, kad gamtinių dujų įmonės įrodytų kainų pagrindimą sąnaudomis. Taryba turi teisę nustatyti privalomą protingumo kriterijų atitinkantį terminą šioms sąnaudoms pagrįsti. Jeigu per šį terminą asmuo neįrodo sąnaudų pagrįstumo, laikoma, kad asmens sąnaudos yra nepagrįstos;</w:t>
                </w:r>
              </w:p>
              <w:p>
                <w:pPr>
                  <w:ind w:firstLine="720"/>
                  <w:jc w:val="both"/>
                  <w:rPr>
                    <w:color w:val="000000"/>
                    <w:sz w:val="22"/>
                    <w:szCs w:val="22"/>
                    <w:lang w:val="lt" w:eastAsia="lt-LT"/>
                  </w:rPr>
                </w:pPr>
                <w:r>
                  <w:rPr>
                    <w:color w:val="000000"/>
                    <w:sz w:val="22"/>
                    <w:szCs w:val="22"/>
                    <w:lang w:val="lt" w:eastAsia="lt-LT"/>
                  </w:rPr>
                  <w:t>2) nustato reikalavimus sąnaudų apskaitos sistemoms, metodams ir (arba) modeliams, skirtiems konkrečioms paslaugų rūšims teikti. Tokią apskaitos sistemą, metodą ir (arba) modelį Taryba privalo paskelbti viešai savo interneto svetainėje;</w:t>
                </w:r>
              </w:p>
              <w:p>
                <w:pPr>
                  <w:ind w:firstLine="720"/>
                  <w:jc w:val="both"/>
                  <w:rPr>
                    <w:color w:val="000000"/>
                    <w:sz w:val="22"/>
                    <w:szCs w:val="22"/>
                    <w:lang w:val="lt" w:eastAsia="lt-LT"/>
                  </w:rPr>
                </w:pPr>
                <w:r>
                  <w:rPr>
                    <w:color w:val="000000"/>
                    <w:sz w:val="22"/>
                    <w:szCs w:val="22"/>
                    <w:lang w:val="lt" w:eastAsia="lt-LT"/>
                  </w:rPr>
                  <w:t>3) nustato sąnaudų padengimo mechanizmą, kuris turi skatinti efektyvumą ir, kiek įmanoma, padidinti ilgalaikę naudą vartotojams. Tuo tikslu Taryba turi atsižvelgti į kainų rodiklius, taikomus palyginamose rinkose;</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sz w:val="22"/>
                    <w:szCs w:val="22"/>
                    <w:lang w:val="lt" w:eastAsia="lt-LT"/>
                  </w:rPr>
                </w:pPr>
                <w:r>
                  <w:rPr>
                    <w:i/>
                    <w:iCs/>
                    <w:color w:val="000000"/>
                    <w:sz w:val="22"/>
                    <w:szCs w:val="22"/>
                    <w:lang w:val="lt" w:eastAsia="lt-LT"/>
                  </w:rPr>
                  <w:t>Nr</w:t>
                </w:r>
                <w:r>
                  <w:rPr>
                    <w:i/>
                    <w:sz w:val="22"/>
                    <w:szCs w:val="22"/>
                    <w:lang w:val="lt" w:eastAsia="lt-LT"/>
                  </w:rPr>
                  <w:t xml:space="preserve">. </w:t>
                </w:r>
                <w:hyperlink r:id="rId36">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Straipsnio punkto pakeitimai:</w:t>
                </w:r>
              </w:p>
              <w:p>
                <w:pPr>
                  <w:jc w:val="both"/>
                  <w:rPr>
                    <w:i/>
                    <w:sz w:val="22"/>
                    <w:szCs w:val="22"/>
                    <w:lang w:val="lt" w:eastAsia="lt-LT"/>
                  </w:rPr>
                </w:pPr>
                <w:r>
                  <w:rPr>
                    <w:i/>
                    <w:sz w:val="22"/>
                    <w:szCs w:val="22"/>
                    <w:lang w:val="lt" w:eastAsia="lt-LT"/>
                  </w:rPr>
                  <w:t xml:space="preserve">Nr. </w:t>
                </w:r>
                <w:hyperlink r:id="rId37">
                  <w:r>
                    <w:rPr>
                      <w:i/>
                      <w:sz w:val="22"/>
                      <w:szCs w:val="22"/>
                      <w:lang w:val="lt" w:eastAsia="lt-LT"/>
                    </w:rPr>
                    <w:t>XV-240</w:t>
                  </w:r>
                </w:hyperlink>
                <w:r>
                  <w:rPr>
                    <w:i/>
                    <w:sz w:val="22"/>
                    <w:szCs w:val="22"/>
                    <w:lang w:val="lt" w:eastAsia="lt-LT"/>
                  </w:rPr>
                  <w:t>, 2025-06-05, paskelbta TAR 2025-06-18, i. k. 2025-11009</w:t>
                </w:r>
              </w:p>
              <w:p>
                <w:pPr>
                  <w:ind w:firstLine="57"/>
                  <w:jc w:val="both"/>
                  <w:rPr>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nustato gamtinių dujų rinkos finansinių priemonių ir su valiutomis susietų pasirinkimo, ateities ir apsikeitimo sandorių bei kitų su valiutomis susietų išvestinių finansinių priemonių, taip pat apyvartinių taršos leidimų ar kitų su apyvartiniais taršos leidimais susietų išvestinių finansinių priemonių naudojimo gamtinių dujų įmonėms vykdant reguliuojamas veiklas tvarką ir sąlygas. Gamtinių dujų įmonės Tarybos nustatyta tvarka turi teisę naudoti šiame punkte nurodytas finansines priemones, kurios yra įtraukiamos į reguliuojamas kainas. Taryba įvertina šių finansinių priemonių taikymo sąnaudas ir gautą naudą nustatydama reguliuojamas kainas.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38">
                  <w:r>
                    <w:rPr>
                      <w:i/>
                      <w:sz w:val="22"/>
                      <w:szCs w:val="22"/>
                      <w:lang w:val="lt" w:eastAsia="lt-LT"/>
                    </w:rPr>
                    <w:t>XIV-2841</w:t>
                  </w:r>
                </w:hyperlink>
                <w:r>
                  <w:rPr>
                    <w:i/>
                    <w:iCs/>
                    <w:color w:val="000000"/>
                    <w:sz w:val="22"/>
                    <w:szCs w:val="22"/>
                    <w:lang w:val="lt" w:eastAsia="lt-LT"/>
                  </w:rPr>
                  <w:t>, 2024-06-25, paskelbta TAR 2024-07-05, i. k. 2024-12636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Nustatant šio straipsnio 1 ir 2 dalyse nurodytas reguliuojamas viršutines paslaugų kainų ir (ar) pajamų ribas ar konkrečias paslaugų kainas, turi būti numatytos būtinos investicijos, užtikrinančios efektyvią gamtinių dujų įmonės veiklą.</w:t>
                </w:r>
              </w:p>
              <w:p>
                <w:pPr>
                  <w:ind w:firstLine="720"/>
                  <w:jc w:val="both"/>
                  <w:rPr>
                    <w:color w:val="000000"/>
                    <w:sz w:val="22"/>
                    <w:szCs w:val="22"/>
                    <w:lang w:val="lt" w:eastAsia="lt-LT"/>
                  </w:rPr>
                </w:pPr>
                <w:r>
                  <w:rPr>
                    <w:color w:val="000000"/>
                    <w:sz w:val="22"/>
                    <w:szCs w:val="22"/>
                    <w:lang w:val="lt"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taikomos siekiant visuotinės ekonominės svarbos tikslo ir neviršija to, kas yra būtina tam visuotinės ekonominės svarbos tikslui pasiekti;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turi būti aiškiai apibrėžtos, skaidrios, nediskriminacinės ir patikrinamos;</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Sąjungos gamtinių dujų įmonėms užtikrina vienodą prieigą prie vartotojų;</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color w:val="000000"/>
                    <w:sz w:val="22"/>
                    <w:szCs w:val="22"/>
                    <w:lang w:val="lt" w:eastAsia="lt-LT"/>
                  </w:rPr>
                </w:pPr>
                <w:r>
                  <w:rPr>
                    <w:b/>
                    <w:color w:val="000000"/>
                    <w:sz w:val="22"/>
                    <w:szCs w:val="22"/>
                    <w:lang w:val="lt" w:eastAsia="lt-LT"/>
                  </w:rPr>
                  <w:t>6 straipsnis. Tarybos tikslai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turi būti ribotos trukmės ir proporcingos naudos gavėjų atžvilgiu;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dėl jų rinkos dalyviai neturi patirti papildomų išlaidų diskriminaciniu būdu;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w:t>
                </w:r>
                <w:r>
                  <w:rPr>
                    <w:b/>
                    <w:bCs/>
                    <w:color w:val="000000"/>
                    <w:sz w:val="22"/>
                    <w:szCs w:val="22"/>
                    <w:lang w:val="lt" w:eastAsia="lt-LT"/>
                  </w:rPr>
                  <w:t xml:space="preserve"> </w:t>
                </w:r>
                <w:r>
                  <w:rPr>
                    <w:color w:val="000000"/>
                    <w:sz w:val="22"/>
                    <w:szCs w:val="22"/>
                    <w:lang w:val="lt" w:eastAsia="lt-LT"/>
                  </w:rPr>
                  <w:t>dujų sektoriaus veiklos valstybinis valdymas, reguliavimas, priežiūra ir kontrolė grindžiami šiais principais:</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konkurencijos tarp gamtinių dujų rinkos dalyvių;</w:t>
                </w:r>
              </w:p>
              <w:p>
                <w:pPr>
                  <w:shd w:val="clear" w:color="auto" w:fill="FFFFFF"/>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netrukdo laipsniškai ir laiku atsisakyti iškastinių dujų, kad būtų pasiektas Sąjungos 2030 m. klimato srities tikslas ir Reglamente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nustatytas poveikio klimatui neutralumo tikslas.</w:t>
                </w:r>
              </w:p>
            </w:tc>
            <w:tc>
              <w:tcPr>
                <w:tcW w:w="9407" w:type="dxa"/>
                <w:gridSpan w:val="3"/>
                <w:vAlign w:val="center"/>
              </w:tcPr>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Visos valstybės narės, taikančios viešąsias intervencijas į gamtinių dujų tiekimo kainų nustatymą pagal šio straipsnio 3 dalį, taip pat turi laikytis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straipsnio 3 dalies d punkto ir 24 straipsnio, nepriklausomai nuo to, ar atitinkamoje valstybėje narėje yra didelis energijos nepriteklių patiriančių namų ūkio vartotojų skaičius. Prieš panaikindamos viešąsias intervencijas į gamtinių dujų tiekimo kainų nustatymą, valstybės narės užtikrina tinkamas paramos priemones energijos nepriteklių patiriantiems vartotojams ir pažeidžiamiems namų ūkio vartotojams pagal šio straipsnio 2 dalį.</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shd w:val="clear" w:color="auto" w:fill="FFFFFF"/>
                  <w:jc w:val="both"/>
                  <w:rPr>
                    <w:color w:val="000000"/>
                    <w:sz w:val="22"/>
                    <w:szCs w:val="22"/>
                    <w:lang w:val="lt" w:eastAsia="lt-LT"/>
                  </w:rPr>
                </w:pPr>
                <w:r>
                  <w:rPr>
                    <w:color w:val="000000"/>
                    <w:sz w:val="22"/>
                    <w:szCs w:val="22"/>
                    <w:lang w:val="lt" w:eastAsia="lt-LT"/>
                  </w:rPr>
                  <w:t>Vyriausybė ar jos įgaliota institucija gamtinių dujų sektoriuje:</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12) nustato gamtinių dujų atsargų kaupimo ir panaudojimo pažeidžiamiems vartotojams ir kitas tiekimo patikimumo užtikrinimo priemones ir jų taikymo tvarką;</w:t>
                </w:r>
              </w:p>
              <w:p>
                <w:pPr>
                  <w:shd w:val="clear" w:color="auto" w:fill="FFFFFF"/>
                  <w:jc w:val="both"/>
                  <w:rPr>
                    <w:color w:val="000000"/>
                    <w:sz w:val="22"/>
                    <w:szCs w:val="22"/>
                    <w:lang w:eastAsia="lt-LT"/>
                  </w:rPr>
                </w:pPr>
              </w:p>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39"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i/>
                    <w:iCs/>
                    <w:color w:val="000000"/>
                    <w:sz w:val="22"/>
                    <w:szCs w:val="22"/>
                    <w:lang w:val="lt" w:eastAsia="lt-LT"/>
                  </w:rPr>
                </w:pPr>
                <w:r>
                  <w:rPr>
                    <w:i/>
                    <w:iCs/>
                    <w:color w:val="000000"/>
                    <w:sz w:val="22"/>
                    <w:szCs w:val="22"/>
                    <w:lang w:val="lt" w:eastAsia="lt-LT"/>
                  </w:rPr>
                  <w:t>Straipsnio pakeitimai:</w:t>
                </w:r>
              </w:p>
              <w:p>
                <w:pPr>
                  <w:spacing w:line="360" w:lineRule="auto"/>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40" w:history="1">
                  <w:r>
                    <w:rPr>
                      <w:i/>
                      <w:iCs/>
                      <w:sz w:val="22"/>
                      <w:szCs w:val="22"/>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1" w:history="1">
                  <w:r>
                    <w:rPr>
                      <w:i/>
                      <w:iCs/>
                      <w:sz w:val="22"/>
                      <w:szCs w:val="22"/>
                      <w:lang w:val="lt" w:eastAsia="lt-LT"/>
                    </w:rPr>
                    <w:t>XIV-603</w:t>
                  </w:r>
                </w:hyperlink>
                <w:r>
                  <w:rPr>
                    <w:i/>
                    <w:iCs/>
                    <w:color w:val="000000"/>
                    <w:sz w:val="22"/>
                    <w:szCs w:val="22"/>
                    <w:lang w:val="lt" w:eastAsia="lt-LT"/>
                  </w:rPr>
                  <w:t>, 2021-11-04, paskelbta TAR 2021-11-12, i. k. 2021-23525</w:t>
                </w:r>
              </w:p>
              <w:p>
                <w:pPr>
                  <w:jc w:val="both"/>
                  <w:rPr>
                    <w:i/>
                    <w:iCs/>
                    <w:color w:val="000000"/>
                    <w:sz w:val="22"/>
                    <w:szCs w:val="22"/>
                    <w:lang w:val="lt" w:eastAsia="lt-LT"/>
                  </w:rPr>
                </w:pPr>
              </w:p>
              <w:p>
                <w:pPr>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Siekdamos sudaryti veiksmingą tiekėjų konkurenciją, kiek tai susiję su gamtinių dujų tiekimo sutartimis, ir pasiekti visiškai veiksmingą rinka grindžiamą ir įperkamą mažmeninę gamtinių dujų kainodarą pagal 1 dalį, valstybės narės pereinamuoju laikotarpiu gali taikyti viešąsias intervencijas į gamtinių dujų tiekimo namų ūkio vartotojams, kuriems netaikomos viešosios intervencijos pagal 3 dalį, ir labai mažoms įmonėms kainų nustatymą.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89"/>
                  </w:tabs>
                  <w:jc w:val="both"/>
                  <w:rPr>
                    <w:color w:val="000000"/>
                    <w:sz w:val="22"/>
                    <w:szCs w:val="22"/>
                    <w:lang w:eastAsia="lt-LT"/>
                  </w:rPr>
                </w:pPr>
                <w:r>
                  <w:rPr>
                    <w:color w:val="000000"/>
                    <w:sz w:val="22"/>
                    <w:szCs w:val="22"/>
                    <w:lang w:eastAsia="lt-LT"/>
                  </w:rPr>
                  <w:t>7. Viešosios intervencijos pagal 6 dalį turi atitikti 4 dalyje nustatytus kriterijus ir:</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kartu su jomis turi būti įgyvendinamas veiksmingos konkurencijos užtikrinimo priemonių rinkinys ir su tomis priemonėmis susijusios pažangos vertinimo metodika;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b/>
                    <w:b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jos turi būti nustatytos taikant metodiką, kuri užtikrina tiekėjų nediskriminavimą;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jomis turi būti nustatoma kaina, kuri viršytų sąnaudas ir būtų tokio lygio, kuris užtikrintų veiksmingą kainų konkurenciją;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 turi būti parengtos taip, kad būtų kuo labiau sumažintas neigiamas poveikis didmeninei gamtinių dujų rinkai;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jomis turi būti užtikrinama, kad visi tokių viešųjų intervencijų naudos gavėjai bent kas ketvirtį turėtų galimybę pasirinkti konkurencingus rinkos pasiūlymus ir būtų tiesiogiai informuojami apie konkurencinėje rinkoje prieinamus pasiūlymus ir galimybes sutaupyti, ir turi būti užtikrinama, kad jiems būtų teikiama pagalba pereiti prie rinkos pasiūlymo;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f) jei valstybė narė nusprendžia diegti išmaniąsias apskaitos sistemas pagal 17 straipsnį, užtikrinama, kad visi tokių viešųjų intervencijų naudos gavėjai būtų tiesiogiai informuojami apie galimybę įrengti išmaniuosius skaitiklius ir jiems būtų teikiama būtina pagalba;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dėl jų neturi atsirasti vartotojų, kuriems energija tiekiama laisvos rinkos kaina, ir vartotojų, kuriems energija tiekiama reguliuojama tiekimo kaina, tiesioginio kryžminio subsidijavimo.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apie priemones, kurių imasi pagal 3 ir 6 dalis, praneša Komisijai per vieną mėnesį nuo jų priėmimo ir gali jas taikyti nedelsdamos. Kartu su pranešimu pateikiamas paaiškinimas, kodėl kitų priemonių nepakako siekiamam tikslui pasiekti, kaip įvykdomi 4, 5 ir 7 dalyse nustatyti reikalavimai ir koks yra priemonių, apie kurias pranešta, poveikis konkurencijai. Pranešime nurodoma, kas bus naudos gavėjai – visų pirma energijos nepriteklių patiriantys vartotojai ir pažeidžiami namų ūkio vartotojai, taip pat galimi kiti naudos gavėjai, priemonių trukmė ir namų ūkio vartotojų, kuriems priemonėmis daromas poveikis, skaičius bei paaiškinama, kaip buvo nustatytos reguliuojamos kainos.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Ne vėliau kaip 2025 m. kovo 15 d., o vėliau – kas dvejus metus integruotose nacionalinėse energetikos ir klimato srities pažangos ataskaitose valstybės narės pateikia Komisijai ataskaitas apie šio straipsnio įgyvendinimą ir viešųjų intervencijų būtinumą bei proporcingumą pagal šį straipsnį ir pažangos, padarytos siekiant veiksmingos tiekėjų konkurencijos ir perėjimo prie rinkos kainų, vertinimą. Valstybės narės, kurios taiko reguliuojamas kainas pagal 6 dalį, teikia ataskaitą apie tai, kaip laikomasi 7 dalyje nustatytų sąlygų, be kita ko, kaip jų laikosi tiekėjai, kurie privalo taikyti tokias intervencijas, ir apie reguliuojamų kainų poveikį tų tiekėjų finansams.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 xml:space="preserve">Pastaba. </w:t>
                </w:r>
                <w:r>
                  <w:rPr>
                    <w:i/>
                    <w:color w:val="000000"/>
                    <w:sz w:val="22"/>
                    <w:szCs w:val="22"/>
                    <w:lang w:eastAsia="lt-LT"/>
                  </w:rPr>
                  <w:t>Šiomis nuostatomis bus vadovaujamasi Europos Komisijai teikiant NEKSVP pažangos ataskaitas pagal Europos Komijos nurodytus pažangos ataskaitų teikimo šablonus.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10. Komisija, siekdama rinka grindžiamos mažmeninės gamtinių dujų kainodaros, peržiūri šio straipsnio įgyvendinimą ir Europos Parlamentui ir Tarybai pateikia ataskaitą. Į ataskaitą, kai tinkama, įtraukiamas tų priemonių poveikio pažangai siekiant Sąjungos poveikio klimatui neutralumo tikslo ir kitų energetikos ir klimato srities tikslų vertinimas. Ji gali būti priderinta prie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5 straipsnio 10 dalyje nurodytos to straipsnio įgyvendinimo ataskaitos. Prireikus, prie ataskaitos, pridedamas pasiūlymas dėl teisėkūros procedūra priimamo akto, arba tas pasiūlymas pateikiamas vėliau. Tokiame pasiūlyme dėl teisėkūros procedūra priimamo akto gali būti nurodyta reguliuojamų kainų panaikinimo data.</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rPr>
                    <w:i/>
                    <w:iCs/>
                    <w:color w:val="000000"/>
                    <w:sz w:val="22"/>
                    <w:szCs w:val="22"/>
                    <w:lang w:eastAsia="lt-LT"/>
                  </w:rPr>
                </w:pPr>
                <w:r>
                  <w:rPr>
                    <w:i/>
                    <w:iCs/>
                    <w:color w:val="000000"/>
                    <w:sz w:val="22"/>
                    <w:szCs w:val="22"/>
                    <w:lang w:eastAsia="lt-LT"/>
                  </w:rPr>
                  <w:t>5 straipsnis</w:t>
                </w:r>
              </w:p>
              <w:p>
                <w:pPr>
                  <w:shd w:val="clear" w:color="auto" w:fill="FFFFFF"/>
                  <w:rPr>
                    <w:i/>
                    <w:iCs/>
                    <w:color w:val="000000"/>
                    <w:sz w:val="22"/>
                    <w:szCs w:val="22"/>
                    <w:lang w:eastAsia="lt-LT"/>
                  </w:rPr>
                </w:pPr>
                <w:r>
                  <w:rPr>
                    <w:b/>
                    <w:bCs/>
                    <w:color w:val="000000"/>
                    <w:sz w:val="22"/>
                    <w:szCs w:val="22"/>
                    <w:lang w:eastAsia="lt-LT"/>
                  </w:rPr>
                  <w:t>Galimybė naudotis įperkama energija gamtinių dujų kainų krizės metu</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Taryba, remdamasi Komisijos pasiūlymu, gali priimdama įgyvendinimo sprendimą paskelbti regioninę arba Sąjungos masto gamtinių dujų kainų krizę, jeigu tenkinamos šios sąlygos:</w:t>
                </w:r>
              </w:p>
            </w:tc>
            <w:tc>
              <w:tcPr>
                <w:tcW w:w="9407" w:type="dxa"/>
                <w:gridSpan w:val="3"/>
                <w:vMerge w:val="restart"/>
              </w:tcPr>
              <w:p>
                <w:pPr>
                  <w:shd w:val="clear" w:color="auto" w:fill="FFFFFF"/>
                  <w:rPr>
                    <w:i/>
                    <w:iCs/>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Merge w:val="restart"/>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didmeninėse gamtinių dujų rinkose vidutinės kainos yra labai aukštos – bent du su puse karto aukštesnės už vidutinę ankstesnių penkerių metų kainą ir siekia bent 180 EUR / MWh – ir prognozuojama, kad tokios kainos išsilaikys bent šešis mėnesius; apskaičiuojant vidutinę ankstesnių penkerių metų kainą neatsižvelgiama į laikotarpius, kuriais buvo paskelbta regioninė arba Sąjungos masto gamtinių dujų kainų krizė;</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b) labai (70 % intervale) padidėja mažmeninės gamtinių dujų kainos ir prognozuojama, kad tokios kainos išsilaikys bent tris mėnesius.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nurodytame įgyvendinimo sprendime nurodomas jo galiojimo laikotarpis, kuris negali būti ilgesnis nei vieni metai. Tas laikotarpis 8 dalyje nustatyta tvarka gali būti pratęstas vienų metų neviršijantiems iš eilės einantiems laikotarpiams.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Skelbiant regioninę arba Sąjungos masto gamtinių dujų kainų krizę pagal 1 dalį užtikrinama sąžininga konkurencija ir prekyba visose valstybėse narėse, kurioms įgyvendinimo sprendimas daro poveikį, kad nebūtų netinkamai iškraipoma vidaus rinka.</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tenkinamos 1 dalyje išdėstytos sąlygos, Komisija pateikia pasiūlymą dėl regioninės arba Sąjungos masto gamtinių dujų kainų krizės paskelbimo, į kurį turi būti įtrauktas siūlomas įgyvendinimo sprendimo galiojimo laikotarpis.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Taryba kvalifikuota balsų dauguma gali iš dalies pakeisti Komisijos pasiūlymą, pateiktą pagal 4 ar 8 dalį.</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Tarybai pagal šio straipsnio 1 dalį priėmus įgyvendinimo sprendimą, valstybės narės gali to sprendimo galiojimo laikotarpiu taikyti laikinas tikslines viešąsias intervencijas į gamtinių dujų tiekimo mažosioms ir vidutinėms įmonėms (toliau – MVĮ), namų ūkio vartotojams ir pagrindinėms socialinėms paslaugoms, kaip apibrėžta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2 straipsnio 4 punkte, kainų nustatymą. Tokios viešosios intervencijos: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negali būti taikomos daugiau kaip 70 % naudos gavėjo per tą patį praėjusių metų laikotarpį suvartoto kiekio ir jomis turi būti toliau skatinama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182"/>
                  </w:tabs>
                  <w:jc w:val="both"/>
                  <w:rPr>
                    <w:color w:val="000000"/>
                    <w:sz w:val="22"/>
                    <w:szCs w:val="22"/>
                    <w:lang w:eastAsia="lt-LT"/>
                  </w:rPr>
                </w:pPr>
                <w:r>
                  <w:rPr>
                    <w:color w:val="000000"/>
                    <w:sz w:val="22"/>
                    <w:szCs w:val="22"/>
                    <w:lang w:eastAsia="lt-LT"/>
                  </w:rPr>
                  <w:t>b) turi atitikti 4 straipsnio 4 ir 7 dalyse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aktualu, turi atitikti 7 dalyje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30"/>
                  </w:tabs>
                  <w:jc w:val="both"/>
                  <w:rPr>
                    <w:color w:val="000000"/>
                    <w:sz w:val="22"/>
                    <w:szCs w:val="22"/>
                    <w:lang w:eastAsia="lt-LT"/>
                  </w:rPr>
                </w:pPr>
                <w:r>
                  <w:rPr>
                    <w:color w:val="000000"/>
                    <w:sz w:val="22"/>
                    <w:szCs w:val="22"/>
                    <w:lang w:eastAsia="lt-LT"/>
                  </w:rPr>
                  <w:t>d) turi būti parengtos taip, kad būtų kuo labiau sumažintas neigiamas vidaus rinkos susiskaidymas.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7. Tarybai pagal šio straipsnio 1 dalį priėmus įgyvendinimo sprendimą, valstybės narės, nukrypdamos nuo 4 straipsnio 7 dalies c punkto, to sprendimo galiojimo laikotarpiu, taikydamos tikslines viešąsias intervencijas į gamtinių dujų tiekimo kainų nustatymą pagal 4 straipsnio 6 dalį arba šio straipsnio 6 dalį, gali išimtinai ir laikinai nustatyti tokią gamtinių dujų tiekimo kainą, kuri yra mažesnė už sąnaudas, jei tenkinamos šios sąlygos: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namų ūkio vartotojams nustatyta kaina taikoma tik ne daugiau kaip 80 % namų ūkių vartojimo medianos ir ja išlaikoma paskata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nediskriminuojami tiekėjai;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c) tiekėjams skaidriai ir nediskriminuojant kompensuojama už tiekimą už sąnaudas mažesne kaina;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visi tiekėjai turi teisę teikti pasiūlymus dėl gamtinių dujų tiekimo kainos, kuri yra mažesnė už sąnaudas, tuo pačiu pagrindu;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e) pasiūlytomis priemonėmis neiškraipoma gamtinių dujų vidaus rinka.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Likus pakankamai laiko iki 2 dalyje nurodyto laikotarpio galiojimo pabaigos, Komisija įvertina, ar yra toliau tenkinamos 1 dalyje nustatytos sąlygos. Jeigu Komisija mano, kad 1 dalyje nustatytos sąlygos toliau tenkinamos, ji Tarybai pateikia pasiūlymą pratęsti pagal 1 dalį priimto įgyvendinimo sprendimo galiojimo laikotarpį. Jei Taryba nusprendžia pratęsti galiojimo laikotarpį, tokiam pratęstam laikotarpiui taikomos 6 ir 7 dalys.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nuolat vertina ir stebi bet kurių priemonių, priimtų dėl paskelbtos gamtinių dujų kainų krizės, poveikį ir reguliariai skelbia tokių vertinimų rezultatus.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Viešųjų paslaugų įsipareigojimai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remdamosi savo institucine struktūra ir deramai laikydamosi subsidiarumo principo, užtikrina, kad, nedarant poveikio 2 daliai, gamtinių dujų ir vandenilio įmonės veiktų laikydamosi šios direktyvos principų siekiant sukurti konkurencines, saugias ir aplinkosauginiu požiūriu tvarias gamtinių dujų ir vandenilio rinkas. Valstybės narės neturi diskriminuoti tų įmonių jų teisių ar pareigų atžvilgiu.</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ind w:firstLine="720"/>
                  <w:jc w:val="both"/>
                  <w:rPr>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gamtinių dujų vartojimo efektyvumo didinimo;</w:t>
                </w:r>
              </w:p>
              <w:p>
                <w:pPr>
                  <w:ind w:firstLine="720"/>
                  <w:jc w:val="both"/>
                  <w:rPr>
                    <w:color w:val="000000"/>
                    <w:sz w:val="22"/>
                    <w:szCs w:val="22"/>
                    <w:lang w:eastAsia="lt-LT"/>
                  </w:rPr>
                </w:pPr>
                <w:r>
                  <w:rPr>
                    <w:color w:val="000000"/>
                    <w:sz w:val="22"/>
                    <w:szCs w:val="22"/>
                    <w:lang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val="pt-BR" w:eastAsia="lt-LT"/>
                  </w:rPr>
                </w:pPr>
                <w:r>
                  <w:rPr>
                    <w:color w:val="000000"/>
                    <w:sz w:val="22"/>
                    <w:szCs w:val="22"/>
                    <w:lang w:eastAsia="lt-LT"/>
                  </w:rPr>
                  <w:t>&lt;....&gt;</w:t>
                </w:r>
              </w:p>
              <w:p>
                <w:pPr>
                  <w:ind w:firstLine="720"/>
                  <w:jc w:val="both"/>
                  <w:rPr>
                    <w:color w:val="000000"/>
                    <w:sz w:val="22"/>
                    <w:szCs w:val="22"/>
                    <w:lang w:val="pt-BR" w:eastAsia="lt-LT"/>
                  </w:rPr>
                </w:pPr>
                <w:r>
                  <w:rPr>
                    <w:color w:val="000000"/>
                    <w:sz w:val="22"/>
                    <w:szCs w:val="22"/>
                    <w:lang w:eastAsia="lt-LT"/>
                  </w:rPr>
                  <w:t>6) nediskriminavimo, skaidrumo ir teisinio tikrumo.</w:t>
                </w:r>
              </w:p>
              <w:p>
                <w:pPr>
                  <w:shd w:val="clear" w:color="auto" w:fill="FFFFFF"/>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2 straipsnis</w:t>
                </w:r>
                <w:r>
                  <w:rPr>
                    <w:b/>
                    <w:bCs/>
                    <w:color w:val="000000"/>
                    <w:sz w:val="22"/>
                    <w:szCs w:val="22"/>
                    <w:lang w:eastAsia="lt-LT"/>
                  </w:rPr>
                  <w:t>. Pagrindinės šio įstatymo sąvokos</w:t>
                </w:r>
              </w:p>
              <w:p>
                <w:pPr>
                  <w:jc w:val="both"/>
                  <w:rPr>
                    <w:b/>
                    <w:color w:val="000000"/>
                    <w:sz w:val="22"/>
                    <w:szCs w:val="22"/>
                    <w:lang w:eastAsia="lt-LT"/>
                  </w:rPr>
                </w:pPr>
                <w:r>
                  <w:rPr>
                    <w:color w:val="000000"/>
                    <w:sz w:val="22"/>
                    <w:szCs w:val="22"/>
                    <w:lang w:eastAsia="lt-LT"/>
                  </w:rPr>
                  <w:t>7. </w:t>
                </w:r>
                <w:r>
                  <w:rPr>
                    <w:b/>
                    <w:bCs/>
                    <w:color w:val="000000"/>
                    <w:sz w:val="22"/>
                    <w:szCs w:val="22"/>
                    <w:lang w:eastAsia="lt-LT"/>
                  </w:rPr>
                  <w:t>Energetikos įmonė</w:t>
                </w:r>
                <w:r>
                  <w:rPr>
                    <w:color w:val="000000"/>
                    <w:sz w:val="22"/>
                    <w:szCs w:val="22"/>
                    <w:lang w:eastAsia="lt-LT"/>
                  </w:rPr>
                  <w:t> – asmuo, kuris verčiasi energetikos veikla.</w:t>
                </w:r>
              </w:p>
              <w:p>
                <w:pPr>
                  <w:jc w:val="both"/>
                  <w:rPr>
                    <w:b/>
                    <w:color w:val="000000"/>
                    <w:sz w:val="22"/>
                    <w:szCs w:val="22"/>
                    <w:lang w:eastAsia="lt-LT"/>
                  </w:rPr>
                </w:pPr>
                <w:r>
                  <w:rPr>
                    <w:b/>
                    <w:color w:val="000000"/>
                    <w:sz w:val="22"/>
                    <w:szCs w:val="22"/>
                    <w:lang w:eastAsia="lt-LT"/>
                  </w:rPr>
                  <w:t>&lt;...&gt;</w:t>
                </w:r>
              </w:p>
              <w:p>
                <w:pPr>
                  <w:jc w:val="both"/>
                  <w:rPr>
                    <w:b/>
                    <w:color w:val="000000"/>
                    <w:sz w:val="22"/>
                    <w:szCs w:val="22"/>
                    <w:lang w:eastAsia="lt-LT"/>
                  </w:rPr>
                </w:pPr>
                <w:r>
                  <w:rPr>
                    <w:b/>
                    <w:color w:val="000000"/>
                    <w:sz w:val="22"/>
                    <w:szCs w:val="22"/>
                    <w:lang w:eastAsia="lt-LT"/>
                  </w:rPr>
                  <w:t>16 straipsnis. Energetikos veikla</w:t>
                </w:r>
              </w:p>
              <w:p>
                <w:pPr>
                  <w:jc w:val="both"/>
                  <w:rPr>
                    <w:color w:val="000000"/>
                    <w:sz w:val="22"/>
                    <w:szCs w:val="22"/>
                    <w:lang w:eastAsia="lt-LT"/>
                  </w:rPr>
                </w:pPr>
                <w:r>
                  <w:rPr>
                    <w:color w:val="000000"/>
                    <w:sz w:val="22"/>
                    <w:szCs w:val="22"/>
                    <w:lang w:eastAsia="lt-LT"/>
                  </w:rPr>
                  <w:t>1. Energetikos įmonės vykdo veiklą taip, kad užtikrintų saugią, efektyvią, aplinką tausojančią energijos gamybą, energijos tiekimą, perdavimą, skirstymą iki perdavimo ar skirstymo sistemos sujungimo su vartotojo sistema vietos, neviršydamos nustatytų valstybės reguliuojamų kainų. &lt;...&gt;</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lang w:eastAsia="lt-LT"/>
                  </w:rPr>
                </w:pPr>
                <w:r>
                  <w:rPr>
                    <w:b/>
                    <w:bCs/>
                    <w:color w:val="000000"/>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
                    <w:bCs/>
                    <w:color w:val="000000"/>
                    <w:sz w:val="22"/>
                    <w:szCs w:val="22"/>
                    <w:lang w:eastAsia="lt-LT"/>
                  </w:rPr>
                </w:pPr>
                <w:r>
                  <w:rPr>
                    <w:b/>
                    <w:bCs/>
                    <w:color w:val="000000"/>
                    <w:sz w:val="22"/>
                    <w:szCs w:val="22"/>
                    <w:lang w:eastAsia="lt-LT"/>
                  </w:rPr>
                  <w:t>3. Pakeisti 2 straipsnio 13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„13. Energetikos veikla – ekonominė veikla, apimanti energijos išteklių ar energijos žvalgymą, gavybą, perdirbimą, gamybą, laikymą, kaupimą, transportavimą, perdavimą, skirstymą, tiekimą, prekybą, rinkodarą, elektros energijos paklausos telkimą, energetikos darbuotojų atestavimą, energetikos objektų ir įrenginių įrengimą ir (ar) eksploatavimą.“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5. Pakeisti 2 straipsnio 15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 xml:space="preserve">„15. Energijos ištekliai – </w:t>
                </w:r>
                <w:r>
                  <w:rPr>
                    <w:color w:val="000000"/>
                    <w:sz w:val="22"/>
                    <w:szCs w:val="22"/>
                    <w:lang w:eastAsia="lt-LT"/>
                  </w:rPr>
                  <w:t xml:space="preserve"> </w:t>
                </w:r>
                <w:r>
                  <w:rPr>
                    <w:b/>
                    <w:bCs/>
                    <w:color w:val="000000"/>
                    <w:sz w:val="22"/>
                    <w:szCs w:val="22"/>
                    <w:lang w:eastAsia="lt-LT"/>
                  </w:rPr>
                  <w:t>pirminiai (gamtiniai) ir antriniai ištekliai (gamtinių išteklių perdirbimo produktai), įskaitant vandenilį, naudojami energijai gaminti ar transporto sektoriuje.“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6. Papildyti 2 straipsnį nauja 15</w:t>
                </w:r>
                <w:r>
                  <w:rPr>
                    <w:b/>
                    <w:bCs/>
                    <w:color w:val="000000"/>
                    <w:sz w:val="22"/>
                    <w:szCs w:val="22"/>
                    <w:vertAlign w:val="superscript"/>
                    <w:lang w:eastAsia="lt-LT"/>
                  </w:rPr>
                  <w:t>1</w:t>
                </w:r>
                <w:r>
                  <w:rPr>
                    <w:b/>
                    <w:bCs/>
                    <w:color w:val="000000"/>
                    <w:sz w:val="22"/>
                    <w:szCs w:val="22"/>
                    <w:lang w:eastAsia="lt-LT"/>
                  </w:rPr>
                  <w:t xml:space="preserve"> dalimi: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„15</w:t>
                </w:r>
                <w:r>
                  <w:rPr>
                    <w:b/>
                    <w:bCs/>
                    <w:color w:val="000000"/>
                    <w:sz w:val="22"/>
                    <w:szCs w:val="22"/>
                    <w:vertAlign w:val="superscript"/>
                    <w:lang w:eastAsia="lt-LT"/>
                  </w:rPr>
                  <w:t>1</w:t>
                </w:r>
                <w:r>
                  <w:rPr>
                    <w:b/>
                    <w:bCs/>
                    <w:color w:val="000000"/>
                    <w:sz w:val="22"/>
                    <w:szCs w:val="22"/>
                    <w:lang w:eastAsia="lt-LT"/>
                  </w:rPr>
                  <w:t>. Energijos nešiklis – medžiaga ar žaliava, kurioje energija gali būti kaupiama, transportuojama ar transformuojama.“</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Visapusiškai atsižvelgdamos į atitinkamas SESV nuostatas, visų pirma į jos 106 straipsnį, valstybės narės gamtinių dujų ir vandenilio įmonėms gali dėl bendros ekonominės svarbos nustatyti viešųjų paslaugų įsipareigojimus, kurie gali būti susiję su saugumu, įskaitant tiekimo saugumą, tiekimo reguliarumu ir kokybe, su aplinkos apsauga, įskaitant energijos vartojimo efektyvumą, energiją iš atsinaujinančių išteklių ir klimato apsaugą, taip pat su gamtinių dujų tiekimo kaina. Tokie įsipareigojimai turi būti aiškiai apibrėžti, skaidrūs, nediskriminaciniai, patikrinami ir turi užtikrinti Sąjungos gamtinių dujų įmonėms ir vandenilio įmonėms vienodas galimybes teikti paslaugas nacionaliniams vartotojams. Viešųjų paslaugų įsipareigojimai, susiję su viešosiomis intervencijomis į gamtinių dujų tiekimo kainų nustatymą, turi atitikti šios direktyvos 4 ir 5 straipsniuose nustatytus reikalavimus.</w:t>
                </w:r>
              </w:p>
            </w:tc>
            <w:tc>
              <w:tcPr>
                <w:tcW w:w="9407" w:type="dxa"/>
                <w:gridSpan w:val="3"/>
              </w:tcPr>
              <w:p>
                <w:pPr>
                  <w:widowControl w:val="0"/>
                  <w:tabs>
                    <w:tab w:val="left" w:pos="1134"/>
                  </w:tabs>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5 straipsnis. Vyriausybės ar jos įgaliotos institucijos kompetencija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Vyriausybė ar jos įgaliota institucija: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6) įstatymų nustatytais atvejais turi teisę įpareigoti energetikos įmonę teikti viešuosius interesus atitinkančias paslaugas;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Vandenilio sektoriuje viešųjų paslaugų įpareigojimai nenustatomi, vandenilio rinka nėra pakankamai išsivysčiusi, o transportavimo tinklas planuojamas tik 2034 m.</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 xml:space="preserve">3. Su dujų tiekimo saugumu susijusiais viešųjų paslaugų įsipareigojimais turi būti užtikrinama, kad gamtinių dujų įmonės laikytųsi dujų tiekimo standartų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straipsnį ir jie turi atitikti nacionalinio rizikos vertinimo, atlikto pagal to reglamento 7 straipsnio 3 dalį, kaip išsamiai aprašyta prevencinių veiksmų planuose, parengtuose pagal to reglamento 9 straipsnio 1 dalies c, d ir k punktus, rezultatus. Viešųjų paslaugų įsipareigojimai, kuriais viršijama tai, kas būtina siekiant užtikrinti atitiktį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straipsniui, turi atitikti to reglamento 8 straipsnio 1 dalyje nustatytus kriterijus.</w:t>
                </w:r>
              </w:p>
            </w:tc>
            <w:tc>
              <w:tcPr>
                <w:tcW w:w="9407" w:type="dxa"/>
                <w:gridSpan w:val="3"/>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45 straipsnis. Atsakomybė už gamtinių</w:t>
                </w:r>
                <w:r>
                  <w:rPr>
                    <w:color w:val="000000"/>
                    <w:sz w:val="22"/>
                    <w:szCs w:val="22"/>
                    <w:lang w:eastAsia="lt-LT"/>
                  </w:rPr>
                  <w:t> </w:t>
                </w:r>
                <w:r>
                  <w:rPr>
                    <w:b/>
                    <w:bCs/>
                    <w:color w:val="000000"/>
                    <w:sz w:val="22"/>
                    <w:szCs w:val="22"/>
                    <w:lang w:eastAsia="lt-LT"/>
                  </w:rPr>
                  <w:t>dujų tiekimo saugumo užtikrinimą</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 Vyriausybė nustato konkrečias saugumą užtikrinančias priemones, kurių įgyvendinimas Tarybai, gamtinių dujų įmonėms ir vartotojams yra privalomas. Priemonės turi apimti minimalius dujų tiekimo patikimumo reikalavimus, pažeidžiamų vartotojų ir solidariai saugomų pažeidžiamų vartotojų apibrėžtis, dujų tiekimo prioritetus dujų tiekimo sutrikimo atveju, jos turi būti nediskriminacinės, aiškios ir paskelbtos teisės aktų nustatyta tvarka. Su gamtinių dujų tiekimo saugumą užtikrinančių priemonių įgyvendinimu susijusių dalyvių funkcijas ir atsakomybę Vyriausybė nustato taip, kad visų pirma veiksmų turėtų imtis gamtinių dujų įmonės ir nebuitiniai dujų vartotojai, o po to – valstybės ir Europos Sąjungos institucijos.</w:t>
                </w:r>
              </w:p>
              <w:p>
                <w:pPr>
                  <w:jc w:val="both"/>
                  <w:rPr>
                    <w:color w:val="000000"/>
                    <w:sz w:val="22"/>
                    <w:szCs w:val="22"/>
                    <w:lang w:val="pt-BR" w:eastAsia="lt-LT"/>
                  </w:rPr>
                </w:pPr>
                <w:r>
                  <w:rPr>
                    <w:i/>
                    <w:iCs/>
                    <w:color w:val="000000"/>
                    <w:sz w:val="22"/>
                    <w:szCs w:val="22"/>
                    <w:lang w:eastAsia="lt-LT"/>
                  </w:rPr>
                  <w:t>Straipsnio dalies pakeitimai:</w:t>
                </w:r>
              </w:p>
              <w:p>
                <w:pPr>
                  <w:jc w:val="both"/>
                  <w:rPr>
                    <w:sz w:val="22"/>
                    <w:szCs w:val="22"/>
                    <w:lang w:val="pt-BR" w:eastAsia="lt-LT"/>
                  </w:rPr>
                </w:pPr>
                <w:r>
                  <w:rPr>
                    <w:i/>
                    <w:iCs/>
                    <w:color w:val="000000"/>
                    <w:sz w:val="22"/>
                    <w:szCs w:val="22"/>
                    <w:lang w:eastAsia="lt-LT"/>
                  </w:rPr>
                  <w:t>Nr. </w:t>
                </w:r>
                <w:hyperlink r:id="rId42" w:tgtFrame="_parent" w:history="1">
                  <w:r>
                    <w:rPr>
                      <w:i/>
                      <w:sz w:val="22"/>
                      <w:szCs w:val="22"/>
                      <w:lang w:eastAsia="lt-LT"/>
                    </w:rPr>
                    <w:t>XIII-1782</w:t>
                  </w:r>
                </w:hyperlink>
                <w:r>
                  <w:rPr>
                    <w:i/>
                    <w:iCs/>
                    <w:color w:val="000000"/>
                    <w:sz w:val="22"/>
                    <w:szCs w:val="22"/>
                    <w:lang w:eastAsia="lt-LT"/>
                  </w:rPr>
                  <w:t>, 2018-12-18, paskelbta TAR 2018-12-21, i. k. 2018-21216</w:t>
                </w:r>
              </w:p>
              <w:p>
                <w:pPr>
                  <w:jc w:val="both"/>
                  <w:rPr>
                    <w:sz w:val="22"/>
                    <w:szCs w:val="22"/>
                    <w:lang w:val="pt-BR" w:eastAsia="lt-LT"/>
                  </w:rPr>
                </w:pPr>
                <w:r>
                  <w:rPr>
                    <w:i/>
                    <w:iCs/>
                    <w:color w:val="000000"/>
                    <w:sz w:val="22"/>
                    <w:szCs w:val="22"/>
                    <w:lang w:eastAsia="lt-LT"/>
                  </w:rPr>
                  <w:t>Nr. </w:t>
                </w:r>
                <w:hyperlink r:id="rId43" w:tgtFrame="_parent" w:history="1">
                  <w:r>
                    <w:rPr>
                      <w:i/>
                      <w:sz w:val="22"/>
                      <w:szCs w:val="22"/>
                      <w:lang w:eastAsia="lt-LT"/>
                    </w:rPr>
                    <w:t>XIII-1971</w:t>
                  </w:r>
                </w:hyperlink>
                <w:r>
                  <w:rPr>
                    <w:i/>
                    <w:iCs/>
                    <w:color w:val="000000"/>
                    <w:sz w:val="22"/>
                    <w:szCs w:val="22"/>
                    <w:lang w:eastAsia="lt-LT"/>
                  </w:rPr>
                  <w:t>, 2019-02-14, paskelbta TAR 2019-02-26, i. k. 2019-03169</w:t>
                </w:r>
              </w:p>
              <w:p>
                <w:pPr>
                  <w:jc w:val="both"/>
                  <w:rPr>
                    <w:sz w:val="22"/>
                    <w:szCs w:val="22"/>
                    <w:lang w:eastAsia="lt-LT"/>
                  </w:rPr>
                </w:pPr>
                <w:r>
                  <w:rPr>
                    <w:i/>
                    <w:iCs/>
                    <w:color w:val="000000"/>
                    <w:sz w:val="22"/>
                    <w:szCs w:val="22"/>
                    <w:lang w:eastAsia="lt-LT"/>
                  </w:rPr>
                  <w:t>Nr. </w:t>
                </w:r>
                <w:hyperlink r:id="rId44" w:tgtFrame="_parent" w:history="1">
                  <w:r>
                    <w:rPr>
                      <w:i/>
                      <w:sz w:val="22"/>
                      <w:szCs w:val="22"/>
                      <w:lang w:eastAsia="lt-LT"/>
                    </w:rPr>
                    <w:t>XIV-1644</w:t>
                  </w:r>
                </w:hyperlink>
                <w:r>
                  <w:rPr>
                    <w:i/>
                    <w:iCs/>
                    <w:color w:val="000000"/>
                    <w:sz w:val="22"/>
                    <w:szCs w:val="22"/>
                    <w:lang w:eastAsia="lt-LT"/>
                  </w:rPr>
                  <w:t>, 2022-12-08, paskelbta TAR 2022-12-23, i. k. 2022-26588</w:t>
                </w:r>
              </w:p>
              <w:p>
                <w:pPr>
                  <w:jc w:val="both"/>
                  <w:rPr>
                    <w:sz w:val="22"/>
                    <w:szCs w:val="22"/>
                    <w:lang w:eastAsia="lt-LT"/>
                  </w:rPr>
                </w:pPr>
              </w:p>
              <w:p>
                <w:pPr>
                  <w:jc w:val="both"/>
                  <w:rPr>
                    <w:b/>
                    <w:bCs/>
                    <w:color w:val="000000"/>
                    <w:sz w:val="22"/>
                    <w:szCs w:val="22"/>
                    <w:lang w:eastAsia="lt-LT"/>
                  </w:rPr>
                </w:pPr>
                <w:r>
                  <w:rPr>
                    <w:b/>
                    <w:bCs/>
                    <w:color w:val="000000"/>
                    <w:sz w:val="22"/>
                    <w:szCs w:val="22"/>
                    <w:lang w:eastAsia="lt-LT"/>
                  </w:rPr>
                  <w:t xml:space="preserve">Lietuvos Respublikos Vyriausybės 2008 m. vasario 26 d. nutarimas Nr. 163 „Dėl gamtinių dujų tiekimo saugumą užtikrinančių priemonių aprašo patvirtinimo“ </w:t>
                </w:r>
              </w:p>
              <w:p>
                <w:pPr>
                  <w:jc w:val="both"/>
                  <w:rPr>
                    <w:color w:val="000000"/>
                    <w:sz w:val="22"/>
                    <w:szCs w:val="22"/>
                    <w:lang w:eastAsia="lt-LT"/>
                  </w:rPr>
                </w:pPr>
                <w:r>
                  <w:rPr>
                    <w:color w:val="000000"/>
                    <w:sz w:val="22"/>
                    <w:szCs w:val="22"/>
                    <w:lang w:eastAsia="lt-LT"/>
                  </w:rPr>
                  <w:t>1. Gamtinių dujų tiekimo saugumą užtikrinančių priemonių aprašas (toliau – Aprašas) nustato pažeidžiamiems gamtinių dujų vartotojams reikalingo gamtinių dujų atsargų kaupimo, panaudojimo ir kitas gamtinių dujų tiekimo saugumą užtikrinančias priemones ir jų taikymo tvarką, pažeidžiamų gamtinių dujų vartotojų ir solidariai saugomų pažeidžiamų gamtinių dujų vartotojų ir jų grupių sąrašus, gamtinių dujų tiekimo gamtinių dujų vartotojams (toliau – vartotojas) prioritetinę tvarką, minimalius gamtinių dujų tiekimo patikimumo reikalavimus.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Kai yra numatyta finansinė ar kitų formų kompensacija, kurią valstybė narė suteikia už šiame straipsnyje nustatytų įsipareigojimų vykdymą, tai daroma nediskriminuojant ir skaidriai.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val="lt" w:eastAsia="lt-LT"/>
                  </w:rPr>
                </w:pPr>
              </w:p>
              <w:p>
                <w:pPr>
                  <w:jc w:val="both"/>
                  <w:rPr>
                    <w:i/>
                    <w:color w:val="000000"/>
                    <w:sz w:val="22"/>
                    <w:szCs w:val="22"/>
                    <w:lang w:eastAsia="lt-LT"/>
                  </w:rPr>
                </w:pPr>
                <w:r>
                  <w:rPr>
                    <w:i/>
                    <w:iCs/>
                    <w:color w:val="000000"/>
                    <w:sz w:val="22"/>
                    <w:szCs w:val="22"/>
                    <w:lang w:eastAsia="lt-LT"/>
                  </w:rPr>
                  <w:t>Pastaba. Vandenilio sektoriuje viešųjų paslaugų įpareigojimai nenustatomi, vandenilio rinka nėra pakankamai išsivysčiusi, o transportavimo tinklas planuojamas tik 2034 m.</w:t>
                </w: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5. Perkėlusios į nacionalinę teisę šią direktyvą, valstybės narės praneša Komisijai apie visas priemones, patvirtintas siekiant vykdyti viešųjų paslaugų įsipareigojimus, įskaitant vartotojų ir aplinkos apsaugą, bei apie galimą jų poveikį nacionalinei ir tarptautinei konkurencijai, neatsižvelgdamos į tai, ar tokioms priemonėms taikyti reikalinga nuo šios direktyvos nukrypti leidžianti nuostata. Vėliau jos kas dvejus metus praneša Komisijai apie visus tokių priemonių pakeitimus, neatsižvelgdamos į tai, ar tokioms priemonėms taikyti reikalinga nuo šios direktyvos nukrypti leidžianti nuostata.</w:t>
                </w:r>
              </w:p>
            </w:tc>
            <w:tc>
              <w:tcPr>
                <w:tcW w:w="9407" w:type="dxa"/>
                <w:gridSpan w:val="3"/>
              </w:tcPr>
              <w:p>
                <w:pPr>
                  <w:shd w:val="clear" w:color="auto" w:fill="FFFFFF"/>
                  <w:jc w:val="both"/>
                  <w:rPr>
                    <w:color w:val="000000"/>
                    <w:sz w:val="22"/>
                    <w:szCs w:val="22"/>
                    <w:lang w:eastAsia="lt-LT"/>
                  </w:rPr>
                </w:pPr>
                <w:r>
                  <w:rPr>
                    <w:color w:val="000000"/>
                    <w:sz w:val="22"/>
                    <w:szCs w:val="22"/>
                    <w:lang w:eastAsia="lt-LT"/>
                  </w:rPr>
                  <w:t>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6. Nustatydamos viešųjų paslaugų įsipareigojimus pagal 2 dalį, valstybės narės ankstyvame etape atvirai, įtraukiai ir skaidriai konsultuojasi su atitinkamais suinteresuotaisiais subjektais. Visi oficialūs dokumentai, susiję su konsultacijomis, ir dokumentai, naudojami rengiant viešųjų paslaugų įsipareigojimus, skelbiami viešai, užtikrinant neskelbtinos komercinės informacijos konfidencialumą ir duomenų apsaugą.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Teisės aktų derinimo terminai yra reglamentuoti </w:t>
                </w:r>
                <w:r>
                  <w:rPr>
                    <w:b/>
                    <w:i/>
                    <w:color w:val="000000"/>
                    <w:sz w:val="22"/>
                    <w:szCs w:val="22"/>
                    <w:lang w:eastAsia="lt-LT"/>
                  </w:rPr>
                  <w:t xml:space="preserve">Lietuvos Respublikos teisėkūros pagrindų įstatyme, Vyriausybės įstatyme, Vyriausybės darbo reglamente ir Teisės aktų projektų rengimo rekomendacijose </w:t>
                </w:r>
                <w:r>
                  <w:rPr>
                    <w:i/>
                    <w:color w:val="000000"/>
                    <w:sz w:val="22"/>
                    <w:szCs w:val="22"/>
                    <w:lang w:eastAsia="lt-LT"/>
                  </w:rPr>
                  <w:t>nustatytos procedūros, apimančios projektų svarstymą ir pateikimą, dažnai skiriant bent 5 darbo dienas derinimui, siekiant užtikrinti skaidrumą, dalyvavimą ir kokybę, o derinimo procese vengiant neaiškių nuorodų, pereinamųjų nuostatų ir siekiant aiškumo, kaip nurodyta „Dėl Teisės aktų projektų rengimo rekomendacijų patvirtinimo“ bei Teisėkūros metodinėse rekomendacijose.</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7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Regioninio bendradarbiavimo ir integracijos skatinimas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 xml:space="preserve">1. Valstybės narės, taip pat ir reguliavimo institucijos bendradarbiauja tarpusavyje siekdamos vieno ar daugiau regionų lygmeniu integruoti savo nacionalines rinkas, sukurti regionines rinkas, jei valstybės narės arba jų reguliavimo institucijos taip nusprendžia, ir vėliau sukurti visiškai liberalizuotą vidaus rinką. Visų pirma, valstybės narės arba, jei taip numato valstybės narės, reguliavimo institucijos, skatina gamtinių dujų perdavimo sistemos operatorių ir vandenilio perdavimo tinklo operatorių bendradarbiavimą regionų lygmeniu, įskaitant bendradarbiavimą tarpvalstybiniais klausimais ir įrenginių eksploatavimo nutraukimo klausimais, siekiant užtikrinti ekonomiškai efektyvų priklausomybės nuo iškastinio kuro mažinimą laikantis Sąjungos poveikio klimatui neutralumo tikslo ir sukurti konkurencines gamtinių dujų ir vandenilio vidaus rinkas, ir sudaro jam palankias sąlygas, stiprina savo teisinių, reguliavimo ir techninių sistemų suderinamumą ir sudaro palankias sąlygas izoliuotų sistemų, sudarančių vis dar Sąjungoje esančias vadinamąsias gamtinių dujų salas, integracijai. Geografiniai regionai, kuriuose įgyvendinamas toks regioninis bendradarbiavimas, apima bendradarbiavimą geografiniuose regionuose, apibrėžtuose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31 straipsnio 3 dalį. Toks bendradarbiavimas gali apimti kitus geografinius regionus. Jei Komisija mano, kad Sąjungos lygmens taisyklės yra aktualios regioninei gamtinių dujų ir vandenilio rinkų integracijai, ji pateikia tinkamas neprivalomas gaires, atsižvelgdama į tų rinkų specifiką ir poveikį kaimyninėms rinkoms.</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right="57"/>
                  <w:jc w:val="both"/>
                  <w:rPr>
                    <w:rFonts w:eastAsia="Segoe UI"/>
                    <w:b/>
                    <w:bCs/>
                    <w:color w:val="333333"/>
                    <w:sz w:val="22"/>
                    <w:szCs w:val="22"/>
                    <w:lang w:eastAsia="lt-LT"/>
                  </w:rPr>
                </w:pPr>
                <w:r>
                  <w:rPr>
                    <w:b/>
                    <w:bCs/>
                    <w:color w:val="000000"/>
                    <w:sz w:val="22"/>
                    <w:szCs w:val="22"/>
                    <w:lang w:eastAsia="lt-LT"/>
                  </w:rPr>
                  <w:t>12 straipsnis. Regioninis bendradarbiavimas ir integracija</w:t>
                </w:r>
              </w:p>
              <w:p>
                <w:pPr>
                  <w:ind w:right="57" w:firstLine="720"/>
                  <w:jc w:val="both"/>
                  <w:rPr>
                    <w:b/>
                    <w:bCs/>
                    <w:color w:val="000000"/>
                    <w:sz w:val="22"/>
                    <w:szCs w:val="22"/>
                    <w:lang w:eastAsia="lt-LT"/>
                  </w:rPr>
                </w:pPr>
                <w:r>
                  <w:rPr>
                    <w:b/>
                    <w:bCs/>
                    <w:color w:val="000000"/>
                    <w:kern w:val="2"/>
                    <w:sz w:val="22"/>
                    <w:szCs w:val="22"/>
                    <w:lang w:eastAsia="lt-LT"/>
                  </w:rPr>
                  <w:t>1. Sprendimą dėl Lietuvos prisijungimo prie regioninės rinkos priima Vyriausybė, įvertinusi Energetikos ministerijos ir Tarybos pateiktas išvadas dėl tokio sprendimo ekonominės naudos. Taryba, teikdama išvadą, vadovaujasi šio straipsnio 4 dalimi.</w:t>
                </w:r>
              </w:p>
              <w:p>
                <w:pPr>
                  <w:ind w:right="57" w:firstLine="720"/>
                  <w:jc w:val="both"/>
                  <w:rPr>
                    <w:b/>
                    <w:bCs/>
                    <w:color w:val="000000"/>
                    <w:sz w:val="22"/>
                    <w:szCs w:val="22"/>
                    <w:lang w:eastAsia="lt-LT"/>
                  </w:rPr>
                </w:pPr>
                <w:r>
                  <w:rPr>
                    <w:b/>
                    <w:bCs/>
                    <w:color w:val="000000"/>
                    <w:sz w:val="22"/>
                    <w:szCs w:val="22"/>
                    <w:lang w:eastAsia="lt-LT"/>
                  </w:rPr>
                  <w:t>2. Regioninė rinkos integracija apima:</w:t>
                </w:r>
              </w:p>
              <w:p>
                <w:pPr>
                  <w:ind w:right="57" w:firstLine="720"/>
                  <w:jc w:val="both"/>
                  <w:rPr>
                    <w:b/>
                    <w:bCs/>
                    <w:color w:val="000000"/>
                    <w:sz w:val="22"/>
                    <w:szCs w:val="22"/>
                    <w:lang w:eastAsia="lt-LT"/>
                  </w:rPr>
                </w:pPr>
                <w:r>
                  <w:rPr>
                    <w:b/>
                    <w:bCs/>
                    <w:color w:val="000000"/>
                    <w:sz w:val="22"/>
                    <w:szCs w:val="22"/>
                    <w:lang w:eastAsia="lt-LT"/>
                  </w:rPr>
                  <w:t>1) regioninės rinkos naudojimosi vandenilio perdavimo tinklais kainodaros modelį;</w:t>
                </w:r>
              </w:p>
              <w:p>
                <w:pPr>
                  <w:ind w:right="57" w:firstLine="720"/>
                  <w:jc w:val="both"/>
                  <w:rPr>
                    <w:b/>
                    <w:color w:val="000000"/>
                    <w:sz w:val="22"/>
                    <w:szCs w:val="22"/>
                    <w:lang w:eastAsia="lt-LT"/>
                  </w:rPr>
                </w:pPr>
                <w:r>
                  <w:rPr>
                    <w:b/>
                    <w:color w:val="000000"/>
                    <w:sz w:val="22"/>
                    <w:szCs w:val="22"/>
                    <w:lang w:eastAsia="lt-LT"/>
                  </w:rPr>
                  <w:t>2) balansavimo režimą;</w:t>
                </w:r>
              </w:p>
              <w:p>
                <w:pPr>
                  <w:ind w:right="57" w:firstLine="720"/>
                  <w:jc w:val="both"/>
                  <w:rPr>
                    <w:b/>
                    <w:bCs/>
                    <w:color w:val="000000"/>
                    <w:sz w:val="22"/>
                    <w:szCs w:val="22"/>
                    <w:lang w:eastAsia="lt-LT"/>
                  </w:rPr>
                </w:pPr>
                <w:r>
                  <w:rPr>
                    <w:b/>
                    <w:bCs/>
                    <w:color w:val="000000"/>
                    <w:sz w:val="22"/>
                    <w:szCs w:val="22"/>
                    <w:lang w:eastAsia="lt-LT"/>
                  </w:rPr>
                  <w:t>3) pajėgumų tarpvalstybiniuose vandenilio tinklų sujungimo taškuose paskirstymą;</w:t>
                </w:r>
              </w:p>
              <w:p>
                <w:pPr>
                  <w:ind w:right="57" w:firstLine="720"/>
                  <w:jc w:val="both"/>
                  <w:rPr>
                    <w:b/>
                    <w:color w:val="000000"/>
                    <w:sz w:val="22"/>
                    <w:szCs w:val="22"/>
                    <w:lang w:eastAsia="lt-LT"/>
                  </w:rPr>
                </w:pPr>
                <w:r>
                  <w:rPr>
                    <w:b/>
                    <w:color w:val="000000"/>
                    <w:sz w:val="22"/>
                    <w:szCs w:val="22"/>
                    <w:lang w:eastAsia="lt-LT"/>
                  </w:rPr>
                  <w:t>4) investicijų planus;</w:t>
                </w:r>
              </w:p>
              <w:p>
                <w:pPr>
                  <w:ind w:right="57" w:firstLine="720"/>
                  <w:jc w:val="both"/>
                  <w:rPr>
                    <w:b/>
                    <w:color w:val="000000"/>
                    <w:sz w:val="22"/>
                    <w:szCs w:val="22"/>
                    <w:lang w:eastAsia="lt-LT"/>
                  </w:rPr>
                </w:pPr>
                <w:r>
                  <w:rPr>
                    <w:b/>
                    <w:color w:val="000000"/>
                    <w:sz w:val="22"/>
                    <w:szCs w:val="22"/>
                    <w:lang w:eastAsia="lt-LT"/>
                  </w:rPr>
                  <w:t>5) leidimų ir licencijų, numatytų šiame įstatyme, išdavimo procedūras;</w:t>
                </w:r>
              </w:p>
              <w:p>
                <w:pPr>
                  <w:ind w:right="57"/>
                  <w:jc w:val="both"/>
                  <w:rPr>
                    <w:b/>
                    <w:bCs/>
                    <w:color w:val="000000"/>
                    <w:sz w:val="22"/>
                    <w:szCs w:val="22"/>
                    <w:lang w:eastAsia="lt-LT"/>
                  </w:rPr>
                </w:pPr>
                <w:r>
                  <w:rPr>
                    <w:b/>
                    <w:bCs/>
                    <w:color w:val="000000"/>
                    <w:sz w:val="22"/>
                    <w:szCs w:val="22"/>
                    <w:lang w:eastAsia="lt-LT"/>
                  </w:rPr>
                  <w:t>6) vandenilio tiekimo sąlygų suvienodinimą.</w:t>
                </w:r>
              </w:p>
              <w:p>
                <w:pPr>
                  <w:ind w:right="57" w:firstLine="720"/>
                  <w:jc w:val="both"/>
                  <w:rPr>
                    <w:b/>
                    <w:bCs/>
                    <w:color w:val="000000"/>
                    <w:sz w:val="22"/>
                    <w:szCs w:val="22"/>
                    <w:lang w:eastAsia="lt-LT"/>
                  </w:rPr>
                </w:pPr>
                <w:r>
                  <w:rPr>
                    <w:b/>
                    <w:bCs/>
                    <w:color w:val="000000"/>
                    <w:kern w:val="2"/>
                    <w:sz w:val="22"/>
                    <w:szCs w:val="22"/>
                    <w:lang w:eastAsia="lt-LT"/>
                  </w:rPr>
                  <w:t xml:space="preserve">3. Taryba, </w:t>
                </w:r>
                <w:r>
                  <w:rPr>
                    <w:b/>
                    <w:color w:val="000000"/>
                    <w:kern w:val="2"/>
                    <w:sz w:val="22"/>
                    <w:szCs w:val="22"/>
                    <w:lang w:eastAsia="lt-LT"/>
                  </w:rPr>
                  <w:t>Vyriausybei pritarus</w:t>
                </w:r>
                <w:r>
                  <w:rPr>
                    <w:b/>
                    <w:bCs/>
                    <w:color w:val="000000"/>
                    <w:kern w:val="2"/>
                    <w:sz w:val="22"/>
                    <w:szCs w:val="22"/>
                    <w:lang w:eastAsia="lt-LT"/>
                  </w:rPr>
                  <w:t xml:space="preserve">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kern w:val="2"/>
                      <w:sz w:val="22"/>
                      <w:szCs w:val="22"/>
                      <w:lang w:eastAsia="lt-LT"/>
                      <w:u w:val="single"/>
                    </w:rPr>
                    <w:t>(ES) 2024/1789</w:t>
                  </w:r>
                </w:fldSimple>
                <w:r>
                  <w:rPr>
                    <w:b/>
                    <w:bCs/>
                    <w:color w:val="000000"/>
                    <w:kern w:val="2"/>
                    <w:sz w:val="22"/>
                    <w:szCs w:val="22"/>
                    <w:lang w:eastAsia="lt-LT"/>
                  </w:rPr>
                  <w:t xml:space="preserve"> 7 straipsnio 8 dalį ir 17 straipsnio 4, 5 dalis. Tokiu atveju, Taryba sutarus kartu su kitomis nacionalinėmis reguliavimo institucijomis patvirtina bendrus įleidimo ir išleidimo tarifų nustatymo principus, </w:t>
                </w:r>
                <w:r>
                  <w:rPr>
                    <w:b/>
                    <w:color w:val="000000"/>
                    <w:kern w:val="2"/>
                    <w:sz w:val="22"/>
                    <w:szCs w:val="22"/>
                    <w:lang w:eastAsia="lt-LT"/>
                  </w:rPr>
                  <w:t xml:space="preserve">netaikyti </w:t>
                </w:r>
                <w:r>
                  <w:rPr>
                    <w:b/>
                    <w:bCs/>
                    <w:color w:val="000000"/>
                    <w:kern w:val="2"/>
                    <w:sz w:val="22"/>
                    <w:szCs w:val="22"/>
                    <w:lang w:eastAsia="lt-LT"/>
                  </w:rPr>
                  <w:t>tarifų sujungimo taškuose tarp vandenilio perdavimo tinklų operatorių,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p>
                <w:pPr>
                  <w:ind w:right="57" w:firstLine="720"/>
                  <w:jc w:val="both"/>
                  <w:rPr>
                    <w:b/>
                    <w:bCs/>
                    <w:color w:val="000000"/>
                    <w:sz w:val="22"/>
                    <w:szCs w:val="22"/>
                    <w:lang w:eastAsia="lt-LT"/>
                  </w:rPr>
                </w:pPr>
                <w:r>
                  <w:rPr>
                    <w:b/>
                    <w:bCs/>
                    <w:color w:val="000000"/>
                    <w:sz w:val="22"/>
                    <w:szCs w:val="22"/>
                    <w:lang w:eastAsia="lt-LT"/>
                  </w:rPr>
                  <w:t>4. Regioninės rinkos vandenilio perdavimo paslaugų kainodaros modelis, pagal kurį paskirstomos vandenilio perdavimo tinklo operatoriaus (operatorių) pajamos įleidimo ir išleidimo taškams, ir finansinio kompensavimo mechanizmas turi:</w:t>
                </w:r>
              </w:p>
              <w:p>
                <w:pPr>
                  <w:ind w:firstLine="720"/>
                  <w:jc w:val="both"/>
                  <w:rPr>
                    <w:b/>
                    <w:color w:val="000000"/>
                    <w:sz w:val="22"/>
                    <w:szCs w:val="22"/>
                    <w:lang w:eastAsia="lt-LT"/>
                  </w:rPr>
                </w:pPr>
                <w:r>
                  <w:rPr>
                    <w:b/>
                    <w:color w:val="000000"/>
                    <w:sz w:val="22"/>
                    <w:szCs w:val="22"/>
                    <w:lang w:eastAsia="lt-LT"/>
                  </w:rPr>
                  <w:t>1) teikti ekonominę naudą šalies vandenilio sektoriaus dalyviams ir vandenilio sistemos vartotojams</w:t>
                </w:r>
                <w:r>
                  <w:rPr>
                    <w:b/>
                    <w:bCs/>
                    <w:color w:val="000000"/>
                    <w:sz w:val="22"/>
                    <w:szCs w:val="22"/>
                    <w:lang w:eastAsia="lt-LT"/>
                  </w:rPr>
                  <w:t>,</w:t>
                </w:r>
                <w:r>
                  <w:rPr>
                    <w:b/>
                    <w:color w:val="000000"/>
                    <w:sz w:val="22"/>
                    <w:szCs w:val="22"/>
                    <w:lang w:eastAsia="lt-LT"/>
                  </w:rPr>
                  <w:t xml:space="preserve"> skatinant didesnį vandenilio rinkos likvidumą ir konkurencingumą, efektyvesnį vandenilio sistemos panaudojimą, mažinant vandenilio sistemos išlaikymo kaštus šalies vandenilio vartotojams ir (ar) vandenilio sistemos naudotojams;</w:t>
                </w:r>
              </w:p>
              <w:p>
                <w:pPr>
                  <w:ind w:firstLine="720"/>
                  <w:jc w:val="both"/>
                  <w:rPr>
                    <w:b/>
                    <w:color w:val="000000"/>
                    <w:sz w:val="22"/>
                    <w:szCs w:val="22"/>
                    <w:lang w:eastAsia="lt-LT"/>
                  </w:rPr>
                </w:pPr>
                <w:r>
                  <w:rPr>
                    <w:b/>
                    <w:color w:val="000000"/>
                    <w:sz w:val="22"/>
                    <w:szCs w:val="22"/>
                    <w:lang w:eastAsia="lt-LT"/>
                  </w:rPr>
                  <w:t>2) užtikrinti kiekvienam iš vandenilio perdavimo tinklų operatorių nacionalinių reguliavimo institucijų nustatytas pajamų viršutines ribas;</w:t>
                </w:r>
              </w:p>
              <w:p>
                <w:pPr>
                  <w:ind w:firstLine="720"/>
                  <w:jc w:val="both"/>
                  <w:rPr>
                    <w:b/>
                    <w:color w:val="000000"/>
                    <w:sz w:val="22"/>
                    <w:szCs w:val="22"/>
                    <w:lang w:eastAsia="lt-LT"/>
                  </w:rPr>
                </w:pPr>
                <w:r>
                  <w:rPr>
                    <w:b/>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nustatytus tinklo kodekso principus;</w:t>
                </w:r>
              </w:p>
              <w:p>
                <w:pPr>
                  <w:ind w:firstLine="720"/>
                  <w:jc w:val="both"/>
                  <w:rPr>
                    <w:b/>
                    <w:color w:val="000000"/>
                    <w:sz w:val="22"/>
                    <w:szCs w:val="22"/>
                    <w:lang w:eastAsia="lt-LT"/>
                  </w:rPr>
                </w:pPr>
                <w:r>
                  <w:rPr>
                    <w:b/>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720"/>
                  <w:jc w:val="both"/>
                  <w:rPr>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w:t>
                </w:r>
                <w:r>
                  <w:rPr>
                    <w:color w:val="000000"/>
                    <w:sz w:val="22"/>
                    <w:szCs w:val="22"/>
                    <w:lang w:eastAsia="lt-LT"/>
                  </w:rPr>
                  <w:t>e</w:t>
                </w:r>
                <w:r>
                  <w:rPr>
                    <w:b/>
                    <w:bCs/>
                    <w:color w:val="000000"/>
                    <w:sz w:val="22"/>
                    <w:szCs w:val="22"/>
                    <w:lang w:eastAsia="lt-LT"/>
                  </w:rPr>
                  <w:t>priima sprendimo, Taryba su kitomis nacionalinėmis energetikos reguliavimo institucijomis kreipiasi į Agentūrą dėl sprendimo priėmimo.</w:t>
                </w:r>
              </w:p>
              <w:p>
                <w:pPr>
                  <w:ind w:firstLine="684"/>
                  <w:jc w:val="both"/>
                  <w:rPr>
                    <w:b/>
                    <w:bCs/>
                    <w:color w:val="000000"/>
                    <w:sz w:val="22"/>
                    <w:szCs w:val="22"/>
                    <w:lang w:eastAsia="lt-LT"/>
                  </w:rPr>
                </w:pPr>
                <w:r>
                  <w:rPr>
                    <w:b/>
                    <w:bCs/>
                    <w:color w:val="000000"/>
                    <w:sz w:val="22"/>
                    <w:szCs w:val="22"/>
                    <w:lang w:eastAsia="lt-LT"/>
                  </w:rPr>
                  <w:t>7. Taryba, nustatydama vandenilio perdavimo tinklo operatoriaus pajamų viršutines ribas, atsižvelgia į vandenilio perdavimo sistemos įleidimo ir išleidimo taškų sistemoje esančių vandenilio perdavimo tinklo operatoriaus reguliuojamos veiklos būtinąsias sąnaudas ir mokamas ar gaunamas sumas pagal vandenilio perdavimo tinklo operatorių finansinio kompensavimo mechanizmą.</w:t>
                </w:r>
              </w:p>
              <w:p>
                <w:pPr>
                  <w:jc w:val="both"/>
                  <w:rPr>
                    <w:b/>
                    <w:bCs/>
                    <w:color w:val="000000"/>
                    <w:sz w:val="22"/>
                    <w:szCs w:val="22"/>
                    <w:lang w:eastAsia="lt-LT"/>
                  </w:rPr>
                </w:pPr>
                <w:r>
                  <w:rPr>
                    <w:b/>
                    <w:bCs/>
                    <w:color w:val="000000"/>
                    <w:sz w:val="22"/>
                    <w:szCs w:val="22"/>
                    <w:lang w:eastAsia="lt-LT"/>
                  </w:rPr>
                  <w:t>8. Taryba vykdo regioninės rinkos priežiūrą ir stebėseną pagal kompetenciją bendradarbiaudama su atitinkamų valstybių narių nacionalinėmis reguliavimo institucijomis.</w:t>
                </w:r>
              </w:p>
              <w:p>
                <w:pPr>
                  <w:jc w:val="both"/>
                  <w:rPr>
                    <w:b/>
                    <w:bCs/>
                    <w:color w:val="000000"/>
                    <w:sz w:val="22"/>
                    <w:szCs w:val="22"/>
                    <w:lang w:eastAsia="lt-LT"/>
                  </w:rPr>
                </w:pPr>
                <w:r>
                  <w:rPr>
                    <w:b/>
                    <w:bCs/>
                    <w:color w:val="000000"/>
                    <w:sz w:val="22"/>
                    <w:szCs w:val="22"/>
                    <w:lang w:eastAsia="lt-LT"/>
                  </w:rPr>
                  <w:t>9. Iki finansinio kompensavimo mechanizmo įsigaliojimo taikomos galiojančios pajėgumų sutartys dėl pajėgumų rezervavimo perdavimo tinklų sujungimo taškuose tarp valstybių narių.</w:t>
                </w:r>
              </w:p>
              <w:p>
                <w:pPr>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nustatomos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1</w:t>
                </w:r>
                <w:r>
                  <w:rPr>
                    <w:b/>
                    <w:bCs/>
                    <w:color w:val="000000"/>
                    <w:sz w:val="22"/>
                    <w:szCs w:val="22"/>
                    <w:lang w:val="lt" w:eastAsia="lt-LT"/>
                  </w:rPr>
                  <w:t xml:space="preserve"> straipsnis. Regioninės rinkos zona</w:t>
                </w:r>
              </w:p>
              <w:p>
                <w:pPr>
                  <w:ind w:firstLine="720"/>
                  <w:jc w:val="both"/>
                  <w:rPr>
                    <w:color w:val="000000"/>
                    <w:sz w:val="22"/>
                    <w:szCs w:val="22"/>
                    <w:lang w:val="lt" w:eastAsia="lt-LT"/>
                  </w:rPr>
                </w:pPr>
                <w:r>
                  <w:rPr>
                    <w:color w:val="000000"/>
                    <w:sz w:val="22"/>
                    <w:szCs w:val="22"/>
                    <w:lang w:val="lt" w:eastAsia="lt-LT"/>
                  </w:rPr>
                  <w:t>1. Sprendimą dėl Lietuvos prisijungimo prie regioninės rinkos zonos priima Vyriausybė, įvertinusi Energetikos ministerijos ir Tarybos pateiktas išvadas dėl tokio sprendimo ekonominės naudos šalies vartotojams. Taryba, teikdama išvadą, vadovaujasi šio įstatymo 39</w:t>
                </w:r>
                <w:r>
                  <w:rPr>
                    <w:color w:val="000000"/>
                    <w:sz w:val="22"/>
                    <w:szCs w:val="22"/>
                    <w:vertAlign w:val="superscript"/>
                    <w:lang w:val="lt" w:eastAsia="lt-LT"/>
                  </w:rPr>
                  <w:t xml:space="preserve">2 </w:t>
                </w:r>
                <w:r>
                  <w:rPr>
                    <w:color w:val="000000"/>
                    <w:sz w:val="22"/>
                    <w:szCs w:val="22"/>
                    <w:lang w:val="lt" w:eastAsia="lt-LT"/>
                  </w:rPr>
                  <w:t>straipsnio 1 dalimi.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45">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Regioninėje rinkos zonoje taikomas vienodas perdavimo sistemos balansavimo režimas, vadovaujantis regioninės rinkos zonos perdavimo sistemų balansavimo taisyklėmis. Perdavimo sistemos operatorius Tarybos nustatyta tvarka derina su Taryba ir tvirtina regioninės rinkos zonos perdavimo sistemų balansavimo taisykles.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46">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Regioninės rinkos zonoje funkcijos, susijusios su regioninės rinkos zonos perdavimo sistemų balansavimu, vykdomos pagal bendradarbiavimo susitarimus tarp regioninės rinkos zonoje veikiančių perdavimo sistemos operatorių arba šių operatorių sprendimu yra pavestos regioninės rinkos zonos operatoriui.</w:t>
                </w:r>
              </w:p>
              <w:p>
                <w:pPr>
                  <w:ind w:firstLine="720"/>
                  <w:jc w:val="both"/>
                  <w:rPr>
                    <w:color w:val="000000"/>
                    <w:sz w:val="22"/>
                    <w:szCs w:val="22"/>
                    <w:lang w:val="lt" w:eastAsia="lt-LT"/>
                  </w:rPr>
                </w:pPr>
                <w:r>
                  <w:rPr>
                    <w:color w:val="000000"/>
                    <w:sz w:val="22"/>
                    <w:szCs w:val="22"/>
                    <w:lang w:val="lt" w:eastAsia="lt-LT"/>
                  </w:rPr>
                  <w:t>4. Regioninės rinkos zonos operatorius privalo atitikti šiuos minimalius reikalavimus:</w:t>
                </w:r>
              </w:p>
              <w:p>
                <w:pPr>
                  <w:ind w:firstLine="720"/>
                  <w:jc w:val="both"/>
                  <w:rPr>
                    <w:color w:val="000000"/>
                    <w:sz w:val="22"/>
                    <w:szCs w:val="22"/>
                    <w:lang w:val="lt" w:eastAsia="lt-LT"/>
                  </w:rPr>
                </w:pPr>
                <w:r>
                  <w:rPr>
                    <w:color w:val="000000"/>
                    <w:sz w:val="22"/>
                    <w:szCs w:val="22"/>
                    <w:lang w:val="lt" w:eastAsia="lt-LT"/>
                  </w:rPr>
                  <w:t>1) turėti susitarimą su perdavimo sistemos operatoriais, nustatantį regioninės rinkos zonos operatoriaus ir perdavimo sistemos operatoriaus tarpusavio santykius ir veiklos vykdymo pradžią;</w:t>
                </w:r>
              </w:p>
              <w:p>
                <w:pPr>
                  <w:ind w:firstLine="720"/>
                  <w:jc w:val="both"/>
                  <w:rPr>
                    <w:color w:val="000000"/>
                    <w:sz w:val="22"/>
                    <w:szCs w:val="22"/>
                    <w:lang w:val="lt" w:eastAsia="lt-LT"/>
                  </w:rPr>
                </w:pPr>
                <w:r>
                  <w:rPr>
                    <w:color w:val="000000"/>
                    <w:sz w:val="22"/>
                    <w:szCs w:val="22"/>
                    <w:lang w:val="lt" w:eastAsia="lt-LT"/>
                  </w:rPr>
                  <w:t>2) nuosavybės teise ar kitais teisėtais pagrindais valdyti technines priemones, skirtas prisijungti prie perdavimo sistemos operatoriaus ir (ar) kitų regioninės rinkos zonoje veikiančių perdavimo sistemos operatorių informacinio komplekso;</w:t>
                </w:r>
              </w:p>
              <w:p>
                <w:pPr>
                  <w:ind w:firstLine="720"/>
                  <w:jc w:val="both"/>
                  <w:rPr>
                    <w:color w:val="000000"/>
                    <w:sz w:val="22"/>
                    <w:szCs w:val="22"/>
                    <w:lang w:val="lt" w:eastAsia="lt-LT"/>
                  </w:rPr>
                </w:pPr>
                <w:r>
                  <w:rPr>
                    <w:color w:val="000000"/>
                    <w:sz w:val="22"/>
                    <w:szCs w:val="22"/>
                    <w:lang w:val="lt" w:eastAsia="lt-LT"/>
                  </w:rPr>
                  <w:t>3) nuosavybės teise ar kitais teisėtais pagrindais valdyti ryšio priemones, reikalingas pranešimams iš rinkos dalyvių gauti ir jiems siųsti, ir programinę įrangą, kurios reikia regioninės rinkos zonos perdavimo sistemų balansavimo veiklai vykdyti;</w:t>
                </w:r>
              </w:p>
              <w:p>
                <w:pPr>
                  <w:ind w:firstLine="720"/>
                  <w:jc w:val="both"/>
                  <w:rPr>
                    <w:color w:val="000000"/>
                    <w:sz w:val="22"/>
                    <w:szCs w:val="22"/>
                    <w:lang w:val="lt" w:eastAsia="lt-LT"/>
                  </w:rPr>
                </w:pPr>
                <w:r>
                  <w:rPr>
                    <w:color w:val="000000"/>
                    <w:sz w:val="22"/>
                    <w:szCs w:val="22"/>
                    <w:lang w:val="lt" w:eastAsia="lt-LT"/>
                  </w:rPr>
                  <w:t>4) turėti atitinkamos valstybės narės, kurioje yra įsteigtas, nustatyta tvarka išduotą licenciją.</w:t>
                </w:r>
              </w:p>
              <w:p>
                <w:pPr>
                  <w:ind w:firstLine="777"/>
                  <w:jc w:val="both"/>
                  <w:rPr>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2</w:t>
                </w:r>
                <w:r>
                  <w:rPr>
                    <w:b/>
                    <w:bCs/>
                    <w:color w:val="000000"/>
                    <w:sz w:val="22"/>
                    <w:szCs w:val="22"/>
                    <w:lang w:val="lt" w:eastAsia="lt-LT"/>
                  </w:rPr>
                  <w:t xml:space="preserve"> straipsnis. Regioninės rinkos zonos kainodara</w:t>
                </w:r>
              </w:p>
              <w:p>
                <w:pPr>
                  <w:ind w:firstLine="720"/>
                  <w:jc w:val="both"/>
                  <w:rPr>
                    <w:color w:val="000000"/>
                    <w:sz w:val="22"/>
                    <w:szCs w:val="22"/>
                    <w:lang w:val="lt" w:eastAsia="lt-LT"/>
                  </w:rPr>
                </w:pPr>
                <w:r>
                  <w:rPr>
                    <w:color w:val="000000"/>
                    <w:sz w:val="22"/>
                    <w:szCs w:val="22"/>
                    <w:lang w:val="lt" w:eastAsia="lt-LT"/>
                  </w:rPr>
                  <w:t>1. Perdavimo paslaugų kainodaros modelis, pagal kurį paskirstomos perdavimo sistemos operatoriaus (operatorių) pajamos įleidimo ir išleidimo taškams, ir perdavimo sistemų operatorių intersisteminio kompensavimo tvarka turi:</w:t>
                </w:r>
              </w:p>
              <w:p>
                <w:pPr>
                  <w:ind w:firstLine="720"/>
                  <w:jc w:val="both"/>
                  <w:rPr>
                    <w:color w:val="000000"/>
                    <w:sz w:val="22"/>
                    <w:szCs w:val="22"/>
                    <w:lang w:val="lt" w:eastAsia="lt-LT"/>
                  </w:rPr>
                </w:pPr>
                <w:r>
                  <w:rPr>
                    <w:color w:val="000000"/>
                    <w:sz w:val="22"/>
                    <w:szCs w:val="22"/>
                    <w:lang w:val="lt" w:eastAsia="lt-LT"/>
                  </w:rPr>
                  <w:t>1) teikti ekonominę naudą šalies vartotojams skatinant didesnį gamtinių dujų rinkos likvidumą ir konkurencingumą, efektyvesnį gamtinių dujų sistemos panaudojimą, mažinant gamtinių dujų sistemos išlaikymo kaštus šalies gamtinių dujų vartotojams ir (ar) gamtinių dujų sistemos naudotojams;</w:t>
                </w:r>
              </w:p>
              <w:p>
                <w:pPr>
                  <w:ind w:firstLine="720"/>
                  <w:jc w:val="both"/>
                  <w:rPr>
                    <w:color w:val="000000"/>
                    <w:sz w:val="22"/>
                    <w:szCs w:val="22"/>
                    <w:lang w:val="lt" w:eastAsia="lt-LT"/>
                  </w:rPr>
                </w:pPr>
                <w:r>
                  <w:rPr>
                    <w:color w:val="000000"/>
                    <w:sz w:val="22"/>
                    <w:szCs w:val="22"/>
                    <w:lang w:val="lt" w:eastAsia="lt-LT"/>
                  </w:rPr>
                  <w:t>2) užtikrinti kiekvienam iš perdavimo sistemos operatorių nacionalinių reguliavimo institucijų nustatytas pajamų viršutines ribas;</w:t>
                </w:r>
              </w:p>
              <w:p>
                <w:pPr>
                  <w:ind w:firstLine="720"/>
                  <w:jc w:val="both"/>
                  <w:rPr>
                    <w:color w:val="000000"/>
                    <w:sz w:val="22"/>
                    <w:szCs w:val="22"/>
                    <w:lang w:val="lt" w:eastAsia="lt-LT"/>
                  </w:rPr>
                </w:pPr>
                <w:r>
                  <w:rPr>
                    <w:color w:val="000000"/>
                    <w:sz w:val="22"/>
                    <w:szCs w:val="22"/>
                    <w:lang w:val="lt" w:eastAsia="lt-LT"/>
                  </w:rPr>
                  <w:t xml:space="preserve">3) užtikrinti, kad tarp įleidimo ir išleidimo taškų sistemos naudotojų nebūtų diskriminavimo ir kryžminio subsidijavimo, ir atitikti kitus Reglamentu </w:t>
                </w:r>
                <w:fldSimple w:instr="HYPERLINK http://eur-lex.europa.eu/legal-content/LIT/TXT/?uri=CELEX:32460R2017&amp;locale=lt \t _blank">
                  <w:r>
                    <w:rPr>
                      <w:color w:val="0000FF" w:themeColor="hyperlink"/>
                      <w:sz w:val="22"/>
                      <w:szCs w:val="22"/>
                      <w:lang w:val="lt" w:eastAsia="lt-LT"/>
                      <w:u w:val="single"/>
                    </w:rPr>
                    <w:t>(ES) Nr. 2017/460</w:t>
                  </w:r>
                </w:fldSimple>
                <w:r>
                  <w:rPr>
                    <w:color w:val="000000"/>
                    <w:sz w:val="22"/>
                    <w:szCs w:val="22"/>
                    <w:lang w:val="lt" w:eastAsia="lt-LT"/>
                  </w:rPr>
                  <w:t xml:space="preserve"> nustatytus suderintos gamtinių dujų perdavimo tarifų struktūros tinklo kodekso principus;</w:t>
                </w:r>
              </w:p>
              <w:p>
                <w:pPr>
                  <w:ind w:firstLine="720"/>
                  <w:jc w:val="both"/>
                  <w:rPr>
                    <w:color w:val="000000"/>
                    <w:sz w:val="22"/>
                    <w:szCs w:val="22"/>
                    <w:lang w:val="lt" w:eastAsia="lt-LT"/>
                  </w:rPr>
                </w:pPr>
                <w:r>
                  <w:rPr>
                    <w:color w:val="000000"/>
                    <w:sz w:val="22"/>
                    <w:szCs w:val="22"/>
                    <w:lang w:val="lt" w:eastAsia="lt-LT"/>
                  </w:rPr>
                  <w:t>4) būti suderinti su Taryba.</w:t>
                </w:r>
              </w:p>
              <w:p>
                <w:pPr>
                  <w:ind w:firstLine="720"/>
                  <w:jc w:val="both"/>
                  <w:rPr>
                    <w:color w:val="000000"/>
                    <w:sz w:val="22"/>
                    <w:szCs w:val="22"/>
                    <w:lang w:val="lt" w:eastAsia="lt-LT"/>
                  </w:rPr>
                </w:pPr>
                <w:r>
                  <w:rPr>
                    <w:color w:val="000000"/>
                    <w:sz w:val="22"/>
                    <w:szCs w:val="22"/>
                    <w:lang w:val="lt" w:eastAsia="lt-LT"/>
                  </w:rPr>
                  <w:t>2. Taryba, nustatydama gamtinių dujų perdavimo pajamų viršutines ribas, atsižvelgia į gamtinių dujų perdavimo sistemos įleidimo ir išleidimo taškų sistemoje esančių perdavimo sistemų operatorių reguliuojamos veiklos būtinąsias sąnaudas ir mokamas ar gaunamas sumas pagal perdavimo sistemų operatorių intersisteminio kompensavimo tvarką.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7">
                  <w:r>
                    <w:rPr>
                      <w:i/>
                      <w:sz w:val="22"/>
                      <w:szCs w:val="22"/>
                      <w:lang w:val="lt" w:eastAsia="lt-LT"/>
                    </w:rPr>
                    <w:t>XIII-1971</w:t>
                  </w:r>
                </w:hyperlink>
                <w:r>
                  <w:rPr>
                    <w:i/>
                    <w:sz w:val="22"/>
                    <w:szCs w:val="22"/>
                    <w:lang w:val="lt" w:eastAsia="lt-LT"/>
                  </w:rPr>
                  <w:t>,</w:t>
                </w:r>
                <w:r>
                  <w:rPr>
                    <w:i/>
                    <w:iCs/>
                    <w:color w:val="000000"/>
                    <w:sz w:val="22"/>
                    <w:szCs w:val="22"/>
                    <w:lang w:val="lt" w:eastAsia="lt-LT"/>
                  </w:rPr>
                  <w:t xml:space="preserve"> 2019-02-14, paskelbta TAR 2019-02-26, i. k. 2019-03169</w:t>
                </w:r>
              </w:p>
              <w:p>
                <w:pPr>
                  <w:jc w:val="both"/>
                  <w:rPr>
                    <w:color w:val="000000"/>
                    <w:sz w:val="22"/>
                    <w:szCs w:val="22"/>
                    <w:lang w:val="lt" w:eastAsia="lt-LT"/>
                  </w:rPr>
                </w:pPr>
              </w:p>
              <w:p>
                <w:pPr>
                  <w:shd w:val="clear" w:color="auto" w:fill="FFFFFF"/>
                  <w:jc w:val="both"/>
                  <w:rPr>
                    <w:b/>
                    <w:bCs/>
                    <w:color w:val="000000"/>
                    <w:sz w:val="22"/>
                    <w:szCs w:val="22"/>
                    <w:lang w:eastAsia="lt-LT"/>
                  </w:rPr>
                </w:pPr>
              </w:p>
              <w:p>
                <w:pPr>
                  <w:ind w:left="720" w:hanging="360"/>
                  <w:jc w:val="both"/>
                  <w:rPr>
                    <w:color w:val="000000"/>
                    <w:sz w:val="22"/>
                    <w:szCs w:val="22"/>
                    <w:lang w:val="en-US" w:eastAsia="lt-LT"/>
                  </w:rPr>
                </w:pPr>
                <w:r>
                  <w:rPr>
                    <w:b/>
                    <w:color w:val="000000"/>
                    <w:sz w:val="22"/>
                    <w:szCs w:val="22"/>
                    <w:lang w:val="en-US" w:eastAsia="lt-LT"/>
                  </w:rPr>
                  <w:t>62</w:t>
                  <w:tab/>
                </w:r>
                <w:r>
                  <w:rPr>
                    <w:b/>
                    <w:bCs/>
                    <w:color w:val="000000"/>
                    <w:sz w:val="22"/>
                    <w:szCs w:val="22"/>
                    <w:lang w:eastAsia="lt-LT"/>
                  </w:rPr>
                  <w:t>straipsnis. Regioninis solidarumas</w:t>
                </w:r>
              </w:p>
              <w:p>
                <w:pPr>
                  <w:jc w:val="both"/>
                  <w:rPr>
                    <w:color w:val="000000"/>
                    <w:sz w:val="22"/>
                    <w:szCs w:val="22"/>
                    <w:lang w:eastAsia="lt-LT"/>
                  </w:rPr>
                </w:pPr>
                <w:r>
                  <w:rPr>
                    <w:color w:val="000000"/>
                    <w:sz w:val="22"/>
                    <w:szCs w:val="22"/>
                    <w:lang w:eastAsia="lt-LT"/>
                  </w:rPr>
                  <w:t>1. Siekdamos užtikrinti patikimą tiekimo saugumą gamtinių dujų vidaus rinkoje ir integruoti nacionalinę Lietuvos Respublikos gamtinių dujų rinką, Lietuvos Respublika ir Taryba bendradarbiauja regioniniu lygmeniu su kaimyninėmis valstybėmis narėmis, skatindama regioninį ir dvišalį solidarumą.</w:t>
                </w:r>
              </w:p>
              <w:p>
                <w:pPr>
                  <w:jc w:val="both"/>
                  <w:rPr>
                    <w:color w:val="000000"/>
                    <w:sz w:val="22"/>
                    <w:szCs w:val="22"/>
                    <w:lang w:eastAsia="lt-LT"/>
                  </w:rPr>
                </w:pPr>
                <w:r>
                  <w:rPr>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3. Taryba skatina perdavimo sistemos operatorių bendradarbiavimą vieno ar kelių regionų lygmeniu, įskaitant bendradarbiavimą tarpvalstybiniais klausimais, siekiant sukurti konkurencingą gamtinių dujų vidaus rinką.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Energetikos reguliavimo institucijų bendradarbiavimo agentūra (toliau – ACER) bendradarbiauja su reguliavimo institucijomis ir perdavimo sistemos operatoriais, taip pat su vandenilio perdavimo tinklo operatoriais, siekdama užtikrinti regionų tarpusavio ir vidaus reguliavimo sistemų suderinamumą, kad būtų sukurtos konkurencinės gamtinių dujų ir vandenilio vidaus rinkos. Kai ACER mano, kad reikia parengti privalomas tokio bendradarbiavimo taisykles, ji teikia atitinkamas rekomendacijas.</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Energetikos reguliavimo institucijų bendradarbiavimo agentūrai (ACER).</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967"/>
            </w:trPr>
            <w:tc>
              <w:tcPr>
                <w:tcW w:w="3913" w:type="dxa"/>
              </w:tcPr>
              <w:p>
                <w:pPr>
                  <w:shd w:val="clear" w:color="auto" w:fill="FFFFFF"/>
                  <w:rPr>
                    <w:color w:val="000000"/>
                    <w:sz w:val="22"/>
                    <w:szCs w:val="22"/>
                    <w:lang w:eastAsia="lt-LT"/>
                  </w:rPr>
                </w:pPr>
                <w:r>
                  <w:rPr>
                    <w:color w:val="000000"/>
                    <w:sz w:val="22"/>
                    <w:szCs w:val="22"/>
                    <w:lang w:eastAsia="lt-LT"/>
                  </w:rPr>
                  <w:t xml:space="preserve">3. Jei </w:t>
                </w:r>
                <w:r>
                  <w:rPr>
                    <w:sz w:val="22"/>
                    <w:szCs w:val="22"/>
                    <w:lang w:eastAsia="lt-LT"/>
                  </w:rPr>
                  <w:t xml:space="preserve">vertikaliai integruoti </w:t>
                </w:r>
                <w:r>
                  <w:rPr>
                    <w:color w:val="000000"/>
                    <w:sz w:val="22"/>
                    <w:szCs w:val="22"/>
                    <w:lang w:eastAsia="lt-LT"/>
                  </w:rPr>
                  <w:t>perdavimo</w:t>
                </w:r>
                <w:r>
                  <w:rPr>
                    <w:sz w:val="22"/>
                    <w:szCs w:val="22"/>
                    <w:lang w:eastAsia="lt-LT"/>
                  </w:rPr>
                  <w:t xml:space="preserve"> sistemos operatoriai </w:t>
                </w:r>
                <w:r>
                  <w:rPr>
                    <w:color w:val="000000"/>
                    <w:sz w:val="22"/>
                    <w:szCs w:val="22"/>
                    <w:lang w:eastAsia="lt-LT"/>
                  </w:rPr>
                  <w:t>dalyvauja tokiam bendradarbiavimui vykdyti įsteigtos bendros įmonės veikloje, bendra įmonė nustato ir įgyvendina atitikties programą, kurioje nustatomos priemonės, kurias reikia taikyti siekiant užtikrinti, kad būtų išvengta diskriminacinio bei antikonkurencinio elgesio. Toje atitikties programoje nustatomos konkrečios darbuotojų pareigos šiam tikslui, t. y. išvengti diskriminacinio bei antikonkurencinio elgesio, pasiekti. Ją tvirtina ACER. Tai, ar vertikaliai integruotos perdavimo sistemos operatoriai laikosi programos, nepriklausomai stebi atitikties užtikrinimo pareigūnai.</w:t>
                </w:r>
              </w:p>
            </w:tc>
            <w:tc>
              <w:tcPr>
                <w:tcW w:w="9407" w:type="dxa"/>
                <w:gridSpan w:val="3"/>
              </w:tcPr>
              <w:p>
                <w:pPr>
                  <w:shd w:val="clear" w:color="auto" w:fill="FFFFFF"/>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Lietuvoje pasirinktas perdavimo sistemų operatorių nuosavybės atskyrimo modelis tiek </w:t>
                </w:r>
                <w:r>
                  <w:rPr>
                    <w:i/>
                    <w:iCs/>
                    <w:color w:val="000000"/>
                    <w:sz w:val="22"/>
                    <w:szCs w:val="22"/>
                    <w:lang w:eastAsia="lt-LT"/>
                  </w:rPr>
                  <w:t>gamtinių</w:t>
                </w:r>
                <w:r>
                  <w:rPr>
                    <w:i/>
                    <w:color w:val="000000"/>
                    <w:sz w:val="22"/>
                    <w:szCs w:val="22"/>
                    <w:lang w:eastAsia="lt-LT"/>
                  </w:rPr>
                  <w:t xml:space="preserve"> dujų, tiek vandenilio srityje, tad ši Direktyvos nuostata yra neaktuali Lietuvai.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8 straipsnis</w:t>
                </w:r>
              </w:p>
              <w:p>
                <w:pPr>
                  <w:shd w:val="clear" w:color="auto" w:fill="FFFFFF"/>
                  <w:jc w:val="both"/>
                  <w:rPr>
                    <w:i/>
                    <w:iCs/>
                    <w:color w:val="000000"/>
                    <w:sz w:val="22"/>
                    <w:szCs w:val="22"/>
                    <w:lang w:eastAsia="lt-LT"/>
                  </w:rPr>
                </w:pPr>
                <w:r>
                  <w:rPr>
                    <w:b/>
                    <w:bCs/>
                    <w:color w:val="000000"/>
                    <w:sz w:val="22"/>
                    <w:szCs w:val="22"/>
                    <w:lang w:eastAsia="lt-LT"/>
                  </w:rPr>
                  <w:t>Leidimų išdavimo tvarka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gamtinių dujų įrenginiams, vandenilio gamybos įrenginiams ir vandenilio sistemos infrastruktūrai įrengti ar eksploatuoti reikia leidimo, pavyzdžiui, licencijos, leidimo, koncesijos, sutikimo ar patvirtinimo, valstybės narės ar bet kuri jų paskirta kompetentinga institucija, laikydamosi 2–11 dalių, išduoda leidimus tokiems įrenginiams, infrastruktūrai, vamzdynams ar su jais susijusiai įrangai statyti arba eksploatuoti savo teritorijoje. Be to, valstybės narės ar bet kuri jų paskirta kompetentinga </w:t>
                </w:r>
                <w:r>
                  <w:rPr>
                    <w:sz w:val="22"/>
                    <w:szCs w:val="22"/>
                    <w:lang w:eastAsia="lt-LT"/>
                  </w:rPr>
                  <w:t>institucija gali tuo pačiu pagrindu išduoti leidimą gamtinėms dujoms ir vandeniliui tiekti ir leidimą didmenininkams.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p>
              <w:p>
                <w:pPr>
                  <w:tabs>
                    <w:tab w:val="left" w:pos="567"/>
                  </w:tabs>
                  <w:ind w:firstLine="627"/>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ind w:firstLine="567"/>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ind w:firstLine="567"/>
                  <w:jc w:val="both"/>
                  <w:rPr>
                    <w:b/>
                    <w:bCs/>
                    <w:color w:val="000000"/>
                    <w:sz w:val="22"/>
                    <w:szCs w:val="22"/>
                    <w:lang w:eastAsia="lt-LT"/>
                  </w:rPr>
                </w:pPr>
                <w:r>
                  <w:rPr>
                    <w:b/>
                    <w:bCs/>
                    <w:color w:val="000000"/>
                    <w:sz w:val="22"/>
                    <w:szCs w:val="22"/>
                    <w:lang w:eastAsia="lt-LT"/>
                  </w:rPr>
                  <w:t>1) vandenilio perdavimo;</w:t>
                </w:r>
              </w:p>
              <w:p>
                <w:pPr>
                  <w:ind w:firstLine="567"/>
                  <w:jc w:val="both"/>
                  <w:rPr>
                    <w:b/>
                    <w:bCs/>
                    <w:color w:val="000000"/>
                    <w:sz w:val="22"/>
                    <w:szCs w:val="22"/>
                    <w:lang w:eastAsia="lt-LT"/>
                  </w:rPr>
                </w:pPr>
                <w:r>
                  <w:rPr>
                    <w:b/>
                    <w:bCs/>
                    <w:color w:val="000000"/>
                    <w:sz w:val="22"/>
                    <w:szCs w:val="22"/>
                    <w:lang w:eastAsia="lt-LT"/>
                  </w:rPr>
                  <w:t>2) vandenilio skirstymo;</w:t>
                </w:r>
              </w:p>
              <w:p>
                <w:pPr>
                  <w:ind w:firstLine="567"/>
                  <w:jc w:val="both"/>
                  <w:rPr>
                    <w:b/>
                    <w:bCs/>
                    <w:color w:val="000000"/>
                    <w:sz w:val="22"/>
                    <w:szCs w:val="22"/>
                    <w:lang w:eastAsia="lt-LT"/>
                  </w:rPr>
                </w:pPr>
                <w:r>
                  <w:rPr>
                    <w:b/>
                    <w:bCs/>
                    <w:color w:val="000000"/>
                    <w:sz w:val="22"/>
                    <w:szCs w:val="22"/>
                    <w:lang w:eastAsia="lt-LT"/>
                  </w:rPr>
                  <w:t>3) vandenilio saugyklos operatoriaus;</w:t>
                </w:r>
              </w:p>
              <w:p>
                <w:pPr>
                  <w:ind w:firstLine="567"/>
                  <w:jc w:val="both"/>
                  <w:rPr>
                    <w:b/>
                    <w:bCs/>
                    <w:color w:val="000000"/>
                    <w:sz w:val="22"/>
                    <w:szCs w:val="22"/>
                    <w:lang w:eastAsia="lt-LT"/>
                  </w:rPr>
                </w:pPr>
                <w:r>
                  <w:rPr>
                    <w:b/>
                    <w:bCs/>
                    <w:color w:val="000000"/>
                    <w:sz w:val="22"/>
                    <w:szCs w:val="22"/>
                    <w:lang w:eastAsia="lt-LT"/>
                  </w:rPr>
                  <w:t>4) vandenilio terminalo operatoriaus;</w:t>
                </w:r>
              </w:p>
              <w:p>
                <w:pPr>
                  <w:ind w:firstLine="567"/>
                  <w:jc w:val="both"/>
                  <w:rPr>
                    <w:b/>
                    <w:bCs/>
                    <w:color w:val="000000"/>
                    <w:sz w:val="22"/>
                    <w:szCs w:val="22"/>
                    <w:lang w:eastAsia="lt-LT"/>
                  </w:rPr>
                </w:pPr>
                <w:r>
                  <w:rPr>
                    <w:b/>
                    <w:bCs/>
                    <w:color w:val="000000"/>
                    <w:sz w:val="22"/>
                    <w:szCs w:val="22"/>
                    <w:lang w:eastAsia="lt-LT"/>
                  </w:rPr>
                  <w:t>5) biržos operatoriaus.</w:t>
                </w:r>
              </w:p>
              <w:p>
                <w:pPr>
                  <w:tabs>
                    <w:tab w:val="left" w:pos="567"/>
                  </w:tabs>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b/>
                    <w:bCs/>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bCs/>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color w:val="000000"/>
                    <w:sz w:val="22"/>
                    <w:szCs w:val="22"/>
                    <w:lang w:eastAsia="lt-LT"/>
                  </w:rPr>
                </w:pPr>
                <w:r>
                  <w:rPr>
                    <w:b/>
                    <w:color w:val="000000"/>
                    <w:sz w:val="22"/>
                    <w:szCs w:val="22"/>
                    <w:lang w:eastAsia="lt-LT"/>
                  </w:rPr>
                  <w:t>2. Leidimai yra išduodami Leidimų išdavimo taisyklėse nustatyta tvarka.</w:t>
                </w:r>
              </w:p>
              <w:p>
                <w:pPr>
                  <w:ind w:firstLine="567"/>
                  <w:jc w:val="both"/>
                  <w:rPr>
                    <w:b/>
                    <w:color w:val="000000"/>
                    <w:sz w:val="22"/>
                    <w:szCs w:val="22"/>
                    <w:lang w:eastAsia="lt-LT"/>
                  </w:rPr>
                </w:pPr>
                <w:r>
                  <w:rPr>
                    <w:b/>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ind w:firstLine="567"/>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p>
              <w:p>
                <w:pPr>
                  <w:tabs>
                    <w:tab w:val="left" w:pos="567"/>
                  </w:tabs>
                  <w:jc w:val="both"/>
                  <w:rPr>
                    <w:b/>
                    <w:bCs/>
                    <w:color w:val="000000"/>
                    <w:sz w:val="22"/>
                    <w:szCs w:val="22"/>
                    <w:lang w:eastAsia="lt-LT"/>
                  </w:rPr>
                </w:pPr>
              </w:p>
              <w:p>
                <w:pPr>
                  <w:tabs>
                    <w:tab w:val="left" w:pos="567"/>
                  </w:tabs>
                  <w:ind w:firstLine="720"/>
                  <w:jc w:val="both"/>
                  <w:rPr>
                    <w:b/>
                    <w:bCs/>
                    <w:color w:val="D13438"/>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valstybės narės yra nustačiusios leidimų išdavimo sistemą, jos nustato objektyvius ir nediskriminacinius kriterijus ir skaidrią tvarką, kurių turi būti laikomasi, kai įmonė prašo išduoti jai leidimą </w:t>
                </w:r>
                <w:r>
                  <w:rPr>
                    <w:b/>
                    <w:bCs/>
                    <w:color w:val="000000"/>
                    <w:sz w:val="22"/>
                    <w:szCs w:val="22"/>
                    <w:lang w:eastAsia="lt-LT"/>
                  </w:rPr>
                  <w:t>tiekti gamtines dujas ir vandenilį arba statyti ar eksploatuoti gamtinių dujų įrenginius, vandenilio gamybos įrenginius arba vandenilio sistemos infrastruktūrą.</w:t>
                </w:r>
                <w:r>
                  <w:rPr>
                    <w:color w:val="000000"/>
                    <w:sz w:val="22"/>
                    <w:szCs w:val="22"/>
                    <w:lang w:eastAsia="lt-LT"/>
                  </w:rPr>
                  <w:t xml:space="preserve"> Leidimų išdavimo kriterijai ir tvarka skelbiami viešai. Valstybės narės užtikrina, kad vykdant leidimų išdavimo procedūras, </w:t>
                </w:r>
                <w:r>
                  <w:rPr>
                    <w:b/>
                    <w:bCs/>
                    <w:color w:val="000000"/>
                    <w:sz w:val="22"/>
                    <w:szCs w:val="22"/>
                    <w:lang w:eastAsia="lt-LT"/>
                  </w:rPr>
                  <w:t xml:space="preserve">susijusias su tokiais įrenginiais, infrastruktūra, vamzdynais ar su jais susijusia įranga, kai tikslinga, būtų tinkamai atsižvelgiama į projekto svarbą gamtinių dujų ir vandenilio vidaus rinkoms. </w:t>
                </w:r>
                <w:r>
                  <w:rPr>
                    <w:color w:val="000000"/>
                    <w:sz w:val="22"/>
                    <w:szCs w:val="22"/>
                    <w:lang w:eastAsia="lt-LT"/>
                  </w:rPr>
                  <w:t xml:space="preserve">Valstybės narės užtikrina su vandenilio sistemos infrastruktūra susijusių leidimų išdavimo sistemos </w:t>
                </w:r>
                <w:r>
                  <w:rPr>
                    <w:b/>
                    <w:color w:val="000000"/>
                    <w:sz w:val="22"/>
                    <w:szCs w:val="22"/>
                    <w:lang w:eastAsia="lt-LT"/>
                  </w:rPr>
                  <w:t>suderinamumą su vandenilio perdavimo ir skirstymo tinklo plėtros planais</w:t>
                </w:r>
                <w:r>
                  <w:rPr>
                    <w:b/>
                    <w:bCs/>
                    <w:sz w:val="22"/>
                    <w:szCs w:val="22"/>
                    <w:lang w:eastAsia="lt-LT"/>
                  </w:rPr>
                  <w:t>,</w:t>
                </w:r>
                <w:r>
                  <w:rPr>
                    <w:color w:val="000000"/>
                    <w:sz w:val="22"/>
                    <w:szCs w:val="22"/>
                    <w:lang w:eastAsia="lt-LT"/>
                  </w:rPr>
                  <w:t xml:space="preserve"> priimtais pagal 55 ir 56 straipsnius.</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29) derina vandenilio įmonių, kurių kainos yra valstybės reguliuojamos, investicijas bei – perdavimo ir skirstymo infrastruktūros atveju – užtikrina derinamų investicijų atitiktį 7 straipsnio 6 dalies 24 –27 punktuose išvardintiems plėtros planams;</w:t>
                </w:r>
              </w:p>
              <w:p>
                <w:pPr>
                  <w:tabs>
                    <w:tab w:val="left" w:pos="567"/>
                  </w:tabs>
                  <w:jc w:val="both"/>
                  <w:rPr>
                    <w:b/>
                    <w:bCs/>
                    <w:sz w:val="22"/>
                    <w:szCs w:val="22"/>
                    <w:lang w:eastAsia="lt-LT"/>
                  </w:rPr>
                </w:pPr>
              </w:p>
              <w:p>
                <w:pPr>
                  <w:tabs>
                    <w:tab w:val="left" w:pos="567"/>
                  </w:tabs>
                  <w:spacing w:line="276" w:lineRule="auto"/>
                  <w:ind w:firstLine="720"/>
                  <w:jc w:val="both"/>
                  <w:rPr>
                    <w:b/>
                    <w:color w:val="000000"/>
                    <w:sz w:val="22"/>
                    <w:szCs w:val="22"/>
                    <w:lang w:eastAsia="lt-LT"/>
                  </w:rPr>
                </w:pPr>
                <w:r>
                  <w:rPr>
                    <w:b/>
                    <w:color w:val="000000"/>
                    <w:sz w:val="22"/>
                    <w:szCs w:val="22"/>
                    <w:lang w:eastAsia="lt-LT"/>
                  </w:rPr>
                  <w:t>20 straipsnis. Licencijuojama veikla vandenilio sektoriuje, licencijuojamos veiklos sąlygos ir bendrieji principai</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 xml:space="preserve">1. </w:t>
                </w:r>
                <w:r>
                  <w:rPr>
                    <w:b/>
                    <w:bCs/>
                    <w:color w:val="000000"/>
                    <w:sz w:val="22"/>
                    <w:szCs w:val="22"/>
                    <w:lang w:eastAsia="lt-LT"/>
                  </w:rPr>
                  <w:t>Vandenilio sektoriuje licencijuojama ši veikla, kuriai vykdyti išduodama atitinkamos veiklos licencija:</w:t>
                </w:r>
              </w:p>
              <w:p>
                <w:pPr>
                  <w:tabs>
                    <w:tab w:val="left" w:pos="567"/>
                  </w:tabs>
                  <w:spacing w:line="276" w:lineRule="auto"/>
                  <w:ind w:firstLine="720"/>
                  <w:jc w:val="both"/>
                  <w:rPr>
                    <w:b/>
                    <w:color w:val="000000"/>
                    <w:sz w:val="22"/>
                    <w:szCs w:val="22"/>
                    <w:lang w:eastAsia="lt-LT"/>
                  </w:rPr>
                </w:pPr>
                <w:r>
                  <w:rPr>
                    <w:b/>
                    <w:color w:val="000000"/>
                    <w:sz w:val="22"/>
                    <w:szCs w:val="22"/>
                    <w:lang w:eastAsia="lt-LT"/>
                  </w:rPr>
                  <w:t>1) vandenilio perdavimo;</w:t>
                </w:r>
              </w:p>
              <w:p>
                <w:pPr>
                  <w:tabs>
                    <w:tab w:val="left" w:pos="567"/>
                  </w:tabs>
                  <w:spacing w:line="276" w:lineRule="auto"/>
                  <w:ind w:firstLine="720"/>
                  <w:jc w:val="both"/>
                  <w:rPr>
                    <w:b/>
                    <w:color w:val="000000"/>
                    <w:sz w:val="22"/>
                    <w:szCs w:val="22"/>
                    <w:lang w:eastAsia="lt-LT"/>
                  </w:rPr>
                </w:pPr>
                <w:r>
                  <w:rPr>
                    <w:b/>
                    <w:color w:val="000000"/>
                    <w:sz w:val="22"/>
                    <w:szCs w:val="22"/>
                    <w:lang w:eastAsia="lt-LT"/>
                  </w:rPr>
                  <w:t>2) vandenilio skirstymo;</w:t>
                </w:r>
              </w:p>
              <w:p>
                <w:pPr>
                  <w:tabs>
                    <w:tab w:val="left" w:pos="567"/>
                  </w:tabs>
                  <w:spacing w:line="276" w:lineRule="auto"/>
                  <w:ind w:firstLine="720"/>
                  <w:jc w:val="both"/>
                  <w:rPr>
                    <w:b/>
                    <w:color w:val="000000"/>
                    <w:sz w:val="22"/>
                    <w:szCs w:val="22"/>
                    <w:lang w:eastAsia="lt-LT"/>
                  </w:rPr>
                </w:pPr>
                <w:r>
                  <w:rPr>
                    <w:b/>
                    <w:color w:val="000000"/>
                    <w:sz w:val="22"/>
                    <w:szCs w:val="22"/>
                    <w:lang w:eastAsia="lt-LT"/>
                  </w:rPr>
                  <w:t>3) vandenilio saugyklos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4) vandenilio terminalo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5) biržos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2. Asmeniui, siekiančiam verstis bent dvejomis iš šio straipsnio 1 dalies 1–4 punktuose numatytų veiklų,</w:t>
                </w:r>
                <w:r>
                  <w:rPr>
                    <w:b/>
                    <w:bCs/>
                    <w:color w:val="000000"/>
                    <w:sz w:val="22"/>
                    <w:szCs w:val="22"/>
                    <w:lang w:eastAsia="lt-LT"/>
                  </w:rPr>
                  <w:t xml:space="preserve"> </w:t>
                </w:r>
                <w:r>
                  <w:rPr>
                    <w:b/>
                    <w:color w:val="000000"/>
                    <w:sz w:val="22"/>
                    <w:szCs w:val="22"/>
                    <w:lang w:eastAsia="lt-LT"/>
                  </w:rPr>
                  <w:t xml:space="preserve">išduodama jungtinio operatoriaus licencija. </w:t>
                </w:r>
                <w:r>
                  <w:rPr>
                    <w:b/>
                    <w:bCs/>
                    <w:color w:val="000000"/>
                    <w:sz w:val="22"/>
                    <w:szCs w:val="22"/>
                    <w:lang w:eastAsia="lt-LT"/>
                  </w:rPr>
                  <w:t>Tokiu atveju, asmuo privalo atitikti kiekvienos licencijuojamos veiklos sąlygas ir reikalavimus</w:t>
                </w:r>
                <w:r>
                  <w:rPr>
                    <w:b/>
                    <w:color w:val="000000"/>
                    <w:sz w:val="22"/>
                    <w:szCs w:val="22"/>
                    <w:lang w:eastAsia="lt-LT"/>
                  </w:rPr>
                  <w:t xml:space="preserve">, </w:t>
                </w:r>
                <w:r>
                  <w:rPr>
                    <w:b/>
                    <w:bCs/>
                    <w:color w:val="000000"/>
                    <w:sz w:val="22"/>
                    <w:szCs w:val="22"/>
                    <w:lang w:eastAsia="lt-LT"/>
                  </w:rPr>
                  <w:t>nustatytus šiame</w:t>
                </w:r>
                <w:r>
                  <w:rPr>
                    <w:b/>
                    <w:color w:val="000000"/>
                    <w:sz w:val="22"/>
                    <w:szCs w:val="22"/>
                    <w:lang w:eastAsia="lt-LT"/>
                  </w:rPr>
                  <w:t xml:space="preserve"> straipsnyje</w:t>
                </w:r>
                <w:r>
                  <w:rPr>
                    <w:b/>
                    <w:bCs/>
                    <w:color w:val="000000"/>
                    <w:sz w:val="22"/>
                    <w:szCs w:val="22"/>
                    <w:lang w:eastAsia="lt-LT"/>
                  </w:rPr>
                  <w:t>. Jeigu asmuo, gavęs licenciją vienai šio straipsnio 1 dalies 1</w:t>
                </w:r>
                <w:r>
                  <w:rPr>
                    <w:b/>
                    <w:color w:val="000000"/>
                    <w:sz w:val="22"/>
                    <w:szCs w:val="22"/>
                    <w:lang w:eastAsia="lt-LT"/>
                  </w:rPr>
                  <w:t>–</w:t>
                </w:r>
                <w:r>
                  <w:rPr>
                    <w:b/>
                    <w:bCs/>
                    <w:color w:val="000000"/>
                    <w:sz w:val="22"/>
                    <w:szCs w:val="22"/>
                    <w:lang w:eastAsia="lt-LT"/>
                  </w:rPr>
                  <w:t xml:space="preserve">4 punktuose numatytai veiklai, po to siekia gauti licenciją ir kitai </w:t>
                </w:r>
                <w:r>
                  <w:rPr>
                    <w:b/>
                    <w:color w:val="000000"/>
                    <w:sz w:val="22"/>
                    <w:szCs w:val="22"/>
                    <w:lang w:eastAsia="lt-LT"/>
                  </w:rPr>
                  <w:t xml:space="preserve">šio straipsnio 1 dalies 1–4 punktuose numatytai </w:t>
                </w:r>
                <w:r>
                  <w:rPr>
                    <w:b/>
                    <w:bCs/>
                    <w:color w:val="000000"/>
                    <w:sz w:val="22"/>
                    <w:szCs w:val="22"/>
                    <w:lang w:eastAsia="lt-LT"/>
                  </w:rPr>
                  <w:t>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spacing w:line="276" w:lineRule="auto"/>
                  <w:ind w:firstLine="720"/>
                  <w:jc w:val="both"/>
                  <w:rPr>
                    <w:b/>
                    <w:color w:val="000000"/>
                    <w:sz w:val="22"/>
                    <w:szCs w:val="22"/>
                    <w:lang w:eastAsia="lt-LT"/>
                  </w:rPr>
                </w:pPr>
                <w:r>
                  <w:rPr>
                    <w:b/>
                    <w:color w:val="000000"/>
                    <w:sz w:val="22"/>
                    <w:szCs w:val="22"/>
                    <w:lang w:eastAsia="lt-LT"/>
                  </w:rPr>
                  <w:t>3. Asmenims, siekiantiems verstis vandenilio licencijuojama veikla, licencijos išduodamos vadovaujantis veiklos saugumo, patikimumo ir nediskriminavimo principais. Vandenilio perdavimo ir skirstymo veiklos licencijose nurodoma teritorija, kurioje asmenys turi išskirtines licencijoje nurodytos veiklos vykdymo teises ir pareigas.</w:t>
                </w:r>
              </w:p>
              <w:p>
                <w:pPr>
                  <w:tabs>
                    <w:tab w:val="left" w:pos="567"/>
                  </w:tabs>
                  <w:spacing w:line="276" w:lineRule="auto"/>
                  <w:ind w:firstLine="720"/>
                  <w:jc w:val="both"/>
                  <w:rPr>
                    <w:b/>
                    <w:color w:val="000000"/>
                    <w:sz w:val="22"/>
                    <w:szCs w:val="22"/>
                    <w:lang w:eastAsia="lt-LT"/>
                  </w:rPr>
                </w:pPr>
                <w:r>
                  <w:rPr>
                    <w:b/>
                    <w:color w:val="000000"/>
                    <w:sz w:val="22"/>
                    <w:szCs w:val="22"/>
                    <w:lang w:eastAsia="lt-LT"/>
                  </w:rPr>
                  <w:t>4. Asmuo, siekiantis gauti licenciją (toliau – pareiškėjas) veiklai, nurodytai šio straipsnio 1 dalies 1–4 punktuose,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2) pareiškėjas neturi mokestinių nepriemokų ir (ar) pradelstų įsipareigojimų valstybės biudžetui, savivaldybių biudžetams ir (ar) fondams, kurių mokesčius administruoja Valstybinė mokesčių inspekcija, tai pat Valstybinio socialinio draudimo fondui ir (ar) muitinei, kurių bendra suma viršija 10 000 Eur (dešimt tūkstančių eurų). Jeigu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vykdė veiklą trumpiau negu dvejus finansinius metus) balanso ir pelno (nuostolių) ataskaitų duomenis. Jeigu pareiškėjas nevykdė veiklos, jis pateikia planuojamos vykdyti licencijuojamos veiklos verslo planą, kuriame nurodoma planuojama veikla, preliminarūs planuojamų teikti paslaugų įkainiai, finansinių srautų prognozė ir kita informacija, leidžianti įvertinti pareiškėjo galimybes vykdyti licencijuojamą veiklą. Finansiniai pajėgumai laikomi pakankamais, kai jie atitinka visas išvardintas sąlygas:</w:t>
                </w:r>
              </w:p>
              <w:p>
                <w:pPr>
                  <w:tabs>
                    <w:tab w:val="left" w:pos="567"/>
                  </w:tabs>
                  <w:spacing w:line="276" w:lineRule="auto"/>
                  <w:ind w:firstLine="720"/>
                  <w:jc w:val="both"/>
                  <w:rPr>
                    <w:b/>
                    <w:color w:val="000000"/>
                    <w:sz w:val="22"/>
                    <w:szCs w:val="22"/>
                    <w:lang w:eastAsia="lt-LT"/>
                  </w:rPr>
                </w:pPr>
                <w:r>
                  <w:rPr>
                    <w:b/>
                    <w:color w:val="000000"/>
                    <w:sz w:val="22"/>
                    <w:szCs w:val="22"/>
                    <w:lang w:eastAsia="lt-LT"/>
                  </w:rPr>
                  <w:t>a) jeigu pareiškėjas yra juridinis asmuo arba kitos valstybės narės juridinio asmens ar kitos organizacijos padalinys, įsteigtas Lietuvos Respublikoje (išskyrus biudžetines įstaigas) – jo bendrasis finansinio pajėgumo rodiklis per pastaruosius arba prognozuojamus dvejus metus yra didesnis nei Tarybos nustatyta atitinkamo sektoriaus atitinkamos veiklos finansinio pajėgumo normatyvinio rodiklio žemutinė reikšmė, kuri, jeigu asmuo vykdo ar planuoja vykdyti kelias reguliuojamas veiklas, vertinama pagal veiklą, kurios metinės pajamos sudaro didžiausią pajamų dalį visose reguliuojamų veiklų pajamose, ir kurią apskaičiuoja Taryba pagal jos tvirtinamame Ūkio subjektų technologinio, finansinio ir vadybinio pajėgumo įvertinimo tvarkos apraše nustatytą metodiką, atsižvelgdama į grynojo pelningumo, įsiskolinimo koeficiento, einamojo likvidumo koeficiento ir pirkėjų įsiskolinimo koeficiento žemutinių reikšmių svertinį vidurkį arba, jeigu pareiškėjas yra fizinis asmuo – jo veikla yra pelninga ir (arba) asmuo neturi pradelstų finansinių įsipareigojimų, arba jų turi, tačiau įrodo, kad asmens lėšos yra pakankamos pradelstiems finansiniams įsipareigojimams padengti, arba (jeigu toks asmuo anksčiau atitinkamos veiklos nevykdė) Tarybai pateiktame planuojamos veiklos 2 metų verslo plane, kuriame nurodytos asmens reguliuojamos veiklos pajamos, sąnaudos, pinigų srautai bei reikalingos lėšos ir jų finansavimo šaltiniai, nurodyti veiklos finansavimo šaltiniai yra pakankami ir pagrįsti;</w:t>
                </w:r>
              </w:p>
              <w:p>
                <w:pPr>
                  <w:tabs>
                    <w:tab w:val="left" w:pos="567"/>
                  </w:tabs>
                  <w:spacing w:line="276" w:lineRule="auto"/>
                  <w:ind w:firstLine="720"/>
                  <w:jc w:val="both"/>
                  <w:rPr>
                    <w:b/>
                    <w:color w:val="000000"/>
                    <w:sz w:val="22"/>
                    <w:szCs w:val="22"/>
                    <w:lang w:eastAsia="lt-LT"/>
                  </w:rPr>
                </w:pPr>
                <w:r>
                  <w:rPr>
                    <w:b/>
                    <w:color w:val="000000"/>
                    <w:sz w:val="22"/>
                    <w:szCs w:val="22"/>
                    <w:lang w:eastAsia="lt-LT"/>
                  </w:rPr>
                  <w:t>b) jeigu pareiškėjas yra juridinis asmuo arba kitos valstybės narės juridinio asmens ar kitos organizacijos padalinys, įsteigtas Lietuvos Respublikoje (išskyrus biudžetines įstaigas) – asmens nuosavo ir įstatinio kapitalo santykis atitinka Akcinių bendrovių įstatymo 38 straipsnio reikalavimus (išskyrus asmenis, kuriems netaikomi minėto įstatymo reikalavimai);</w:t>
                </w:r>
              </w:p>
              <w:p>
                <w:pPr>
                  <w:tabs>
                    <w:tab w:val="left" w:pos="567"/>
                  </w:tabs>
                  <w:spacing w:line="276" w:lineRule="auto"/>
                  <w:ind w:firstLine="720"/>
                  <w:jc w:val="both"/>
                  <w:rPr>
                    <w:b/>
                    <w:color w:val="000000"/>
                    <w:sz w:val="22"/>
                    <w:szCs w:val="22"/>
                    <w:lang w:eastAsia="lt-LT"/>
                  </w:rPr>
                </w:pPr>
                <w:r>
                  <w:rPr>
                    <w:rFonts w:eastAsia="Aptos"/>
                    <w:b/>
                    <w:color w:val="000000"/>
                    <w:sz w:val="22"/>
                    <w:szCs w:val="22"/>
                    <w:lang w:eastAsia="lt-LT"/>
                  </w:rPr>
                  <w:t>5) turi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darbuotojų vandenilio infrastruktūros eksploatavimui ir techninei priežiūrai bei saugai užtikrinti, įskaitant vandenilio infrastruktūros valdymą, avarijų prevenciją ir avarinių situacijų likvidavimą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7) reguliuojamos veiklos teritorijoje nuosavybės teise ar kitais teisėtais pagrindais valdo infrastruktūrą, reikalingą atitinkamai licencijuojamai veiklai vykdyti (Tarybai pateikiamas infrastruktūros statybos užbaigimo aktas);</w:t>
                </w:r>
              </w:p>
              <w:p>
                <w:pPr>
                  <w:tabs>
                    <w:tab w:val="left" w:pos="567"/>
                  </w:tabs>
                  <w:spacing w:line="276" w:lineRule="auto"/>
                  <w:ind w:firstLine="720"/>
                  <w:jc w:val="both"/>
                  <w:rPr>
                    <w:b/>
                    <w:color w:val="000000"/>
                    <w:sz w:val="22"/>
                    <w:szCs w:val="22"/>
                    <w:lang w:eastAsia="lt-LT"/>
                  </w:rPr>
                </w:pPr>
                <w:r>
                  <w:rPr>
                    <w:b/>
                    <w:color w:val="000000"/>
                    <w:sz w:val="22"/>
                    <w:szCs w:val="22"/>
                    <w:lang w:eastAsia="lt-LT"/>
                  </w:rPr>
                  <w:t>8) turi Tarybos išduotą energetikos įrenginių techninės būklės patikrinimo pažymą, įrodančią pareiškėjo licencijuojamoje veikloje numatomų naudoti energetikos įrenginių tinkamumą juos naudoti pagal paskirtį;</w:t>
                </w:r>
              </w:p>
              <w:p>
                <w:pPr>
                  <w:tabs>
                    <w:tab w:val="left" w:pos="567"/>
                  </w:tabs>
                  <w:spacing w:line="276" w:lineRule="auto"/>
                  <w:ind w:firstLine="720"/>
                  <w:jc w:val="both"/>
                  <w:rPr>
                    <w:b/>
                    <w:color w:val="000000"/>
                    <w:sz w:val="22"/>
                    <w:szCs w:val="22"/>
                    <w:lang w:eastAsia="lt-LT"/>
                  </w:rPr>
                </w:pPr>
                <w:r>
                  <w:rPr>
                    <w:b/>
                    <w:color w:val="000000"/>
                    <w:sz w:val="22"/>
                    <w:szCs w:val="22"/>
                    <w:lang w:eastAsia="lt-LT"/>
                  </w:rPr>
                  <w:t>9) Energetikos įstatymo nustatyta tvarka turi Tarybos išduotą energetikos įrenginių eksploatavimo atestatą, patvirtinantį pareiškėjo tinkamą pasirengimą eksploatuoti energetikos įrenginius, arba yra sudaręs ilgalaikę sutartį, galiojančią ilgiau nei vienerius metus, dėl energetikos įrenginių eksploatavimo ir priežiūros su įmone, turinčia tokį atestatą arba atitinkančią kitus Energetikos įstatyme nustatytus reikalavimus, suteikiančius teisę eksploatuoti energetikos įrenginius;</w:t>
                </w:r>
              </w:p>
              <w:p>
                <w:pPr>
                  <w:tabs>
                    <w:tab w:val="left" w:pos="567"/>
                  </w:tabs>
                  <w:spacing w:line="276" w:lineRule="auto"/>
                  <w:ind w:firstLine="720"/>
                  <w:jc w:val="both"/>
                  <w:rPr>
                    <w:b/>
                    <w:color w:val="000000"/>
                    <w:sz w:val="22"/>
                    <w:szCs w:val="22"/>
                    <w:lang w:eastAsia="lt-LT"/>
                  </w:rPr>
                </w:pPr>
                <w:r>
                  <w:rPr>
                    <w:b/>
                    <w:color w:val="000000"/>
                    <w:sz w:val="22"/>
                    <w:szCs w:val="22"/>
                    <w:lang w:eastAsia="lt-LT"/>
                  </w:rPr>
                  <w:t>10) atitinka nacionalinio saugumo interesus. Patikra dėl atitikties nacionalinio saugumo interesams atliekama vadovaujantis Lietuvos Respublikos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5. Vandenilio perdavimo veiklos licencija išduodama asmeniui, kuris atitinka šio straipsnio 4 dalyje nustatytas sąlygas ir – vandenilio perdavimo tinklo operatoriaus atveju – asmuo yra paskirtas vandenilio perdavimo tinklo operatoriumi ir dėl jo Taryba yra priėmusi teigiamą sprendimą dėl asmens sertifikavimo šio įstatymo 27 straipsnyje nustatyta tvarka, o vandenilio saugyklos, vandenilio terminalo ir vandenilio skirstymo tinklo operatorių atveju – asmuo yra paskirtas vadovaujantis atitinkamai šio įstatymo 28 ar 29 straipsniu.</w:t>
                </w:r>
              </w:p>
              <w:p>
                <w:pPr>
                  <w:tabs>
                    <w:tab w:val="left" w:pos="567"/>
                  </w:tabs>
                  <w:spacing w:line="276" w:lineRule="auto"/>
                  <w:ind w:firstLine="720"/>
                  <w:jc w:val="both"/>
                  <w:rPr>
                    <w:b/>
                    <w:color w:val="000000"/>
                    <w:sz w:val="22"/>
                    <w:szCs w:val="22"/>
                    <w:lang w:eastAsia="lt-LT"/>
                  </w:rPr>
                </w:pPr>
                <w:r>
                  <w:rPr>
                    <w:b/>
                    <w:color w:val="000000"/>
                    <w:sz w:val="22"/>
                    <w:szCs w:val="22"/>
                    <w:lang w:eastAsia="lt-LT"/>
                  </w:rPr>
                  <w:t>6. Asmuo, siekiantis gauti licenciją veiklai, nurodytai šio straipsnio 1 dalies 5 punkte,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2) pareiškėjas neturi mokestinių nepriemokų ir (ar) pradelstų įsipareigojimų valstybės biudžetui, savivaldybių biudžetams ir (ar) fondams, kurių mokesčius administruoja Valstybinė mokesčių inspekcija, taip pat Valstybinio socialinio draudimo fondui ir (ar) įsipareigojimų muitinei, kurių bendra suma viršija 10 000 Eur (dešimt tūkstančių eurų). Jeigu dėl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pareiškėjas atitinka minimalius įstatinio kapitalo reikalavimus, nustatytus Akcinių bendrovių įstatyme;</w:t>
                </w:r>
              </w:p>
              <w:p>
                <w:pPr>
                  <w:tabs>
                    <w:tab w:val="left" w:pos="567"/>
                  </w:tabs>
                  <w:spacing w:line="276" w:lineRule="auto"/>
                  <w:ind w:firstLine="720"/>
                  <w:jc w:val="both"/>
                  <w:rPr>
                    <w:b/>
                    <w:color w:val="000000"/>
                    <w:sz w:val="22"/>
                    <w:szCs w:val="22"/>
                    <w:lang w:eastAsia="lt-LT"/>
                  </w:rPr>
                </w:pPr>
                <w:r>
                  <w:rPr>
                    <w:b/>
                    <w:color w:val="000000"/>
                    <w:sz w:val="22"/>
                    <w:szCs w:val="22"/>
                    <w:lang w:eastAsia="lt-LT"/>
                  </w:rPr>
                  <w:t>4)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pareiškėjas vykdė veiklą trumpiau negu dvejus finansinius metus) balanso ir pelno (nuostolių) ataskaitų duomenis. Jeigu veikla nebuvo vykdoma, pareiškėjas pateikia planuojamos vykdyti licencijuojamos veiklos verslo planą, kuriame pateikiamas planuojamų paslaugų pobūdis, teikiamų paslaugų įkainiai, finansiniai srautai ir kita informacija, kuri leidžia įsitikinti asmens finansinėmis galimybėmis vykdyti licencijuojamą veiklą. Taryba, vadovaudamasi šio įstatymo 20 straipsnio 4 dalies 4 punkto a ir b papunkčiuose nustatytais principais, jos tvirtinamame Ūkio subjektų technologinio, finansinio ir vadybinio pajėgumo įvertinimo tvarkos apraše nustato pareiškėjų finansinio pajėgumo vertinimo metodiką;</w:t>
                </w:r>
              </w:p>
              <w:p>
                <w:pPr>
                  <w:tabs>
                    <w:tab w:val="left" w:pos="567"/>
                  </w:tabs>
                  <w:spacing w:line="276" w:lineRule="auto"/>
                  <w:ind w:firstLine="720"/>
                  <w:jc w:val="both"/>
                  <w:rPr>
                    <w:b/>
                    <w:color w:val="000000"/>
                    <w:sz w:val="22"/>
                    <w:szCs w:val="22"/>
                    <w:lang w:eastAsia="lt-LT"/>
                  </w:rPr>
                </w:pPr>
                <w:r>
                  <w:rPr>
                    <w:b/>
                    <w:color w:val="000000"/>
                    <w:sz w:val="22"/>
                    <w:szCs w:val="22"/>
                    <w:lang w:eastAsia="lt-LT"/>
                  </w:rPr>
                  <w:t>5) turi vidaus kontrolės ir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ir nuosavybės teise ar kitais teisėtais pagrindais valdo technines priemones ir programinę įrangą, kurių reikia biržos veiklai organizuoti ir licencijuojamai veiklai vykdyti, kurią įrodo pagal Tarybos nustatytą formą pateikiama informacija apie pareiškėjo valdomas priemones ir įrenginius, skirtus licencijuojamai veiklai vykdyti, jų techninius pajėgumus ir buvimo vietą bei, Tarybai paprašius, pateikiami paaiškinimai, kaip šios priemonės ir įranga užtikrina, kad būtų tinkamai organizuota biržos veikla ir licencijuojama veikla;</w:t>
                </w:r>
              </w:p>
              <w:p>
                <w:pPr>
                  <w:tabs>
                    <w:tab w:val="left" w:pos="567"/>
                  </w:tabs>
                  <w:spacing w:line="276" w:lineRule="auto"/>
                  <w:ind w:firstLine="720"/>
                  <w:jc w:val="both"/>
                  <w:rPr>
                    <w:b/>
                    <w:color w:val="000000"/>
                    <w:sz w:val="22"/>
                    <w:szCs w:val="22"/>
                    <w:lang w:eastAsia="lt-LT"/>
                  </w:rPr>
                </w:pPr>
                <w:r>
                  <w:rPr>
                    <w:b/>
                    <w:color w:val="000000"/>
                    <w:sz w:val="22"/>
                    <w:szCs w:val="22"/>
                    <w:lang w:eastAsia="lt-LT"/>
                  </w:rPr>
                  <w:t>7) turi ir nuosavybės teise ar kitais teisėtais pagrindais valdo technines, informacines, technologines apsaugos užtikrinimo priemones ir patalpas licencijuojamai veiklai vykdyti, kurią įrodo pagal Tarybos nustatytą formą pateikiama informacija apie pareiškėjo valdomas priemones ir patalpas bei, Tarybai paprašius, pateikiami paaiškinimai, kaip šios priemonės ir patalpos yra pakankamos (užtikrina) licencijuojamos veiklos saugumą;</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8) turi ir nuosavybės teise ar kitais teisėtais pagrindais valdo ryšio priemones, kurių reikia pranešimams iš  biržos dalyvių gauti ir jiems siųsti, kurią įrodo pagal Tarybos nustatytą formą pateikiama informacija apie pareiškėjo valdomas priemones ir, Tarybai paprašius, pateikiami paaiškinimai, kaip šios priemonės užtikrina (yra pakankamos) pranešimams iš biržos dalyvių gauti ir jiems siųsti;</w:t>
                </w:r>
              </w:p>
              <w:p>
                <w:pPr>
                  <w:tabs>
                    <w:tab w:val="left" w:pos="567"/>
                  </w:tabs>
                  <w:spacing w:line="276" w:lineRule="auto"/>
                  <w:ind w:firstLine="720"/>
                  <w:jc w:val="both"/>
                  <w:rPr>
                    <w:b/>
                    <w:color w:val="000000"/>
                    <w:sz w:val="22"/>
                    <w:szCs w:val="22"/>
                    <w:lang w:eastAsia="lt-LT"/>
                  </w:rPr>
                </w:pPr>
                <w:r>
                  <w:rPr>
                    <w:b/>
                    <w:color w:val="000000"/>
                    <w:sz w:val="22"/>
                    <w:szCs w:val="22"/>
                    <w:lang w:eastAsia="lt-LT"/>
                  </w:rPr>
                  <w:t>9) turi darbuotojų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10)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7. Asmenys, kurie verčiasi viena ar daugiau šio straipsnio 1 dalyje nurodytų licencijuojamos veiklos rūšimi, neturi teisės įgalioti kitų asmenų verstis licencijoje nurodyta veikla ir privalo laikytis šių bendrųjų veiklos sąlygų:</w:t>
                </w:r>
              </w:p>
              <w:p>
                <w:pPr>
                  <w:tabs>
                    <w:tab w:val="left" w:pos="567"/>
                  </w:tabs>
                  <w:spacing w:line="276" w:lineRule="auto"/>
                  <w:ind w:firstLine="720"/>
                  <w:jc w:val="both"/>
                  <w:rPr>
                    <w:b/>
                    <w:color w:val="000000"/>
                    <w:sz w:val="22"/>
                    <w:szCs w:val="22"/>
                    <w:lang w:eastAsia="lt-LT"/>
                  </w:rPr>
                </w:pPr>
                <w:r>
                  <w:rPr>
                    <w:b/>
                    <w:color w:val="000000"/>
                    <w:sz w:val="22"/>
                    <w:szCs w:val="22"/>
                    <w:lang w:eastAsia="lt-LT"/>
                  </w:rPr>
                  <w:t>1) Licencijavimo taisyklėse nustatyta tvarka teikti kompetentingoms valstybės institucijoms ir įstaigoms informaciją, reikalingą įstatymų ir kitų teisės aktų nustatytoms pareigoms atlikti;</w:t>
                </w:r>
              </w:p>
              <w:p>
                <w:pPr>
                  <w:tabs>
                    <w:tab w:val="left" w:pos="567"/>
                  </w:tabs>
                  <w:spacing w:line="276" w:lineRule="auto"/>
                  <w:ind w:firstLine="720"/>
                  <w:jc w:val="both"/>
                  <w:rPr>
                    <w:b/>
                    <w:color w:val="000000"/>
                    <w:sz w:val="22"/>
                    <w:szCs w:val="22"/>
                    <w:lang w:eastAsia="lt-LT"/>
                  </w:rPr>
                </w:pPr>
                <w:r>
                  <w:rPr>
                    <w:b/>
                    <w:color w:val="000000"/>
                    <w:sz w:val="22"/>
                    <w:szCs w:val="22"/>
                    <w:lang w:eastAsia="lt-LT"/>
                  </w:rPr>
                  <w:t>2) užtikrinti vienodas ir nediskriminacines sąlygas visiems vartotojams, vandenilio sistemos naudotojams ir kitiems rinkos dalyviams;</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3) informuoti ir konsultuoti vartotojus ir vandenilio </w:t>
                </w:r>
                <w:r>
                  <w:rPr>
                    <w:b/>
                    <w:bCs/>
                    <w:color w:val="000000"/>
                    <w:sz w:val="22"/>
                    <w:szCs w:val="22"/>
                    <w:lang w:eastAsia="lt-LT"/>
                  </w:rPr>
                  <w:t>sistemos naudotojus teisės aktų nustatyta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4) užtikrinti, kad būtų atliekamos kitos šiame įstatyme ir kituose teisės aktuose nustatytos pareigos ir būtų laikomasi vandenilio sektoriuje vykdomai veiklai keliamų reikalavimų.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8. </w:t>
                </w:r>
                <w:r>
                  <w:rPr>
                    <w:b/>
                    <w:color w:val="000000"/>
                    <w:sz w:val="22"/>
                    <w:szCs w:val="22"/>
                    <w:lang w:eastAsia="lt-LT"/>
                  </w:rPr>
                  <w:t>Taryba savo nustatyta tvarka</w:t>
                </w:r>
                <w:r>
                  <w:rPr>
                    <w:b/>
                    <w:bCs/>
                    <w:color w:val="000000"/>
                    <w:sz w:val="22"/>
                    <w:szCs w:val="22"/>
                    <w:lang w:eastAsia="lt-LT"/>
                  </w:rPr>
                  <w:t xml:space="preserve"> teikia informaciją Europos Komisijai apie atsisakymo išduoti vandenilio perdavimo tinklo operatoriaus licenciją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Šio straipsnio 1 dalyje nurodytos veiklos licencijas išduoda</w:t>
                </w:r>
                <w:r>
                  <w:rPr>
                    <w:b/>
                    <w:color w:val="000000"/>
                    <w:sz w:val="22"/>
                    <w:szCs w:val="22"/>
                    <w:lang w:eastAsia="lt-LT"/>
                  </w:rPr>
                  <w:t xml:space="preserve"> (arba atsisako išduoti, arba priima sprendimą neišduoti),</w:t>
                </w:r>
                <w:r>
                  <w:rPr>
                    <w:b/>
                    <w:bCs/>
                    <w:color w:val="000000"/>
                    <w:sz w:val="22"/>
                    <w:szCs w:val="22"/>
                    <w:lang w:eastAsia="lt-LT"/>
                  </w:rPr>
                  <w:t xml:space="preserve"> sustabdo jų galiojimą, panaikina galiojimo sustabdymą, panaikina licencijų galiojimą, keičia, tikslina ir licencijuojamą veiklą prižiūri Taryba.</w:t>
                </w:r>
              </w:p>
              <w:p>
                <w:pPr>
                  <w:tabs>
                    <w:tab w:val="left" w:pos="567"/>
                  </w:tabs>
                  <w:spacing w:line="276" w:lineRule="auto"/>
                  <w:ind w:firstLine="720"/>
                  <w:jc w:val="both"/>
                  <w:rPr>
                    <w:b/>
                    <w:color w:val="000000"/>
                    <w:sz w:val="22"/>
                    <w:szCs w:val="22"/>
                    <w:lang w:eastAsia="lt-LT"/>
                  </w:rPr>
                </w:pPr>
                <w:r>
                  <w:rPr>
                    <w:b/>
                    <w:bCs/>
                    <w:color w:val="000000"/>
                    <w:sz w:val="22"/>
                    <w:szCs w:val="22"/>
                    <w:lang w:eastAsia="lt-LT"/>
                  </w:rPr>
                  <w:t xml:space="preserve">10. Taryba panaikina išduotą licenciją asmeniui, jei paaiškėja, kad licencijuojamos veiklos metu toks asmuo tapo neatitinkančiu šio straipsnio 4 ir 6 </w:t>
                </w:r>
                <w:r>
                  <w:rPr>
                    <w:b/>
                    <w:color w:val="000000"/>
                    <w:sz w:val="22"/>
                    <w:szCs w:val="22"/>
                    <w:lang w:eastAsia="lt-LT"/>
                  </w:rPr>
                  <w:t>dalyse</w:t>
                </w:r>
                <w:r>
                  <w:rPr>
                    <w:b/>
                    <w:bCs/>
                    <w:color w:val="000000"/>
                    <w:sz w:val="22"/>
                    <w:szCs w:val="22"/>
                    <w:lang w:eastAsia="lt-LT"/>
                  </w:rPr>
                  <w:t xml:space="preserve"> nustatyto </w:t>
                </w:r>
                <w:r>
                  <w:rPr>
                    <w:b/>
                    <w:color w:val="000000"/>
                    <w:sz w:val="22"/>
                    <w:szCs w:val="22"/>
                    <w:lang w:eastAsia="lt-LT"/>
                  </w:rPr>
                  <w:t xml:space="preserve">reikalavimo dėl atitikimo </w:t>
                </w:r>
                <w:r>
                  <w:rPr>
                    <w:b/>
                    <w:bCs/>
                    <w:color w:val="000000"/>
                    <w:sz w:val="22"/>
                    <w:szCs w:val="22"/>
                    <w:lang w:eastAsia="lt-LT"/>
                  </w:rPr>
                  <w:t xml:space="preserve">nacionalinio saugumo </w:t>
                </w:r>
                <w:r>
                  <w:rPr>
                    <w:b/>
                    <w:color w:val="000000"/>
                    <w:sz w:val="22"/>
                    <w:szCs w:val="22"/>
                    <w:lang w:eastAsia="lt-LT"/>
                  </w:rPr>
                  <w:t>interesams</w:t>
                </w:r>
                <w:r>
                  <w:rPr>
                    <w:b/>
                    <w:bCs/>
                    <w:color w:val="000000"/>
                    <w:sz w:val="22"/>
                    <w:szCs w:val="22"/>
                    <w:lang w:eastAsia="lt-LT"/>
                  </w:rPr>
                  <w:t>.</w:t>
                </w:r>
              </w:p>
              <w:p>
                <w:pPr>
                  <w:ind w:firstLine="567"/>
                  <w:jc w:val="both"/>
                  <w:rPr>
                    <w:b/>
                    <w:bCs/>
                    <w:color w:val="000000"/>
                    <w:sz w:val="22"/>
                    <w:szCs w:val="22"/>
                    <w:lang w:eastAsia="lt-LT"/>
                  </w:rPr>
                </w:pPr>
                <w:r>
                  <w:rPr>
                    <w:b/>
                    <w:color w:val="000000"/>
                    <w:sz w:val="22"/>
                    <w:szCs w:val="22"/>
                    <w:lang w:eastAsia="lt-LT"/>
                  </w:rPr>
                  <w:t xml:space="preserve">11. Šiame straipsnyje nustatyti reikalavimai ir reglamentavimas netaikomi biržos operatoriaus veiklą vykdančiam ūkio subjektui, turinčiam kitoje valstybėje narėje išduotą licenciją, suteikiančią teisę verstis biržos operatoriaus veikla. Biržos operatoriaus veiklą kitoje valstybėje narėje vykdantis ūkio subjektas, ketinantis vykdyti biržos operatoriaus veiklą Lietuvos Respublikoje, apie tai privalo raštu informuoti Tarybą ne vėliau kaip prieš 2 mėnesius iki biržos operatoriaus veiklos vykdymo Lietuvos Respublikoje pradžios ir pateikti Tarybai dokumentą, pagrindžiantį teisę verstis biržos operatoriaus veikla kitoje valstybėje narėje. Apie ketinimą nutraukti biržos operatoriaus veiklą biržos operatorius privalo raštu informuoti Tarybą ne vėliau kaip prieš 6 mėnesius iki numatomo biržos operatoriaus veiklos nutraukimo. Taryba savo interneto svetainėje skelbia informaciją apie biržos operatoriaus veiklą Lietuvos Respublikoje vykdančius ūkio subjektus. Tuo atveju, kai pagal šį punktą skelbiami fizinio asmens duomenys, jų skelbimas turi atitikti 2016 m. balandžio 27 d. Europos Parlamento ir Tarybos reglamento </w:t>
                </w:r>
                <w:fldSimple w:instr="HYPERLINK http://eur-lex.europa.eu/legal-content/LIT/TXT/?uri=CELEX:32016R0679&amp;locale=lt \t _blank">
                  <w:r>
                    <w:rPr>
                      <w:b/>
                      <w:color w:val="0000FF" w:themeColor="hyperlink"/>
                      <w:sz w:val="22"/>
                      <w:szCs w:val="22"/>
                      <w:lang w:eastAsia="lt-LT"/>
                      <w:u w:val="single"/>
                    </w:rPr>
                    <w:t>(ES) 2016/679</w:t>
                  </w:r>
                </w:fldSimple>
                <w:r>
                  <w:rPr>
                    <w:b/>
                    <w:color w:val="000000"/>
                    <w:sz w:val="22"/>
                    <w:szCs w:val="22"/>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color w:val="0000FF" w:themeColor="hyperlink"/>
                      <w:sz w:val="22"/>
                      <w:szCs w:val="22"/>
                      <w:lang w:eastAsia="lt-LT"/>
                      <w:u w:val="single"/>
                    </w:rPr>
                    <w:t>95/46/EB</w:t>
                  </w:r>
                </w:fldSimple>
                <w:r>
                  <w:rPr>
                    <w:b/>
                    <w:color w:val="000000"/>
                    <w:sz w:val="22"/>
                    <w:szCs w:val="22"/>
                    <w:lang w:eastAsia="lt-LT"/>
                  </w:rPr>
                  <w:t xml:space="preserve"> (Bendrasis duomenų apsaugos reglamentas) reikalavimus – duomenys (vardas, pavardė, asmens kodas ir duomenys apie išduotą licenciją) skelbiami siekiant suteikti viešą informaciją apie biržos operatoriaus licenciją turinčius (arba anksčiau ją turėjusius) asmenis</w:t>
                </w:r>
                <w:r>
                  <w:rPr>
                    <w:b/>
                    <w:bCs/>
                    <w:color w:val="000000"/>
                    <w:sz w:val="22"/>
                    <w:szCs w:val="22"/>
                    <w:lang w:eastAsia="lt-LT"/>
                  </w:rPr>
                  <w:t>.</w:t>
                </w:r>
              </w:p>
              <w:p>
                <w:pPr>
                  <w:ind w:firstLine="567"/>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tabs>
                    <w:tab w:val="left" w:pos="567"/>
                  </w:tabs>
                  <w:ind w:firstLine="720"/>
                  <w:jc w:val="both"/>
                  <w:rPr>
                    <w:b/>
                    <w:color w:val="000000"/>
                    <w:sz w:val="22"/>
                    <w:szCs w:val="22"/>
                    <w:lang w:eastAsia="lt-LT"/>
                  </w:rPr>
                </w:pPr>
                <w:r>
                  <w:rPr>
                    <w:b/>
                    <w:color w:val="000000"/>
                    <w:sz w:val="22"/>
                    <w:szCs w:val="22"/>
                    <w:lang w:eastAsia="lt-LT"/>
                  </w:rPr>
                  <w:t>1. Leidimai išduodami šiai veiklai vandenilio sektoriuje:</w:t>
                </w:r>
              </w:p>
              <w:p>
                <w:pPr>
                  <w:tabs>
                    <w:tab w:val="left" w:pos="567"/>
                  </w:tabs>
                  <w:ind w:firstLine="720"/>
                  <w:jc w:val="both"/>
                  <w:rPr>
                    <w:b/>
                    <w:color w:val="000000"/>
                    <w:sz w:val="22"/>
                    <w:szCs w:val="22"/>
                    <w:lang w:eastAsia="lt-LT"/>
                  </w:rPr>
                </w:pPr>
                <w:r>
                  <w:rPr>
                    <w:b/>
                    <w:color w:val="000000"/>
                    <w:sz w:val="22"/>
                    <w:szCs w:val="22"/>
                    <w:lang w:eastAsia="lt-LT"/>
                  </w:rPr>
                  <w:t>1) vandenilio gamybai;</w:t>
                </w:r>
              </w:p>
              <w:p>
                <w:pPr>
                  <w:tabs>
                    <w:tab w:val="left" w:pos="567"/>
                  </w:tabs>
                  <w:ind w:firstLine="720"/>
                  <w:jc w:val="both"/>
                  <w:rPr>
                    <w:b/>
                    <w:color w:val="000000"/>
                    <w:sz w:val="22"/>
                    <w:szCs w:val="22"/>
                    <w:lang w:eastAsia="lt-LT"/>
                  </w:rPr>
                </w:pPr>
                <w:r>
                  <w:rPr>
                    <w:b/>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tabs>
                    <w:tab w:val="left" w:pos="567"/>
                  </w:tabs>
                  <w:ind w:firstLine="720"/>
                  <w:jc w:val="both"/>
                  <w:rPr>
                    <w:b/>
                    <w:bCs/>
                    <w:color w:val="000000"/>
                    <w:sz w:val="22"/>
                    <w:szCs w:val="22"/>
                    <w:lang w:eastAsia="lt-LT"/>
                  </w:rPr>
                </w:pPr>
                <w:r>
                  <w:rPr>
                    <w:b/>
                    <w:bCs/>
                    <w:color w:val="000000"/>
                    <w:sz w:val="22"/>
                    <w:szCs w:val="22"/>
                    <w:lang w:eastAsia="lt-LT"/>
                  </w:rPr>
                  <w:t>3) vykdyti vandenilio tiekimo veiklą (išskyrus prekybą biržoje);</w:t>
                </w:r>
              </w:p>
              <w:p>
                <w:pPr>
                  <w:tabs>
                    <w:tab w:val="left" w:pos="567"/>
                  </w:tabs>
                  <w:ind w:firstLine="720"/>
                  <w:jc w:val="both"/>
                  <w:rPr>
                    <w:b/>
                    <w:bCs/>
                    <w:color w:val="000000"/>
                    <w:sz w:val="22"/>
                    <w:szCs w:val="22"/>
                    <w:lang w:eastAsia="lt-LT"/>
                  </w:rPr>
                </w:pPr>
                <w:r>
                  <w:rPr>
                    <w:b/>
                    <w:bCs/>
                    <w:color w:val="000000"/>
                    <w:sz w:val="22"/>
                    <w:szCs w:val="22"/>
                    <w:lang w:eastAsia="lt-LT"/>
                  </w:rPr>
                  <w:t>4) vykdyti vandenilio prekybos veiklą degalinėse;</w:t>
                </w:r>
              </w:p>
              <w:p>
                <w:pPr>
                  <w:tabs>
                    <w:tab w:val="left" w:pos="567"/>
                  </w:tabs>
                  <w:ind w:firstLine="720"/>
                  <w:jc w:val="both"/>
                  <w:rPr>
                    <w:b/>
                    <w:bCs/>
                    <w:color w:val="000000"/>
                    <w:sz w:val="22"/>
                    <w:szCs w:val="22"/>
                    <w:lang w:eastAsia="lt-LT"/>
                  </w:rPr>
                </w:pPr>
                <w:r>
                  <w:rPr>
                    <w:b/>
                    <w:bCs/>
                    <w:color w:val="000000"/>
                    <w:sz w:val="22"/>
                    <w:szCs w:val="22"/>
                    <w:lang w:eastAsia="lt-LT"/>
                  </w:rPr>
                  <w:t xml:space="preserve">5) </w:t>
                </w:r>
                <w:r>
                  <w:rPr>
                    <w:b/>
                    <w:color w:val="000000"/>
                    <w:sz w:val="22"/>
                    <w:szCs w:val="22"/>
                    <w:lang w:eastAsia="lt-LT"/>
                  </w:rPr>
                  <w:t>vykdyti veiklą geografiškai ribotame vandenilio tinkle.</w:t>
                </w:r>
              </w:p>
              <w:p>
                <w:pPr>
                  <w:tabs>
                    <w:tab w:val="left" w:pos="567"/>
                  </w:tabs>
                  <w:ind w:firstLine="720"/>
                  <w:jc w:val="both"/>
                  <w:rPr>
                    <w:b/>
                    <w:color w:val="000000"/>
                    <w:sz w:val="22"/>
                    <w:szCs w:val="22"/>
                    <w:lang w:eastAsia="lt-LT"/>
                  </w:rPr>
                </w:pPr>
                <w:r>
                  <w:rPr>
                    <w:b/>
                    <w:color w:val="000000"/>
                    <w:sz w:val="22"/>
                    <w:szCs w:val="22"/>
                    <w:lang w:eastAsia="lt-LT"/>
                  </w:rPr>
                  <w:t>2. Leidimai yra išduodami Leidimų išdavimo taisyklėse nustatyta tvarka.</w:t>
                </w:r>
              </w:p>
              <w:p>
                <w:pPr>
                  <w:tabs>
                    <w:tab w:val="left" w:pos="567"/>
                  </w:tabs>
                  <w:ind w:firstLine="720"/>
                  <w:jc w:val="both"/>
                  <w:rPr>
                    <w:b/>
                    <w:color w:val="000000"/>
                    <w:sz w:val="22"/>
                    <w:szCs w:val="22"/>
                    <w:lang w:eastAsia="lt-LT"/>
                  </w:rPr>
                </w:pPr>
                <w:r>
                  <w:rPr>
                    <w:b/>
                    <w:bCs/>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tabs>
                    <w:tab w:val="left" w:pos="567"/>
                  </w:tabs>
                  <w:ind w:firstLine="720"/>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567"/>
                  </w:tabs>
                  <w:ind w:firstLine="720"/>
                  <w:jc w:val="both"/>
                  <w:rPr>
                    <w:b/>
                    <w:color w:val="000000"/>
                    <w:sz w:val="22"/>
                    <w:szCs w:val="22"/>
                    <w:lang w:eastAsia="lt-LT"/>
                  </w:rPr>
                </w:pPr>
                <w:r>
                  <w:rPr>
                    <w:b/>
                    <w:color w:val="000000"/>
                    <w:sz w:val="22"/>
                    <w:szCs w:val="22"/>
                    <w:lang w:eastAsia="lt-LT"/>
                  </w:rPr>
                  <w:t>5. Leidimai, nurodyti šio straipsnio 1 dalies 1, 2, 4 ir 5 punktuose išduodami šio įstatymo nustatyta tvarka ir sąlygomis asmeniui, atitinkančiam visus toliau nurodytus kriterijus: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w:t>
                </w:r>
                <w:r>
                  <w:rPr>
                    <w:b/>
                    <w:bCs/>
                    <w:color w:val="000000"/>
                    <w:sz w:val="22"/>
                    <w:szCs w:val="22"/>
                    <w:lang w:eastAsia="lt-LT"/>
                  </w:rPr>
                  <w:t>Lietuvos Respublikos teisės aktų nustatyta tvarka</w:t>
                </w:r>
                <w:r>
                  <w:rPr>
                    <w:b/>
                    <w:color w:val="000000"/>
                    <w:sz w:val="22"/>
                    <w:szCs w:val="22"/>
                    <w:lang w:eastAsia="lt-LT"/>
                  </w:rPr>
                  <w:t>,</w:t>
                </w:r>
                <w:r>
                  <w:rPr>
                    <w:b/>
                    <w:bCs/>
                    <w:color w:val="000000"/>
                    <w:sz w:val="22"/>
                    <w:szCs w:val="22"/>
                    <w:lang w:eastAsia="lt-LT"/>
                  </w:rPr>
                  <w:t xml:space="preserve">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yra pateikta planuojamos ūkinės veiklos atrankos dėl poveikio aplinkai vertinimo išvada, kad poveikio aplinkai vertinimas neprivalomas, ar sprendimas dėl planuojamos ūkinės veiklos poveikio aplinkai, kai jis yra privalomas vadovaujantis Lietuvos Respublikos planuojamos ūkinės veiklos poveikio aplinkai vertinimo įstatymu;</w:t>
                </w:r>
              </w:p>
              <w:p>
                <w:pPr>
                  <w:tabs>
                    <w:tab w:val="left" w:pos="567"/>
                  </w:tabs>
                  <w:ind w:firstLine="720"/>
                  <w:jc w:val="both"/>
                  <w:rPr>
                    <w:b/>
                    <w:color w:val="000000"/>
                    <w:sz w:val="22"/>
                    <w:szCs w:val="22"/>
                    <w:lang w:eastAsia="lt-LT"/>
                  </w:rPr>
                </w:pPr>
                <w:r>
                  <w:rPr>
                    <w:b/>
                    <w:color w:val="000000"/>
                    <w:sz w:val="22"/>
                    <w:szCs w:val="22"/>
                    <w:lang w:eastAsia="lt-LT"/>
                  </w:rPr>
                  <w:t>4) turi darbuotojus arba yra sudaręs sutartis dėl paslaugų, būtinų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6. Leidimas vykdyti vandenilio tiekimo veiklą išduodamas šio įstatymo nustatyta tvarka ir sąlygomis asmeniui, kuris atitinka visus šiuos reikalavimus: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dalimis </w:t>
                </w:r>
                <w:r>
                  <w:rPr>
                    <w:b/>
                    <w:bCs/>
                    <w:color w:val="000000"/>
                    <w:sz w:val="22"/>
                    <w:szCs w:val="22"/>
                    <w:lang w:eastAsia="lt-LT"/>
                  </w:rPr>
                  <w:t>Lietuvos Respublikos teisės aktų nustatyta tvarka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turi darbuotojus ar yra sudaręs sutartis su trečiosiomis šalimis dėl paslaugų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tabs>
                    <w:tab w:val="left" w:pos="567"/>
                  </w:tabs>
                  <w:ind w:firstLine="720"/>
                  <w:jc w:val="both"/>
                  <w:rPr>
                    <w:b/>
                    <w:color w:val="000000"/>
                    <w:sz w:val="22"/>
                    <w:szCs w:val="22"/>
                    <w:lang w:eastAsia="lt-LT"/>
                  </w:rPr>
                </w:pPr>
                <w:r>
                  <w:rPr>
                    <w:b/>
                    <w:color w:val="000000"/>
                    <w:sz w:val="22"/>
                    <w:szCs w:val="22"/>
                    <w:lang w:eastAsia="lt-LT"/>
                  </w:rPr>
                  <w:t>a) užtikrinančias nepertraukiamą ir saugų duomenų mainų vykdymą su vandenilio tinklų operatoriais ir kitais vandenilio rinkos dalyviais;</w:t>
                </w:r>
              </w:p>
              <w:p>
                <w:pPr>
                  <w:tabs>
                    <w:tab w:val="left" w:pos="567"/>
                  </w:tabs>
                  <w:ind w:firstLine="720"/>
                  <w:jc w:val="both"/>
                  <w:rPr>
                    <w:b/>
                    <w:color w:val="000000"/>
                    <w:sz w:val="22"/>
                    <w:szCs w:val="22"/>
                    <w:lang w:eastAsia="lt-LT"/>
                  </w:rPr>
                </w:pPr>
                <w:r>
                  <w:rPr>
                    <w:b/>
                    <w:color w:val="000000"/>
                    <w:sz w:val="22"/>
                    <w:szCs w:val="22"/>
                    <w:lang w:eastAsia="lt-LT"/>
                  </w:rPr>
                  <w:t>b) leidžiančias vykdyti vandenilio vartojimo duomenų apdorojimą, saugojimą ir perdavimą, taip pat atlikti tiekėjo keitimo, balansavimo, atsiskaitymų už suteiktas paslaugas procesus;</w:t>
                </w:r>
              </w:p>
              <w:p>
                <w:pPr>
                  <w:tabs>
                    <w:tab w:val="left" w:pos="567"/>
                  </w:tabs>
                  <w:ind w:firstLine="720"/>
                  <w:jc w:val="both"/>
                  <w:rPr>
                    <w:b/>
                    <w:color w:val="000000"/>
                    <w:sz w:val="22"/>
                    <w:szCs w:val="22"/>
                    <w:lang w:eastAsia="lt-LT"/>
                  </w:rPr>
                </w:pPr>
                <w:r>
                  <w:rPr>
                    <w:b/>
                    <w:color w:val="000000"/>
                    <w:sz w:val="22"/>
                    <w:szCs w:val="22"/>
                    <w:lang w:eastAsia="lt-LT"/>
                  </w:rPr>
                  <w:t>c) užtikrinančias tiekimo veiklos vykdymą techninių sutrikimų, kibernetinių incidentų ar kitų veiklos nepertraukiamumui kylančių grėsmių atveju;</w:t>
                </w:r>
              </w:p>
              <w:p>
                <w:pPr>
                  <w:tabs>
                    <w:tab w:val="left" w:pos="567"/>
                  </w:tabs>
                  <w:ind w:firstLine="720"/>
                  <w:jc w:val="both"/>
                  <w:rPr>
                    <w:b/>
                    <w:color w:val="000000"/>
                    <w:sz w:val="22"/>
                    <w:szCs w:val="22"/>
                    <w:lang w:eastAsia="lt-LT"/>
                  </w:rPr>
                </w:pPr>
                <w:r>
                  <w:rPr>
                    <w:b/>
                    <w:color w:val="000000"/>
                    <w:sz w:val="22"/>
                    <w:szCs w:val="22"/>
                    <w:lang w:eastAsia="lt-LT"/>
                  </w:rPr>
                  <w:t>d) atitinkančias teisės aktų reikalavimus dėl informacijos saugumo, duomenų apsaugos ir kibernetinio saugumo.</w:t>
                </w:r>
              </w:p>
              <w:p>
                <w:pPr>
                  <w:tabs>
                    <w:tab w:val="left" w:pos="567"/>
                  </w:tabs>
                  <w:ind w:firstLine="720"/>
                  <w:jc w:val="both"/>
                  <w:rPr>
                    <w:b/>
                    <w:color w:val="000000"/>
                    <w:sz w:val="22"/>
                    <w:szCs w:val="22"/>
                    <w:lang w:eastAsia="lt-LT"/>
                  </w:rPr>
                </w:pPr>
                <w:r>
                  <w:rPr>
                    <w:b/>
                    <w:bCs/>
                    <w:color w:val="000000"/>
                    <w:sz w:val="22"/>
                    <w:szCs w:val="22"/>
                    <w:lang w:eastAsia="lt-LT"/>
                  </w:rPr>
                  <w:t xml:space="preserve">5) pareiškėjas atitinka nacionalinio saugumo interesus. Patikra dėl atitikties nacionalinio saugumo interesams atliekama vadovaujantis </w:t>
                </w:r>
                <w:r>
                  <w:rPr>
                    <w:b/>
                    <w:color w:val="000000"/>
                    <w:sz w:val="22"/>
                    <w:szCs w:val="22"/>
                    <w:lang w:eastAsia="lt-LT"/>
                  </w:rPr>
                  <w:t>Nacionaliniam</w:t>
                </w:r>
                <w:r>
                  <w:rPr>
                    <w:b/>
                    <w:bCs/>
                    <w:color w:val="000000"/>
                    <w:sz w:val="22"/>
                    <w:szCs w:val="22"/>
                    <w:lang w:eastAsia="lt-LT"/>
                  </w:rPr>
                  <w:t xml:space="preserve">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7. Asmenys, kurie vykdo šio straipsnio 1 dalyje nurodytą veiklą,</w:t>
                </w:r>
                <w:r>
                  <w:rPr>
                    <w:rFonts w:eastAsia="Calibri"/>
                    <w:b/>
                    <w:color w:val="000000"/>
                    <w:sz w:val="22"/>
                    <w:szCs w:val="22"/>
                    <w:lang w:eastAsia="lt-LT"/>
                  </w:rPr>
                  <w:t xml:space="preserve"> </w:t>
                </w:r>
                <w:r>
                  <w:rPr>
                    <w:b/>
                    <w:color w:val="000000"/>
                    <w:sz w:val="22"/>
                    <w:szCs w:val="22"/>
                    <w:lang w:eastAsia="lt-LT"/>
                  </w:rPr>
                  <w:t>neturi teisės įgalioti kitų asmenų vykdyti leidime nurodytą veiklą ir privalo laikytis šių bendrųjų veiklos sąlygų:</w:t>
                </w:r>
              </w:p>
              <w:p>
                <w:pPr>
                  <w:tabs>
                    <w:tab w:val="left" w:pos="567"/>
                  </w:tabs>
                  <w:ind w:firstLine="720"/>
                  <w:jc w:val="both"/>
                  <w:rPr>
                    <w:b/>
                    <w:color w:val="000000"/>
                    <w:sz w:val="22"/>
                    <w:szCs w:val="22"/>
                    <w:lang w:eastAsia="lt-LT"/>
                  </w:rPr>
                </w:pPr>
                <w:r>
                  <w:rPr>
                    <w:b/>
                    <w:color w:val="000000"/>
                    <w:sz w:val="22"/>
                    <w:szCs w:val="22"/>
                    <w:lang w:eastAsia="lt-LT"/>
                  </w:rPr>
                  <w:t>1) efektyviai ir ekonomiškai vykdyti leidimais reguliuojamą veiklą, užtikrinti vandenilio tiekimo patikimumą, kokybę, vartotojų apsaugą ir aplinkosaugos reikalavimus, nediskriminuoti vartotojų, kitų vandenilio įmonių ir vandenilio sistemų naudotojų, laikytis sąžiningos konkurencijos, veiklos viešumo ir informavimo principų;</w:t>
                </w:r>
              </w:p>
              <w:p>
                <w:pPr>
                  <w:tabs>
                    <w:tab w:val="left" w:pos="567"/>
                  </w:tabs>
                  <w:ind w:firstLine="720"/>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Leidimų išdavimo taisyklėse nustatyta tvarka teikti Tarybai ir Energetikos ministerijai informaciją, reikalingą įstatymų ir kitų teisės aktų nustatytoms pareigoms vykdyti;</w:t>
                </w:r>
              </w:p>
              <w:p>
                <w:pPr>
                  <w:tabs>
                    <w:tab w:val="left" w:pos="567"/>
                  </w:tabs>
                  <w:ind w:firstLine="720"/>
                  <w:jc w:val="both"/>
                  <w:rPr>
                    <w:rFonts w:eastAsia="Calibri"/>
                    <w:b/>
                    <w:bCs/>
                    <w:color w:val="000000"/>
                    <w:sz w:val="22"/>
                    <w:szCs w:val="22"/>
                    <w:lang w:eastAsia="lt-LT"/>
                  </w:rPr>
                </w:pPr>
                <w:r>
                  <w:rPr>
                    <w:b/>
                    <w:bCs/>
                    <w:color w:val="000000"/>
                    <w:sz w:val="22"/>
                    <w:szCs w:val="22"/>
                    <w:lang w:eastAsia="lt-LT"/>
                  </w:rPr>
                  <w:t>3) užtikrinti, kad būtų laikomasi kitų šiame ir kituose įstatymuose nustatytų pareigų, leidimais reguliuojamos veiklos sąlygų ir reikalavimų</w:t>
                </w:r>
                <w:r>
                  <w:rPr>
                    <w:b/>
                    <w:color w:val="000000"/>
                    <w:sz w:val="22"/>
                    <w:szCs w:val="22"/>
                    <w:lang w:eastAsia="lt-LT"/>
                  </w:rPr>
                  <w:t>;</w:t>
                </w:r>
              </w:p>
              <w:p>
                <w:pPr>
                  <w:tabs>
                    <w:tab w:val="left" w:pos="567"/>
                  </w:tabs>
                  <w:ind w:firstLine="720"/>
                  <w:jc w:val="both"/>
                  <w:rPr>
                    <w:b/>
                    <w:bCs/>
                    <w:color w:val="000000"/>
                    <w:sz w:val="22"/>
                    <w:szCs w:val="22"/>
                    <w:lang w:eastAsia="lt-LT"/>
                  </w:rPr>
                </w:pPr>
                <w:r>
                  <w:rPr>
                    <w:b/>
                    <w:bCs/>
                    <w:color w:val="000000"/>
                    <w:sz w:val="22"/>
                    <w:szCs w:val="22"/>
                    <w:lang w:eastAsia="lt-LT"/>
                  </w:rPr>
                  <w:t>4) laikytis Europos Sąjungos teisės ir nacionalinės teisės reikalavimų ir principų bei šiame įstatyme nustatytų įpareigojimų.</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8. Taryba panaikina išduotą leidimą asmeniui, jei paaiškėja, kad licencijuojamos veiklos metu toks asmuo tapo neatitinkančiu šio straipsnio 5 ir 6 dalyse nustatyto reikalavimo dėl atitikimo nacionalinio saugumo interesams</w:t>
                </w:r>
                <w:r>
                  <w:rPr>
                    <w:b/>
                    <w:bCs/>
                    <w:color w:val="000000"/>
                    <w:sz w:val="22"/>
                    <w:szCs w:val="22"/>
                    <w:lang w:eastAsia="lt-LT"/>
                  </w:rPr>
                  <w:t xml:space="preserve"> </w:t>
                </w:r>
              </w:p>
              <w:p>
                <w:pPr>
                  <w:jc w:val="both"/>
                  <w:rPr>
                    <w:b/>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ind w:firstLine="567"/>
                  <w:jc w:val="both"/>
                  <w:rPr>
                    <w:b/>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tiekėjų atveju valstybės narės gali įvertinti pareiškėjų finansinį pajėgumą ir techninius pajėgumus kaip kriterijus leidimui gauti. Tokie kriterijai turi būti visiškai skaidrūs ir nediskriminaciniai.</w:t>
                </w:r>
              </w:p>
            </w:tc>
            <w:tc>
              <w:tcPr>
                <w:tcW w:w="9407" w:type="dxa"/>
                <w:gridSpan w:val="3"/>
              </w:tcPr>
              <w:p>
                <w:pPr>
                  <w:shd w:val="clear" w:color="auto" w:fill="FFFFFF"/>
                  <w:ind w:firstLine="630"/>
                  <w:jc w:val="both"/>
                  <w:rPr>
                    <w:b/>
                    <w:bCs/>
                    <w:color w:val="000000"/>
                    <w:sz w:val="22"/>
                    <w:szCs w:val="22"/>
                    <w:lang w:eastAsia="lt-LT"/>
                  </w:rPr>
                </w:pPr>
                <w:r>
                  <w:rPr>
                    <w:b/>
                    <w:bCs/>
                    <w:color w:val="000000"/>
                    <w:sz w:val="22"/>
                    <w:szCs w:val="22"/>
                    <w:lang w:eastAsia="lt-LT"/>
                  </w:rPr>
                  <w:t>Gamtinių dujų įstatymas</w:t>
                </w:r>
              </w:p>
              <w:p>
                <w:pPr>
                  <w:shd w:val="clear" w:color="auto" w:fill="FFFFFF"/>
                  <w:ind w:firstLine="687"/>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ind w:firstLine="630"/>
                  <w:jc w:val="both"/>
                  <w:rPr>
                    <w:b/>
                    <w:bCs/>
                    <w:color w:val="000000"/>
                    <w:sz w:val="22"/>
                    <w:szCs w:val="22"/>
                    <w:lang w:eastAsia="lt-LT"/>
                  </w:rPr>
                </w:pPr>
                <w:r>
                  <w:rPr>
                    <w:color w:val="000000"/>
                    <w:sz w:val="22"/>
                    <w:szCs w:val="22"/>
                    <w:lang w:eastAsia="lt-LT"/>
                  </w:rPr>
                  <w:t>7. </w:t>
                </w:r>
                <w:r>
                  <w:rPr>
                    <w:b/>
                    <w:bCs/>
                    <w:color w:val="000000"/>
                    <w:sz w:val="22"/>
                    <w:szCs w:val="22"/>
                    <w:lang w:eastAsia="lt-LT"/>
                  </w:rPr>
                  <w:t>Gamtinių dujų įmonė</w:t>
                </w:r>
                <w:r>
                  <w:rPr>
                    <w:color w:val="000000"/>
                    <w:sz w:val="22"/>
                    <w:szCs w:val="22"/>
                    <w:lang w:eastAsia="lt-LT"/>
                  </w:rPr>
                  <w:t xml:space="preserve"> – asmuo, kuris verčiasi bent viena iš šių rūšių veikla: gamtinių dujų gavyba, perdavimu, skirstymu, skystinimu, </w:t>
                </w:r>
                <w:r>
                  <w:rPr>
                    <w:b/>
                    <w:bCs/>
                    <w:color w:val="000000"/>
                    <w:sz w:val="22"/>
                    <w:szCs w:val="22"/>
                    <w:lang w:eastAsia="lt-LT"/>
                  </w:rPr>
                  <w:t>tiekimu,</w:t>
                </w:r>
                <w:r>
                  <w:rPr>
                    <w:color w:val="000000"/>
                    <w:sz w:val="22"/>
                    <w:szCs w:val="22"/>
                    <w:lang w:eastAsia="lt-LT"/>
                  </w:rPr>
                  <w:t xml:space="preserve"> laikymu, SGD pakartotiniu dujinimu ir SGD perkrova, ir yra atsakingas už susijusius su šių rūšių veikla komercinius, techninius ir (arba) eksploatavimo įpareigojimus.</w:t>
                </w:r>
              </w:p>
              <w:p>
                <w:pPr>
                  <w:shd w:val="clear" w:color="auto" w:fill="FFFFFF"/>
                  <w:ind w:firstLine="630"/>
                  <w:jc w:val="both"/>
                  <w:rPr>
                    <w:b/>
                    <w:bCs/>
                    <w:color w:val="000000"/>
                    <w:sz w:val="22"/>
                    <w:szCs w:val="22"/>
                    <w:lang w:eastAsia="lt-LT"/>
                  </w:rPr>
                </w:pPr>
              </w:p>
              <w:p>
                <w:pPr>
                  <w:shd w:val="clear" w:color="auto" w:fill="FFFFFF"/>
                  <w:ind w:firstLine="630"/>
                  <w:jc w:val="both"/>
                  <w:rPr>
                    <w:b/>
                    <w:bCs/>
                    <w:color w:val="000000"/>
                    <w:sz w:val="22"/>
                    <w:szCs w:val="22"/>
                    <w:lang w:eastAsia="lt-LT"/>
                  </w:rPr>
                </w:pPr>
                <w:r>
                  <w:rPr>
                    <w:b/>
                    <w:bCs/>
                    <w:color w:val="000000"/>
                    <w:sz w:val="22"/>
                    <w:szCs w:val="22"/>
                    <w:lang w:eastAsia="lt-LT"/>
                  </w:rPr>
                  <w:t>7 straipsnis. Tarybos funkcijos ir pareigos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ind w:firstLine="540"/>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ind w:firstLine="450"/>
                  <w:jc w:val="both"/>
                  <w:rPr>
                    <w:color w:val="000000"/>
                    <w:sz w:val="22"/>
                    <w:szCs w:val="22"/>
                    <w:lang w:eastAsia="lt-LT"/>
                  </w:rPr>
                </w:pPr>
                <w:r>
                  <w:rPr>
                    <w:color w:val="000000"/>
                    <w:sz w:val="22"/>
                    <w:szCs w:val="22"/>
                    <w:lang w:eastAsia="lt-LT"/>
                  </w:rPr>
                  <w:t xml:space="preserve">8) nustatyti </w:t>
                </w:r>
                <w:r>
                  <w:rPr>
                    <w:b/>
                    <w:bCs/>
                    <w:color w:val="000000"/>
                    <w:sz w:val="22"/>
                    <w:szCs w:val="22"/>
                    <w:lang w:eastAsia="lt-LT"/>
                  </w:rPr>
                  <w:t>gamtinių dujų įmonių</w:t>
                </w:r>
                <w:r>
                  <w:rPr>
                    <w:color w:val="000000"/>
                    <w:sz w:val="22"/>
                    <w:szCs w:val="22"/>
                    <w:lang w:eastAsia="lt-LT"/>
                  </w:rPr>
                  <w:t xml:space="preserve"> technologinio, finansinio ir vadybinio pajėgumo rodiklius ir jų įvertinimo tvarką;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ind w:firstLine="720"/>
                  <w:jc w:val="both"/>
                  <w:rPr>
                    <w:color w:val="000000"/>
                    <w:sz w:val="22"/>
                    <w:szCs w:val="22"/>
                    <w:lang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6. Tiekimo leidimai išduodami asmenims, kuriems nėra pradėta bankroto, reorganizavimo ir (ar) likvidavimo procedūra.</w:t>
                </w:r>
              </w:p>
              <w:p>
                <w:pPr>
                  <w:ind w:firstLine="720"/>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p>
              <w:p>
                <w:pPr>
                  <w:ind w:firstLine="720"/>
                  <w:jc w:val="both"/>
                  <w:rPr>
                    <w:i/>
                    <w:color w:val="000000"/>
                    <w:sz w:val="22"/>
                    <w:szCs w:val="22"/>
                    <w:lang w:val="lt" w:eastAsia="lt-LT"/>
                  </w:rPr>
                </w:pPr>
                <w:r>
                  <w:rPr>
                    <w:i/>
                    <w:color w:val="000000"/>
                    <w:sz w:val="22"/>
                    <w:szCs w:val="22"/>
                    <w:lang w:val="lt" w:eastAsia="lt-LT"/>
                  </w:rPr>
                  <w:t xml:space="preserve">Pastaba. </w:t>
                </w:r>
                <w:r>
                  <w:rPr>
                    <w:i/>
                    <w:iCs/>
                    <w:color w:val="000000"/>
                    <w:sz w:val="22"/>
                    <w:szCs w:val="22"/>
                    <w:lang w:val="lt" w:eastAsia="lt-LT"/>
                  </w:rPr>
                  <w:t xml:space="preserve">Lietuvoje </w:t>
                </w:r>
                <w:r>
                  <w:rPr>
                    <w:i/>
                    <w:color w:val="000000"/>
                    <w:sz w:val="22"/>
                    <w:szCs w:val="22"/>
                    <w:lang w:val="lt" w:eastAsia="lt-LT"/>
                  </w:rPr>
                  <w:t xml:space="preserve">gamtinių dujų  tiekimo veiklai išduodant leidimą, finansinis ir techninis pajėgumas nėra vertinamas.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76"/>
                  </w:tabs>
                  <w:jc w:val="both"/>
                  <w:rPr>
                    <w:color w:val="000000"/>
                    <w:sz w:val="22"/>
                    <w:szCs w:val="22"/>
                    <w:lang w:eastAsia="lt-LT"/>
                  </w:rPr>
                </w:pPr>
                <w:r>
                  <w:rPr>
                    <w:color w:val="000000"/>
                    <w:sz w:val="22"/>
                    <w:szCs w:val="22"/>
                    <w:lang w:eastAsia="lt-LT"/>
                  </w:rPr>
                  <w:t>4. Valstybės narės užtikrina, kad visos nacionalinės taisyklės, susijusios su šiame straipsnyje nurodyta leidimų išdavimo procedūra, būtų proporcingos, būtinos ir padėtų įgyvendinti bendrąsias gamtinių dujų ir vandenilio rinkų organizavimo ir prieigos prie infrastruktūros taisykles, laikytis principo „svarbiausia – energijos vartojimo efektyvumas“, siekti Sąjungos klimato ir energetikos tikslų ir įgyvendinti valstybių narių integruotus nacionalinius energetikos ir klimato srities veiksmų planus,</w:t>
                </w:r>
                <w:r>
                  <w:rPr>
                    <w:b/>
                    <w:bCs/>
                    <w:color w:val="000000"/>
                    <w:sz w:val="22"/>
                    <w:szCs w:val="22"/>
                    <w:lang w:eastAsia="lt-LT"/>
                  </w:rPr>
                  <w:t xml:space="preserve"> </w:t>
                </w:r>
                <w:r>
                  <w:rPr>
                    <w:color w:val="000000"/>
                    <w:sz w:val="22"/>
                    <w:szCs w:val="22"/>
                    <w:lang w:eastAsia="lt-LT"/>
                  </w:rPr>
                  <w:t xml:space="preserve">taip pat jų ilgalaikes strategijas, priimtas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w:t>
                </w:r>
              </w:p>
            </w:tc>
            <w:tc>
              <w:tcPr>
                <w:tcW w:w="9407" w:type="dxa"/>
                <w:gridSpan w:val="3"/>
                <w:vAlign w:val="center"/>
              </w:tcPr>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firstLine="720"/>
                  <w:jc w:val="both"/>
                  <w:rPr>
                    <w:color w:val="000000"/>
                    <w:sz w:val="22"/>
                    <w:szCs w:val="22"/>
                    <w:lang w:val="lt" w:eastAsia="lt-LT"/>
                  </w:rPr>
                </w:pPr>
                <w:r>
                  <w:rPr>
                    <w:color w:val="000000"/>
                    <w:sz w:val="22"/>
                    <w:szCs w:val="22"/>
                    <w:lang w:val="lt"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firstLine="720"/>
                  <w:jc w:val="both"/>
                  <w:rPr>
                    <w:b/>
                    <w:bCs/>
                    <w:color w:val="000000"/>
                    <w:sz w:val="22"/>
                    <w:szCs w:val="22"/>
                    <w:lang w:eastAsia="lt-LT"/>
                  </w:rPr>
                </w:pPr>
                <w:r>
                  <w:rPr>
                    <w:color w:val="000000"/>
                    <w:sz w:val="22"/>
                    <w:szCs w:val="22"/>
                    <w:lang w:val="lt" w:eastAsia="lt-LT"/>
                  </w:rPr>
                  <w:t>&lt;...&gt;</w:t>
                </w:r>
              </w:p>
              <w:p>
                <w:pPr>
                  <w:ind w:right="57" w:firstLine="720"/>
                  <w:jc w:val="both"/>
                  <w:rPr>
                    <w:b/>
                    <w:color w:val="000000"/>
                    <w:sz w:val="22"/>
                    <w:szCs w:val="22"/>
                    <w:lang w:eastAsia="lt-LT"/>
                  </w:rPr>
                </w:pPr>
                <w:r>
                  <w:rPr>
                    <w:b/>
                    <w:color w:val="000000"/>
                    <w:sz w:val="22"/>
                    <w:szCs w:val="22"/>
                    <w:lang w:eastAsia="lt-LT"/>
                  </w:rPr>
                  <w:t>16) atliekant šiame įstatyme numatytą planavimą ir priimant šiame įstatyme numatytus su politika ir investicijomis susijusius sprendimus, pirmenybė teikiama alternatyvioms ekonomiškai efektyvioms energijos vartojimo efektyvumo priemonėms, kuriomis užtikrinamas didesnis energijos poreikio ir energijos tiekimo efektyvumas, visų pirma galutinių vartotojų suvartojamo energijos kiekio mažinimo ekonomiškai efektyviu būdu priemonėms, apkrovos atsako iniciatyvoms ir efektyvesnei energijos konversijai, perdavimui ir paskirstymui, sykiu užtikrinant, kad būtų pasiekti tų sprendimų tikslai. Taip pat siekiama įgyvendinti Nacionalinį energetikos ir klimato srities veiksmų planą.</w:t>
                </w:r>
              </w:p>
              <w:p>
                <w:pPr>
                  <w:ind w:right="57"/>
                  <w:jc w:val="both"/>
                  <w:rPr>
                    <w:b/>
                    <w:bCs/>
                    <w:color w:val="000000"/>
                    <w:sz w:val="22"/>
                    <w:szCs w:val="22"/>
                    <w:lang w:eastAsia="lt-LT"/>
                  </w:rPr>
                </w:pPr>
              </w:p>
              <w:p>
                <w:pPr>
                  <w:ind w:right="57"/>
                  <w:jc w:val="both"/>
                  <w:rPr>
                    <w:i/>
                    <w:color w:val="000000"/>
                    <w:sz w:val="22"/>
                    <w:szCs w:val="22"/>
                    <w:lang w:eastAsia="lt-LT"/>
                  </w:rPr>
                </w:pPr>
                <w:r>
                  <w:rPr>
                    <w:i/>
                    <w:iCs/>
                    <w:color w:val="000000"/>
                    <w:sz w:val="22"/>
                    <w:szCs w:val="22"/>
                    <w:lang w:eastAsia="lt-LT"/>
                  </w:rPr>
                  <w:t xml:space="preserve">Pastaba. Energetikos ministerijos vertinimu, praktiniame lygmenyje į principą „Svarbiausia – energijos vartojimo efektyvumas“ ir į Nacionalinį energetikos ir klimato srities veiksmų planą yra įmanoma atsižvelgti visų pirma (o galbūt ir išskirtinai) priimant su investicijomis susijusius sprendimus, bet ne leidimus ir licencijas plačiąja prasme. Būtent taip (šiame kontekste) šis principas yra apibrėžtas Reglamento </w:t>
                </w:r>
                <w:fldSimple w:instr="HYPERLINK http://eur-lex.europa.eu/legal-content/LIT/TXT/?uri=CELEX:32018R1999&amp;locale=lt \t _blank">
                  <w:r>
                    <w:rPr>
                      <w:i/>
                      <w:color w:val="0000FF" w:themeColor="hyperlink"/>
                      <w:sz w:val="22"/>
                      <w:szCs w:val="22"/>
                      <w:lang w:eastAsia="lt-LT"/>
                      <w:u w:val="single"/>
                    </w:rPr>
                    <w:t>(ES) 2018/1999</w:t>
                  </w:r>
                </w:fldSimple>
                <w:r>
                  <w:rPr>
                    <w:i/>
                    <w:color w:val="000000"/>
                    <w:sz w:val="22"/>
                    <w:szCs w:val="22"/>
                    <w:lang w:eastAsia="lt-LT"/>
                  </w:rPr>
                  <w:t xml:space="preserve"> 2 straipsnio </w:t>
                </w:r>
                <w:r>
                  <w:rPr>
                    <w:i/>
                    <w:iCs/>
                    <w:color w:val="000000"/>
                    <w:sz w:val="22"/>
                    <w:szCs w:val="22"/>
                    <w:lang w:eastAsia="lt-LT"/>
                  </w:rPr>
                  <w:t>18 punkte. Todėl Vandenilio įstatymo projekte šis reikalavimas yra naudojamas būtent investicijų kontekste.</w:t>
                </w:r>
              </w:p>
              <w:p>
                <w:pPr>
                  <w:ind w:right="57" w:firstLine="720"/>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Siekiant užtikrinti gamtinių dujų sistemos darbo saugumą, vartotojų aprūpinimo gamtinėmis dujomis patikimumą ir viešųjų interesų gamtinių dujų sektoriuje apsaugą, licencijuojamą ir (ar) leidimais reguliuojamą veiklą vykdančio asmens veiklos patikrinimai gali būti atliekami ir įstatymų nustatytos poveikio priemonės už licencijuojamos ir (ar) leidimais reguliuojamos veiklos sąlygų pažeidimus gali būti taikomos jau pirmaisiais atitinkamos veiklos gamtinių dujų sektoriuje vykdymo metais. Taryba ir (ar) kitos valstybės ar savivaldybių institucijos pagal kompetenciją užtikrina nuolatinę licencijuojamos ir (ar) leidimais reguliuojamos veiklos gamtinių dujų sektoriuje priežiūrą ir kontrolę, vadovaudamosi teisingumo, protingumo, sąžiningumo ir rinkos dalyvių nediskriminavimo principais.</w:t>
                </w:r>
              </w:p>
              <w:p>
                <w:pPr>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įstatymo pakeitimo įstatymas Nr. XV-24</w:t>
                </w:r>
              </w:p>
              <w:p>
                <w:pPr>
                  <w:jc w:val="both"/>
                  <w:rPr>
                    <w:b/>
                    <w:bCs/>
                    <w:color w:val="000000"/>
                    <w:sz w:val="22"/>
                    <w:szCs w:val="22"/>
                    <w:lang w:val="lt" w:eastAsia="lt-LT"/>
                  </w:rPr>
                </w:pPr>
                <w:r>
                  <w:rPr>
                    <w:b/>
                    <w:bCs/>
                    <w:color w:val="000000"/>
                    <w:sz w:val="22"/>
                    <w:szCs w:val="22"/>
                    <w:lang w:val="lt" w:eastAsia="lt-LT"/>
                  </w:rPr>
                  <w:t>2 straipsnis. 7 straipsnio pakeitimas</w:t>
                </w:r>
              </w:p>
              <w:p>
                <w:pPr>
                  <w:jc w:val="both"/>
                  <w:rPr>
                    <w:color w:val="000000"/>
                    <w:sz w:val="22"/>
                    <w:szCs w:val="22"/>
                    <w:lang w:val="lt" w:eastAsia="lt-LT"/>
                  </w:rPr>
                </w:pPr>
                <w:r>
                  <w:rPr>
                    <w:color w:val="000000"/>
                    <w:sz w:val="22"/>
                    <w:szCs w:val="22"/>
                    <w:lang w:val="lt" w:eastAsia="lt-LT"/>
                  </w:rPr>
                  <w:t>Pakeisti 7 straipsnio 2 dalies 1 punktą ir jį išdėstyti taip:</w:t>
                </w:r>
              </w:p>
              <w:p>
                <w:pPr>
                  <w:ind w:firstLine="720"/>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9 straipsnio pakeitimas</w:t>
                </w:r>
              </w:p>
              <w:p>
                <w:pPr>
                  <w:ind w:firstLine="720"/>
                  <w:jc w:val="both"/>
                  <w:rPr>
                    <w:color w:val="000000"/>
                    <w:sz w:val="22"/>
                    <w:szCs w:val="22"/>
                    <w:lang w:val="lt" w:eastAsia="lt-LT"/>
                  </w:rPr>
                </w:pPr>
                <w:r>
                  <w:rPr>
                    <w:color w:val="000000"/>
                    <w:sz w:val="22"/>
                    <w:szCs w:val="22"/>
                    <w:lang w:val="lt" w:eastAsia="lt-LT"/>
                  </w:rPr>
                  <w:t>Pakeisti 9 straipsnio 4 dalies 4 punktą ir jį išdėstyti taip:</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5.</w:t>
                </w:r>
                <w:r>
                  <w:rPr>
                    <w:b/>
                    <w:bCs/>
                    <w:color w:val="000000"/>
                    <w:sz w:val="22"/>
                    <w:szCs w:val="22"/>
                    <w:lang w:eastAsia="lt-LT"/>
                  </w:rPr>
                  <w:t xml:space="preserve"> Leidimų vykdyti 1 dalyje nurodytą veiklą išdavimo procedūrų, įskaitant visas aktualias kompetentingų institucijų procedūras, trukmė neviršija dvejų metų.</w:t>
                </w:r>
                <w:r>
                  <w:rPr>
                    <w:color w:val="000000"/>
                    <w:sz w:val="22"/>
                    <w:szCs w:val="22"/>
                    <w:lang w:eastAsia="lt-LT"/>
                  </w:rPr>
                  <w:t xml:space="preserve"> Kai tinkamai pagrįsta dėl išskirtinių aplinkybių, tas dvejų metų laikotarpis gali būti pratęstas ne daugiau kaip vienais metais.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eastAsia="lt-LT"/>
                  </w:rPr>
                </w:pPr>
                <w:r>
                  <w:rPr>
                    <w:b/>
                    <w:color w:val="000000"/>
                    <w:sz w:val="22"/>
                    <w:szCs w:val="22"/>
                    <w:lang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tabs>
                    <w:tab w:val="left" w:pos="993"/>
                  </w:tabs>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firstLine="567"/>
                  <w:jc w:val="both"/>
                  <w:rPr>
                    <w:b/>
                    <w:sz w:val="22"/>
                    <w:szCs w:val="22"/>
                    <w:lang w:eastAsia="lt-LT"/>
                  </w:rPr>
                </w:pPr>
              </w:p>
              <w:p>
                <w:pPr>
                  <w:shd w:val="clear" w:color="auto" w:fill="FFFFFF"/>
                  <w:jc w:val="both"/>
                  <w:rPr>
                    <w:b/>
                    <w:bCs/>
                    <w:strike/>
                    <w:color w:val="751D2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85"/>
                  </w:tabs>
                  <w:jc w:val="both"/>
                  <w:rPr>
                    <w:color w:val="000000"/>
                    <w:sz w:val="22"/>
                    <w:szCs w:val="22"/>
                    <w:lang w:eastAsia="lt-LT"/>
                  </w:rPr>
                </w:pPr>
                <w:r>
                  <w:rPr>
                    <w:color w:val="000000"/>
                    <w:sz w:val="22"/>
                    <w:szCs w:val="22"/>
                    <w:lang w:eastAsia="lt-LT"/>
                  </w:rPr>
                  <w:t xml:space="preserve">6. Valstybės narės įvertina, kokių nacionalinių teisėkūros ir su teisėkūra nesusijusių priemonių reikia, kad būtų supaprastintos leidimų išdavimo procedūros, be kita ko, nesudarant kliūčių visiems procedūrų etapams, susijusiems su poveikio aplinkai vertinimo procedūromis ir viešomis konsultacijomis. Valstybės narės praneša Komisijai tokio vertinimo rezultatus savo integruotuose nacionaliniuose energetikos ir klimato srities veiksmų planuose, nurodytuose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straipsnyje ir teikiamuose laikantis to reglamento 7–12 straipsniuose nustatytos tvarkos, taip pat savo integruotose nacionalinėse energetikos ir klimato srities pažangos ataskaitose, teikiamose pagal to reglamento 17 straipsnį.</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w:t>
                </w:r>
                <w:r>
                  <w:rPr>
                    <w:i/>
                    <w:iCs/>
                    <w:color w:val="000000"/>
                    <w:sz w:val="22"/>
                    <w:szCs w:val="22"/>
                    <w:lang w:eastAsia="lt-LT"/>
                  </w:rPr>
                  <w:t xml:space="preserve">Ši nuostata nereikalauja perkėlimo į Vandenilio įstatymo projektą. </w:t>
                </w:r>
                <w:r>
                  <w:rPr>
                    <w:i/>
                    <w:color w:val="000000"/>
                    <w:sz w:val="22"/>
                    <w:szCs w:val="22"/>
                    <w:lang w:eastAsia="lt-LT"/>
                  </w:rPr>
                  <w:t>Atnaujintame Nacionaliniame energetikos ir klimato srities veiksmų plane bus įvertinta</w:t>
                </w:r>
                <w:r>
                  <w:rPr>
                    <w:i/>
                    <w:iCs/>
                    <w:color w:val="000000"/>
                    <w:sz w:val="22"/>
                    <w:szCs w:val="22"/>
                    <w:lang w:eastAsia="lt-LT"/>
                  </w:rPr>
                  <w:t>,</w:t>
                </w:r>
                <w:r>
                  <w:rPr>
                    <w:i/>
                    <w:color w:val="000000"/>
                    <w:sz w:val="22"/>
                    <w:szCs w:val="22"/>
                    <w:lang w:eastAsia="lt-LT"/>
                  </w:rPr>
                  <w:t xml:space="preserve"> kokių nacionalinių teisėkūros ir su teisėkūra nesusijusių priemonių reikia, kad būtų supaprastintos leidimų išdavimo procedūros.</w:t>
                </w: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Šio straipsnio 5 dalyje nustatyti terminai taikomi nedarant poveikio pareigoms pagal taikytinus Sąjungos aplinkos apsaugos ir energetikos teisės aktus, įskaitant Direktyvą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apeliavimui teismine tvarka, teisių gynimo priemonėms ir kitoms teismo procedūroms, taip pat alternatyviems ginčų sprendimo mechanizmams, įskaitant skundų nagrinėjimo procedūras, neteisminiams apeliaciniams skundams ir teisių gynimo priemonėms, ir gali būti pratęsiami tiek, kiek trunka tokios procedūros.</w:t>
                </w:r>
              </w:p>
            </w:tc>
            <w:tc>
              <w:tcPr>
                <w:tcW w:w="9407" w:type="dxa"/>
                <w:gridSpan w:val="3"/>
                <w:vAlign w:val="center"/>
              </w:tcPr>
              <w:p>
                <w:pPr>
                  <w:tabs>
                    <w:tab w:val="left" w:pos="720"/>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shd w:val="clear" w:color="auto" w:fill="FFFFFF"/>
                  <w:jc w:val="both"/>
                  <w:rPr>
                    <w:b/>
                    <w:bCs/>
                    <w:strike/>
                    <w:color w:val="751D20"/>
                    <w:sz w:val="22"/>
                    <w:szCs w:val="22"/>
                    <w:lang w:eastAsia="lt-LT"/>
                  </w:rPr>
                </w:pPr>
              </w:p>
              <w:p>
                <w:pPr>
                  <w:shd w:val="clear" w:color="auto" w:fill="FFFFFF"/>
                  <w:jc w:val="both"/>
                  <w:rPr>
                    <w:color w:val="000000"/>
                    <w:sz w:val="22"/>
                    <w:szCs w:val="22"/>
                    <w:lang w:eastAsia="lt-LT"/>
                  </w:rPr>
                </w:pPr>
                <w:r>
                  <w:rPr>
                    <w:i/>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įsteigia arba paskiria vieną ar daugiau kontaktinių punktų. Tie kontaktiniai punktai, pareiškėjui paprašius, nemokamai konsultuoja pareiškėją ir sudaro palankesnes sąlygas visam leidimų vykdyti 1 dalyje nurodytą veiklą išdavimo procesui iki tol, kol užbaigusios procedūrą atsakingos institucijos išduoda leidimą. Per visą procesą iš pareiškėjo neturi būti reikalaujama kreiptis į daugiau kaip vieną kontaktinį punktą.</w:t>
                </w:r>
              </w:p>
            </w:tc>
            <w:tc>
              <w:tcPr>
                <w:tcW w:w="9407" w:type="dxa"/>
                <w:gridSpan w:val="3"/>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52 straipsnis. Kontaktiniai punktai</w:t>
                </w:r>
              </w:p>
              <w:p>
                <w:pPr>
                  <w:spacing w:line="276" w:lineRule="auto"/>
                  <w:ind w:left="1134" w:hanging="425"/>
                  <w:jc w:val="both"/>
                  <w:rPr>
                    <w:b/>
                    <w:color w:val="000000"/>
                    <w:sz w:val="22"/>
                    <w:szCs w:val="22"/>
                    <w:lang w:eastAsia="lt-LT"/>
                  </w:rPr>
                </w:pPr>
                <w:r>
                  <w:rPr>
                    <w:b/>
                    <w:color w:val="000000"/>
                    <w:sz w:val="22"/>
                    <w:szCs w:val="22"/>
                    <w:lang w:eastAsia="lt-LT"/>
                  </w:rPr>
                  <w:t>1. Siekiant didinti vartotojų informuotumą, Taryba užtikrina bendro kontaktinio punkto veikimą, kuriame vartotojai gali gauti informaciją apie:</w:t>
                </w:r>
              </w:p>
              <w:p>
                <w:pPr>
                  <w:spacing w:line="276" w:lineRule="auto"/>
                  <w:ind w:left="1134" w:hanging="254"/>
                  <w:jc w:val="both"/>
                  <w:rPr>
                    <w:b/>
                    <w:color w:val="000000"/>
                    <w:sz w:val="22"/>
                    <w:szCs w:val="22"/>
                    <w:lang w:eastAsia="lt-LT"/>
                  </w:rPr>
                </w:pPr>
                <w:r>
                  <w:rPr>
                    <w:b/>
                    <w:color w:val="000000"/>
                    <w:sz w:val="22"/>
                    <w:szCs w:val="22"/>
                    <w:lang w:eastAsia="lt-LT"/>
                  </w:rPr>
                  <w:t>1) vandenilio tiekėjus;</w:t>
                </w:r>
              </w:p>
              <w:p>
                <w:pPr>
                  <w:spacing w:line="276" w:lineRule="auto"/>
                  <w:ind w:left="1134" w:hanging="254"/>
                  <w:jc w:val="both"/>
                  <w:rPr>
                    <w:b/>
                    <w:color w:val="000000"/>
                    <w:sz w:val="22"/>
                    <w:szCs w:val="22"/>
                    <w:lang w:eastAsia="lt-LT"/>
                  </w:rPr>
                </w:pPr>
                <w:r>
                  <w:rPr>
                    <w:b/>
                    <w:color w:val="000000"/>
                    <w:sz w:val="22"/>
                    <w:szCs w:val="22"/>
                    <w:lang w:eastAsia="lt-LT"/>
                  </w:rPr>
                  <w:t>2) sutarties sudarymo, keitimo ir nutraukimo tvarką;</w:t>
                </w:r>
              </w:p>
              <w:p>
                <w:pPr>
                  <w:spacing w:line="276" w:lineRule="auto"/>
                  <w:ind w:left="1134" w:hanging="254"/>
                  <w:jc w:val="both"/>
                  <w:rPr>
                    <w:b/>
                    <w:color w:val="000000"/>
                    <w:sz w:val="22"/>
                    <w:szCs w:val="22"/>
                    <w:lang w:eastAsia="lt-LT"/>
                  </w:rPr>
                </w:pPr>
                <w:r>
                  <w:rPr>
                    <w:b/>
                    <w:color w:val="000000"/>
                    <w:sz w:val="22"/>
                    <w:szCs w:val="22"/>
                    <w:lang w:eastAsia="lt-LT"/>
                  </w:rPr>
                  <w:t>3) ginčų ir skundų sprendimo ir pagalbos priemones.</w:t>
                </w:r>
              </w:p>
              <w:p>
                <w:pPr>
                  <w:spacing w:line="276" w:lineRule="auto"/>
                  <w:ind w:left="1134" w:hanging="425"/>
                  <w:jc w:val="both"/>
                  <w:rPr>
                    <w:b/>
                    <w:color w:val="000000"/>
                    <w:sz w:val="22"/>
                    <w:szCs w:val="22"/>
                    <w:lang w:eastAsia="lt-LT"/>
                  </w:rPr>
                </w:pPr>
                <w:r>
                  <w:rPr>
                    <w:b/>
                    <w:color w:val="000000"/>
                    <w:sz w:val="22"/>
                    <w:szCs w:val="22"/>
                    <w:lang w:eastAsia="lt-LT"/>
                  </w:rPr>
                  <w:t>2. Bendras kontaktinis punktas teikia informaciją elektroninėmis ir kitomis prieinamomis priemonėmis.</w:t>
                </w:r>
              </w:p>
              <w:p>
                <w:pPr>
                  <w:spacing w:line="276" w:lineRule="auto"/>
                  <w:ind w:left="1134" w:hanging="425"/>
                  <w:jc w:val="both"/>
                  <w:rPr>
                    <w:b/>
                    <w:bCs/>
                    <w:color w:val="000000"/>
                    <w:sz w:val="22"/>
                    <w:szCs w:val="22"/>
                    <w:lang w:eastAsia="lt-LT"/>
                  </w:rPr>
                </w:pPr>
                <w:r>
                  <w:rPr>
                    <w:b/>
                    <w:bCs/>
                    <w:color w:val="000000"/>
                    <w:sz w:val="22"/>
                    <w:szCs w:val="22"/>
                    <w:lang w:eastAsia="lt-LT"/>
                  </w:rPr>
                  <w:t>3. Subjektas, nurodytas Energetikos įstatymo 13</w:t>
                </w:r>
                <w:r>
                  <w:rPr>
                    <w:b/>
                    <w:color w:val="000000"/>
                    <w:sz w:val="22"/>
                    <w:szCs w:val="22"/>
                    <w:lang w:eastAsia="lt-LT"/>
                  </w:rPr>
                  <w:t>1</w:t>
                </w:r>
                <w:r>
                  <w:rPr>
                    <w:b/>
                    <w:bCs/>
                    <w:color w:val="000000"/>
                    <w:sz w:val="22"/>
                    <w:szCs w:val="22"/>
                    <w:lang w:eastAsia="lt-LT"/>
                  </w:rPr>
                  <w:t xml:space="preserve"> straipsnyje:</w:t>
                </w:r>
              </w:p>
              <w:p>
                <w:pPr>
                  <w:spacing w:line="276" w:lineRule="auto"/>
                  <w:ind w:left="1134" w:hanging="425"/>
                  <w:jc w:val="both"/>
                  <w:rPr>
                    <w:b/>
                    <w:bCs/>
                    <w:color w:val="000000"/>
                    <w:sz w:val="22"/>
                    <w:szCs w:val="22"/>
                    <w:lang w:eastAsia="lt-LT"/>
                  </w:rPr>
                </w:pPr>
                <w:r>
                  <w:rPr>
                    <w:b/>
                    <w:bCs/>
                    <w:color w:val="000000"/>
                    <w:sz w:val="22"/>
                    <w:szCs w:val="22"/>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tabs>
                    <w:tab w:val="left" w:pos="567"/>
                  </w:tabs>
                  <w:ind w:firstLine="720"/>
                  <w:jc w:val="both"/>
                  <w:rPr>
                    <w:b/>
                    <w:bCs/>
                    <w:color w:val="000000"/>
                    <w:sz w:val="22"/>
                    <w:szCs w:val="22"/>
                    <w:lang w:eastAsia="lt-LT"/>
                  </w:rPr>
                </w:pPr>
                <w:r>
                  <w:rPr>
                    <w:b/>
                    <w:bCs/>
                    <w:color w:val="000000"/>
                    <w:sz w:val="22"/>
                    <w:szCs w:val="22"/>
                    <w:lang w:eastAsia="lt-LT"/>
                  </w:rPr>
                  <w:t>2) nemokamai konsultuoja pareiškėją klausimais, susijusiais su visų leidimų, reikalingų vykdyti šios dalies 1 punkte nurodytą veiklą, išdavimo procesu, kol užbaigusios procedūrą atsakingos institucijos išduoda leidimą.</w:t>
                </w:r>
              </w:p>
              <w:p>
                <w:pPr>
                  <w:tabs>
                    <w:tab w:val="left" w:pos="567"/>
                  </w:tabs>
                  <w:ind w:firstLine="777"/>
                  <w:jc w:val="both"/>
                  <w:rPr>
                    <w:b/>
                    <w:bCs/>
                    <w:sz w:val="22"/>
                    <w:szCs w:val="22"/>
                    <w:lang w:eastAsia="lt-LT"/>
                  </w:rPr>
                </w:pPr>
              </w:p>
              <w:p>
                <w:pPr>
                  <w:shd w:val="clear" w:color="auto" w:fill="FFFFFF"/>
                  <w:jc w:val="both"/>
                  <w:rPr>
                    <w:color w:val="000000"/>
                    <w:sz w:val="22"/>
                    <w:szCs w:val="22"/>
                    <w:lang w:eastAsia="lt-LT"/>
                  </w:rPr>
                </w:pPr>
                <w:r>
                  <w:rPr>
                    <w:i/>
                    <w:iCs/>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bCs/>
                    <w:sz w:val="22"/>
                    <w:szCs w:val="22"/>
                    <w:lang w:eastAsia="lt-LT"/>
                  </w:rPr>
                </w:pPr>
              </w:p>
              <w:p>
                <w:pPr>
                  <w:shd w:val="clear" w:color="auto" w:fill="FFFFFF"/>
                  <w:jc w:val="both"/>
                  <w:rPr>
                    <w:b/>
                    <w:bCs/>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Valstybės narės užtikrina, kad pagal nacionalinę teisę išduodami leidimai įrengti ir eksploatuoti gamtinių dujų sistemos infrastruktūrą taip pat būtų taikomi vandenilio sistemos infrastruktūrai. Tai nedaro poveikio valstybių narių teisei atšaukti tuos leidimus, jei vandenilio infrastruktūra neatitiktų Sąjungos arba nacionalinėje teisėje nustatytų vandenilio sistemos infrastruktūrai taikomų techninės saugos taisyklių.</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Šios nuostatos nėra galimybės perkelti į nacionalinę teisę, kadangi gamtinių dujų sistemos infrastruktūrai ir vandenilio sistemos infrastruktūrai bus taikomi skirtingi saugumo reikalavimai. Taip pat pažymėtina, kad tais atvejais, kai atitinkama infrastruktūra yra pastatyta žemėje, kuri nuosavybės teise priklauso kitiems asmenims, tokios žemės naudojimo teisės būna susietos su konkrečia (o ne bet kokia) infrastruktūros paskirtimi. Nuostata, kad leidimai, išduodami vienos paskirties infrastruktūrai, būtų automatiškai galiojantys ir kitos paskirties infrastruktūrai, ignoruotų šiuos aspektus.</w:t>
                </w:r>
              </w:p>
              <w:p>
                <w:pPr>
                  <w:shd w:val="clear" w:color="auto" w:fill="FFFFFF"/>
                  <w:jc w:val="both"/>
                  <w:rPr>
                    <w:color w:val="000000"/>
                    <w:sz w:val="22"/>
                    <w:szCs w:val="22"/>
                    <w:lang w:eastAsia="lt-LT"/>
                  </w:rPr>
                </w:pPr>
              </w:p>
              <w:p>
                <w:pPr>
                  <w:ind w:firstLine="720"/>
                  <w:jc w:val="both"/>
                  <w:rPr>
                    <w:b/>
                    <w:bCs/>
                    <w:color w:val="000000"/>
                    <w:sz w:val="22"/>
                    <w:szCs w:val="22"/>
                    <w:lang w:eastAsia="lt-LT"/>
                  </w:rPr>
                </w:pPr>
              </w:p>
              <w:p>
                <w:pPr>
                  <w:ind w:firstLine="720"/>
                  <w:jc w:val="both"/>
                  <w:rPr>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Asmenys, eksploatuojantys dujų perdavimo, skirstymo sistemas, dujų laikymo įrenginius ar SGD sistemas arba atliekantys energijos vartojimo auditą, privalo turėti Energetikos įstatymo nustatyta tvarka išduotą atestatą eksploatuoti gamtinių dujų įrenginius.</w:t>
                </w:r>
              </w:p>
              <w:p>
                <w:pPr>
                  <w:ind w:firstLine="720"/>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Valstybės narės užtikrina, kad esamos žemės naudojimo teisės, susijusios su gamtinių dujų vamzdynų ir kitos tinklo infrastruktūros įrengimu ir eksploatavimu, taip pat būtų taikomos vandeniliui transportuoti skirtiems vamzdynams ir kitai tinklo infrastruktūrai.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 xml:space="preserve">16 straipsnis. Žemės naudojimas vandenilio infrastruktūrai </w:t>
                </w:r>
              </w:p>
              <w:p>
                <w:pPr>
                  <w:shd w:val="clear" w:color="auto" w:fill="FFFFFF"/>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6. Esamoms gamtinių dujų perdavimo ir skirstymo sistemoms bei susijusiai infrastruktūrai taikomas servitutų, specialiųjų žemės naudojimo sąlygų apsaugos zonose ir magistralinių dujotiekių vietovės klasių teritorijose bei kitų žemės naudojimo teisių ir apribojimų teisinis režimas tiek, kiek jis neprieštarauja vandenilio tinklams taikomiems teisės aktų reikalavimams, mutatis mutandis taikomas ir vandenilio perdavimo ir skirstymo tinklams bei susijusiai infrastruktūrai, kai jie įrengiami toje pačioje vietoje ar anksčiau nurodytų teritorijų ribose išmontuojant jau esamas gamtinių dujų perdavimo ar skirstymo sistemas arba jas pritaikant vandeniliui transportuoti, nedidinant esamiems tinklams nustatytų žemės naudojimo apribojimų apimties (jos ribų ir (ar) taikomų apribojimų pobūdžio). Vandenilio perdavimo ir skirstymo tinklų bei susijusios infrastruktūros apsaugai skirtos teritorijos, kuriose taikomos specialiosios žemės naudojimo sąlygos, gali būti nustatomos esamų gamtinių dujų perdavimo ir skirstymo sistemų apsaugos zonose ir magistralinių dujotiekių vietovės klasių teritorijose, kai neviršijama jau nustatyta žemės naudojimo teisių apimtis ir pobūdis. Tokiais atvejais žemės savininko, valstybinės ar savivaldybės žemės patikėtinio sutikimas neprivalomas, o žemės savininko, valstybinės ar savivaldybės žemės patikėtinio dėl servituto nustatymo ar specialiųjų žemės naudojimo sąlygų taikymo patirti nuostoliai atlyginami Lietuvos Respublikos teisės aktų nustatyta tvarka tiek, kiek jie nebuvo atlyginti taikant gamtinių dujų perdavimo ar skirstymo sistemoms bei susijusiai infrastruktūrai nustatytus žemės naudojimo ribojimus.</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62"/>
                  </w:tabs>
                  <w:jc w:val="both"/>
                  <w:rPr>
                    <w:color w:val="000000"/>
                    <w:sz w:val="22"/>
                    <w:szCs w:val="22"/>
                    <w:lang w:eastAsia="lt-LT"/>
                  </w:rPr>
                </w:pPr>
                <w:r>
                  <w:rPr>
                    <w:color w:val="000000"/>
                    <w:sz w:val="22"/>
                    <w:szCs w:val="22"/>
                    <w:lang w:eastAsia="lt-LT"/>
                  </w:rPr>
                  <w:t>11. Jei infrastruktūros nuosavybės teisės toje pačioje įmonėje perduodamos tam, kad būtų įvykdyti 69 straipsnio reikalavimai, su ta infrastruktūra susiję leidimai ir žemės naudojimo teisės taip pat perduodami naujajam savininkui.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shd w:val="clear" w:color="auto" w:fill="FFFFFF"/>
                  <w:jc w:val="both"/>
                  <w:rPr>
                    <w:b/>
                    <w:bCs/>
                    <w:color w:val="000000"/>
                    <w:sz w:val="22"/>
                    <w:szCs w:val="22"/>
                    <w:lang w:eastAsia="lt-LT"/>
                  </w:rPr>
                </w:pPr>
                <w:r>
                  <w:rPr>
                    <w:b/>
                    <w:bCs/>
                    <w:color w:val="000000"/>
                    <w:sz w:val="22"/>
                    <w:szCs w:val="22"/>
                    <w:lang w:eastAsia="lt-LT"/>
                  </w:rPr>
                  <w:t>&lt;...&gt;</w:t>
                </w:r>
              </w:p>
              <w:p>
                <w:pPr>
                  <w:ind w:firstLine="766"/>
                  <w:jc w:val="both"/>
                  <w:rPr>
                    <w:b/>
                    <w:bCs/>
                    <w:color w:val="000000"/>
                    <w:sz w:val="22"/>
                    <w:szCs w:val="22"/>
                    <w:lang w:eastAsia="lt-LT"/>
                  </w:rPr>
                </w:pPr>
                <w:r>
                  <w:rPr>
                    <w:b/>
                    <w:bCs/>
                    <w:color w:val="000000"/>
                    <w:sz w:val="22"/>
                    <w:szCs w:val="22"/>
                    <w:lang w:eastAsia="lt-LT"/>
                  </w:rPr>
                  <w:t>3.Tuo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Valstybės narės užtikrina, kad atsisakymo išduoti leidimą priežastys būtų objektyvios ir nediskriminacinės, ir kad apie jas būtų pranešta pareiškėjui. Apie tokio atsisakymo priežastis informaciniais tikslais pranešama Komisijai. Valstybės narės nustato tvarką, kuria pareiškėjas gali paduoti skundą dėl tokio atsisakymo išduoti leidimą.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720"/>
                  </w:tabs>
                  <w:ind w:firstLine="720"/>
                  <w:jc w:val="both"/>
                  <w:rPr>
                    <w:b/>
                    <w:bCs/>
                    <w:color w:val="000000"/>
                    <w:sz w:val="22"/>
                    <w:szCs w:val="22"/>
                    <w:lang w:eastAsia="lt-LT"/>
                  </w:rPr>
                </w:pPr>
                <w:r>
                  <w:rPr>
                    <w:b/>
                    <w:bCs/>
                    <w:color w:val="000000"/>
                    <w:sz w:val="22"/>
                    <w:szCs w:val="22"/>
                    <w:lang w:eastAsia="lt-LT"/>
                  </w:rPr>
                  <w:t>22 straipsnis. Veiklos vandenilio sektoriuje licencijų išdavimo procedūros</w:t>
                </w:r>
              </w:p>
              <w:p>
                <w:pPr>
                  <w:tabs>
                    <w:tab w:val="left" w:pos="851"/>
                  </w:tabs>
                  <w:ind w:left="567"/>
                  <w:jc w:val="both"/>
                  <w:rPr>
                    <w:b/>
                    <w:bCs/>
                    <w:color w:val="000000"/>
                    <w:sz w:val="22"/>
                    <w:szCs w:val="22"/>
                    <w:lang w:eastAsia="lt-LT"/>
                  </w:rPr>
                </w:pPr>
                <w:r>
                  <w:rPr>
                    <w:b/>
                    <w:bCs/>
                    <w:color w:val="000000"/>
                    <w:sz w:val="22"/>
                    <w:szCs w:val="22"/>
                    <w:lang w:eastAsia="lt-LT"/>
                  </w:rPr>
                  <w:t>&lt;...&gt;</w:t>
                </w:r>
              </w:p>
              <w:p>
                <w:pPr>
                  <w:tabs>
                    <w:tab w:val="left" w:pos="851"/>
                  </w:tabs>
                  <w:ind w:left="567"/>
                  <w:jc w:val="both"/>
                  <w:rPr>
                    <w:b/>
                    <w:bCs/>
                    <w:color w:val="000000"/>
                    <w:sz w:val="22"/>
                    <w:szCs w:val="22"/>
                    <w:lang w:eastAsia="lt-LT"/>
                  </w:rPr>
                </w:pPr>
                <w:r>
                  <w:rPr>
                    <w:b/>
                    <w:bCs/>
                    <w:color w:val="000000"/>
                    <w:sz w:val="22"/>
                    <w:szCs w:val="22"/>
                    <w:lang w:eastAsia="lt-LT"/>
                  </w:rPr>
                  <w:t>5.</w:t>
                  <w:tab/>
                  <w:t>Taryba atsisako išduoti licencijas, nurodytas 20 straipsnio 1 dalyje, esant šiems pagrindams:</w:t>
                </w:r>
              </w:p>
              <w:p>
                <w:pPr>
                  <w:tabs>
                    <w:tab w:val="left" w:pos="851"/>
                  </w:tabs>
                  <w:ind w:left="567"/>
                  <w:jc w:val="both"/>
                  <w:rPr>
                    <w:b/>
                    <w:color w:val="000000"/>
                    <w:sz w:val="22"/>
                    <w:szCs w:val="22"/>
                    <w:lang w:eastAsia="lt-LT"/>
                  </w:rPr>
                </w:pPr>
                <w:r>
                  <w:rPr>
                    <w:b/>
                    <w:color w:val="000000"/>
                    <w:sz w:val="22"/>
                    <w:szCs w:val="22"/>
                    <w:lang w:eastAsia="lt-LT"/>
                  </w:rPr>
                  <w:t>1) kai asmuo, siekiantis įgyti veiklos vandenilio sektoriuje licenciją, neatitinka šio įstatymo 20</w:t>
                </w:r>
                <w:r>
                  <w:rPr>
                    <w:b/>
                    <w:bCs/>
                    <w:color w:val="000000"/>
                    <w:sz w:val="22"/>
                    <w:szCs w:val="22"/>
                    <w:lang w:eastAsia="lt-LT"/>
                  </w:rPr>
                  <w:t xml:space="preserve"> </w:t>
                </w:r>
                <w:r>
                  <w:rPr>
                    <w:b/>
                    <w:color w:val="000000"/>
                    <w:sz w:val="22"/>
                    <w:szCs w:val="22"/>
                    <w:lang w:eastAsia="lt-LT"/>
                  </w:rPr>
                  <w:t xml:space="preserve">straipsnyje nurodytų reikalavimų licencijai gauti; </w:t>
                </w:r>
              </w:p>
              <w:p>
                <w:pPr>
                  <w:tabs>
                    <w:tab w:val="left" w:pos="851"/>
                  </w:tabs>
                  <w:ind w:left="567"/>
                  <w:jc w:val="both"/>
                  <w:rPr>
                    <w:b/>
                    <w:color w:val="000000"/>
                    <w:sz w:val="22"/>
                    <w:szCs w:val="22"/>
                    <w:lang w:eastAsia="lt-LT"/>
                  </w:rPr>
                </w:pPr>
                <w:r>
                  <w:rPr>
                    <w:b/>
                    <w:color w:val="000000"/>
                    <w:sz w:val="22"/>
                    <w:szCs w:val="22"/>
                    <w:lang w:eastAsia="lt-LT"/>
                  </w:rPr>
                  <w:t xml:space="preserve">2) kai šio straipsnio 3 dalyje nustatytu terminu asmuo, siekiantis įgyti veiklos vandenilio sektoriuje licenciją, nepateikia bent vieno iš Licencijavimo taisyklėse nurodyto dokumento arba pateikti duomenys yra neteisingi arba yra pateikti neišsamūs duomenys; </w:t>
                </w:r>
              </w:p>
              <w:p>
                <w:pPr>
                  <w:tabs>
                    <w:tab w:val="left" w:pos="851"/>
                  </w:tabs>
                  <w:ind w:left="567"/>
                  <w:jc w:val="both"/>
                  <w:rPr>
                    <w:b/>
                    <w:bCs/>
                    <w:color w:val="000000"/>
                    <w:sz w:val="22"/>
                    <w:szCs w:val="22"/>
                    <w:lang w:eastAsia="lt-LT"/>
                  </w:rPr>
                </w:pPr>
                <w:r>
                  <w:rPr>
                    <w:b/>
                    <w:color w:val="000000"/>
                    <w:sz w:val="22"/>
                    <w:szCs w:val="22"/>
                    <w:lang w:eastAsia="lt-LT"/>
                  </w:rPr>
                  <w:t>3) kai fizinis asmuo, siekiantis įgyti veiklos vandenilio sektoriuje licenciją,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licenciją, yra registruotas tokioje valstybėje.</w:t>
                </w:r>
              </w:p>
              <w:p>
                <w:pPr>
                  <w:shd w:val="clear" w:color="auto" w:fill="FFFFFF"/>
                  <w:jc w:val="both"/>
                  <w:rPr>
                    <w:b/>
                    <w:bCs/>
                    <w:color w:val="000000"/>
                    <w:sz w:val="22"/>
                    <w:szCs w:val="22"/>
                    <w:lang w:eastAsia="lt-LT"/>
                  </w:rPr>
                </w:pPr>
              </w:p>
              <w:p>
                <w:pPr>
                  <w:tabs>
                    <w:tab w:val="left" w:pos="720"/>
                  </w:tabs>
                  <w:ind w:firstLine="720"/>
                  <w:jc w:val="both"/>
                  <w:rPr>
                    <w:b/>
                    <w:bCs/>
                    <w:color w:val="000000"/>
                    <w:sz w:val="22"/>
                    <w:szCs w:val="22"/>
                    <w:lang w:eastAsia="lt-LT"/>
                  </w:rPr>
                </w:pPr>
                <w:r>
                  <w:rPr>
                    <w:b/>
                    <w:bCs/>
                    <w:color w:val="000000"/>
                    <w:sz w:val="22"/>
                    <w:szCs w:val="22"/>
                    <w:lang w:eastAsia="lt-LT"/>
                  </w:rPr>
                  <w:t>23 straipsnis. Veiklos vandenilio sektoriuje leidimų išdavimo procedūros</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s>
                  <w:ind w:firstLine="766"/>
                  <w:jc w:val="both"/>
                  <w:rPr>
                    <w:b/>
                    <w:bCs/>
                    <w:color w:val="000000"/>
                    <w:sz w:val="22"/>
                    <w:szCs w:val="22"/>
                    <w:lang w:eastAsia="lt-LT"/>
                  </w:rPr>
                </w:pPr>
                <w:r>
                  <w:rPr>
                    <w:b/>
                    <w:bCs/>
                    <w:color w:val="000000"/>
                    <w:sz w:val="22"/>
                    <w:szCs w:val="22"/>
                    <w:lang w:eastAsia="lt-LT"/>
                  </w:rPr>
                  <w:t>4.</w:t>
                  <w:tab/>
                  <w:t>Taryba atsisako išduoti leidimus, nurodytus 21 straipsnio 1 dalyje, esant šiems pagrindams:</w:t>
                </w:r>
              </w:p>
              <w:p>
                <w:pPr>
                  <w:tabs>
                    <w:tab w:val="left" w:pos="993"/>
                  </w:tabs>
                  <w:ind w:firstLine="766"/>
                  <w:jc w:val="both"/>
                  <w:rPr>
                    <w:b/>
                    <w:bCs/>
                    <w:color w:val="000000"/>
                    <w:sz w:val="22"/>
                    <w:szCs w:val="22"/>
                    <w:lang w:eastAsia="lt-LT"/>
                  </w:rPr>
                </w:pPr>
                <w:r>
                  <w:rPr>
                    <w:b/>
                    <w:bCs/>
                    <w:color w:val="000000"/>
                    <w:sz w:val="22"/>
                    <w:szCs w:val="22"/>
                    <w:lang w:eastAsia="lt-LT"/>
                  </w:rPr>
                  <w:t>1) kai asmuo neatitinka šio įstatymo 21 straipsnyje nurodytų reikalavimų leidimui gauti;</w:t>
                </w:r>
              </w:p>
              <w:p>
                <w:pPr>
                  <w:tabs>
                    <w:tab w:val="left" w:pos="993"/>
                  </w:tabs>
                  <w:ind w:firstLine="766"/>
                  <w:jc w:val="both"/>
                  <w:rPr>
                    <w:b/>
                    <w:bCs/>
                    <w:color w:val="000000"/>
                    <w:sz w:val="22"/>
                    <w:szCs w:val="22"/>
                    <w:lang w:eastAsia="lt-LT"/>
                  </w:rPr>
                </w:pPr>
                <w:r>
                  <w:rPr>
                    <w:b/>
                    <w:bCs/>
                    <w:color w:val="000000"/>
                    <w:sz w:val="22"/>
                    <w:szCs w:val="22"/>
                    <w:lang w:eastAsia="lt-LT"/>
                  </w:rPr>
                  <w:t>2) kai asmuo, siekiantis leidimo, šio straipsnio 3 dalyje nustatytu terminu nepateikia visų privalomų dokumentų ir (ar) neištaiso kitų Tarybos nurodytų trūkumų;</w:t>
                </w:r>
              </w:p>
              <w:p>
                <w:pPr>
                  <w:tabs>
                    <w:tab w:val="left" w:pos="993"/>
                  </w:tabs>
                  <w:ind w:firstLine="766"/>
                  <w:jc w:val="both"/>
                  <w:rPr>
                    <w:color w:val="000000"/>
                    <w:sz w:val="22"/>
                    <w:szCs w:val="22"/>
                    <w:lang w:eastAsia="lt-LT"/>
                  </w:rPr>
                </w:pPr>
                <w:r>
                  <w:rPr>
                    <w:b/>
                    <w:bCs/>
                    <w:color w:val="000000"/>
                    <w:sz w:val="22"/>
                    <w:szCs w:val="22"/>
                    <w:lang w:eastAsia="lt-LT"/>
                  </w:rPr>
                  <w:t>3) kai fizinis asmuo, siekiantis įgyti leidimą,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leidimą, yra registruotas tokioje valstybėje.</w:t>
                </w:r>
              </w:p>
              <w:p>
                <w:pPr>
                  <w:tabs>
                    <w:tab w:val="left" w:pos="567"/>
                  </w:tabs>
                  <w:ind w:firstLine="766"/>
                  <w:jc w:val="both"/>
                  <w:rPr>
                    <w:b/>
                    <w:bCs/>
                    <w:color w:val="000000"/>
                    <w:sz w:val="22"/>
                    <w:szCs w:val="22"/>
                    <w:lang w:eastAsia="lt-LT"/>
                  </w:rPr>
                </w:pPr>
              </w:p>
              <w:p>
                <w:pPr>
                  <w:tabs>
                    <w:tab w:val="left" w:pos="567"/>
                  </w:tabs>
                  <w:ind w:firstLine="766"/>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ind w:firstLine="720"/>
                  <w:jc w:val="both"/>
                  <w:rPr>
                    <w:color w:val="000000"/>
                    <w:sz w:val="22"/>
                    <w:szCs w:val="22"/>
                    <w:lang w:val="lt" w:eastAsia="lt-LT"/>
                  </w:rPr>
                </w:pPr>
                <w:r>
                  <w:rPr>
                    <w:color w:val="000000"/>
                    <w:sz w:val="22"/>
                    <w:szCs w:val="22"/>
                    <w:lang w:val="lt" w:eastAsia="lt-LT"/>
                  </w:rPr>
                  <w:t>&lt;..&gt;</w:t>
                </w:r>
              </w:p>
              <w:p>
                <w:pPr>
                  <w:tabs>
                    <w:tab w:val="left" w:pos="567"/>
                  </w:tabs>
                  <w:ind w:firstLine="720"/>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eastAsia="lt-LT"/>
                  </w:rPr>
                </w:pPr>
                <w:r>
                  <w:rPr>
                    <w:color w:val="000000"/>
                    <w:sz w:val="22"/>
                    <w:szCs w:val="22"/>
                    <w:lang w:val="lt" w:eastAsia="lt-LT"/>
                  </w:rPr>
                  <w:t>2. Asmenų skundai nagrinėjami Lietuvos Respublikos energetikos įstatyme nustatyta tvarka.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13. Plėtodamos naujai aprūpinamas vietoves ir veiksmingą eksploatavimą apskritai bei nedarant poveikio 34 straipsniui, valstybės narės gali atsisakyti išduoti papildomą leidimą gamtinių dujų skirstymo vamzdynų sistemoms statyti ir eksploatuoti bet kuriame konkrečiame regione, kai tame regione tokios vamzdynų sistemos jau yra pastatytos arba yra gautas leidimas jas statyti ir kai esami ar siūlomi pajėgumai nėra išnaudoti.</w:t>
                </w:r>
              </w:p>
            </w:tc>
            <w:tc>
              <w:tcPr>
                <w:tcW w:w="9407" w:type="dxa"/>
                <w:gridSpan w:val="3"/>
              </w:tcPr>
              <w:p>
                <w:pPr>
                  <w:shd w:val="clear" w:color="auto" w:fill="FFFFFF"/>
                  <w:jc w:val="both"/>
                  <w:rPr>
                    <w:b/>
                    <w:bCs/>
                    <w:color w:val="000000"/>
                    <w:sz w:val="22"/>
                    <w:szCs w:val="22"/>
                    <w:lang w:eastAsia="lt-LT"/>
                  </w:rPr>
                </w:pPr>
                <w:r>
                  <w:rPr>
                    <w:b/>
                    <w:color w:val="000000"/>
                    <w:sz w:val="22"/>
                    <w:szCs w:val="22"/>
                    <w:lang w:eastAsia="lt-LT"/>
                  </w:rPr>
                  <w:t>G</w:t>
                </w:r>
                <w:r>
                  <w:rPr>
                    <w:b/>
                    <w:bCs/>
                    <w:color w:val="000000"/>
                    <w:sz w:val="22"/>
                    <w:szCs w:val="22"/>
                    <w:lang w:eastAsia="lt-LT"/>
                  </w:rPr>
                  <w:t>amtinių dujų įstatymas</w:t>
                </w:r>
              </w:p>
              <w:p>
                <w:pPr>
                  <w:shd w:val="clear" w:color="auto" w:fill="FFFFFF"/>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shd w:val="clear" w:color="auto" w:fill="FFFFFF"/>
                  <w:jc w:val="both"/>
                  <w:rPr>
                    <w:color w:val="000000"/>
                    <w:sz w:val="22"/>
                    <w:szCs w:val="22"/>
                    <w:lang w:eastAsia="lt-LT"/>
                  </w:rPr>
                </w:pPr>
                <w:r>
                  <w:rPr>
                    <w:b/>
                    <w:bCs/>
                    <w:color w:val="000000"/>
                    <w:sz w:val="22"/>
                    <w:szCs w:val="22"/>
                    <w:lang w:eastAsia="lt-LT"/>
                  </w:rPr>
                  <w:t>&lt;</w:t>
                </w:r>
                <w:r>
                  <w:rPr>
                    <w:color w:val="000000"/>
                    <w:sz w:val="22"/>
                    <w:szCs w:val="22"/>
                    <w:lang w:eastAsia="lt-LT"/>
                  </w:rPr>
                  <w:t>...&gt;</w:t>
                </w:r>
              </w:p>
              <w:p>
                <w:pPr>
                  <w:shd w:val="clear" w:color="auto" w:fill="FFFFFF"/>
                  <w:jc w:val="both"/>
                  <w:rPr>
                    <w:color w:val="000000"/>
                    <w:sz w:val="22"/>
                    <w:szCs w:val="22"/>
                    <w:lang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b/>
                    <w:bCs/>
                    <w:color w:val="000000"/>
                    <w:sz w:val="22"/>
                    <w:szCs w:val="22"/>
                    <w:lang w:val="lt" w:eastAsia="lt-LT"/>
                  </w:rPr>
                  <w:t>&lt;</w:t>
                </w:r>
                <w:r>
                  <w:rPr>
                    <w:color w:val="000000"/>
                    <w:sz w:val="22"/>
                    <w:szCs w:val="22"/>
                    <w:lang w:val="lt" w:eastAsia="lt-LT"/>
                  </w:rPr>
                  <w:t>...&gt;</w:t>
                </w:r>
              </w:p>
              <w:p>
                <w:pPr>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Prijungimo taisyklės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II. DUJŲ SISTEMŲ PLĖTRA NELICENCIJUOTOJE TERITORIJOJE</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Naujos teritorijos, kurioje nė vienai įmonei neišduota dujų perdavimo ar skirstymo licencija, dujofikavimas atliekamas šia tvarka:</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eastAsia="lt-LT"/>
                  </w:rPr>
                </w:pPr>
                <w:r>
                  <w:rPr>
                    <w:b/>
                    <w:bCs/>
                    <w:color w:val="000000"/>
                    <w:sz w:val="22"/>
                    <w:szCs w:val="22"/>
                    <w:lang w:val="lt" w:eastAsia="lt-LT"/>
                  </w:rPr>
                  <w:t>Naujų gamtinių dujų sistemų naujoje dujofikuojamoje teritorijoje įrengimo ir naujų vartotojų gamtinių dujų sistemų prijungimo prie perdavimo ar skirstymo sistemų taisyklės</w:t>
                </w:r>
              </w:p>
              <w:p>
                <w:pPr>
                  <w:jc w:val="both"/>
                  <w:rPr>
                    <w:color w:val="000000"/>
                    <w:sz w:val="22"/>
                    <w:szCs w:val="22"/>
                    <w:lang w:eastAsia="lt-LT"/>
                  </w:rPr>
                </w:pPr>
                <w:r>
                  <w:rPr>
                    <w:color w:val="000000"/>
                    <w:sz w:val="22"/>
                    <w:szCs w:val="22"/>
                    <w:lang w:val="lt" w:eastAsia="lt-LT"/>
                  </w:rPr>
                  <w:t>8. Dujų sistemų plėtros licencijuotose teritorijose iniciatoriai gali būti: licencijas veiklai tose teritorijose turinčios dujų įmonės, esami ar potencialūs vartotojai. Vartotojai prašymus dėl dujų sistemų plėtros teikia perdavimo ar paskirstymo įmonėms. Prašymo formą ir informacijos bei dokumentų sąrašą, kuriuos būtina pateikti su prašymu, nustato dujų įmonės. Buitiniams vartotojams prašymo formą ir informacijos bei dokumentų sąrašą, kuriuos būtina pateikti su prašymu, dujų įmonės nustato suderinusios su Komisija. Gaunami prašymai registruojami.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Valstybės narės atsisako išduoti leidimą įrengti ir eksploatuoti gamtinių dujų perdavimo arba skirstymo infrastruktūrą regionuose, kuriuose pagal 55 straipsnį parengtame tinklo plėtros plane numatyta nutraukti perdavimo sistemos ar atitinkamų jos dalių eksploatavimą arba pagal 57 straipsnį patvirtintas skirstymo tinklo eksploatavimo nutraukimo planas.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42"/>
                  </w:tabs>
                  <w:jc w:val="both"/>
                  <w:rPr>
                    <w:color w:val="000000"/>
                    <w:sz w:val="22"/>
                    <w:szCs w:val="22"/>
                    <w:lang w:eastAsia="lt-LT"/>
                  </w:rPr>
                </w:pPr>
                <w:r>
                  <w:rPr>
                    <w:color w:val="000000"/>
                    <w:sz w:val="22"/>
                    <w:szCs w:val="22"/>
                    <w:lang w:eastAsia="lt-LT"/>
                  </w:rPr>
                  <w:t xml:space="preserve">15. Kai leidimas, kaip tai suprantama šio straipsnio 1 dalyje, patenka į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15 straipsnio ir 15b– 17 straipsnių taikymo sritį, taikomos tik tos nuostatos.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33"/>
                  </w:tabs>
                  <w:jc w:val="both"/>
                  <w:rPr>
                    <w:i/>
                    <w:iCs/>
                    <w:color w:val="000000"/>
                    <w:sz w:val="22"/>
                    <w:szCs w:val="22"/>
                    <w:lang w:eastAsia="lt-LT"/>
                  </w:rPr>
                </w:pPr>
                <w:r>
                  <w:rPr>
                    <w:i/>
                    <w:iCs/>
                    <w:color w:val="000000"/>
                    <w:sz w:val="22"/>
                    <w:szCs w:val="22"/>
                    <w:lang w:eastAsia="lt-LT"/>
                  </w:rPr>
                  <w:t>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21"/>
                  </w:tabs>
                  <w:jc w:val="both"/>
                  <w:rPr>
                    <w:b/>
                    <w:bCs/>
                    <w:color w:val="000000"/>
                    <w:sz w:val="22"/>
                    <w:szCs w:val="22"/>
                    <w:lang w:eastAsia="lt-LT"/>
                  </w:rPr>
                </w:pPr>
                <w:r>
                  <w:rPr>
                    <w:b/>
                    <w:bCs/>
                    <w:color w:val="000000"/>
                    <w:sz w:val="22"/>
                    <w:szCs w:val="22"/>
                    <w:lang w:eastAsia="lt-LT"/>
                  </w:rPr>
                  <w:t>Dujų iš atsinaujinančiųjų išteklių ir mažo anglies dioksido pėdsako kuro sertifikavimas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Dujos iš atsinaujinančiųjų išteklių sertifikuojamos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 29a ir 30 straipsnius. Mažo anglies dioksido pėdsako kuras sertifikuojamas pagal šį straipsnį.</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27 straipsnis. 37 straipsnio pakeitimas</w:t>
                </w:r>
              </w:p>
              <w:p>
                <w:pPr>
                  <w:ind w:firstLine="720"/>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ind w:left="2268" w:hanging="1548"/>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ind w:firstLine="720"/>
                  <w:jc w:val="both"/>
                  <w:rPr>
                    <w:color w:val="000000"/>
                    <w:sz w:val="22"/>
                    <w:szCs w:val="22"/>
                    <w:lang w:eastAsia="lt-LT"/>
                  </w:rPr>
                </w:pPr>
                <w:r>
                  <w:rPr>
                    <w:color w:val="000000"/>
                    <w:sz w:val="22"/>
                    <w:szCs w:val="22"/>
                    <w:lang w:eastAsia="lt-LT"/>
                  </w:rPr>
                  <w:t>1. Atsinaujinančių išteklių kuras ir kuras iš perdirbtų neatsinaujinančių išteklių atliekų turi atitikti šio įstatymo 38 straipsnyje nustatytus tvarumo ir išmetamųjų šiltnamio efektą sukeliančių dujų kiekio sumažėjimo kriterijus, nepaisant to, kurioje pasaulio šalyje užauginta (gauta) žaliava jiems gaminti:</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Ūkinę veiklą vykdantys asmenys, siekiantys gauti sertifikatą, patvirtinantį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kreipiasi į sertifikavimo įmonę, kuri atlieka sertifikavimą pagal Europos Komisijos sprendimu pripažintą savanorišką schemą. Ūkinę veiklą vykdantys asmenys sertifikavimo įmonei teikia informaciją ir duomenis apie atitiktį šio įstatymo 38 straipsnio 2, 3, 6, 7, 9, 10, 11, 12, 13 ir 14 dalyse nustatytiems tvarumo ir išmetamųjų šiltnamio efektą sukeliančių dujų kiekio sumažėjimo kriterijams.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kad išmetamo šiltnamio efektą sukeliančių dujų kiekio sumažėjimas dėl mažo anglies dioksido pėdsako kuro naudojimo būtų bent 70 %, valstybės narės turi reikalauti, kad ekonominės veiklos vykdytojai įrodytų, jog laikomasi tos ribos ir šio straipsnio 5 dalyje nurodytoje metodikoje nustatytų reikalavimų. Tais tikslais jos reikalauja, kad ekonominės veiklos vykdytojai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30 straipsnio 1 ir 2 dalis naudotų masės balanso sistemą.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patikimumas.“</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Siekiant užtikrinti biodegalų,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ūkinę veiklą vykdantys asmenys privalo naudoti masės balanso sistemą, kuri:</w:t>
                </w:r>
              </w:p>
              <w:p>
                <w:pPr>
                  <w:ind w:firstLine="720"/>
                  <w:jc w:val="both"/>
                  <w:rPr>
                    <w:color w:val="000000"/>
                    <w:sz w:val="22"/>
                    <w:szCs w:val="22"/>
                    <w:lang w:eastAsia="lt-LT"/>
                  </w:rPr>
                </w:pPr>
                <w:r>
                  <w:rPr>
                    <w:color w:val="000000"/>
                    <w:sz w:val="22"/>
                    <w:szCs w:val="22"/>
                    <w:lang w:eastAsia="lt-LT"/>
                  </w:rPr>
                  <w:t>1) leidžia maišyti skirtingomis tvarumo ir išmetamųjų šiltnamio efektą sukeliančių dujų kiekio sumažėjimo charakteristikomis pasižyminčių žaliavų ir kuro partijas;</w:t>
                </w:r>
              </w:p>
              <w:p>
                <w:pPr>
                  <w:ind w:firstLine="720"/>
                  <w:jc w:val="both"/>
                  <w:rPr>
                    <w:color w:val="000000"/>
                    <w:sz w:val="22"/>
                    <w:szCs w:val="22"/>
                    <w:lang w:eastAsia="lt-LT"/>
                  </w:rPr>
                </w:pPr>
                <w:r>
                  <w:rPr>
                    <w:color w:val="000000"/>
                    <w:sz w:val="22"/>
                    <w:szCs w:val="22"/>
                    <w:lang w:eastAsia="lt-LT"/>
                  </w:rPr>
                  <w:t>2) leidžia maišyti skirtingos energinės vertės žaliavų partijas, siekiant jas toliau perdirbti, jeigu žaliavų partijų dydis pakoreguojamas pagal jų energinę vertę;</w:t>
                </w:r>
              </w:p>
              <w:p>
                <w:pPr>
                  <w:ind w:firstLine="720"/>
                  <w:jc w:val="both"/>
                  <w:rPr>
                    <w:color w:val="000000"/>
                    <w:sz w:val="22"/>
                    <w:szCs w:val="22"/>
                    <w:lang w:eastAsia="lt-LT"/>
                  </w:rPr>
                </w:pPr>
                <w:r>
                  <w:rPr>
                    <w:color w:val="000000"/>
                    <w:sz w:val="22"/>
                    <w:szCs w:val="22"/>
                    <w:lang w:eastAsia="lt-LT"/>
                  </w:rPr>
                  <w:t>3) reikalauja, kad informacija apie šios dalies 1 punkte nurodytų žaliavų ir kuro partijų tvarumo ir išmetamųjų šiltnamio efektą sukeliančių dujų kiekio sumažėjimo charakteristikas ir dydžius ir toliau būtų priskiriama mišiniui;</w:t>
                </w:r>
              </w:p>
              <w:p>
                <w:pPr>
                  <w:ind w:firstLine="720"/>
                  <w:jc w:val="both"/>
                  <w:rPr>
                    <w:color w:val="000000"/>
                    <w:sz w:val="22"/>
                    <w:szCs w:val="22"/>
                    <w:lang w:eastAsia="lt-LT"/>
                  </w:rPr>
                </w:pPr>
                <w:r>
                  <w:rPr>
                    <w:color w:val="000000"/>
                    <w:sz w:val="22"/>
                    <w:szCs w:val="22"/>
                    <w:lang w:eastAsia="lt-LT"/>
                  </w:rPr>
                  <w:t>4) numato, kad visų iš mišinio paimtų dalių suma turi tas pačias tvarumo charakteristikas esant tam pačiam žaliavų ir kuro partijų kiekiui, kaip visų į mišinį įmaišytų žaliavų ir kuro partijų suma, ir reikalauja, kad šis balansas būtų pasiektas per nustatytą laikotarpį;</w:t>
                </w:r>
              </w:p>
              <w:p>
                <w:pPr>
                  <w:ind w:firstLine="720"/>
                  <w:jc w:val="both"/>
                  <w:rPr>
                    <w:color w:val="000000"/>
                    <w:sz w:val="22"/>
                    <w:szCs w:val="22"/>
                    <w:lang w:eastAsia="lt-LT"/>
                  </w:rPr>
                </w:pPr>
                <w:r>
                  <w:rPr>
                    <w:color w:val="000000"/>
                    <w:sz w:val="22"/>
                    <w:szCs w:val="22"/>
                    <w:lang w:eastAsia="lt-LT"/>
                  </w:rPr>
                  <w:t>5) užtikrina, kad į kiekvieną žaliavų ir kuro partiją būtų atsižvelgiama tik vieną kartą, apskaičiuojant bendrą galutinį energijos iš atsinaujinančių išteklių suvartojimą;</w:t>
                </w:r>
              </w:p>
              <w:p>
                <w:pPr>
                  <w:ind w:firstLine="720"/>
                  <w:jc w:val="both"/>
                  <w:rPr>
                    <w:color w:val="000000"/>
                    <w:sz w:val="22"/>
                    <w:szCs w:val="22"/>
                    <w:lang w:eastAsia="lt-LT"/>
                  </w:rPr>
                </w:pPr>
                <w:r>
                  <w:rPr>
                    <w:color w:val="000000"/>
                    <w:sz w:val="22"/>
                    <w:szCs w:val="22"/>
                    <w:lang w:eastAsia="lt-LT"/>
                  </w:rPr>
                  <w:t>6) užtikrina informacijos apie paramą, skirtą žaliavų ir kuro partijos gamybai, pateikimą.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ekonominės veiklos vykdytojai teiktų patikimą informaciją dėl 2 dalyje nurodytos 70 % išmetamo šiltnamio efektą sukeliančių dujų kiekio sumažėjimo ribos ir 5 dalyje nurodytos išmetamo šiltnamio efektą sukeliančių dujų kiekio mažinimo metodikos laikymosi ir kad atitinkamos valstybės narės prašymu ekonominės veiklos vykdytojai jai pateiktų duomenis, kuriais naudodamiesi parengė tą informaciją. Valstybės narės reikalauja, kad ekonominės veiklos vykdytojai įgyvendintų tinkamą nepriklausomo pateikiamos informacijos audito standartą ir pateiktų įrodymus, kad tai padaryta. Atliekant auditą patikrinama, ar ekonominės veiklos vykdytojų sistemos yra tikslios, patikimos ir apsaugotos nuo sukčiavimo.</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w:t>
                </w:r>
                <w:r>
                  <w:rPr>
                    <w:b/>
                    <w:bCs/>
                    <w:color w:val="000000"/>
                    <w:sz w:val="22"/>
                    <w:szCs w:val="22"/>
                    <w:lang w:eastAsia="lt-LT"/>
                  </w:rPr>
                  <w:t>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w:t>
                </w:r>
                <w:r>
                  <w:rPr>
                    <w:color w:val="000000"/>
                    <w:sz w:val="22"/>
                    <w:szCs w:val="22"/>
                    <w:lang w:eastAsia="lt-LT"/>
                  </w:rPr>
                  <w:t>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4. 2 dalyje nustatytos pareigos taikomos nepaisant to, ar mažo anglies dioksido pėdsako kuras gaminamas Sąjungoje, ar importuojamas. Informacija apie kiekvieno tiekėjo tiekiamo mažo anglies dioksido pėdsako kuro arba mažo anglies dioksido pėdsako vandenilio geografinę kilmę ir žaliavų rūšį vartotojams pateikiama veiklos vykdytojų, tiekėjų arba atitinkamų kompetentingų institucijų interneto svetainėse ir kasmet atnaujinama.</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tabs>
                    <w:tab w:val="left" w:pos="993"/>
                  </w:tabs>
                  <w:jc w:val="both"/>
                  <w:rPr>
                    <w:b/>
                    <w:bCs/>
                    <w:color w:val="000000"/>
                    <w:sz w:val="22"/>
                    <w:szCs w:val="22"/>
                    <w:lang w:eastAsia="lt-LT"/>
                  </w:rPr>
                </w:pPr>
                <w:r>
                  <w:rPr>
                    <w:b/>
                    <w:bCs/>
                    <w:color w:val="000000"/>
                    <w:sz w:val="22"/>
                    <w:szCs w:val="22"/>
                    <w:lang w:eastAsia="lt-LT"/>
                  </w:rPr>
                  <w:t>&lt;...&gt;</w:t>
                </w:r>
              </w:p>
              <w:p>
                <w:pPr>
                  <w:tabs>
                    <w:tab w:val="left" w:pos="993"/>
                  </w:tabs>
                  <w:jc w:val="both"/>
                  <w:rPr>
                    <w:color w:val="000000"/>
                    <w:sz w:val="22"/>
                    <w:szCs w:val="22"/>
                    <w:lang w:eastAsia="lt-LT"/>
                  </w:rPr>
                </w:pPr>
                <w:r>
                  <w:rPr>
                    <w:color w:val="000000"/>
                    <w:sz w:val="22"/>
                    <w:szCs w:val="22"/>
                    <w:lang w:eastAsia="lt-LT"/>
                  </w:rPr>
                  <w:t>9. Ūkinę veiklą vykdantys asmenys, biodegalų, skystųjų bioproduktų tiekėjai savo interneto svetainėse skelbia aktualią informaciją apie tiekiamų biodegalų ir skystųjų bioproduktų kilmės šalį ir pradines žaliavas.</w:t>
                </w:r>
              </w:p>
              <w:p>
                <w:pPr>
                  <w:tabs>
                    <w:tab w:val="left" w:pos="993"/>
                  </w:tabs>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Ne vėliau kaip 2025 m. rugpjūčio 5 d. Komisija pagal 90 straipsnį priima deleguotuosius aktus, kuriais papildoma ši direktyva, nustatant metodiką, pagal kurią vertinamas išmetamo šiltnamio efektą sukeliančių dujų kiekio sumažėjimas dėl mažo anglies dioksido pėdsako kuro naudojimo. Ta metodika užtikrina, kad kreditai už išvengtus išmetamuosius teršalus nebūtų skiriami už anglies dioksidą iš iškastinių šaltinių, už kurio surinkimą jau gautas išmetamųjų teršalų kreditas pagal kitas teisės nuostatas, ir apima per gyvavimo ciklą išmetamą šiltnamio efektą sukeliančių dujų kiekį, ir ja atsižvelgiama į netiesiogiai išmetamą šiltnamio efektą sukeliančių dujų kiekį, susidarantį nukreipiant pastovųjį įvedinį. Ta metodika atitinka metodiką, pagal kurią įvertinamas išmetamo šiltnamio efektą sukeliančių dujų kiekio sumažėjimas dėl nebiologinės kilmės skystojo ir dujinio transporto kuro iš atsinaujinančiųjų išteklių ir perdirbtos anglies kuro naudojimo, įskaitant dėl vandenilio nuotėkio išmetamo šiltnamio efektą sukeliančių dujų kiekio apdorojimą, ir ja atsižvelgiama į pradinės grandies išmetamą metano kiekį ir faktinius anglies dioksido surinkimo rodiklius.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6. Kai tinkama, Komisija pateikia Europos Parlamentui ir Tarybai ataskaitą, kurioje įvertinamas vandenilio nuotėkis, įskaitant riziką aplinkai ir klimatui, technines sąlygas ir atitinkamus didžiausius vandenilio nuotėkio rodiklius. Remdamasi ta ataskaita, Komisija, jei tikslinga, pateikia pasiūlymą dėl teisėkūros procedūra priimamo akto, kuriuo nustatomos priemonės, kuriomis būtų kuo labiau sumažinta galima vandenilio nuotėkio rizika, nustatyti didžiausi vandenilio nuotėkio rodikliai ir atitikties užtikrinimo mechanizmai. Atitinkami didžiausi vandenilio nuotėkio rodikliai įtraukiami į 5 dalyje nurodytą metodiką.</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45"/>
            </w:trPr>
            <w:tc>
              <w:tcPr>
                <w:tcW w:w="3913" w:type="dxa"/>
              </w:tcPr>
              <w:p>
                <w:pPr>
                  <w:shd w:val="clear" w:color="auto" w:fill="FFFFFF"/>
                  <w:tabs>
                    <w:tab w:val="left" w:pos="4054"/>
                  </w:tabs>
                  <w:jc w:val="both"/>
                  <w:rPr>
                    <w:color w:val="000000"/>
                    <w:sz w:val="22"/>
                    <w:szCs w:val="22"/>
                    <w:lang w:eastAsia="lt-LT"/>
                  </w:rPr>
                </w:pPr>
                <w:r>
                  <w:rPr>
                    <w:color w:val="000000"/>
                    <w:sz w:val="22"/>
                    <w:szCs w:val="22"/>
                    <w:lang w:eastAsia="lt-LT"/>
                  </w:rPr>
                  <w:t xml:space="preserve">7. Komisija gali priimti sprendimus, kuriais pripažįstama, kad pagal savanoriškas nacionalines arba tarptautines schemas, kuriomis nustatomi mažo anglies dioksido pėdsako kuro arba mažo anglies dioksido pėdsako vandenilio gamybos standartai, gaunami tikslūs išmetamo šiltnamio efektą sukeliančių dujų kiekio sumažėjimo duomenys, reikalingi taikant šį straipsnį, ir tos schemos tinka šio straipsnio 5 dalyje nurodytos metodikos laikymuisi įrodyti. Komisija priima tokius sprendimus tik tuo atveju, jei atitinkama schema atitinka tinkamus patikimumo, skaidrumo ir nepriklausomo audito standartus, atitinkančius Komisijos įgyvendinimo reglamente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 </w:t>
                </w:r>
                <w:r>
                  <w:rPr>
                    <w:color w:val="000000"/>
                    <w:sz w:val="22"/>
                    <w:szCs w:val="22"/>
                    <w:vertAlign w:val="superscript"/>
                    <w:lang w:eastAsia="lt-LT"/>
                  </w:rPr>
                  <w:t>42</w:t>
                </w:r>
                <w:r>
                  <w:rPr>
                    <w:color w:val="000000"/>
                    <w:sz w:val="22"/>
                    <w:szCs w:val="22"/>
                    <w:lang w:eastAsia="lt-LT"/>
                  </w:rPr>
                  <w:t>) nustatytus kuro iš atsinaujinančiųjų išteklių sertifikavimo reikalavimus.</w:t>
                </w:r>
              </w:p>
              <w:p>
                <w:pPr>
                  <w:shd w:val="clear" w:color="auto" w:fill="FFFFFF"/>
                  <w:tabs>
                    <w:tab w:val="left" w:pos="4054"/>
                  </w:tabs>
                  <w:jc w:val="both"/>
                  <w:rPr>
                    <w:color w:val="000000"/>
                    <w:sz w:val="22"/>
                    <w:szCs w:val="22"/>
                    <w:lang w:eastAsia="lt-LT"/>
                  </w:rPr>
                </w:pPr>
              </w:p>
              <w:p>
                <w:pPr>
                  <w:shd w:val="clear" w:color="auto" w:fill="FFFFFF"/>
                  <w:tabs>
                    <w:tab w:val="left" w:pos="4054"/>
                  </w:tabs>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42</w:t>
                </w:r>
                <w:r>
                  <w:rPr>
                    <w:color w:val="000000"/>
                    <w:sz w:val="22"/>
                    <w:szCs w:val="22"/>
                    <w:lang w:eastAsia="lt-LT"/>
                  </w:rPr>
                  <w:t xml:space="preserve">) 2022 m. birželio 14 d. Komisijos įgyvendinimo reglamentas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dėl tvarumo ir išmetamo šiltnamio efektą sukeliančių dujų kiekio sumažėjimo kriterijų bei nedidelės netiesioginio žemės naudojimo keitimo rizikos kriterijų tikrinimo taisyklių (OL L 168, 2022 6 27, p. 1).</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84"/>
                  </w:tabs>
                  <w:jc w:val="both"/>
                  <w:rPr>
                    <w:color w:val="000000"/>
                    <w:sz w:val="22"/>
                    <w:szCs w:val="22"/>
                    <w:lang w:eastAsia="lt-LT"/>
                  </w:rPr>
                </w:pPr>
                <w:r>
                  <w:rPr>
                    <w:color w:val="000000"/>
                    <w:sz w:val="22"/>
                    <w:szCs w:val="22"/>
                    <w:lang w:eastAsia="lt-LT"/>
                  </w:rPr>
                  <w:t>8. Kai ekonominės veiklos vykdytojas pateikia įrodymus arba duomenis, gautus taikant pagal 7 dalį pripažintą schemą, valstybė narė nereikalauja, kad ekonominės veiklos vykdytojas pateiktų papildomų įrodymų dėl atitikties pagal schemos, kurią pripažino Komisija, kriterijus.</w:t>
                </w:r>
              </w:p>
            </w:tc>
            <w:tc>
              <w:tcPr>
                <w:tcW w:w="9407" w:type="dxa"/>
                <w:gridSpan w:val="3"/>
                <w:vAlign w:val="center"/>
              </w:tcPr>
              <w:p>
                <w:pPr>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4. Jeigu pateikiama informacija, gauta pagal Europos Komisijos sprendimu pripažintą savanorišką tarptautinę schemą arba Europos Sąjungos su užsienio valstybėmis sudarytą dvišalį ar daugiašalį susitarimą, kuriame susitariama dėl šio įstatymo 39</w:t>
                </w:r>
                <w:r>
                  <w:rPr>
                    <w:color w:val="000000"/>
                    <w:sz w:val="22"/>
                    <w:szCs w:val="22"/>
                    <w:vertAlign w:val="superscript"/>
                    <w:lang w:val="lt" w:eastAsia="lt-LT"/>
                  </w:rPr>
                  <w:t>3</w:t>
                </w:r>
                <w:r>
                  <w:rPr>
                    <w:color w:val="000000"/>
                    <w:sz w:val="22"/>
                    <w:szCs w:val="22"/>
                    <w:lang w:val="lt" w:eastAsia="lt-LT"/>
                  </w:rPr>
                  <w:t xml:space="preserve"> straipsnyje nustatytų kriterijų, ir Europos Komisija priima sprendimą, kad tokiu susitarimu įrodoma iš susitarime nurodytose šalyse išaugintų (gautų) žaliavų pagaminto biomasės kuro atitiktis tvarumo ir išmetamųjų šiltnamio efektą sukeliančių dujų kiekio sumažėjimo kriterijams, arba pagal Europos Komisijos sprendimu pripažintą savanorišką nacionalinę schemą, kiek toks Europos Komisijos sprendimas yra taikomas, arba pagal šio įstatymo 39</w:t>
                </w:r>
                <w:r>
                  <w:rPr>
                    <w:color w:val="000000"/>
                    <w:sz w:val="22"/>
                    <w:szCs w:val="22"/>
                    <w:vertAlign w:val="superscript"/>
                    <w:lang w:val="lt" w:eastAsia="lt-LT"/>
                  </w:rPr>
                  <w:t>5</w:t>
                </w:r>
                <w:r>
                  <w:rPr>
                    <w:color w:val="000000"/>
                    <w:sz w:val="22"/>
                    <w:szCs w:val="22"/>
                    <w:lang w:val="lt" w:eastAsia="lt-LT"/>
                  </w:rPr>
                  <w:t xml:space="preserve"> straipsnyje nustatytą savanorišką nacionalinę schemą, kurią pateikia energijos išteklių biržos operatorius, subjektas, nurodytas Energetikos įstatymo 13</w:t>
                </w:r>
                <w:r>
                  <w:rPr>
                    <w:color w:val="000000"/>
                    <w:sz w:val="22"/>
                    <w:szCs w:val="22"/>
                    <w:vertAlign w:val="superscript"/>
                    <w:lang w:val="lt" w:eastAsia="lt-LT"/>
                  </w:rPr>
                  <w:t>1</w:t>
                </w:r>
                <w:r>
                  <w:rPr>
                    <w:color w:val="000000"/>
                    <w:sz w:val="22"/>
                    <w:szCs w:val="22"/>
                    <w:lang w:val="lt" w:eastAsia="lt-LT"/>
                  </w:rPr>
                  <w:t xml:space="preserve"> straipsnyje, </w:t>
                </w:r>
                <w:r>
                  <w:rPr>
                    <w:b/>
                    <w:color w:val="000000"/>
                    <w:sz w:val="22"/>
                    <w:szCs w:val="22"/>
                    <w:lang w:val="lt" w:eastAsia="lt-LT"/>
                  </w:rPr>
                  <w:t>nereikalauja, kad energijos išteklių rinkos dalyviai ar energijos išteklių biržos operatorius pateiktų papildomą informaciją,</w:t>
                </w:r>
                <w:r>
                  <w:rPr>
                    <w:color w:val="000000"/>
                    <w:sz w:val="22"/>
                    <w:szCs w:val="22"/>
                    <w:lang w:val="lt" w:eastAsia="lt-LT"/>
                  </w:rPr>
                  <w:t xml:space="preserve"> patvirtinančią, kad biomasės kurui taikomi šio įstatymo 39</w:t>
                </w:r>
                <w:r>
                  <w:rPr>
                    <w:color w:val="000000"/>
                    <w:sz w:val="22"/>
                    <w:szCs w:val="22"/>
                    <w:vertAlign w:val="superscript"/>
                    <w:lang w:val="lt" w:eastAsia="lt-LT"/>
                  </w:rPr>
                  <w:t>3</w:t>
                </w:r>
                <w:r>
                  <w:rPr>
                    <w:color w:val="000000"/>
                    <w:sz w:val="22"/>
                    <w:szCs w:val="22"/>
                    <w:lang w:val="lt" w:eastAsia="lt-LT"/>
                  </w:rPr>
                  <w:t> straipsnyje nustatyti kriterijai yra įvykdyti.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Valstybių narių kompetentingos institucijos prižiūri, kaip veikia sertifikavimo įstaigos, atliekančios nepriklausomą auditą pagal savanorišką schemą. Kompetentingų institucijų prašymu sertifikavimo įstaigos pateikia visą svarbią audito priežiūrai būtiną informaciją, įskaitant tikslią audito atlikimo datą, laiką ir vietą. Valstybės narės, nustačiusios neatitikties problemų, nedelsdamos pateikia informaciją savanoriškai schemai.</w:t>
                </w:r>
              </w:p>
            </w:tc>
            <w:tc>
              <w:tcPr>
                <w:tcW w:w="9407" w:type="dxa"/>
                <w:gridSpan w:val="3"/>
                <w:vAlign w:val="center"/>
              </w:tcPr>
              <w:p>
                <w:pPr>
                  <w:tabs>
                    <w:tab w:val="left" w:pos="993"/>
                    <w:tab w:val="left" w:pos="1134"/>
                    <w:tab w:val="left" w:pos="6521"/>
                  </w:tabs>
                  <w:jc w:val="both"/>
                  <w:rPr>
                    <w:b/>
                    <w:color w:val="000000"/>
                    <w:sz w:val="22"/>
                    <w:szCs w:val="22"/>
                    <w:lang w:val="lt" w:eastAsia="lt-LT"/>
                  </w:rPr>
                </w:pPr>
                <w:r>
                  <w:rPr>
                    <w:b/>
                    <w:color w:val="000000"/>
                    <w:sz w:val="22"/>
                    <w:szCs w:val="22"/>
                    <w:lang w:eastAsia="lt-LT"/>
                  </w:rPr>
                  <w:t>Atsinaujinančių išteklių energetikos įstatymo pakeitimo įstatymas Nr.</w:t>
                </w:r>
                <w:r>
                  <w:rPr>
                    <w:b/>
                    <w:bCs/>
                    <w:color w:val="000000"/>
                    <w:sz w:val="22"/>
                    <w:szCs w:val="22"/>
                    <w:lang w:eastAsia="lt-LT"/>
                  </w:rPr>
                  <w:t> </w:t>
                </w:r>
                <w:r>
                  <w:rPr>
                    <w:b/>
                    <w:color w:val="000000"/>
                    <w:sz w:val="22"/>
                    <w:szCs w:val="22"/>
                    <w:lang w:eastAsia="lt-LT"/>
                  </w:rPr>
                  <w:t>XV-</w:t>
                </w:r>
                <w:r>
                  <w:rPr>
                    <w:b/>
                    <w:bCs/>
                    <w:color w:val="000000"/>
                    <w:sz w:val="22"/>
                    <w:szCs w:val="22"/>
                    <w:lang w:eastAsia="lt-LT"/>
                  </w:rPr>
                  <w:t> </w:t>
                </w:r>
                <w:r>
                  <w:rPr>
                    <w:b/>
                    <w:color w:val="000000"/>
                    <w:sz w:val="22"/>
                    <w:szCs w:val="22"/>
                    <w:lang w:eastAsia="lt-LT"/>
                  </w:rPr>
                  <w:t xml:space="preserve">330 </w:t>
                </w:r>
              </w:p>
              <w:p>
                <w:pPr>
                  <w:tabs>
                    <w:tab w:val="left" w:pos="993"/>
                    <w:tab w:val="left" w:pos="1134"/>
                    <w:tab w:val="left" w:pos="6521"/>
                  </w:tabs>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tabs>
                    <w:tab w:val="left" w:pos="993"/>
                    <w:tab w:val="left" w:pos="1134"/>
                    <w:tab w:val="left" w:pos="6521"/>
                  </w:tabs>
                  <w:jc w:val="both"/>
                  <w:rPr>
                    <w:color w:val="000000"/>
                    <w:sz w:val="22"/>
                    <w:szCs w:val="22"/>
                    <w:lang w:eastAsia="lt-LT"/>
                  </w:rPr>
                </w:pPr>
              </w:p>
              <w:p>
                <w:pPr>
                  <w:tabs>
                    <w:tab w:val="left" w:pos="993"/>
                    <w:tab w:val="left" w:pos="1134"/>
                    <w:tab w:val="left" w:pos="6521"/>
                  </w:tabs>
                  <w:jc w:val="both"/>
                  <w:rPr>
                    <w:color w:val="000000"/>
                    <w:sz w:val="22"/>
                    <w:szCs w:val="22"/>
                    <w:lang w:eastAsia="lt-LT"/>
                  </w:rPr>
                </w:pPr>
                <w:r>
                  <w:rPr>
                    <w:color w:val="000000"/>
                    <w:sz w:val="22"/>
                    <w:szCs w:val="22"/>
                    <w:lang w:eastAsia="lt-LT"/>
                  </w:rPr>
                  <w:t>&lt;...&gt;</w:t>
                </w:r>
              </w:p>
              <w:p>
                <w:pPr>
                  <w:tabs>
                    <w:tab w:val="left" w:pos="993"/>
                    <w:tab w:val="left" w:pos="1134"/>
                    <w:tab w:val="left" w:pos="6521"/>
                  </w:tabs>
                  <w:jc w:val="both"/>
                  <w:rPr>
                    <w:color w:val="000000"/>
                    <w:sz w:val="22"/>
                    <w:szCs w:val="22"/>
                    <w:lang w:eastAsia="lt-LT"/>
                  </w:rPr>
                </w:pPr>
                <w:r>
                  <w:rPr>
                    <w:color w:val="000000"/>
                    <w:sz w:val="22"/>
                    <w:szCs w:val="22"/>
                    <w:lang w:eastAsia="lt-LT"/>
                  </w:rPr>
                  <w:t>5.Subjekto, nurodyto Energetikos įstatymo 13</w:t>
                </w:r>
                <w:r>
                  <w:rPr>
                    <w:color w:val="000000"/>
                    <w:sz w:val="22"/>
                    <w:szCs w:val="22"/>
                    <w:vertAlign w:val="superscript"/>
                    <w:lang w:eastAsia="lt-LT"/>
                  </w:rPr>
                  <w:t>1</w:t>
                </w:r>
                <w:r>
                  <w:rPr>
                    <w:color w:val="000000"/>
                    <w:sz w:val="22"/>
                    <w:szCs w:val="22"/>
                    <w:lang w:eastAsia="lt-LT"/>
                  </w:rPr>
                  <w:t xml:space="preserve"> straipsnyje, prašymu sertifikavimo įmonės </w:t>
                </w:r>
                <w:r>
                  <w:rPr>
                    <w:b/>
                    <w:bCs/>
                    <w:color w:val="000000"/>
                    <w:sz w:val="22"/>
                    <w:szCs w:val="22"/>
                    <w:lang w:eastAsia="lt-LT"/>
                  </w:rPr>
                  <w:t>privalo pateikti nepriklausomo audito ataskaitą</w:t>
                </w:r>
                <w:r>
                  <w:rPr>
                    <w:color w:val="000000"/>
                    <w:sz w:val="22"/>
                    <w:szCs w:val="22"/>
                    <w:lang w:eastAsia="lt-LT"/>
                  </w:rPr>
                  <w:t xml:space="preserve">, o energijos išteklių biržos operatorius – metinę ataskaitą, kuriomis remiantis energijos išteklių rinkos dalyviams išduotas savanoriškas tarptautinis sertifikatas arba patvirtinta biomasės kuro atitiktis šio įstatymo 393 straipsnyje nustatytiems kriterijams pagal savanorišką nacionalinę schemą. Jeigu subjektas, nurodytas Energetikos įstatymo </w:t>
                </w:r>
                <w:r>
                  <w:rPr>
                    <w:color w:val="000000"/>
                    <w:sz w:val="22"/>
                    <w:szCs w:val="22"/>
                    <w:vertAlign w:val="superscript"/>
                    <w:lang w:eastAsia="lt-LT"/>
                  </w:rPr>
                  <w:t>131</w:t>
                </w:r>
                <w:r>
                  <w:rPr>
                    <w:color w:val="000000"/>
                    <w:sz w:val="22"/>
                    <w:szCs w:val="22"/>
                    <w:lang w:eastAsia="lt-LT"/>
                  </w:rPr>
                  <w:t xml:space="preserve"> straipsnyje, nustato, kad nepriklausomo audito ataskaitoje ar energijos išteklių biržos operatoriaus metinėje ataskaitoje pateikta informacija neatitinka šio įstatymo 39</w:t>
                </w:r>
                <w:r>
                  <w:rPr>
                    <w:color w:val="000000"/>
                    <w:sz w:val="22"/>
                    <w:szCs w:val="22"/>
                    <w:vertAlign w:val="superscript"/>
                    <w:lang w:eastAsia="lt-LT"/>
                  </w:rPr>
                  <w:t>3</w:t>
                </w:r>
                <w:r>
                  <w:rPr>
                    <w:color w:val="000000"/>
                    <w:sz w:val="22"/>
                    <w:szCs w:val="22"/>
                    <w:lang w:eastAsia="lt-LT"/>
                  </w:rPr>
                  <w:t xml:space="preserve"> straipsnyje nustatytų kriterijų, jis nedelsdamas apie tai informuoja atitinkamai Europos Komisiją ir Europos Komisijos sprendimu pripažintą savanorišką tarptautinę schemą administruojantį subjektą arba Europos Komisiją ir Energetikos ministeriją apie nustatytas neatitiktis.</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5 str. </w:t>
                </w:r>
                <w:r>
                  <w:rPr>
                    <w:i/>
                    <w:iCs/>
                    <w:color w:val="000000"/>
                    <w:sz w:val="22"/>
                    <w:szCs w:val="22"/>
                    <w:lang w:eastAsia="lt-LT"/>
                  </w:rPr>
                  <w:t>Nemini, kad turi būti nurodyta tiksli audito atlikimo data, laikas ir vieta. Energetikos įstatymo 13</w:t>
                </w:r>
                <w:r>
                  <w:rPr>
                    <w:i/>
                    <w:iCs/>
                    <w:color w:val="000000"/>
                    <w:sz w:val="22"/>
                    <w:szCs w:val="22"/>
                    <w:vertAlign w:val="superscript"/>
                    <w:lang w:eastAsia="lt-LT"/>
                  </w:rPr>
                  <w:t>1</w:t>
                </w:r>
                <w:r>
                  <w:rPr>
                    <w:i/>
                    <w:iCs/>
                    <w:color w:val="000000"/>
                    <w:sz w:val="22"/>
                    <w:szCs w:val="22"/>
                    <w:lang w:eastAsia="lt-LT"/>
                  </w:rPr>
                  <w:t xml:space="preserve"> str. nurodytas subjektas – Lietuvos energetikos agentūra.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42"/>
                  </w:tabs>
                  <w:jc w:val="both"/>
                  <w:rPr>
                    <w:color w:val="000000"/>
                    <w:sz w:val="22"/>
                    <w:szCs w:val="22"/>
                    <w:lang w:eastAsia="lt-LT"/>
                  </w:rPr>
                </w:pPr>
                <w:r>
                  <w:rPr>
                    <w:color w:val="000000"/>
                    <w:sz w:val="22"/>
                    <w:szCs w:val="22"/>
                    <w:lang w:eastAsia="lt-LT"/>
                  </w:rPr>
                  <w:t>10. Valstybės narės prašymu, kuris gali būti grindžiamas ekonominės veiklos vykdytojo prašymu, Komisija, remdamasi visais turimais įrodymais, išnagrinėja, ar laikomasi šiame straipsnyje nustatytų išmetamo šiltnamio efektą sukeliančių dujų kiekio sumažėjimo kriterijų, pagal šio straipsnio 5 dalį parengtos metodikos ir 2 straipsnio 11, 12 ir 13 punktuose nurodytų išmetamo šiltnamio efektą sukeliančių dujų kiekio sumažėjimo ribų. Per šešis mėnesius nuo tokio prašymo gavimo dienos Komisija nusprendžia, ar atitinkama valstybė narė gali: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priimti jau pateiktus mažo anglies dioksido pėdsako kuro atitikties išmetamo šiltnamio efektą sukeliančių dujų kiekio sumažėjimo kriterijams įrodymus arba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88"/>
                  </w:tabs>
                  <w:jc w:val="both"/>
                  <w:rPr>
                    <w:color w:val="000000"/>
                    <w:sz w:val="22"/>
                    <w:szCs w:val="22"/>
                    <w:lang w:eastAsia="lt-LT"/>
                  </w:rPr>
                </w:pPr>
                <w:r>
                  <w:rPr>
                    <w:color w:val="000000"/>
                    <w:sz w:val="22"/>
                    <w:szCs w:val="22"/>
                    <w:lang w:eastAsia="lt-LT"/>
                  </w:rPr>
                  <w:t>b) nukrypdama nuo 8 dalies, reikalauti, kad mažo anglies dioksido pėdsako kuro šaltinio tiekėjai pateiktų įrodymus, kad laikosi išmetamo šiltnamio efektą sukeliančių dujų kiekio sumažėjimo kriterijų ir 70 % išmetamo šiltnamio efektą sukeliančių dujų kiekio sumažėjimo ribos.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Valstybės narės reikalauja, kad atitinkami ekonominės veiklos vykdytojai į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31a straipsnio 1 dalį sukurtą Sąjungos duomenų bazę arba nacionalines duomenų bazes, sujungtas su ta Sąjungos duomenų baze pagal tos direktyvos 31a straipsnio 2 dalį, įrašytų informaciją apie atliktus sandorius ir dujų iš atsinaujinančiųjų išteklių bei mažo anglies dioksido pėdsako kuro tvarumo charakteristikas pagal tos direktyvos 31a straipsnyje nustatytus reikalavimus dėl kuro iš atsinaujinančiųjų išteklių. Jei mažo anglies dioksido pėdsako dujų siuntos gamybai buvo išduotos kilmės garantijos, joms taikomos tos pačios taisyklės, kaip ir tame straipsnyje nustatytos taisyklės dėl kilmės garantijų, išduodamų dujoms iš atsinaujinančiųjų išteklių gaminti.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shd w:val="clear" w:color="auto" w:fill="FFFFFF"/>
                  <w:jc w:val="both"/>
                  <w:rPr>
                    <w:color w:val="000000"/>
                    <w:sz w:val="22"/>
                    <w:szCs w:val="22"/>
                    <w:lang w:eastAsia="lt-LT"/>
                  </w:rPr>
                </w:pPr>
                <w:r>
                  <w:rPr>
                    <w:b/>
                    <w:bCs/>
                    <w:color w:val="000000"/>
                    <w:sz w:val="22"/>
                    <w:szCs w:val="22"/>
                    <w:lang w:val="lt" w:eastAsia="lt-LT"/>
                  </w:rPr>
                  <w:t>23 straipsnis. 29 straipsnio pakeitimas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Komisija įgyvendinimo aktais priima sprendimus dėl pripažinimo pagal šio straipsnio 7 dalį. Tie įgyvendinimo aktai priimami laikantis 91 straipsnio 3 dalyje nurodytos nagrinėjimo procedūros. Tokie sprendimai galioja ribotą, ne ilgesnį kaip penkerių metų laikotarpį.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i/>
                    <w:iCs/>
                    <w:color w:val="000000"/>
                    <w:sz w:val="22"/>
                    <w:szCs w:val="22"/>
                    <w:lang w:eastAsia="lt-LT"/>
                  </w:rPr>
                  <w:t xml:space="preserve">10 straipsnis. </w:t>
                </w:r>
                <w:r>
                  <w:rPr>
                    <w:b/>
                    <w:bCs/>
                    <w:color w:val="000000"/>
                    <w:sz w:val="22"/>
                    <w:szCs w:val="22"/>
                    <w:lang w:eastAsia="lt-LT"/>
                  </w:rPr>
                  <w:t>Techninės taisyklės</w:t>
                </w:r>
              </w:p>
              <w:p>
                <w:pPr>
                  <w:shd w:val="clear" w:color="auto" w:fill="FFFFFF"/>
                  <w:tabs>
                    <w:tab w:val="left" w:pos="3412"/>
                  </w:tabs>
                  <w:jc w:val="both"/>
                  <w:rPr>
                    <w:i/>
                    <w:iCs/>
                    <w:color w:val="000000"/>
                    <w:sz w:val="22"/>
                    <w:szCs w:val="22"/>
                    <w:lang w:eastAsia="lt-LT"/>
                  </w:rPr>
                </w:pPr>
              </w:p>
            </w:tc>
            <w:tc>
              <w:tcPr>
                <w:tcW w:w="9407" w:type="dxa"/>
                <w:gridSpan w:val="3"/>
                <w:vAlign w:val="center"/>
              </w:tcPr>
              <w:p>
                <w:pPr>
                  <w:tabs>
                    <w:tab w:val="left" w:pos="567"/>
                  </w:tabs>
                  <w:ind w:firstLine="720"/>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arba, jei taip numato valstybės narės, reguliavimo institucijos užtikrina, kad būtų nustatyti techniniai saugos kriterijai ir būtų parengtos bei viešai paskelbtos techninės taisyklės, nustatančios būtiniausius techninės konstrukcijos ir eksploatavimo reikalavimus, taikomus prijungiant prie SGD įrenginių sistemos, gamtinių dujų saugyklų, kitų perdavimo ar skirstymo sistemų, arba tiesioginių vamzdynų, </w:t>
                </w:r>
                <w:r>
                  <w:rPr>
                    <w:b/>
                    <w:bCs/>
                    <w:color w:val="000000"/>
                    <w:sz w:val="22"/>
                    <w:szCs w:val="22"/>
                    <w:lang w:eastAsia="lt-LT"/>
                  </w:rPr>
                  <w:t>taip pat prie vandenilio sistemos</w:t>
                </w:r>
                <w:r>
                  <w:rPr>
                    <w:color w:val="000000"/>
                    <w:sz w:val="22"/>
                    <w:szCs w:val="22"/>
                    <w:lang w:eastAsia="lt-LT"/>
                  </w:rPr>
                  <w:t xml:space="preserve">. Tos techninės taisyklės užtikrina sistemų sąveikumą ir turi būti objektyvios bei nediskriminacinės. Tam tikrais atvejais ACER gali teikti atitinkamas rekomendacijas apie tų taisyklių suderinimą. Apie tas taisykles pranešama Komisijai laikantis Europos Parlamento ir Tarybos direktyvos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xml:space="preserve"> ( </w:t>
                </w:r>
                <w:r>
                  <w:rPr>
                    <w:color w:val="000000"/>
                    <w:sz w:val="22"/>
                    <w:szCs w:val="22"/>
                    <w:vertAlign w:val="superscript"/>
                    <w:lang w:eastAsia="lt-LT"/>
                  </w:rPr>
                  <w:t>43</w:t>
                </w:r>
                <w:r>
                  <w:rPr>
                    <w:color w:val="000000"/>
                    <w:sz w:val="22"/>
                    <w:szCs w:val="22"/>
                    <w:lang w:eastAsia="lt-LT"/>
                  </w:rPr>
                  <w:t>) 5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43</w:t>
                </w:r>
                <w:r>
                  <w:rPr>
                    <w:color w:val="000000"/>
                    <w:sz w:val="22"/>
                    <w:szCs w:val="22"/>
                    <w:lang w:eastAsia="lt-LT"/>
                  </w:rPr>
                  <w:t xml:space="preserve">) 2015 m. rugsėjo 9 d. Europos Parlamento ir Tarybos direktyva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kuria nustatoma informacijos apie techninius reglamentus ir informacinės visuomenės paslaugų taisykles teikimo tvarka (OL L 241, 2015 9 17, p. 1).</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18 straipsnis. Vandenilio sistemų įrengimo, eksploatavimo, naudojimo ir techninės saugos reguliavimas. Techninių taisyklių rengimas ir skelbimas</w:t>
                </w:r>
              </w:p>
              <w:p>
                <w:pPr>
                  <w:ind w:firstLine="720"/>
                  <w:jc w:val="both"/>
                  <w:rPr>
                    <w:b/>
                    <w:bCs/>
                    <w:color w:val="000000"/>
                    <w:sz w:val="22"/>
                    <w:szCs w:val="22"/>
                    <w:lang w:val="lt" w:eastAsia="lt-LT"/>
                  </w:rPr>
                </w:pPr>
                <w:r>
                  <w:rPr>
                    <w:b/>
                    <w:color w:val="000000"/>
                    <w:sz w:val="22"/>
                    <w:szCs w:val="22"/>
                    <w:lang w:val="lt" w:eastAsia="lt-LT"/>
                  </w:rPr>
                  <w:t xml:space="preserve">1. </w:t>
                </w:r>
                <w:r>
                  <w:rPr>
                    <w:b/>
                    <w:bCs/>
                    <w:color w:val="000000"/>
                    <w:sz w:val="22"/>
                    <w:szCs w:val="22"/>
                    <w:lang w:val="lt" w:eastAsia="lt-LT"/>
                  </w:rPr>
                  <w:t>S</w:t>
                </w:r>
                <w:r>
                  <w:rPr>
                    <w:b/>
                    <w:color w:val="000000"/>
                    <w:sz w:val="22"/>
                    <w:szCs w:val="22"/>
                    <w:lang w:val="lt" w:eastAsia="lt-LT"/>
                  </w:rPr>
                  <w:t xml:space="preserve">iekiant užtikrinti vandenilio </w:t>
                </w:r>
                <w:r>
                  <w:rPr>
                    <w:b/>
                    <w:bCs/>
                    <w:color w:val="000000"/>
                    <w:sz w:val="22"/>
                    <w:szCs w:val="22"/>
                    <w:lang w:val="lt" w:eastAsia="lt-LT"/>
                  </w:rPr>
                  <w:t>sistemų</w:t>
                </w:r>
                <w:r>
                  <w:rPr>
                    <w:b/>
                    <w:color w:val="000000"/>
                    <w:sz w:val="22"/>
                    <w:szCs w:val="22"/>
                    <w:lang w:val="lt" w:eastAsia="lt-LT"/>
                  </w:rPr>
                  <w:t xml:space="preserve">, vandenilio gamyklų ir jų technologinių priklausinių, vandenilio vartotojų ir jų technologinių priklausinių suderinamumą ir </w:t>
                </w:r>
                <w:r>
                  <w:rPr>
                    <w:b/>
                    <w:bCs/>
                    <w:color w:val="000000"/>
                    <w:sz w:val="22"/>
                    <w:szCs w:val="22"/>
                    <w:lang w:val="lt" w:eastAsia="lt-LT"/>
                  </w:rPr>
                  <w:t>tiekimo saugumą:</w:t>
                </w:r>
              </w:p>
              <w:p>
                <w:pPr>
                  <w:ind w:firstLine="720"/>
                  <w:jc w:val="both"/>
                  <w:rPr>
                    <w:b/>
                    <w:bCs/>
                    <w:color w:val="000000"/>
                    <w:sz w:val="22"/>
                    <w:szCs w:val="22"/>
                    <w:lang w:val="lt" w:eastAsia="lt-LT"/>
                  </w:rPr>
                </w:pPr>
                <w:r>
                  <w:rPr>
                    <w:b/>
                    <w:bCs/>
                    <w:color w:val="000000"/>
                    <w:sz w:val="22"/>
                    <w:szCs w:val="22"/>
                    <w:lang w:val="lt" w:eastAsia="lt-LT"/>
                  </w:rPr>
                  <w:t xml:space="preserve">1) vandenilio perdavimo tinklo operatorius </w:t>
                </w:r>
                <w:r>
                  <w:rPr>
                    <w:b/>
                    <w:color w:val="000000"/>
                    <w:sz w:val="22"/>
                    <w:szCs w:val="22"/>
                    <w:lang w:val="lt" w:eastAsia="lt-LT"/>
                  </w:rPr>
                  <w:t>parengia</w:t>
                </w:r>
                <w:r>
                  <w:rPr>
                    <w:b/>
                    <w:bCs/>
                    <w:color w:val="000000"/>
                    <w:sz w:val="22"/>
                    <w:szCs w:val="22"/>
                    <w:lang w:val="lt" w:eastAsia="lt-LT"/>
                  </w:rPr>
                  <w:t xml:space="preserve"> ir</w:t>
                </w:r>
                <w:r>
                  <w:rPr>
                    <w:b/>
                    <w:color w:val="000000"/>
                    <w:sz w:val="22"/>
                    <w:szCs w:val="22"/>
                    <w:lang w:val="lt" w:eastAsia="lt-LT"/>
                  </w:rPr>
                  <w:t xml:space="preserve"> teikia Tarybai tvirtinti ir teisės aktų nustatyta tvarka skelbia objektyvias, skaidrias ir nediskriminacines technines taisykles, nustatančias vandenilio </w:t>
                </w:r>
                <w:r>
                  <w:rPr>
                    <w:b/>
                    <w:bCs/>
                    <w:color w:val="000000"/>
                    <w:sz w:val="22"/>
                    <w:szCs w:val="22"/>
                    <w:lang w:val="lt" w:eastAsia="lt-LT"/>
                  </w:rPr>
                  <w:t>perdavimo tinklo</w:t>
                </w:r>
                <w:r>
                  <w:rPr>
                    <w:b/>
                    <w:color w:val="000000"/>
                    <w:sz w:val="22"/>
                    <w:szCs w:val="22"/>
                    <w:lang w:val="lt" w:eastAsia="lt-LT"/>
                  </w:rPr>
                  <w:t xml:space="preserve"> įrengimo, eksploatavimo, techninės saugos, efektyvaus naudojimo </w:t>
                </w:r>
                <w:r>
                  <w:rPr>
                    <w:b/>
                    <w:bCs/>
                    <w:color w:val="000000"/>
                    <w:sz w:val="22"/>
                    <w:szCs w:val="22"/>
                    <w:lang w:val="lt" w:eastAsia="lt-LT"/>
                  </w:rPr>
                  <w:t xml:space="preserve">ir kitus su tuo susijusius </w:t>
                </w:r>
                <w:r>
                  <w:rPr>
                    <w:b/>
                    <w:color w:val="000000"/>
                    <w:sz w:val="22"/>
                    <w:szCs w:val="22"/>
                    <w:lang w:val="lt" w:eastAsia="lt-LT"/>
                  </w:rPr>
                  <w:t>reikalavimus</w:t>
                </w:r>
                <w:r>
                  <w:rPr>
                    <w:b/>
                    <w:bCs/>
                    <w:color w:val="000000"/>
                    <w:sz w:val="22"/>
                    <w:szCs w:val="22"/>
                    <w:lang w:val="lt" w:eastAsia="lt-LT"/>
                  </w:rPr>
                  <w:t>;</w:t>
                </w:r>
              </w:p>
              <w:p>
                <w:pPr>
                  <w:ind w:firstLine="720"/>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ind w:firstLine="720"/>
                  <w:jc w:val="both"/>
                  <w:rPr>
                    <w:b/>
                    <w:bCs/>
                    <w:color w:val="000000"/>
                    <w:sz w:val="22"/>
                    <w:szCs w:val="22"/>
                    <w:lang w:val="lt" w:eastAsia="lt-LT"/>
                  </w:rPr>
                </w:pPr>
                <w:r>
                  <w:rPr>
                    <w:b/>
                    <w:bCs/>
                    <w:color w:val="000000"/>
                    <w:sz w:val="22"/>
                    <w:szCs w:val="22"/>
                    <w:lang w:val="lt" w:eastAsia="lt-LT"/>
                  </w:rPr>
                  <w:t>3) Taryba kartu su potencialiais vandenilio skirstymo sistemos operatoriais parengia ir teisės aktų nustatyta tvarka skelbia objektyvias, skaidrias ir nediskriminacines technines taisykles, nustatančias vandenilio skirstymo tinklo įrengimo reikalavimus.</w:t>
                </w:r>
              </w:p>
              <w:p>
                <w:pPr>
                  <w:tabs>
                    <w:tab w:val="left" w:pos="567"/>
                  </w:tabs>
                  <w:ind w:firstLine="720"/>
                  <w:jc w:val="both"/>
                  <w:rPr>
                    <w:b/>
                    <w:color w:val="000000"/>
                    <w:sz w:val="22"/>
                    <w:szCs w:val="22"/>
                    <w:lang w:eastAsia="lt-LT"/>
                  </w:rPr>
                </w:pPr>
                <w:r>
                  <w:rPr>
                    <w:b/>
                    <w:bCs/>
                    <w:color w:val="000000"/>
                    <w:sz w:val="22"/>
                    <w:szCs w:val="22"/>
                    <w:lang w:eastAsia="lt-LT"/>
                  </w:rPr>
                  <w:t>2</w:t>
                </w:r>
                <w:r>
                  <w:rPr>
                    <w:b/>
                    <w:color w:val="000000"/>
                    <w:sz w:val="22"/>
                    <w:szCs w:val="22"/>
                    <w:lang w:eastAsia="lt-LT"/>
                  </w:rPr>
                  <w:t>. Taryba ir vandenilio sistemų operatoriai rengdami ir priimdami šį įstatymą įgyvendinančias taisykles, kriterijus ar metodikas, vadovaujasi šio įstatymo 3 straipsnyje nustatytais vandenilio sektoriaus veiklos reguliavimo bendraisiais principais ir šiais principais:</w:t>
                </w:r>
              </w:p>
              <w:p>
                <w:pPr>
                  <w:ind w:firstLine="720"/>
                  <w:jc w:val="both"/>
                  <w:rPr>
                    <w:b/>
                    <w:color w:val="000000"/>
                    <w:sz w:val="22"/>
                    <w:szCs w:val="22"/>
                    <w:lang w:eastAsia="lt-LT"/>
                  </w:rPr>
                </w:pPr>
                <w:r>
                  <w:rPr>
                    <w:b/>
                    <w:color w:val="000000"/>
                    <w:sz w:val="22"/>
                    <w:szCs w:val="22"/>
                    <w:lang w:eastAsia="lt-LT"/>
                  </w:rPr>
                  <w:t>1) vandenilio sistemų naudotojų ir vartotojų nediskriminavimo;</w:t>
                </w:r>
              </w:p>
              <w:p>
                <w:pPr>
                  <w:ind w:firstLine="720"/>
                  <w:jc w:val="both"/>
                  <w:rPr>
                    <w:b/>
                    <w:color w:val="000000"/>
                    <w:sz w:val="22"/>
                    <w:szCs w:val="22"/>
                    <w:lang w:eastAsia="lt-LT"/>
                  </w:rPr>
                </w:pPr>
                <w:r>
                  <w:rPr>
                    <w:b/>
                    <w:color w:val="000000"/>
                    <w:sz w:val="22"/>
                    <w:szCs w:val="22"/>
                    <w:lang w:eastAsia="lt-LT"/>
                  </w:rPr>
                  <w:t>2) protingumo, teisingumo, sąžiningumo, objektyvumo ir sąnaudų pagrįstumo;</w:t>
                </w:r>
              </w:p>
              <w:p>
                <w:pPr>
                  <w:ind w:firstLine="720"/>
                  <w:jc w:val="both"/>
                  <w:rPr>
                    <w:b/>
                    <w:color w:val="000000"/>
                    <w:sz w:val="22"/>
                    <w:szCs w:val="22"/>
                    <w:lang w:eastAsia="lt-LT"/>
                  </w:rPr>
                </w:pPr>
                <w:r>
                  <w:rPr>
                    <w:b/>
                    <w:color w:val="000000"/>
                    <w:sz w:val="22"/>
                    <w:szCs w:val="22"/>
                    <w:lang w:eastAsia="lt-LT"/>
                  </w:rPr>
                  <w:t>3) naujiems vartotojams skirtų investicijų efektyvumo, atsipirkimo laikotarpio ir šių investicijų pagrįstumo įvertinimo;</w:t>
                </w:r>
              </w:p>
              <w:p>
                <w:pPr>
                  <w:ind w:firstLine="720"/>
                  <w:jc w:val="both"/>
                  <w:rPr>
                    <w:b/>
                    <w:color w:val="000000"/>
                    <w:sz w:val="22"/>
                    <w:szCs w:val="22"/>
                    <w:lang w:eastAsia="lt-LT"/>
                  </w:rPr>
                </w:pPr>
                <w:r>
                  <w:rPr>
                    <w:b/>
                    <w:color w:val="000000"/>
                    <w:sz w:val="22"/>
                    <w:szCs w:val="22"/>
                    <w:lang w:eastAsia="lt-LT"/>
                  </w:rPr>
                  <w:t>4) vandenilio sistemos naudotojų ir vartotojų diferencijavimo;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 w:val="22"/>
                    <w:szCs w:val="22"/>
                    <w:lang w:eastAsia="lt-LT"/>
                  </w:rPr>
                </w:pPr>
                <w:r>
                  <w:rPr>
                    <w:b/>
                    <w:color w:val="000000"/>
                    <w:sz w:val="22"/>
                    <w:szCs w:val="22"/>
                    <w:lang w:eastAsia="lt-LT"/>
                  </w:rPr>
                  <w:t>5) galimybės panaudoti vandenilio įmonių sistemas naujų vartotojų sistemoms prijungti įvertinimo;</w:t>
                </w:r>
              </w:p>
              <w:p>
                <w:pPr>
                  <w:ind w:firstLine="720"/>
                  <w:jc w:val="both"/>
                  <w:rPr>
                    <w:b/>
                    <w:color w:val="000000"/>
                    <w:sz w:val="22"/>
                    <w:szCs w:val="22"/>
                    <w:lang w:eastAsia="lt-LT"/>
                  </w:rPr>
                </w:pPr>
                <w:r>
                  <w:rPr>
                    <w:b/>
                    <w:color w:val="000000"/>
                    <w:sz w:val="22"/>
                    <w:szCs w:val="22"/>
                    <w:lang w:eastAsia="lt-LT"/>
                  </w:rPr>
                  <w:t>6) vandenilio sistemos naudotojų įrenginiams veikti reikalingų investicijų poreikio įvertinimo;</w:t>
                </w:r>
              </w:p>
              <w:p>
                <w:pPr>
                  <w:ind w:firstLine="720"/>
                  <w:jc w:val="both"/>
                  <w:rPr>
                    <w:b/>
                    <w:color w:val="000000"/>
                    <w:sz w:val="22"/>
                    <w:szCs w:val="22"/>
                    <w:lang w:eastAsia="lt-LT"/>
                  </w:rPr>
                </w:pPr>
                <w:r>
                  <w:rPr>
                    <w:b/>
                    <w:color w:val="000000"/>
                    <w:sz w:val="22"/>
                    <w:szCs w:val="22"/>
                    <w:lang w:eastAsia="lt-LT"/>
                  </w:rPr>
                  <w:t>7) pažangiųjų vandenilio tinklų technologijų plėtros;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8) energijos vartojimo efektyvumo;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9) vandenilio infrastruktūros plėtros, orientuotos į vandenilio tinklų pajėgumų ateities poreikį.</w:t>
                </w:r>
              </w:p>
              <w:p>
                <w:pPr>
                  <w:spacing w:line="276" w:lineRule="auto"/>
                  <w:ind w:right="57" w:firstLine="720"/>
                  <w:jc w:val="both"/>
                  <w:rPr>
                    <w:color w:val="000000"/>
                    <w:sz w:val="22"/>
                    <w:szCs w:val="22"/>
                    <w:lang w:val="lt" w:eastAsia="lt-LT"/>
                  </w:rPr>
                </w:pPr>
              </w:p>
              <w:p>
                <w:pPr>
                  <w:shd w:val="clear" w:color="auto" w:fill="FFFFFF"/>
                  <w:rPr>
                    <w:b/>
                    <w:bCs/>
                    <w:color w:val="000000"/>
                    <w:sz w:val="22"/>
                    <w:szCs w:val="22"/>
                    <w:lang w:eastAsia="lt-LT"/>
                  </w:rPr>
                </w:pPr>
                <w:r>
                  <w:rPr>
                    <w:b/>
                    <w:bCs/>
                    <w:color w:val="000000"/>
                    <w:sz w:val="22"/>
                    <w:szCs w:val="22"/>
                    <w:lang w:eastAsia="lt-LT"/>
                  </w:rPr>
                  <w:t>Gamtinių dujų įstatymas</w:t>
                </w:r>
              </w:p>
              <w:p>
                <w:pPr>
                  <w:shd w:val="clear" w:color="auto" w:fill="FFFFFF"/>
                  <w:rPr>
                    <w:b/>
                    <w:bCs/>
                    <w:color w:val="000000"/>
                    <w:sz w:val="22"/>
                    <w:szCs w:val="22"/>
                    <w:lang w:eastAsia="lt-LT"/>
                  </w:rPr>
                </w:pPr>
              </w:p>
              <w:p>
                <w:pPr>
                  <w:ind w:left="2127" w:hanging="1407"/>
                  <w:jc w:val="both"/>
                  <w:rPr>
                    <w:color w:val="000000"/>
                    <w:sz w:val="22"/>
                    <w:szCs w:val="22"/>
                    <w:lang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firstLine="720"/>
                  <w:jc w:val="both"/>
                  <w:rPr>
                    <w:color w:val="000000"/>
                    <w:sz w:val="22"/>
                    <w:szCs w:val="22"/>
                    <w:lang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8">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57"/>
                  <w:jc w:val="both"/>
                  <w:rPr>
                    <w:sz w:val="22"/>
                    <w:szCs w:val="22"/>
                    <w:lang w:eastAsia="lt-LT"/>
                  </w:rPr>
                </w:pP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9">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720"/>
                  <w:jc w:val="both"/>
                  <w:rPr>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0">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1">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sz w:val="22"/>
                    <w:szCs w:val="22"/>
                    <w:lang w:val="lt" w:eastAsia="lt-LT"/>
                  </w:rPr>
                </w:pPr>
                <w:r>
                  <w:rPr>
                    <w:i/>
                    <w:iCs/>
                    <w:color w:val="000000"/>
                    <w:sz w:val="22"/>
                    <w:szCs w:val="22"/>
                    <w:lang w:val="lt" w:eastAsia="lt-LT"/>
                  </w:rPr>
                  <w:t xml:space="preserve">Nr. </w:t>
                </w:r>
                <w:hyperlink r:id="rId52">
                  <w:r>
                    <w:rPr>
                      <w:i/>
                      <w:sz w:val="22"/>
                      <w:szCs w:val="22"/>
                      <w:lang w:val="lt" w:eastAsia="lt-LT"/>
                    </w:rPr>
                    <w:t>XI-2054</w:t>
                  </w:r>
                </w:hyperlink>
                <w:r>
                  <w:rPr>
                    <w:i/>
                    <w:sz w:val="22"/>
                    <w:szCs w:val="22"/>
                    <w:lang w:val="lt" w:eastAsia="lt-LT"/>
                  </w:rPr>
                  <w:t xml:space="preserve">, 2012-06-12, Žin., 2012, Nr. </w:t>
                </w:r>
                <w:fldSimple w:instr="HYPERLINK https://www.e-tar.lt/portal/legalAct.html?documentId=TAIS.427222 \t _blank">
                  <w:r>
                    <w:rPr>
                      <w:i/>
                      <w:sz w:val="22"/>
                      <w:szCs w:val="22"/>
                      <w:lang w:val="lt" w:eastAsia="lt-LT"/>
                      <w:u w:val="single"/>
                      <w:color w:val="0000FF" w:themeColor="hyperlink"/>
                    </w:rPr>
                    <w:t>68-3467</w:t>
                  </w:r>
                </w:fldSimple>
                <w:r>
                  <w:rPr>
                    <w:i/>
                    <w:sz w:val="22"/>
                    <w:szCs w:val="22"/>
                    <w:lang w:val="lt" w:eastAsia="lt-LT"/>
                  </w:rPr>
                  <w:t xml:space="preserve"> (2012-06-19)</w:t>
                </w:r>
              </w:p>
              <w:p>
                <w:pPr>
                  <w:jc w:val="both"/>
                  <w:rPr>
                    <w:i/>
                    <w:sz w:val="22"/>
                    <w:szCs w:val="22"/>
                    <w:lang w:val="lt" w:eastAsia="lt-LT"/>
                  </w:rPr>
                </w:pPr>
              </w:p>
              <w:p>
                <w:pPr>
                  <w:shd w:val="clear" w:color="auto" w:fill="FFFFFF"/>
                  <w:jc w:val="both"/>
                  <w:rPr>
                    <w:i/>
                    <w:color w:val="000000"/>
                    <w:sz w:val="22"/>
                    <w:szCs w:val="22"/>
                    <w:lang w:val="lt" w:eastAsia="lt-LT"/>
                  </w:rPr>
                </w:pPr>
                <w:r>
                  <w:rPr>
                    <w:i/>
                    <w:color w:val="000000"/>
                    <w:sz w:val="22"/>
                    <w:szCs w:val="22"/>
                    <w:lang w:val="lt" w:eastAsia="lt-LT"/>
                  </w:rPr>
                  <w:t>Pastaba. Atitinkamos nuostatos bus perkeltos atskiru Gamtinių dujų įstatymo pakeitimo įstatymo projektu (planuojama LRS 2026 m. rudens sesijoje).</w:t>
                </w:r>
              </w:p>
              <w:p>
                <w:pPr>
                  <w:jc w:val="both"/>
                  <w:rPr>
                    <w:i/>
                    <w:iCs/>
                    <w:color w:val="000000"/>
                    <w:sz w:val="22"/>
                    <w:szCs w:val="22"/>
                    <w:lang w:val="lt" w:eastAsia="lt-LT"/>
                  </w:rPr>
                </w:pPr>
              </w:p>
              <w:p>
                <w:pPr>
                  <w:ind w:firstLine="720"/>
                  <w:jc w:val="both"/>
                  <w:rPr>
                    <w:i/>
                    <w:color w:val="000000"/>
                    <w:sz w:val="22"/>
                    <w:szCs w:val="22"/>
                    <w:lang w:val="lt" w:eastAsia="lt-LT"/>
                  </w:rPr>
                </w:pPr>
              </w:p>
              <w:p>
                <w:pPr>
                  <w:shd w:val="clear" w:color="auto" w:fill="FFFFFF"/>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aktualu, valstybės narės arba, jei taip numato valstybės narės, reguliavimo institucijos reikalauja, kad jų teritorijoje veikiantys perdavimo sistemos operatoriai, skirstymo sistemos operatoriai ir </w:t>
                </w:r>
                <w:r>
                  <w:rPr>
                    <w:b/>
                    <w:bCs/>
                    <w:color w:val="000000"/>
                    <w:sz w:val="22"/>
                    <w:szCs w:val="22"/>
                    <w:lang w:eastAsia="lt-LT"/>
                  </w:rPr>
                  <w:t xml:space="preserve">vandenilio tinklo operatoriai pagal šį straipsnį skelbtų technines taisykles, visų pirma prijungimo prie tinklo taisykles, apimančias dujų kokybės, </w:t>
                </w:r>
                <w:r>
                  <w:rPr>
                    <w:b/>
                    <w:color w:val="000000"/>
                    <w:sz w:val="22"/>
                    <w:szCs w:val="22"/>
                    <w:lang w:eastAsia="lt-LT"/>
                  </w:rPr>
                  <w:t>odoravimo</w:t>
                </w:r>
                <w:r>
                  <w:rPr>
                    <w:b/>
                    <w:bCs/>
                    <w:color w:val="000000"/>
                    <w:sz w:val="22"/>
                    <w:szCs w:val="22"/>
                    <w:lang w:eastAsia="lt-LT"/>
                  </w:rPr>
                  <w:t xml:space="preserve"> ir slėgio reikalavimus. </w:t>
                </w:r>
                <w:r>
                  <w:rPr>
                    <w:color w:val="000000"/>
                    <w:sz w:val="22"/>
                    <w:szCs w:val="22"/>
                    <w:lang w:eastAsia="lt-LT"/>
                  </w:rPr>
                  <w:t>Valstybės narės taip pat reikalauja, kad perdavimo ir skirstymo sistemų operatoriai skelbtų dujų iš atsinaujinančiųjų išteklių prijungimo mokesčius, grindžiamus objektyviais, skaidriais ir nediskriminaciniais kriterijais.</w:t>
                </w: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saugojimo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Tarybos patvirtintas tvarkas vandenilio tinklų operatoriai skelbia viešai.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Gamtinių dujų 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3">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54">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5">
                  <w:r>
                    <w:rPr>
                      <w:i/>
                      <w:sz w:val="22"/>
                      <w:szCs w:val="22"/>
                      <w:lang w:val="lt" w:eastAsia="lt-LT"/>
                    </w:rPr>
                    <w:t>XI-2054</w:t>
                  </w:r>
                </w:hyperlink>
                <w:r>
                  <w:rPr>
                    <w:i/>
                    <w:sz w:val="22"/>
                    <w:szCs w:val="22"/>
                    <w:lang w:val="lt" w:eastAsia="lt-LT"/>
                  </w:rPr>
                  <w:t xml:space="preserve">, </w:t>
                </w:r>
                <w:r>
                  <w:rPr>
                    <w:i/>
                    <w:iCs/>
                    <w:color w:val="000000"/>
                    <w:sz w:val="22"/>
                    <w:szCs w:val="22"/>
                    <w:lang w:val="lt" w:eastAsia="lt-LT"/>
                  </w:rPr>
                  <w:t xml:space="preserve">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i/>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tabs>
                    <w:tab w:val="left" w:pos="4098"/>
                  </w:tabs>
                  <w:jc w:val="both"/>
                  <w:rPr>
                    <w:color w:val="000000"/>
                    <w:sz w:val="22"/>
                    <w:szCs w:val="22"/>
                    <w:lang w:eastAsia="lt-LT"/>
                  </w:rPr>
                </w:pPr>
                <w:r>
                  <w:rPr>
                    <w:color w:val="000000"/>
                    <w:sz w:val="22"/>
                    <w:szCs w:val="22"/>
                    <w:lang w:eastAsia="lt-LT"/>
                  </w:rPr>
                  <w:t>III SKYRIUS</w:t>
                </w:r>
              </w:p>
              <w:p>
                <w:pPr>
                  <w:shd w:val="clear" w:color="auto" w:fill="FFFFFF"/>
                  <w:tabs>
                    <w:tab w:val="left" w:pos="3722"/>
                  </w:tabs>
                  <w:jc w:val="both"/>
                  <w:rPr>
                    <w:b/>
                    <w:bCs/>
                    <w:color w:val="000000"/>
                    <w:sz w:val="22"/>
                    <w:szCs w:val="22"/>
                    <w:lang w:eastAsia="lt-LT"/>
                  </w:rPr>
                </w:pPr>
                <w:r>
                  <w:rPr>
                    <w:b/>
                    <w:bCs/>
                    <w:color w:val="000000"/>
                    <w:sz w:val="22"/>
                    <w:szCs w:val="22"/>
                    <w:lang w:eastAsia="lt-LT"/>
                  </w:rPr>
                  <w:t>VARTOTOJŲ ĮGALĖJIMAS BEI APSAUGA IR MAŽMENINĖS RINKOS</w:t>
                </w:r>
              </w:p>
              <w:p>
                <w:pPr>
                  <w:shd w:val="clear" w:color="auto" w:fill="FFFFFF"/>
                  <w:jc w:val="both"/>
                  <w:rPr>
                    <w:i/>
                    <w:iCs/>
                    <w:color w:val="000000"/>
                    <w:sz w:val="22"/>
                    <w:szCs w:val="22"/>
                    <w:lang w:eastAsia="lt-LT"/>
                  </w:rPr>
                </w:pPr>
                <w:r>
                  <w:rPr>
                    <w:i/>
                    <w:iCs/>
                    <w:color w:val="000000"/>
                    <w:sz w:val="22"/>
                    <w:szCs w:val="22"/>
                    <w:lang w:eastAsia="lt-LT"/>
                  </w:rPr>
                  <w:t>11 straipsnis</w:t>
                </w:r>
              </w:p>
              <w:p>
                <w:pPr>
                  <w:shd w:val="clear" w:color="auto" w:fill="FFFFFF"/>
                  <w:jc w:val="both"/>
                  <w:rPr>
                    <w:color w:val="000000"/>
                    <w:sz w:val="22"/>
                    <w:szCs w:val="22"/>
                    <w:lang w:eastAsia="lt-LT"/>
                  </w:rPr>
                </w:pPr>
                <w:r>
                  <w:rPr>
                    <w:b/>
                    <w:bCs/>
                    <w:color w:val="000000"/>
                    <w:sz w:val="22"/>
                    <w:szCs w:val="22"/>
                    <w:lang w:eastAsia="lt-LT"/>
                  </w:rPr>
                  <w:t>Pagrindinės sutartinės teisės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 xml:space="preserve">1. Valstybės narės užtikrina, kad, tiekėjui sutikus, visi galutiniai vartotojai turėtų teisę iš jo gauti gamtines dujas ir </w:t>
                </w:r>
                <w:r>
                  <w:rPr>
                    <w:b/>
                    <w:bCs/>
                    <w:color w:val="000000"/>
                    <w:sz w:val="22"/>
                    <w:szCs w:val="22"/>
                    <w:lang w:eastAsia="lt-LT"/>
                  </w:rPr>
                  <w:t xml:space="preserve">vandenilį nepaisant </w:t>
                </w:r>
                <w:r>
                  <w:rPr>
                    <w:color w:val="000000"/>
                    <w:sz w:val="22"/>
                    <w:szCs w:val="22"/>
                    <w:lang w:eastAsia="lt-LT"/>
                  </w:rPr>
                  <w:t xml:space="preserve">to, kurioje valstybėje narėje tiekėjas įregistruotas, su sąlyga, kad </w:t>
                </w:r>
                <w:r>
                  <w:rPr>
                    <w:b/>
                    <w:bCs/>
                    <w:color w:val="000000"/>
                    <w:sz w:val="22"/>
                    <w:szCs w:val="22"/>
                    <w:lang w:eastAsia="lt-LT"/>
                  </w:rPr>
                  <w:t>tiekėjas laikosi taikytinų prekybos, balansavimo ir energijos tiekimo saugumo taisyklių</w:t>
                </w:r>
                <w:r>
                  <w:rPr>
                    <w:color w:val="000000"/>
                    <w:sz w:val="22"/>
                    <w:szCs w:val="22"/>
                    <w:lang w:eastAsia="lt-LT"/>
                  </w:rPr>
                  <w:t xml:space="preserve"> bei kriterijų </w:t>
                </w:r>
                <w:r>
                  <w:rPr>
                    <w:b/>
                    <w:bCs/>
                    <w:color w:val="000000"/>
                    <w:sz w:val="22"/>
                    <w:szCs w:val="22"/>
                    <w:lang w:eastAsia="lt-LT"/>
                  </w:rPr>
                  <w:t>pagal 8 straipsnio 2 dalį.</w:t>
                </w:r>
                <w:r>
                  <w:rPr>
                    <w:color w:val="000000"/>
                    <w:sz w:val="22"/>
                    <w:szCs w:val="22"/>
                    <w:lang w:eastAsia="lt-LT"/>
                  </w:rPr>
                  <w:t xml:space="preserve"> Tuo atžvilgiu valstybės narės imasi visų būtinų priemonių siekdamos užtikrinti, kad taikant administracines procedūras nebūtų diskriminuojami kitoje valstybėje narėje jau įregistruoti tiekėjai.</w:t>
                </w:r>
              </w:p>
            </w:tc>
            <w:tc>
              <w:tcPr>
                <w:tcW w:w="9407" w:type="dxa"/>
                <w:gridSpan w:val="3"/>
                <w:vAlign w:val="center"/>
              </w:tcPr>
              <w:p>
                <w:pPr>
                  <w:shd w:val="clear" w:color="auto" w:fill="FFFFFF"/>
                  <w:rPr>
                    <w:b/>
                    <w:bCs/>
                    <w:color w:val="000000"/>
                    <w:sz w:val="22"/>
                    <w:szCs w:val="22"/>
                    <w:lang w:eastAsia="lt-LT"/>
                  </w:rPr>
                </w:pPr>
                <w:r>
                  <w:rPr>
                    <w:b/>
                    <w:bCs/>
                    <w:color w:val="000000"/>
                    <w:sz w:val="22"/>
                    <w:szCs w:val="22"/>
                    <w:lang w:eastAsia="lt-LT"/>
                  </w:rPr>
                  <w:t>Vandenilio įstatymo projektas</w:t>
                </w:r>
              </w:p>
              <w:p>
                <w:pPr>
                  <w:shd w:val="clear" w:color="auto" w:fill="FFFFFF"/>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ind w:firstLine="720"/>
                  <w:jc w:val="both"/>
                  <w:rPr>
                    <w:rFonts w:eastAsia="Calibri"/>
                    <w:b/>
                    <w:color w:val="000000"/>
                    <w:sz w:val="22"/>
                    <w:szCs w:val="22"/>
                    <w:lang w:eastAsia="lt-LT"/>
                  </w:rPr>
                </w:pPr>
                <w:r>
                  <w:rPr>
                    <w:rFonts w:eastAsia="Calibri"/>
                    <w:b/>
                    <w:color w:val="000000"/>
                    <w:sz w:val="22"/>
                    <w:szCs w:val="22"/>
                    <w:lang w:eastAsia="lt-LT"/>
                  </w:rPr>
                  <w:t>1. Vandenilį vartotojams tiekia vandenilio tiekėjai, turintys leidimą verstis tiekimo veikla, ir (ar) vandenilio gamintojai, kaip nustatyta šio straipsnio 6 dalyje. Vandenilio tiekėjai ir vandenilio gamintojai, kaip nustatyta šio straipsnio 6 dalyje, yra atsakingi už kokybės reikalavimus atitinkančio vandenilio patiekimą į vandenilio sistemą ir už tiekimo reguliarumą.</w:t>
                </w:r>
              </w:p>
              <w:p>
                <w:pPr>
                  <w:spacing w:line="276" w:lineRule="auto"/>
                  <w:ind w:right="57" w:firstLine="720"/>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pacing w:line="276" w:lineRule="auto"/>
                  <w:ind w:firstLine="720"/>
                  <w:jc w:val="both"/>
                  <w:rPr>
                    <w:b/>
                    <w:color w:val="000000"/>
                    <w:sz w:val="22"/>
                    <w:szCs w:val="22"/>
                    <w:lang w:eastAsia="lt-LT"/>
                  </w:rPr>
                </w:pPr>
                <w:r>
                  <w:rPr>
                    <w:rFonts w:eastAsia="Calibri"/>
                    <w:b/>
                    <w:color w:val="000000"/>
                    <w:sz w:val="22"/>
                    <w:szCs w:val="22"/>
                    <w:lang w:eastAsia="lt-LT"/>
                  </w:rPr>
                  <w:t>&lt;...&gt;</w:t>
                </w:r>
              </w:p>
              <w:p>
                <w:pPr>
                  <w:ind w:firstLine="720"/>
                  <w:jc w:val="both"/>
                  <w:rPr>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r>
                  <w:rPr>
                    <w:color w:val="000000"/>
                    <w:sz w:val="22"/>
                    <w:szCs w:val="22"/>
                    <w:lang w:eastAsia="lt-LT"/>
                  </w:rPr>
                  <w:t>.</w:t>
                </w:r>
              </w:p>
              <w:p>
                <w:pPr>
                  <w:spacing w:line="276" w:lineRule="auto"/>
                  <w:ind w:firstLine="720"/>
                  <w:jc w:val="both"/>
                  <w:rPr>
                    <w:color w:val="000000"/>
                    <w:sz w:val="22"/>
                    <w:szCs w:val="22"/>
                    <w:lang w:eastAsia="lt-LT"/>
                  </w:rPr>
                </w:pPr>
              </w:p>
              <w:p>
                <w:pPr>
                  <w:spacing w:line="276" w:lineRule="auto"/>
                  <w:ind w:firstLine="567"/>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&lt;...&gt;</w:t>
                </w:r>
              </w:p>
              <w:p>
                <w:pPr>
                  <w:ind w:firstLine="567"/>
                  <w:jc w:val="both"/>
                  <w:rPr>
                    <w:b/>
                    <w:bCs/>
                    <w:color w:val="000000"/>
                    <w:sz w:val="22"/>
                    <w:szCs w:val="22"/>
                    <w:lang w:eastAsia="lt-LT"/>
                  </w:rPr>
                </w:pPr>
                <w:r>
                  <w:rPr>
                    <w:b/>
                    <w:bCs/>
                    <w:color w:val="000000"/>
                    <w:sz w:val="22"/>
                    <w:szCs w:val="22"/>
                    <w:lang w:eastAsia="lt-LT"/>
                  </w:rPr>
                  <w:t>6. Leidimas vykdyti vandenilio tiekimo veiklą išduodamas šio įstatymo nustatyta tvarka ir sąlygomis asmeniui, kuris atitinka visus šiuos reikalavimus:</w:t>
                </w:r>
              </w:p>
              <w:p>
                <w:pPr>
                  <w:ind w:firstLine="567"/>
                  <w:jc w:val="both"/>
                  <w:rPr>
                    <w:b/>
                    <w:color w:val="000000"/>
                    <w:sz w:val="22"/>
                    <w:szCs w:val="22"/>
                    <w:lang w:eastAsia="lt-LT"/>
                  </w:rPr>
                </w:pPr>
                <w:r>
                  <w:rPr>
                    <w:b/>
                    <w:bCs/>
                    <w:color w:val="000000"/>
                    <w:sz w:val="22"/>
                    <w:szCs w:val="22"/>
                    <w:lang w:eastAsia="lt-LT"/>
                  </w:rPr>
                  <w:t>1) asmeniui nėra pradėta bankroto, nemokumo, restruktūrizavimo ir (ar) likvidavimo procedūra, o fiziniam asmeniui nėra pradėta fizinio asmens bankroto procedūra;</w:t>
                </w:r>
              </w:p>
              <w:p>
                <w:pPr>
                  <w:ind w:firstLine="567"/>
                  <w:jc w:val="both"/>
                  <w:rPr>
                    <w:b/>
                    <w:bCs/>
                    <w:color w:val="000000"/>
                    <w:sz w:val="22"/>
                    <w:szCs w:val="22"/>
                    <w:lang w:eastAsia="lt-LT"/>
                  </w:rPr>
                </w:pPr>
                <w:r>
                  <w:rPr>
                    <w:b/>
                    <w:bCs/>
                    <w:color w:val="000000"/>
                    <w:sz w:val="22"/>
                    <w:szCs w:val="22"/>
                    <w:lang w:eastAsia="lt-LT"/>
                  </w:rPr>
                  <w:t>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arba išdėstytas dalimis Lietuvos Respublikos teisės aktų nustatyta tvarka arba dėl jų vyksta ginčas ginčus nagrinėjančioje institucijoje, laikoma, kad asmuo mokestinių nepriemokų neturi;</w:t>
                </w:r>
              </w:p>
              <w:p>
                <w:pPr>
                  <w:ind w:firstLine="567"/>
                  <w:jc w:val="both"/>
                  <w:rPr>
                    <w:b/>
                    <w:bCs/>
                    <w:color w:val="000000"/>
                    <w:sz w:val="22"/>
                    <w:szCs w:val="22"/>
                    <w:lang w:eastAsia="lt-LT"/>
                  </w:rPr>
                </w:pPr>
                <w:r>
                  <w:rPr>
                    <w:b/>
                    <w:bCs/>
                    <w:color w:val="000000"/>
                    <w:sz w:val="22"/>
                    <w:szCs w:val="22"/>
                    <w:lang w:eastAsia="lt-LT"/>
                  </w:rPr>
                  <w:t>3) turi darbuotojus ar yra sudaręs sutartis su trečiosiomis šalimis dėl paslaugų leidimais reguliuojamai veiklai vykdyti;</w:t>
                </w:r>
              </w:p>
              <w:p>
                <w:pPr>
                  <w:ind w:firstLine="567"/>
                  <w:jc w:val="both"/>
                  <w:rPr>
                    <w:b/>
                    <w:bCs/>
                    <w:color w:val="000000"/>
                    <w:sz w:val="22"/>
                    <w:szCs w:val="22"/>
                    <w:lang w:eastAsia="lt-LT"/>
                  </w:rPr>
                </w:pPr>
                <w:r>
                  <w:rPr>
                    <w:b/>
                    <w:bCs/>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ind w:firstLine="567"/>
                  <w:jc w:val="both"/>
                  <w:rPr>
                    <w:b/>
                    <w:bCs/>
                    <w:color w:val="000000"/>
                    <w:sz w:val="22"/>
                    <w:szCs w:val="22"/>
                    <w:lang w:eastAsia="lt-LT"/>
                  </w:rPr>
                </w:pPr>
                <w:r>
                  <w:rPr>
                    <w:b/>
                    <w:bCs/>
                    <w:color w:val="000000"/>
                    <w:sz w:val="22"/>
                    <w:szCs w:val="22"/>
                    <w:lang w:eastAsia="lt-LT"/>
                  </w:rPr>
                  <w:t>a) užtikrinančias nepertraukiamą ir saugų duomenų mainų vykdymą su vandenilio tinklų operatoriais ir kitais vandenilio rinkos dalyviais;</w:t>
                </w:r>
              </w:p>
              <w:p>
                <w:pPr>
                  <w:ind w:firstLine="567"/>
                  <w:jc w:val="both"/>
                  <w:rPr>
                    <w:b/>
                    <w:bCs/>
                    <w:color w:val="000000"/>
                    <w:sz w:val="22"/>
                    <w:szCs w:val="22"/>
                    <w:lang w:eastAsia="lt-LT"/>
                  </w:rPr>
                </w:pPr>
                <w:r>
                  <w:rPr>
                    <w:b/>
                    <w:bCs/>
                    <w:color w:val="000000"/>
                    <w:sz w:val="22"/>
                    <w:szCs w:val="22"/>
                    <w:lang w:eastAsia="lt-LT"/>
                  </w:rPr>
                  <w:t>b) leidžiančias vykdyti vandenilio vartojimo duomenų apdorojimą, saugojimą ir perdavimą, taip pat atlikti tiekėjo keitimo, balansavimo, atsiskaitymų už suteiktas paslaugas procesus;</w:t>
                </w:r>
              </w:p>
              <w:p>
                <w:pPr>
                  <w:ind w:firstLine="567"/>
                  <w:jc w:val="both"/>
                  <w:rPr>
                    <w:b/>
                    <w:bCs/>
                    <w:color w:val="000000"/>
                    <w:sz w:val="22"/>
                    <w:szCs w:val="22"/>
                    <w:lang w:eastAsia="lt-LT"/>
                  </w:rPr>
                </w:pPr>
                <w:r>
                  <w:rPr>
                    <w:b/>
                    <w:bCs/>
                    <w:color w:val="000000"/>
                    <w:sz w:val="22"/>
                    <w:szCs w:val="22"/>
                    <w:lang w:eastAsia="lt-LT"/>
                  </w:rPr>
                  <w:t>c) užtikrinančias tiekimo veiklos vykdymą techninių sutrikimų, kibernetinių incidentų ar kitų veiklos nepertraukiamumui kylančių grėsmių atveju;</w:t>
                </w:r>
              </w:p>
              <w:p>
                <w:pPr>
                  <w:ind w:firstLine="567"/>
                  <w:jc w:val="both"/>
                  <w:rPr>
                    <w:b/>
                    <w:bCs/>
                    <w:color w:val="000000"/>
                    <w:sz w:val="22"/>
                    <w:szCs w:val="22"/>
                    <w:lang w:eastAsia="lt-LT"/>
                  </w:rPr>
                </w:pPr>
                <w:r>
                  <w:rPr>
                    <w:b/>
                    <w:bCs/>
                    <w:color w:val="000000"/>
                    <w:sz w:val="22"/>
                    <w:szCs w:val="22"/>
                    <w:lang w:eastAsia="lt-LT"/>
                  </w:rPr>
                  <w:t>d) atitinkančias teisės aktų reikalavimus dėl informacijos saugumo, duomenų apsaugos ir kibernetinio saugumo.</w:t>
                </w:r>
              </w:p>
              <w:p>
                <w:pPr>
                  <w:ind w:firstLine="567"/>
                  <w:jc w:val="both"/>
                  <w:rPr>
                    <w:color w:val="000000"/>
                    <w:sz w:val="22"/>
                    <w:szCs w:val="22"/>
                    <w:lang w:eastAsia="lt-LT"/>
                  </w:rPr>
                </w:pPr>
                <w:r>
                  <w:rPr>
                    <w:b/>
                    <w:bCs/>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val="lt" w:eastAsia="lt-LT"/>
                  </w:rPr>
                </w:pPr>
                <w:r>
                  <w:rPr>
                    <w:color w:val="000000"/>
                    <w:sz w:val="22"/>
                    <w:szCs w:val="22"/>
                    <w:lang w:val="lt" w:eastAsia="lt-LT"/>
                  </w:rPr>
                  <w:t>1. Gamtinių dujų sektoriuje licencijuojama ši veikla:</w:t>
                </w:r>
              </w:p>
              <w:p>
                <w:pPr>
                  <w:ind w:firstLine="720"/>
                  <w:jc w:val="both"/>
                  <w:rPr>
                    <w:color w:val="000000"/>
                    <w:sz w:val="22"/>
                    <w:szCs w:val="22"/>
                    <w:lang w:val="lt" w:eastAsia="lt-LT"/>
                  </w:rPr>
                </w:pPr>
                <w:r>
                  <w:rPr>
                    <w:color w:val="000000"/>
                    <w:sz w:val="22"/>
                    <w:szCs w:val="22"/>
                    <w:lang w:val="lt" w:eastAsia="lt-LT"/>
                  </w:rPr>
                  <w:t>1) perdavimo;</w:t>
                </w:r>
              </w:p>
              <w:p>
                <w:pPr>
                  <w:ind w:firstLine="720"/>
                  <w:jc w:val="both"/>
                  <w:rPr>
                    <w:color w:val="000000"/>
                    <w:sz w:val="22"/>
                    <w:szCs w:val="22"/>
                    <w:lang w:val="lt" w:eastAsia="lt-LT"/>
                  </w:rPr>
                </w:pPr>
                <w:r>
                  <w:rPr>
                    <w:color w:val="000000"/>
                    <w:sz w:val="22"/>
                    <w:szCs w:val="22"/>
                    <w:lang w:val="lt" w:eastAsia="lt-LT"/>
                  </w:rPr>
                  <w:t>2) skirstymo;</w:t>
                </w:r>
              </w:p>
              <w:p>
                <w:pPr>
                  <w:ind w:firstLine="720"/>
                  <w:jc w:val="both"/>
                  <w:rPr>
                    <w:color w:val="000000"/>
                    <w:sz w:val="22"/>
                    <w:szCs w:val="22"/>
                    <w:lang w:val="lt" w:eastAsia="lt-LT"/>
                  </w:rPr>
                </w:pPr>
                <w:r>
                  <w:rPr>
                    <w:color w:val="000000"/>
                    <w:sz w:val="22"/>
                    <w:szCs w:val="22"/>
                    <w:lang w:val="lt" w:eastAsia="lt-LT"/>
                  </w:rPr>
                  <w:t>3) laikymo;</w:t>
                </w:r>
              </w:p>
              <w:p>
                <w:pPr>
                  <w:ind w:firstLine="720"/>
                  <w:jc w:val="both"/>
                  <w:rPr>
                    <w:color w:val="000000"/>
                    <w:sz w:val="22"/>
                    <w:szCs w:val="22"/>
                    <w:lang w:val="lt" w:eastAsia="lt-LT"/>
                  </w:rPr>
                </w:pPr>
                <w:r>
                  <w:rPr>
                    <w:color w:val="000000"/>
                    <w:sz w:val="22"/>
                    <w:szCs w:val="22"/>
                    <w:lang w:val="lt" w:eastAsia="lt-LT"/>
                  </w:rPr>
                  <w:t>4) SGD pakartotinio dujinimo;</w:t>
                </w:r>
              </w:p>
              <w:p>
                <w:pPr>
                  <w:ind w:firstLine="720"/>
                  <w:jc w:val="both"/>
                  <w:rPr>
                    <w:color w:val="000000"/>
                    <w:sz w:val="22"/>
                    <w:szCs w:val="22"/>
                    <w:lang w:val="lt" w:eastAsia="lt-LT"/>
                  </w:rPr>
                </w:pPr>
                <w:r>
                  <w:rPr>
                    <w:color w:val="000000"/>
                    <w:sz w:val="22"/>
                    <w:szCs w:val="22"/>
                    <w:lang w:val="lt" w:eastAsia="lt-LT"/>
                  </w:rPr>
                  <w:t>5) biržos operatoriaus.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6">
                  <w:r>
                    <w:rPr>
                      <w:rFonts w:eastAsia="Arial"/>
                      <w:i/>
                      <w:sz w:val="22"/>
                      <w:szCs w:val="22"/>
                      <w:lang w:val="lt" w:eastAsia="lt-LT"/>
                    </w:rPr>
                    <w:t>XIII-1782</w:t>
                  </w:r>
                </w:hyperlink>
                <w:r>
                  <w:rPr>
                    <w:rFonts w:eastAsia="Arial"/>
                    <w:i/>
                    <w:sz w:val="22"/>
                    <w:szCs w:val="22"/>
                    <w:lang w:val="lt" w:eastAsia="lt-LT"/>
                  </w:rPr>
                  <w:t>,</w:t>
                </w:r>
                <w:r>
                  <w:rPr>
                    <w:i/>
                    <w:color w:val="000000"/>
                    <w:sz w:val="22"/>
                    <w:szCs w:val="22"/>
                    <w:lang w:val="lt" w:eastAsia="lt-LT"/>
                  </w:rPr>
                  <w:t xml:space="preserve">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3. Asmenims, siekiantiems gamtinių dujų sektoriuje vykdyti licencijuojamą ir leidimais reguliuojamą veiklą, licencijos ir leidimai šio įstatymo ir Energetikos įstatymo nustatytomis sąlygomis ir tvarka išduodami vadovaujantis veiklos saugumo, patikimumo ir nediskriminavimo principais, nesiekiant apriboti rinkos dalyvių skaičiaus ir neterminuotam laikui.</w:t>
                </w:r>
              </w:p>
              <w:p>
                <w:pPr>
                  <w:ind w:firstLine="567"/>
                  <w:jc w:val="both"/>
                  <w:rPr>
                    <w:b/>
                    <w:bCs/>
                    <w:color w:val="000000"/>
                    <w:sz w:val="22"/>
                    <w:szCs w:val="22"/>
                    <w:lang w:eastAsia="lt-LT"/>
                  </w:rPr>
                </w:pPr>
                <w:r>
                  <w:rPr>
                    <w:b/>
                    <w:bCs/>
                    <w:color w:val="000000"/>
                    <w:sz w:val="22"/>
                    <w:szCs w:val="22"/>
                    <w:lang w:eastAsia="lt-LT"/>
                  </w:rPr>
                  <w:t>&lt;...&gt;</w:t>
                </w:r>
              </w:p>
              <w:p>
                <w:pPr>
                  <w:ind w:firstLine="567"/>
                  <w:jc w:val="both"/>
                  <w:rPr>
                    <w:color w:val="000000"/>
                    <w:sz w:val="22"/>
                    <w:szCs w:val="22"/>
                    <w:lang w:val="lt" w:eastAsia="lt-LT"/>
                  </w:rPr>
                </w:pPr>
                <w:r>
                  <w:rPr>
                    <w:color w:val="000000"/>
                    <w:sz w:val="22"/>
                    <w:szCs w:val="22"/>
                    <w:lang w:val="lt" w:eastAsia="lt-LT"/>
                  </w:rPr>
                  <w:t>6. Tiekimo leidimai išduodami asmenims, kuriems nėra pradėta bankroto, reorganizavimo ir (ar) likvidavimo procedūra.</w:t>
                </w:r>
              </w:p>
              <w:p>
                <w:pPr>
                  <w:ind w:firstLine="567"/>
                  <w:jc w:val="both"/>
                  <w:rPr>
                    <w:color w:val="000000"/>
                    <w:sz w:val="22"/>
                    <w:szCs w:val="22"/>
                    <w:lang w:val="lt" w:eastAsia="lt-LT"/>
                  </w:rPr>
                </w:pPr>
                <w:r>
                  <w:rPr>
                    <w:color w:val="000000"/>
                    <w:sz w:val="22"/>
                    <w:szCs w:val="22"/>
                    <w:lang w:val="lt" w:eastAsia="lt-LT"/>
                  </w:rPr>
                  <w:t>&lt;...&gt;</w:t>
                </w:r>
              </w:p>
              <w:p>
                <w:pPr>
                  <w:ind w:firstLine="567"/>
                  <w:jc w:val="both"/>
                  <w:rPr>
                    <w:color w:val="000000"/>
                    <w:sz w:val="22"/>
                    <w:szCs w:val="22"/>
                    <w:lang w:val="lt" w:eastAsia="lt-LT"/>
                  </w:rPr>
                </w:pPr>
                <w:r>
                  <w:rPr>
                    <w:color w:val="000000"/>
                    <w:sz w:val="22"/>
                    <w:szCs w:val="22"/>
                    <w:lang w:val="lt" w:eastAsia="lt-LT"/>
                  </w:rPr>
                  <w:t>11. Gamtinių dujų įmonės, vykdydamos licencijuojamą ir (ar) leidimais reguliuojamą veiklą, privalo laikytis Europos Sąjungos teisės ir nacionalinės teisės reikalavimų ir principų bei šiame įstatyme nustatytų įpareigojimų.</w:t>
                </w:r>
              </w:p>
              <w:p>
                <w:pPr>
                  <w:ind w:firstLine="567"/>
                  <w:jc w:val="both"/>
                  <w:rPr>
                    <w:color w:val="000000"/>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23 straipsnis. Tiekimas</w:t>
                </w:r>
              </w:p>
              <w:p>
                <w:pPr>
                  <w:ind w:firstLine="720"/>
                  <w:jc w:val="both"/>
                  <w:rPr>
                    <w:color w:val="000000"/>
                    <w:sz w:val="22"/>
                    <w:szCs w:val="22"/>
                    <w:lang w:val="lt" w:eastAsia="lt-LT"/>
                  </w:rPr>
                </w:pPr>
                <w:r>
                  <w:rPr>
                    <w:color w:val="000000"/>
                    <w:sz w:val="22"/>
                    <w:szCs w:val="22"/>
                    <w:lang w:val="lt" w:eastAsia="lt-LT"/>
                  </w:rPr>
                  <w:t>1. Gamtines dujas vartotojams tiekia tiekimo įmonės, turinčios leidimą verstis tiekimo veikla. Tiekimo įmonė yra atsakinga už kokybės reikalavimus atitinkančių gamtinių dujų patiekimą į sistemą, už tiekimo reguliarumą ir privalo dalyvauti balansuojant gamtinių dujų srautus.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7">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Leidimas verstis tiekimo veikla suteikia teisę tiekimo įmonei tiekti gamtines dujas vartotojams ir gamtinių dujų įmonėms.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 xml:space="preserve">Nr. </w:t>
                </w:r>
                <w:hyperlink r:id="rId58">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67"/>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2. Nedarant poveikio Sąjungos taisyklėms dėl vartotojų apsaugos, ypač Europos Parlamento ir Tarybos direktyvai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 </w:t>
                </w:r>
                <w:r>
                  <w:rPr>
                    <w:color w:val="000000"/>
                    <w:sz w:val="22"/>
                    <w:szCs w:val="22"/>
                    <w:vertAlign w:val="superscript"/>
                    <w:lang w:eastAsia="lt-LT"/>
                  </w:rPr>
                  <w:t>44</w:t>
                </w:r>
                <w:r>
                  <w:rPr>
                    <w:color w:val="000000"/>
                    <w:sz w:val="22"/>
                    <w:szCs w:val="22"/>
                    <w:lang w:eastAsia="lt-LT"/>
                  </w:rPr>
                  <w:t xml:space="preserve">) ir Tarybos direktyvai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 </w:t>
                </w:r>
                <w:r>
                  <w:rPr>
                    <w:color w:val="000000"/>
                    <w:sz w:val="22"/>
                    <w:szCs w:val="22"/>
                    <w:vertAlign w:val="superscript"/>
                    <w:lang w:eastAsia="lt-LT"/>
                  </w:rPr>
                  <w:t>45</w:t>
                </w:r>
                <w:r>
                  <w:rPr>
                    <w:color w:val="000000"/>
                    <w:sz w:val="22"/>
                    <w:szCs w:val="22"/>
                    <w:lang w:eastAsia="lt-LT"/>
                  </w:rPr>
                  <w:t>), valstybės narės užtikrina, kad galutiniai vartotojai turėtų šio straipsnio 3–11 dalyse numatytas teises.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44</w:t>
                </w:r>
                <w:r>
                  <w:rPr>
                    <w:color w:val="000000"/>
                    <w:sz w:val="22"/>
                    <w:szCs w:val="22"/>
                    <w:lang w:eastAsia="lt-LT"/>
                  </w:rPr>
                  <w:t xml:space="preserve">) 2011 m. spalio 25 d. Europos Parlamento ir Tarybos direktyva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dėl vartotojų teisių, kuria iš dalies keičiamos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ir Europos Parlamento ir Tarybos direktyva </w:t>
                </w:r>
                <w:fldSimple w:instr="HYPERLINK http://eur-lex.europa.eu/legal-content/LIT/TXT/?uri=CELEX:31999L0044&amp;locale=lt \t _blank">
                  <w:r>
                    <w:rPr>
                      <w:color w:val="0000FF" w:themeColor="hyperlink"/>
                      <w:sz w:val="22"/>
                      <w:szCs w:val="22"/>
                      <w:lang w:eastAsia="lt-LT"/>
                      <w:u w:val="single"/>
                    </w:rPr>
                    <w:t>1999/44/EB</w:t>
                  </w:r>
                </w:fldSimple>
                <w:r>
                  <w:rPr>
                    <w:color w:val="000000"/>
                    <w:sz w:val="22"/>
                    <w:szCs w:val="22"/>
                    <w:lang w:eastAsia="lt-LT"/>
                  </w:rPr>
                  <w:t xml:space="preserve"> bei panaikinamos Tarybos direktyva </w:t>
                </w:r>
                <w:fldSimple w:instr="HYPERLINK http://eur-lex.europa.eu/legal-content/LIT/TXT/?uri=CELEX:31985L0577&amp;locale=lt \t _blank">
                  <w:r>
                    <w:rPr>
                      <w:color w:val="0000FF" w:themeColor="hyperlink"/>
                      <w:sz w:val="22"/>
                      <w:szCs w:val="22"/>
                      <w:lang w:eastAsia="lt-LT"/>
                      <w:u w:val="single"/>
                    </w:rPr>
                    <w:t>85/577/EEB</w:t>
                  </w:r>
                </w:fldSimple>
                <w:r>
                  <w:rPr>
                    <w:color w:val="000000"/>
                    <w:sz w:val="22"/>
                    <w:szCs w:val="22"/>
                    <w:lang w:eastAsia="lt-LT"/>
                  </w:rPr>
                  <w:t xml:space="preserve"> ir Europos Parlamento ir Tarybos direktyva </w:t>
                </w:r>
                <w:fldSimple w:instr="HYPERLINK http://eur-lex.europa.eu/legal-content/LIT/TXT/?uri=CELEX:31997L0007&amp;locale=lt \t _blank">
                  <w:r>
                    <w:rPr>
                      <w:color w:val="0000FF" w:themeColor="hyperlink"/>
                      <w:sz w:val="22"/>
                      <w:szCs w:val="22"/>
                      <w:lang w:eastAsia="lt-LT"/>
                      <w:u w:val="single"/>
                    </w:rPr>
                    <w:t>97/7/EB</w:t>
                  </w:r>
                </w:fldSimple>
                <w:r>
                  <w:rPr>
                    <w:color w:val="000000"/>
                    <w:sz w:val="22"/>
                    <w:szCs w:val="22"/>
                    <w:lang w:eastAsia="lt-LT"/>
                  </w:rPr>
                  <w:t xml:space="preserve"> (OL L 304, 2011 11 22, p. 64).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45</w:t>
                </w:r>
                <w:r>
                  <w:rPr>
                    <w:color w:val="000000"/>
                    <w:sz w:val="22"/>
                    <w:szCs w:val="22"/>
                    <w:lang w:eastAsia="lt-LT"/>
                  </w:rPr>
                  <w:t xml:space="preserve">) 1993 m. balandžio 5 d.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dėl nesąžiningų sąlygų sutartyse su vartotojais (OL L 95, 1993 4 21, p. 29).</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i/>
                    <w:color w:val="000000"/>
                    <w:sz w:val="22"/>
                    <w:szCs w:val="22"/>
                    <w:lang w:eastAsia="lt-LT"/>
                  </w:rPr>
                </w:pPr>
                <w:r>
                  <w:rPr>
                    <w:i/>
                    <w:color w:val="000000"/>
                    <w:sz w:val="22"/>
                    <w:szCs w:val="22"/>
                    <w:lang w:eastAsia="lt-LT"/>
                  </w:rPr>
                  <w:t>Pastaba. Šios nuostatos perkėlimas į nacionalinę teisę grindžiamas nacionalinių teisės aktų nuostatomis, nurodytomis, kaip perkeliančiomis šio straipsnio 3-11 dalių nuostatas.</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Galutiniai vartotojai turi teisę sudaryti sutartį su savo tiekėju, kurioje nurodoma:</w:t>
                </w:r>
              </w:p>
            </w:tc>
            <w:tc>
              <w:tcPr>
                <w:tcW w:w="9407" w:type="dxa"/>
                <w:gridSpan w:val="3"/>
                <w:vAlign w:val="center"/>
              </w:tcPr>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ind w:firstLine="720"/>
                  <w:jc w:val="both"/>
                  <w:rPr>
                    <w:b/>
                    <w:bCs/>
                    <w:color w:val="000000"/>
                    <w:sz w:val="22"/>
                    <w:szCs w:val="22"/>
                    <w:lang w:eastAsia="lt-LT"/>
                  </w:rPr>
                </w:pPr>
                <w:r>
                  <w:rPr>
                    <w:rFonts w:eastAsia="Calibri"/>
                    <w:b/>
                    <w:color w:val="000000"/>
                    <w:sz w:val="22"/>
                    <w:szCs w:val="22"/>
                    <w:lang w:eastAsia="lt-LT"/>
                  </w:rPr>
                  <w:t>&lt;...&gt;</w:t>
                </w:r>
              </w:p>
              <w:p>
                <w:pPr>
                  <w:widowControl w:val="0"/>
                  <w:ind w:firstLine="720"/>
                  <w:jc w:val="both"/>
                  <w:rPr>
                    <w:b/>
                    <w:bCs/>
                    <w:color w:val="000000"/>
                    <w:sz w:val="22"/>
                    <w:szCs w:val="22"/>
                    <w:lang w:eastAsia="lt-LT"/>
                  </w:rPr>
                </w:pPr>
                <w:r>
                  <w:rPr>
                    <w:rFonts w:eastAsia="Calibri"/>
                    <w:b/>
                    <w:bCs/>
                    <w:color w:val="000000"/>
                    <w:sz w:val="22"/>
                    <w:szCs w:val="22"/>
                    <w:lang w:eastAsia="lt-LT"/>
                  </w:rPr>
                  <w:t xml:space="preserve">4. </w:t>
                </w:r>
                <w:r>
                  <w:rPr>
                    <w:b/>
                    <w:bCs/>
                    <w:color w:val="000000"/>
                    <w:sz w:val="22"/>
                    <w:szCs w:val="22"/>
                    <w:lang w:eastAsia="lt-LT"/>
                  </w:rPr>
                  <w:t>Vandenilio tiekėjas tiekia vandenilį nebuitiniams vartotojams ir vandenilio įmonėms pagal dvišales sutartis. Nebuitiniai vandenilio vartotojai ir vandenilio gamintojai (ar jų pasirinkti vandenilio tiekėjai), kurių sistemos yra prijungtos prie vandenilio tinklų, privalo sudaryti atskiras sutartis su vandenilio tinklų operatoriais dėl vandenilio transportavimo. Vandenilio perdavimo ir skirstymo tinklų operatoriai privalo užtikrinti teisę naudotis vandenilio tinklais nediskriminacinėmis ir skaidriomis sąlygomis.</w:t>
                </w:r>
              </w:p>
              <w:p>
                <w:pPr>
                  <w:widowControl w:val="0"/>
                  <w:ind w:firstLine="720"/>
                  <w:jc w:val="both"/>
                  <w:rPr>
                    <w:b/>
                    <w:bCs/>
                    <w:color w:val="000000"/>
                    <w:sz w:val="22"/>
                    <w:szCs w:val="22"/>
                    <w:lang w:eastAsia="lt-LT"/>
                  </w:rPr>
                </w:pPr>
                <w:r>
                  <w:rPr>
                    <w:b/>
                    <w:bCs/>
                    <w:color w:val="000000"/>
                    <w:sz w:val="22"/>
                    <w:szCs w:val="22"/>
                    <w:lang w:eastAsia="lt-LT"/>
                  </w:rPr>
                  <w:t>5. Vandenilis buitiniams vartotojams tiekiamas, laikantis Tiekimo ir vartojimo taisyklėse nustatytų sąlygų ir tvarkos, bei Lietuvos Respublikos civilinio kodekso bendrųjų sutarčių teisės nuostatų. Bendrosios sutarčių sąlygos turi būti aiškiai ir suprantamai apibrėžtos, jose neturi būti kliūčių, trukdančių vartotojui naudotis savo teisėmis. Tokios sutarčių bendrosios sąlygos privalo būti skelbiamos viešai.</w:t>
                </w:r>
              </w:p>
              <w:p>
                <w:pPr>
                  <w:ind w:firstLine="720"/>
                  <w:jc w:val="both"/>
                  <w:rPr>
                    <w:b/>
                    <w:bCs/>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w:t>
                  <w:tab/>
                  <w:t xml:space="preserve"> su laisvai pasirinktu vandenilio tiekėju sudaryti sutartį;</w:t>
                </w:r>
              </w:p>
              <w:p>
                <w:pPr>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1. Gamtinių dujų vartotojų teisių ir teisėtų interesų apsaugos valstybinę priežiūrą ir kontrolę pagal kompetenciją atlieka Taryba ir Valstybinė vartotojų teisių apsaugos tarnyba.</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59">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firstLine="720"/>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0">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firstLine="720"/>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2">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3">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10) pakeitus gamtinių dujų tiekėją, ne vėliau kaip per šešias savaites nuo tiekėjo pakeitimo gauti paskutinę sąskaitą;</w:t>
                </w:r>
              </w:p>
              <w:p>
                <w:pPr>
                  <w:ind w:right="57" w:firstLine="720"/>
                  <w:jc w:val="both"/>
                  <w:rPr>
                    <w:color w:val="000000"/>
                    <w:sz w:val="22"/>
                    <w:szCs w:val="22"/>
                    <w:lang w:val="lt" w:eastAsia="lt-LT"/>
                  </w:rPr>
                </w:pPr>
                <w:r>
                  <w:rPr>
                    <w:color w:val="000000"/>
                    <w:sz w:val="22"/>
                    <w:szCs w:val="22"/>
                    <w:lang w:val="lt" w:eastAsia="lt-LT"/>
                  </w:rPr>
                  <w:t>11) neteko galios nuo 2012-06-19.</w:t>
                </w:r>
              </w:p>
              <w:p>
                <w:pPr>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 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9630"/>
            </w:trPr>
            <w:tc>
              <w:tcPr>
                <w:tcW w:w="3913" w:type="dxa"/>
              </w:tcPr>
              <w:p>
                <w:pPr>
                  <w:shd w:val="clear" w:color="auto" w:fill="FFFFFF"/>
                  <w:jc w:val="both"/>
                  <w:rPr>
                    <w:color w:val="000000"/>
                    <w:sz w:val="22"/>
                    <w:szCs w:val="22"/>
                    <w:lang w:eastAsia="lt-LT"/>
                  </w:rPr>
                </w:pPr>
                <w:r>
                  <w:rPr>
                    <w:color w:val="000000"/>
                    <w:sz w:val="22"/>
                    <w:szCs w:val="22"/>
                    <w:lang w:eastAsia="lt-LT"/>
                  </w:rPr>
                  <w:t>a) tiekėjo tapatybė ir kontaktiniai duomenys, įskaitant adresą, e. pašto adresą ir pagalbos vartotojams liniją;</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 xml:space="preserve">17 straipsnis. </w:t>
                </w:r>
                <w:r>
                  <w:rPr>
                    <w:b/>
                    <w:color w:val="000000"/>
                    <w:sz w:val="22"/>
                    <w:szCs w:val="22"/>
                    <w:lang w:eastAsia="lt-LT"/>
                  </w:rPr>
                  <w:t xml:space="preserve"> Vandenilio įmonių, vartotojų ir vandenilio sistemos naudotojų santykiai</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Vandenilio tiekėjų sutartyse su vartotojais ir vandenilio sistemos naudotojais nurodoma: vandenilio įmonės pavadinimas, adresas, kodas, vandenilio kilmė, vandenilio kiekis, kokybė, kaina, tiekimo, transportavimo tvarka, vandenilio tiekimo, perdavimo, skirstymo ribojimo ar nutraukimo sąlygos, informacijos apie vandenilio, teikiamų paslaugų kainas pateikimo tvarka, paslaugų teikimo sąlygos, šalių įsipareigojimai, atsakomybė, atsiskaitymo tvarka, sutarties terminas, pakeitimo ir nutraukimo sąlygos, ginčų nagrinėjimo tvarka.</w:t>
                </w:r>
              </w:p>
              <w:p>
                <w:pPr>
                  <w:tabs>
                    <w:tab w:val="left" w:pos="567"/>
                  </w:tabs>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tiekimo ir vartojimo taisyklės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15. Sutartyse turi būti nurodyta:</w:t>
                </w:r>
              </w:p>
              <w:p>
                <w:pPr>
                  <w:jc w:val="both"/>
                  <w:rPr>
                    <w:color w:val="000000"/>
                    <w:sz w:val="22"/>
                    <w:szCs w:val="22"/>
                    <w:lang w:val="lt" w:eastAsia="lt-LT"/>
                  </w:rPr>
                </w:pPr>
                <w:r>
                  <w:rPr>
                    <w:color w:val="000000"/>
                    <w:sz w:val="22"/>
                    <w:szCs w:val="22"/>
                    <w:lang w:val="lt" w:eastAsia="lt-LT"/>
                  </w:rPr>
                  <w:t xml:space="preserve">15.1. Skirstymo sistemos operatorius ar tiekimo įmonė (pavadinimas, įmonės kodas, buveinė, Tarybos licencijos (leidimo), išduotos vykdyti atitinkamai veiklai, numeris ir išdavimo data, kontaktinė informacija (dujų įmonės ar jos padalinio adresas,  telefono numeris ir (ar) el. pašto adresas, tinklalapio adresas ar kita), jo įgaliotas atstovas sudaryti sutartį ir atstovavimą patvirtinantys dokumentai.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4"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jc w:val="both"/>
                  <w:rPr>
                    <w:i/>
                    <w:iCs/>
                    <w:color w:val="000000"/>
                    <w:sz w:val="22"/>
                    <w:szCs w:val="22"/>
                    <w:lang w:val="lt" w:eastAsia="lt-LT"/>
                  </w:rPr>
                </w:pPr>
                <w:r>
                  <w:rPr>
                    <w:i/>
                    <w:iCs/>
                    <w:color w:val="000000"/>
                    <w:sz w:val="22"/>
                    <w:szCs w:val="22"/>
                    <w:lang w:val="lt" w:eastAsia="lt-LT"/>
                  </w:rPr>
                  <w:t xml:space="preserve">Nr. </w:t>
                </w:r>
                <w:hyperlink r:id="rId65" w:history="1">
                  <w:r>
                    <w:rPr>
                      <w:i/>
                      <w:iCs/>
                      <w:color w:val="000000"/>
                      <w:sz w:val="22"/>
                      <w:szCs w:val="22"/>
                      <w:u w:val="single"/>
                      <w:lang w:val="lt" w:eastAsia="lt-LT"/>
                    </w:rPr>
                    <w:t>1-145</w:t>
                  </w:r>
                </w:hyperlink>
                <w:r>
                  <w:rPr>
                    <w:i/>
                    <w:iCs/>
                    <w:color w:val="000000"/>
                    <w:sz w:val="22"/>
                    <w:szCs w:val="22"/>
                    <w:lang w:val="lt" w:eastAsia="lt-LT"/>
                  </w:rPr>
                  <w:t>, 2025-05-28, paskelbta TAR 2025-05-28, i. k. 2025-09431</w:t>
                </w:r>
              </w:p>
              <w:p>
                <w:pPr>
                  <w:jc w:val="both"/>
                  <w:rPr>
                    <w:i/>
                    <w:iCs/>
                    <w:color w:val="000000"/>
                    <w:sz w:val="22"/>
                    <w:szCs w:val="22"/>
                    <w:lang w:val="lt" w:eastAsia="lt-LT"/>
                  </w:rPr>
                </w:pPr>
                <w:r>
                  <w:rPr>
                    <w:i/>
                    <w:i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 xml:space="preserve">16. Skirstymo paslaugos sutartyje, </w:t>
                </w:r>
                <w:r>
                  <w:rPr>
                    <w:b/>
                    <w:color w:val="000000"/>
                    <w:sz w:val="22"/>
                    <w:szCs w:val="22"/>
                    <w:lang w:val="lt" w:eastAsia="lt-LT"/>
                  </w:rPr>
                  <w:t>Dujų pirkimo–pardavimo ir paslaugų teikimo sutartyje</w:t>
                </w:r>
                <w:r>
                  <w:rPr>
                    <w:color w:val="000000"/>
                    <w:sz w:val="22"/>
                    <w:szCs w:val="22"/>
                    <w:lang w:val="lt" w:eastAsia="lt-LT"/>
                  </w:rPr>
                  <w:t xml:space="preserve"> (Taisyklių 1 priedo 11 punktas), be Taisyklių 15.1 papunktyje apibrėžtos informacijos, </w:t>
                </w:r>
                <w:r>
                  <w:rPr>
                    <w:b/>
                    <w:color w:val="000000"/>
                    <w:sz w:val="22"/>
                    <w:szCs w:val="22"/>
                    <w:lang w:val="lt" w:eastAsia="lt-LT"/>
                  </w:rPr>
                  <w:t>papildomai nurodomas įmonės, kuri teikia avarinės tarnybos paslaugas, pavadinimas ir kontaktinė informacija.</w:t>
                </w:r>
                <w:r>
                  <w:rPr>
                    <w:color w:val="000000"/>
                    <w:sz w:val="22"/>
                    <w:szCs w:val="22"/>
                    <w:lang w:val="lt" w:eastAsia="lt-LT"/>
                  </w:rPr>
                  <w:t xml:space="preserve"> Taip pat su buitiniu vartotoju sudaromose sutartyse turi būti nurodytos garantinio tiekimo sąlygos, skirstymo sistemos operatoriaus atsiskaitomoji sąskaita, į kurią buitinis vartotojas turi vykdyti mokėjimus garantinio tiekimo laikotarpiu.</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6"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spacing w:line="257" w:lineRule="auto"/>
                  <w:jc w:val="both"/>
                  <w:rPr>
                    <w:b/>
                    <w:color w:val="000000"/>
                    <w:sz w:val="22"/>
                    <w:szCs w:val="22"/>
                    <w:lang w:val="lt" w:eastAsia="lt-LT"/>
                  </w:rPr>
                </w:pPr>
                <w:r>
                  <w:rPr>
                    <w:b/>
                    <w:bCs/>
                    <w:color w:val="000000"/>
                    <w:sz w:val="22"/>
                    <w:szCs w:val="22"/>
                    <w:lang w:val="lt" w:eastAsia="lt-LT"/>
                  </w:rPr>
                  <w:t>Gamtinių dujų įstatymas</w:t>
                </w:r>
              </w:p>
              <w:p>
                <w:pPr>
                  <w:spacing w:line="257" w:lineRule="auto"/>
                  <w:jc w:val="both"/>
                  <w:rPr>
                    <w:b/>
                    <w:bCs/>
                    <w:color w:val="000000"/>
                    <w:sz w:val="22"/>
                    <w:szCs w:val="22"/>
                    <w:lang w:val="lt" w:eastAsia="lt-LT"/>
                  </w:rPr>
                </w:pPr>
                <w:r>
                  <w:rPr>
                    <w:b/>
                    <w:bCs/>
                    <w:color w:val="000000"/>
                    <w:sz w:val="22"/>
                    <w:szCs w:val="22"/>
                    <w:lang w:val="lt" w:eastAsia="lt-LT"/>
                  </w:rPr>
                  <w:t>57 straipsnis. Vartotojų apsaugos priemonės</w:t>
                </w:r>
              </w:p>
              <w:p>
                <w:pPr>
                  <w:spacing w:line="257" w:lineRule="auto"/>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Nuostata dėl pagalbos vartotojams linijos bus perkelta į nacionalinę teisę parengus ir priėmus gamtinių dujų tiekimo ir vartojimo taisyklių pakeitimo projektą.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sz w:val="22"/>
                    <w:szCs w:val="22"/>
                    <w:lang w:eastAsia="lt-LT"/>
                  </w:rPr>
                </w:pPr>
                <w:r>
                  <w:rPr>
                    <w:b/>
                    <w:sz w:val="22"/>
                    <w:szCs w:val="22"/>
                    <w:lang w:eastAsia="lt-LT"/>
                  </w:rPr>
                  <w:t>Dalinis</w:t>
                </w:r>
              </w:p>
              <w:p>
                <w:pPr>
                  <w:shd w:val="clear" w:color="auto" w:fill="FFFFFF"/>
                  <w:jc w:val="both"/>
                  <w:rPr>
                    <w:b/>
                    <w:bCs/>
                    <w:color w:val="FF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teikiamos paslaugos (įskaitant produkto ir tarifo pavadinimą), pagrindinės teikiamų paslaugų savybės, siūlomi paslaugų kokybės lygiai ir pirmojo prijungimo laikas;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20"/>
                  <w:jc w:val="both"/>
                  <w:rPr>
                    <w:rFonts w:eastAsia="Aptos"/>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348"/>
                  </w:tabs>
                  <w:jc w:val="both"/>
                  <w:rPr>
                    <w:color w:val="000000"/>
                    <w:sz w:val="22"/>
                    <w:szCs w:val="22"/>
                    <w:lang w:eastAsia="lt-LT"/>
                  </w:rPr>
                </w:pPr>
                <w:r>
                  <w:rPr>
                    <w:color w:val="000000"/>
                    <w:sz w:val="22"/>
                    <w:szCs w:val="22"/>
                    <w:lang w:eastAsia="lt-LT"/>
                  </w:rPr>
                  <w:t>c) siūlomų techninės priežiūros paslaugų rūšys;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d) priemonės, kurias naudojant galima gauti naujausią informaciją apie visus taikomus tarifus, mokesčius už techninę priežiūrą ir susietus produktus arba paslaugas;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left="360"/>
                  <w:jc w:val="both"/>
                  <w:rPr>
                    <w:b/>
                    <w:bCs/>
                    <w:color w:val="000000"/>
                    <w:sz w:val="22"/>
                    <w:szCs w:val="22"/>
                    <w:lang w:eastAsia="lt-LT"/>
                  </w:rPr>
                </w:pPr>
              </w:p>
              <w:p>
                <w:pPr>
                  <w:spacing w:line="257" w:lineRule="auto"/>
                  <w:jc w:val="both"/>
                  <w:rPr>
                    <w:b/>
                    <w:color w:val="000000"/>
                    <w:sz w:val="22"/>
                    <w:szCs w:val="22"/>
                    <w:lang w:eastAsia="lt-LT"/>
                  </w:rPr>
                </w:pPr>
                <w:r>
                  <w:rPr>
                    <w:b/>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sutarties galiojimo laikotarpis, paslaugų, įskaitant su tomis paslaugomis susietus produktus ar paslaugas, teikimo atnaujinimo ir sutarties nutraukimo sąlygos ir informacija, ar leidžiama be mokesčio nutraukti sutartį;</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kompensavimas ir pinigų grąžinimo tvarka tuo atveju, kai paslaugų kokybė neatitinka sutartyje nurodyto lygio, įskaitant netikslias ar vėluojančias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i/>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kai aplinkosauginis veiksmingumas, įskaitant, kai aktualu, išmetamą anglies dioksido kiekį, skatinamas kaip esminė savybė, aiškūs, objektyvūs, viešai prieinami ir patikrinami tiekėjo įsipareigojimai, o dujų iš atsinaujinančiųjų išteklių ir mažo anglies dioksido pėdsako dujų tiekimo atveju tiekiamų dujų iš atsinaujinančiųjų išteklių ir mažo anglies dioksido pėdsako dujų sertifikavimas pagal 9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firstLine="624"/>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41"/>
                  </w:tabs>
                  <w:jc w:val="both"/>
                  <w:rPr>
                    <w:color w:val="000000"/>
                    <w:sz w:val="22"/>
                    <w:szCs w:val="22"/>
                    <w:lang w:eastAsia="lt-LT"/>
                  </w:rPr>
                </w:pPr>
                <w:r>
                  <w:rPr>
                    <w:color w:val="000000"/>
                    <w:sz w:val="22"/>
                    <w:szCs w:val="22"/>
                    <w:lang w:eastAsia="lt-LT"/>
                  </w:rPr>
                  <w:t>h) metodas, kuriuo pradedamos neteisminio ginčų sprendimo procedūros pagal 25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114"/>
                  <w:jc w:val="both"/>
                  <w:rPr>
                    <w:rFonts w:eastAsia="Aptos"/>
                    <w:b/>
                    <w:bCs/>
                    <w:color w:val="000000"/>
                    <w:sz w:val="22"/>
                    <w:szCs w:val="22"/>
                    <w:lang w:eastAsia="lt-LT"/>
                  </w:rPr>
                </w:pPr>
              </w:p>
              <w:p>
                <w:pPr>
                  <w:spacing w:line="257" w:lineRule="auto"/>
                  <w:jc w:val="both"/>
                  <w:rPr>
                    <w:b/>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pacing w:line="257" w:lineRule="auto"/>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04"/>
                  </w:tabs>
                  <w:jc w:val="both"/>
                  <w:rPr>
                    <w:color w:val="000000"/>
                    <w:sz w:val="22"/>
                    <w:szCs w:val="22"/>
                    <w:lang w:eastAsia="lt-LT"/>
                  </w:rPr>
                </w:pPr>
                <w:r>
                  <w:rPr>
                    <w:color w:val="000000"/>
                    <w:sz w:val="22"/>
                    <w:szCs w:val="22"/>
                    <w:lang w:eastAsia="lt-LT"/>
                  </w:rPr>
                  <w:t>i) informacija apie vartotojų teises, įskaitant aiškią ir suprantamą informaciją apie skundų nagrinėjimą ir apie tai, kaip ir kur galima pateikti skundą, ir visa šioje dalyje nurodyta informacija, kuri aiškiai pateikiama sąskaitose arba vandenilio ar gamtinių dujų įmonės interneto tinklavietėje;</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5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r>
                  <w:rPr>
                    <w:color w:val="000000"/>
                    <w:sz w:val="22"/>
                    <w:szCs w:val="22"/>
                    <w:lang w:eastAsia="lt-LT"/>
                  </w:rPr>
                  <w:t>j) kai aktualu, informacija apie tiekėją ir produktų ar paslaugų, susijusių arba susietų su gamtinių dujų ar vandenilio tiekimu, kainą.</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09" w:firstLine="114"/>
                  <w:jc w:val="both"/>
                  <w:rPr>
                    <w:rFonts w:eastAsia="Aptos"/>
                    <w:b/>
                    <w:bCs/>
                    <w:color w:val="000000"/>
                    <w:sz w:val="22"/>
                    <w:szCs w:val="22"/>
                    <w:lang w:eastAsia="lt-LT"/>
                  </w:rPr>
                </w:pPr>
              </w:p>
              <w:p>
                <w:pPr>
                  <w:spacing w:line="257" w:lineRule="auto"/>
                  <w:jc w:val="both"/>
                  <w:rPr>
                    <w:b/>
                    <w:bCs/>
                    <w:color w:val="000000"/>
                    <w:sz w:val="22"/>
                    <w:szCs w:val="22"/>
                    <w:lang w:eastAsia="lt-LT"/>
                  </w:rPr>
                </w:pPr>
              </w:p>
              <w:p>
                <w:pPr>
                  <w:spacing w:line="257" w:lineRule="auto"/>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r>
                  <w:rPr>
                    <w:color w:val="000000"/>
                    <w:sz w:val="22"/>
                    <w:szCs w:val="22"/>
                    <w:lang w:eastAsia="lt-LT"/>
                  </w:rPr>
                  <w:t>Sutartinės sąlygos turi būti sąžiningos ir iš anksto žinomos. Bet kuriuo atveju ši informacija turi būti pateikiama vartotojui patogia, aiškia ir nedviprasmiška kalba prieš sudarant ar patvirtinant sutartį. Jei sutartys sudaromos per tarpininkus, šioje dalyje nurodyta informacija taip pat pateikiama prieš sudarant sutartį. Informacija apie produktų tiekėją ar paslaugų teikėją ir tų produktų ar paslaugų, susijusių arba susietų su dujų tiekimu, kainą pateikiama prieš sudarant sutartį.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228"/>
                  <w:jc w:val="both"/>
                  <w:rPr>
                    <w:rFonts w:eastAsia="Aptos"/>
                    <w:b/>
                    <w:bCs/>
                    <w:color w:val="000000"/>
                    <w:sz w:val="22"/>
                    <w:szCs w:val="22"/>
                    <w:lang w:eastAsia="lt-LT"/>
                  </w:rPr>
                </w:pPr>
              </w:p>
              <w:p>
                <w:pPr>
                  <w:shd w:val="clear" w:color="auto" w:fill="FFFFFF"/>
                  <w:spacing w:line="259" w:lineRule="auto"/>
                  <w:jc w:val="both"/>
                  <w:rPr>
                    <w:i/>
                    <w:i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b/>
                    <w:bCs/>
                    <w:color w:val="000000"/>
                    <w:sz w:val="22"/>
                    <w:szCs w:val="22"/>
                    <w:lang w:val="lt" w:eastAsia="lt-LT"/>
                  </w:rPr>
                  <w:t>14 straipsnis. Gamtinių</w:t>
                </w:r>
                <w:r>
                  <w:rPr>
                    <w:color w:val="000000"/>
                    <w:sz w:val="22"/>
                    <w:szCs w:val="22"/>
                    <w:lang w:val="lt" w:eastAsia="lt-LT"/>
                  </w:rPr>
                  <w:t xml:space="preserve"> </w:t>
                </w:r>
                <w:r>
                  <w:rPr>
                    <w:b/>
                    <w:bCs/>
                    <w:color w:val="000000"/>
                    <w:sz w:val="22"/>
                    <w:szCs w:val="22"/>
                    <w:lang w:val="lt" w:eastAsia="lt-LT"/>
                  </w:rPr>
                  <w:t>dujų įmonių, vartotojų ir sistemos naudotojų sudaromos sutartys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ind w:right="57" w:firstLine="720"/>
                  <w:jc w:val="both"/>
                  <w:rPr>
                    <w:color w:val="000000"/>
                    <w:sz w:val="22"/>
                    <w:szCs w:val="22"/>
                    <w:lang w:val="lt" w:eastAsia="lt-LT"/>
                  </w:rPr>
                </w:pPr>
                <w:r>
                  <w:rPr>
                    <w:color w:val="000000"/>
                    <w:sz w:val="22"/>
                    <w:szCs w:val="22"/>
                    <w:lang w:val="lt" w:eastAsia="lt-LT"/>
                  </w:rPr>
                  <w:t>1. Gamtinių dujų įmonių santykiai su vartotojais ir sistemos naudotojais grindžiami sutartimis. Perdavimo ir skirstymo paslaugų sutartys ir su buitiniais vartotojais sudaromos gamtinių dujų tiekimo sutartys yra viešosios sutartys. Bendrosios sutarčių sąlygos turi būti sąžiningos ir skaidrios, aiškiai ir suprantamai apibrėžtos, jose neturi būti kliūčių, trukdančių vartotojui naudotis savo teisėmis. Gamtinių dujų įmonėms draudžiama taikyti vartotojams nesąžiningus ar klaidinančius pardavimo metodus.</w:t>
                </w:r>
              </w:p>
              <w:p>
                <w:pPr>
                  <w:ind w:right="57" w:firstLine="720"/>
                  <w:jc w:val="both"/>
                  <w:rPr>
                    <w:color w:val="000000"/>
                    <w:sz w:val="22"/>
                    <w:szCs w:val="22"/>
                    <w:lang w:val="lt" w:eastAsia="lt-LT"/>
                  </w:rPr>
                </w:pPr>
                <w:r>
                  <w:rPr>
                    <w:color w:val="000000"/>
                    <w:sz w:val="22"/>
                    <w:szCs w:val="22"/>
                    <w:lang w:val="lt" w:eastAsia="lt-LT"/>
                  </w:rPr>
                  <w:t>2. Gamtinių dujų įmonių sutartyse su vartotojais nurodoma: gamtinių dujų įmonės pavadinimas, adresas, kodas, gamtinių dujų kiekis, kokybė, kaina, tiekimo, transportavimo tvarka, gamtinių dujų tiekimo, perdavimo, skirstymo ribojimo ar nutraukimo sąlygos, informacijos apie gamtinių dujų, teikiamų paslaugų kainas pateikimo tvarka, paslaugų teikimo sąlygos, šalių įsipareigojimai, atsakomybė, atsiskaitymo tvarka, sutarties terminas, pakeitimo ir nutraukimo sąlygos, ginčų nagrinėjimo tvarka.</w:t>
                </w:r>
              </w:p>
              <w:p>
                <w:pPr>
                  <w:ind w:right="57" w:firstLine="720"/>
                  <w:jc w:val="both"/>
                  <w:rPr>
                    <w:color w:val="000000"/>
                    <w:sz w:val="22"/>
                    <w:szCs w:val="22"/>
                    <w:lang w:val="lt" w:eastAsia="lt-LT"/>
                  </w:rPr>
                </w:pPr>
                <w:r>
                  <w:rPr>
                    <w:color w:val="000000"/>
                    <w:sz w:val="22"/>
                    <w:szCs w:val="22"/>
                    <w:lang w:val="lt" w:eastAsia="lt-LT"/>
                  </w:rPr>
                  <w:t>3. Vyriausybė ar jos įgaliota institucija, suderinusi su Valstybine vartotojų teisių apsaugos tarnyba, nustato sutarčių su buitiniais vartotojais dėl gamtinių dujų tiekimo, perdavimo, skirstymo ir naujų buitinių vartotojų gamtinių dujų įrenginių prijungimo standartines sąlygas, kurias gamtinių dujų įmonės paskelbia įmonių interneto svetainėse ne vėliau kaip prieš vieną mėnesį iki sutarčių sudarymo ar sutarčių sąlygų pakeitimo.</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II skyrius. Sutarties šalys, sutarties sudarymas ir galiojimas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i/>
                    <w:iCs/>
                    <w:color w:val="000000"/>
                    <w:sz w:val="22"/>
                    <w:szCs w:val="22"/>
                    <w:lang w:eastAsia="lt-LT"/>
                  </w:rPr>
                </w:pPr>
              </w:p>
              <w:p>
                <w:pPr>
                  <w:shd w:val="clear" w:color="auto" w:fill="FFFFFF"/>
                  <w:ind w:firstLine="57"/>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06"/>
                  </w:tabs>
                  <w:jc w:val="both"/>
                  <w:rPr>
                    <w:color w:val="000000"/>
                    <w:sz w:val="22"/>
                    <w:szCs w:val="22"/>
                    <w:lang w:eastAsia="lt-LT"/>
                  </w:rPr>
                </w:pPr>
                <w:r>
                  <w:rPr>
                    <w:color w:val="000000"/>
                    <w:sz w:val="22"/>
                    <w:szCs w:val="22"/>
                    <w:lang w:eastAsia="lt-LT"/>
                  </w:rPr>
                  <w:t>Galutiniams vartotojams pagrindinių sutartinių sąlygų bendra santrauka pateikiama matomai ir glausta bei aiškia kalba. Valstybės narės turi reikalauti, kad tiekėjas vartotų bendrą terminiją. Komisija šiuo klausimu pateikia neprivalomas gaires.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color w:val="000000"/>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563"/>
                  <w:jc w:val="both"/>
                  <w:rPr>
                    <w:rFonts w:eastAsia="Aptos"/>
                    <w:b/>
                    <w:bCs/>
                    <w:color w:val="000000"/>
                    <w:sz w:val="22"/>
                    <w:szCs w:val="22"/>
                    <w:lang w:eastAsia="lt-LT"/>
                  </w:rPr>
                </w:pPr>
                <w:r>
                  <w:rPr>
                    <w:rFonts w:eastAsia="Aptos"/>
                    <w:b/>
                    <w:bCs/>
                    <w:color w:val="000000"/>
                    <w:sz w:val="22"/>
                    <w:szCs w:val="22"/>
                    <w:lang w:eastAsia="lt-LT"/>
                  </w:rPr>
                  <w:t>3)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ind w:firstLine="677"/>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rFonts w:eastAsia="Aptos"/>
                    <w:b/>
                    <w:bCs/>
                    <w:color w:val="000000"/>
                    <w:sz w:val="22"/>
                    <w:szCs w:val="22"/>
                    <w:lang w:eastAsia="lt-LT"/>
                  </w:rPr>
                  <w:t>&lt;...&gt;</w:t>
                </w:r>
              </w:p>
              <w:p>
                <w:pPr>
                  <w:tabs>
                    <w:tab w:val="left" w:pos="993"/>
                    <w:tab w:val="left" w:pos="10992"/>
                    <w:tab w:val="left" w:pos="11908"/>
                    <w:tab w:val="left" w:pos="12824"/>
                    <w:tab w:val="left" w:pos="13740"/>
                    <w:tab w:val="left" w:pos="14656"/>
                  </w:tabs>
                  <w:ind w:firstLine="50"/>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ind w:left="709"/>
                  <w:jc w:val="both"/>
                  <w:rPr>
                    <w:rFonts w:eastAsia="Aptos"/>
                    <w:b/>
                    <w:bCs/>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b/>
                    <w:color w:val="000000"/>
                    <w:sz w:val="22"/>
                    <w:szCs w:val="22"/>
                    <w:lang w:eastAsia="lt-LT"/>
                  </w:rPr>
                </w:pPr>
                <w:r>
                  <w:rPr>
                    <w:b/>
                    <w:color w:val="000000"/>
                    <w:sz w:val="22"/>
                    <w:szCs w:val="22"/>
                    <w:lang w:eastAsia="lt-LT"/>
                  </w:rPr>
                  <w:t>&lt;....&gt;</w:t>
                </w:r>
              </w:p>
              <w:p>
                <w:pPr>
                  <w:shd w:val="clear" w:color="auto" w:fill="FFFFFF"/>
                  <w:jc w:val="both"/>
                  <w:rPr>
                    <w:b/>
                    <w:color w:val="000000"/>
                    <w:sz w:val="22"/>
                    <w:szCs w:val="22"/>
                    <w:lang w:eastAsia="lt-LT"/>
                  </w:rPr>
                </w:pPr>
                <w:r>
                  <w:rPr>
                    <w:b/>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Galutiniai vartotojai tinkamai informuojami apie ketinimą pakeisti sutartines sąlygas, ir juos apie tai informuojant, jiems pranešama apie jų teisę nutraukti sutartį. Tiekėjai savo galutiniams vartotojams apie tiekimo kainos pakeitimą ir apie to pakeitimo priežastis ir sąlygas bei apimtį skaidriu bei suprantamu būdu praneša tiesiogiai, ne vėliau kaip likus dviem savaitėms, o namų ūkio vartotojų atveju – ne vėliau nei likus vienam mėnesiui iki pakeitimo įsigaliojimo. Valstybės narės užtikrina, kad galutiniai vartotojai galėtų laisvai nutraukti sutartis, jei jie nesutinka su naujomis sutartinėmis sąlygomis arba tiekimo kainos pakeitimais, apie kuriuos jiems pranešė tiekėjas.</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r>
                  <w:rPr>
                    <w:b/>
                    <w:bCs/>
                    <w:color w:val="000000"/>
                    <w:sz w:val="22"/>
                    <w:szCs w:val="22"/>
                    <w:shd w:val="clear" w:color="auto" w:fill="FFFFFF"/>
                    <w:lang w:eastAsia="lt-LT"/>
                  </w:rPr>
                  <w:t>5) būti tinkamai informuojami apie ketinimą pakeisti sutartines sąlygas, ir apie tai informuojant, jiems pranešama apie jų teisę nutraukti sutartį. Tiekėjai savo galutiniams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p>
              <w:p>
                <w:pPr>
                  <w:shd w:val="clear" w:color="auto" w:fill="FFFFFF"/>
                  <w:jc w:val="both"/>
                  <w:rPr>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26.4. pranešti buitiniam vartotojui apie tarifų (kainų) ir kitų mokėjimų pasikeitimą raštu ar kitais būdais suprantamai ir ne vėliau kaip likus vienam ataskaitiniam laikotarpiui iki naujų tarifų (kainų) ir kitų mokėjimų įsigaliojimo;</w:t>
                </w:r>
              </w:p>
              <w:p>
                <w:pPr>
                  <w:jc w:val="both"/>
                  <w:rPr>
                    <w:color w:val="000000"/>
                    <w:sz w:val="22"/>
                    <w:szCs w:val="22"/>
                    <w:lang w:val="lt" w:eastAsia="lt-LT"/>
                  </w:rPr>
                </w:pPr>
                <w:r>
                  <w:rPr>
                    <w:color w:val="000000"/>
                    <w:sz w:val="22"/>
                    <w:szCs w:val="22"/>
                    <w:lang w:val="lt" w:eastAsia="lt-LT"/>
                  </w:rPr>
                  <w:t>26.5. tiesiogiai, suprantamai informuoti buitinį vartotoją apie ketinimą pakeisti sutarties sąlygas ir iš to atsirandančią buitinio vartotojo teisę nutraukti sutartį ir teisę nesutikti pakeisti galiojančios sutarties sąlygų;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Tiekėjai galutiniams vartotojams suteikia skaidrią informaciją apie su gamtinėmis dujomis ir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išryškina.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jc w:val="both"/>
                  <w:rPr>
                    <w:b/>
                    <w:color w:val="000000"/>
                    <w:sz w:val="22"/>
                    <w:szCs w:val="22"/>
                    <w:shd w:val="clear" w:color="auto" w:fill="FFFFFF"/>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II skyrius. Sutarties šalys, sutarties sudarymas ir galiojimas</w:t>
                </w:r>
              </w:p>
              <w:p>
                <w:pPr>
                  <w:shd w:val="clear" w:color="auto" w:fill="FFFFFF"/>
                  <w:jc w:val="both"/>
                  <w:rPr>
                    <w:b/>
                    <w:color w:val="000000"/>
                    <w:sz w:val="22"/>
                    <w:szCs w:val="22"/>
                    <w:lang w:eastAsia="lt-LT"/>
                  </w:rPr>
                </w:pPr>
                <w:r>
                  <w:rPr>
                    <w:b/>
                    <w:color w:val="000000"/>
                    <w:sz w:val="22"/>
                    <w:szCs w:val="22"/>
                    <w:lang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Tiekėjai siūlo galutiniams vartotojams rinktis iš įvairių mokėjimo būdų. Tokiais mokėjimo būdais vartotojai neturi būti diskriminuojami. Pažeidžiamiems vartotojams, nurodytiems šios direktyvos 26 straipsnyje, ir energijos nepriteklių patiriantiems vartotojams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laikantis Europos Parlamento ir Tarybos direktyvos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 </w:t>
                </w:r>
                <w:r>
                  <w:rPr>
                    <w:color w:val="000000"/>
                    <w:sz w:val="22"/>
                    <w:szCs w:val="22"/>
                    <w:vertAlign w:val="superscript"/>
                    <w:lang w:eastAsia="lt-LT"/>
                  </w:rPr>
                  <w:t>46</w:t>
                </w:r>
                <w:r>
                  <w:rPr>
                    <w:color w:val="000000"/>
                    <w:sz w:val="22"/>
                    <w:szCs w:val="22"/>
                    <w:lang w:eastAsia="lt-LT"/>
                  </w:rPr>
                  <w:t>) 62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46</w:t>
                </w:r>
                <w:r>
                  <w:rPr>
                    <w:color w:val="000000"/>
                    <w:sz w:val="22"/>
                    <w:szCs w:val="22"/>
                    <w:lang w:eastAsia="lt-LT"/>
                  </w:rPr>
                  <w:t xml:space="preserve">) 2015 m. lapkričio 25 d. Europos Parlamento ir Tarybos direktyva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dėl mokėjimo paslaugų vidaus rinkoje, kuria iš dalies keičiamos direktyvos </w:t>
                </w:r>
                <w:fldSimple w:instr="HYPERLINK http://eur-lex.europa.eu/legal-content/LIT/TXT/?uri=CELEX:32002L0065&amp;locale=lt \t _blank">
                  <w:r>
                    <w:rPr>
                      <w:color w:val="0000FF" w:themeColor="hyperlink"/>
                      <w:sz w:val="22"/>
                      <w:szCs w:val="22"/>
                      <w:lang w:eastAsia="lt-LT"/>
                      <w:u w:val="single"/>
                    </w:rPr>
                    <w:t>2002/65/EB</w:t>
                  </w:r>
                </w:fldSimple>
                <w:r>
                  <w:rPr>
                    <w:color w:val="000000"/>
                    <w:sz w:val="22"/>
                    <w:szCs w:val="22"/>
                    <w:lang w:eastAsia="lt-LT"/>
                  </w:rPr>
                  <w:t xml:space="preserve">, </w:t>
                </w:r>
                <w:fldSimple w:instr="HYPERLINK http://eur-lex.europa.eu/legal-content/LIT/TXT/?uri=CELEX:32009L0110&amp;locale=lt \t _blank">
                  <w:r>
                    <w:rPr>
                      <w:color w:val="0000FF" w:themeColor="hyperlink"/>
                      <w:sz w:val="22"/>
                      <w:szCs w:val="22"/>
                      <w:lang w:eastAsia="lt-LT"/>
                      <w:u w:val="single"/>
                    </w:rPr>
                    <w:t>2009/110/EB</w:t>
                  </w:r>
                </w:fldSimple>
                <w:r>
                  <w:rPr>
                    <w:color w:val="000000"/>
                    <w:sz w:val="22"/>
                    <w:szCs w:val="22"/>
                    <w:lang w:eastAsia="lt-LT"/>
                  </w:rPr>
                  <w:t xml:space="preserve"> ir </w:t>
                </w:r>
                <w:fldSimple w:instr="HYPERLINK http://eur-lex.europa.eu/legal-content/LIT/TXT/?uri=CELEX:32013L0036&amp;locale=lt \t _blank">
                  <w:r>
                    <w:rPr>
                      <w:color w:val="0000FF" w:themeColor="hyperlink"/>
                      <w:sz w:val="22"/>
                      <w:szCs w:val="22"/>
                      <w:lang w:eastAsia="lt-LT"/>
                      <w:u w:val="single"/>
                    </w:rPr>
                    <w:t>2013/36/ES</w:t>
                  </w:r>
                </w:fldSimple>
                <w:r>
                  <w:rPr>
                    <w:color w:val="000000"/>
                    <w:sz w:val="22"/>
                    <w:szCs w:val="22"/>
                    <w:lang w:eastAsia="lt-LT"/>
                  </w:rPr>
                  <w:t xml:space="preserve"> bei Reglamentas </w:t>
                </w:r>
                <w:fldSimple w:instr="HYPERLINK http://eur-lex.europa.eu/legal-content/LIT/TXT/?uri=CELEX:32010R1093&amp;locale=lt \t _blank">
                  <w:r>
                    <w:rPr>
                      <w:color w:val="0000FF" w:themeColor="hyperlink"/>
                      <w:sz w:val="22"/>
                      <w:szCs w:val="22"/>
                      <w:lang w:eastAsia="lt-LT"/>
                      <w:u w:val="single"/>
                    </w:rPr>
                    <w:t>(ES) Nr. 1093/2010</w:t>
                  </w:r>
                </w:fldSimple>
                <w:r>
                  <w:rPr>
                    <w:color w:val="000000"/>
                    <w:sz w:val="22"/>
                    <w:szCs w:val="22"/>
                    <w:lang w:eastAsia="lt-LT"/>
                  </w:rPr>
                  <w:t xml:space="preserve"> ir panaikinama Direktyva </w:t>
                </w:r>
                <w:fldSimple w:instr="HYPERLINK http://eur-lex.europa.eu/legal-content/LIT/TXT/?uri=CELEX:32007L0064&amp;locale=lt \t _blank">
                  <w:r>
                    <w:rPr>
                      <w:color w:val="0000FF" w:themeColor="hyperlink"/>
                      <w:sz w:val="22"/>
                      <w:szCs w:val="22"/>
                      <w:lang w:eastAsia="lt-LT"/>
                      <w:u w:val="single"/>
                    </w:rPr>
                    <w:t>2007/64/EB</w:t>
                  </w:r>
                </w:fldSimple>
                <w:r>
                  <w:rPr>
                    <w:color w:val="000000"/>
                    <w:sz w:val="22"/>
                    <w:szCs w:val="22"/>
                    <w:lang w:eastAsia="lt-LT"/>
                  </w:rPr>
                  <w:t xml:space="preserve"> (OL L 337, 2015 12 23, p. 35).</w:t>
                </w:r>
              </w:p>
              <w:p>
                <w:pPr>
                  <w:shd w:val="clear" w:color="auto" w:fill="FFFFFF"/>
                  <w:jc w:val="both"/>
                  <w:rPr>
                    <w:color w:val="000000"/>
                    <w:sz w:val="22"/>
                    <w:szCs w:val="22"/>
                    <w:lang w:eastAsia="lt-LT"/>
                  </w:rPr>
                </w:pP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57</w:t>
                  <w:tab/>
                  <w:t>straipsnis. Vartotojų apsaugos priemonės</w:t>
                </w:r>
              </w:p>
              <w:p>
                <w:pPr>
                  <w:shd w:val="clear" w:color="auto" w:fill="FFFFFF"/>
                  <w:ind w:left="1212" w:hanging="360"/>
                  <w:jc w:val="both"/>
                  <w:rPr>
                    <w:color w:val="000000"/>
                    <w:sz w:val="22"/>
                    <w:szCs w:val="22"/>
                    <w:lang w:eastAsia="lt-LT"/>
                  </w:rPr>
                </w:pPr>
                <w:r>
                  <w:rPr>
                    <w:color w:val="000000"/>
                    <w:szCs w:val="32"/>
                    <w:lang w:eastAsia="lt-LT"/>
                  </w:rPr>
                  <w:t>1.</w:t>
                  <w:tab/>
                </w:r>
                <w:r>
                  <w:rPr>
                    <w:color w:val="000000"/>
                    <w:sz w:val="22"/>
                    <w:szCs w:val="22"/>
                    <w:lang w:eastAsia="lt-LT"/>
                  </w:rPr>
                  <w:t>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26.7. pasiūlyti buitiniam vartotojui pasirinkti kelis apmokėjimo už patiektas dujas ir suteiktas paslaugas būdus;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Namų ūkio vartotojai, kurie gali naudotis išankstinio mokėjimo sistemomis, dėl išankstinio mokėjimo sistemų neturi atsidurti nepalankioje padėtyje.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7</w:t>
                  <w:tab/>
                  <w:t>straipsnis. Tarybos funkcijos ir pareigos gamtinių dujų sektoriuje</w:t>
                </w:r>
              </w:p>
              <w:p>
                <w:pPr>
                  <w:shd w:val="clear" w:color="auto" w:fill="FFFFFF"/>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9) prižiūrėti buitiniams vartotojams taikomas kainas, išankstinio mokėjimo sistemas, tiekimo įmonę pakeitusių vartotojų ar nuo tinklo atjungtų vartotojų procentinę dalį, mokėjimus už priežiūros paslaugas ir jų vykdymą;</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val="lt" w:eastAsia="lt-LT"/>
                  </w:rPr>
                </w:pPr>
                <w:r>
                  <w:rPr>
                    <w:b/>
                    <w:bCs/>
                    <w:color w:val="000000"/>
                    <w:sz w:val="22"/>
                    <w:szCs w:val="22"/>
                    <w:lang w:val="lt" w:eastAsia="lt-LT"/>
                  </w:rPr>
                  <w:t>Buitinio vartotojo teisės tiekimo įmonei</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30.3. pasirinkti vieną iš kelių tiekimo įmonės pasiūlytų apmokėjimo už suvartotas dujas ir suteiktas paslaugas būdų;</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Tiekėjai galutiniams vartotojams siūlo sąžiningas ir skaidrias bendrąsias sąlygas, kurios teikiamos paprasta ir nedviprasmiška kalba ir jose neturi būti nesutartinių kliūčių, trukdančių vartotojui pasinaudoti savo teisėmis, pavyzdžiui, perteklinių sutarties dokumentų. Vartotojai turi būti apsaugoti nuo nesąžiningų ar klaidinančių pardavimo metodų.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shd w:val="clear" w:color="auto" w:fill="FFFFFF"/>
                  <w:jc w:val="both"/>
                  <w:rPr>
                    <w:b/>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p>
                <w:pPr>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Galutiniai vartotojai turi teisę reikalauti, kad jų tiekėjai teiktų geros kokybės paslaugas ir tinkamai nagrinėtų skundus. Tiekėjai skundus nagrinėja nesudėtingai, sąžiningai ir operatyviai.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VIII skyrius. Skundų ar prašymų nagrinėjimas ir ginčų sprendimas</w:t>
                </w:r>
              </w:p>
              <w:p>
                <w:pPr>
                  <w:shd w:val="clear" w:color="auto" w:fill="FFFFFF"/>
                  <w:jc w:val="both"/>
                  <w:rPr>
                    <w:color w:val="000000"/>
                    <w:sz w:val="22"/>
                    <w:szCs w:val="22"/>
                    <w:lang w:eastAsia="lt-LT"/>
                  </w:rPr>
                </w:pPr>
                <w:r>
                  <w:rPr>
                    <w:color w:val="000000"/>
                    <w:sz w:val="22"/>
                    <w:szCs w:val="22"/>
                    <w:lang w:val="lt" w:eastAsia="lt-LT"/>
                  </w:rPr>
                  <w:t>56. Skundai nagrinėjami Energetikos įstatymo 34</w:t>
                </w:r>
                <w:r>
                  <w:rPr>
                    <w:color w:val="000000"/>
                    <w:sz w:val="22"/>
                    <w:szCs w:val="22"/>
                    <w:vertAlign w:val="superscript"/>
                    <w:lang w:val="lt" w:eastAsia="lt-LT"/>
                  </w:rPr>
                  <w:t xml:space="preserve">1 </w:t>
                </w:r>
                <w:r>
                  <w:rPr>
                    <w:color w:val="000000"/>
                    <w:sz w:val="22"/>
                    <w:szCs w:val="22"/>
                    <w:lang w:val="lt" w:eastAsia="lt-LT"/>
                  </w:rPr>
                  <w:t>straipsnyje nustatyta</w:t>
                </w:r>
                <w:r>
                  <w:rPr>
                    <w:b/>
                    <w:color w:val="000000"/>
                    <w:sz w:val="22"/>
                    <w:szCs w:val="22"/>
                    <w:lang w:val="lt" w:eastAsia="lt-LT"/>
                  </w:rPr>
                  <w:t xml:space="preserve"> </w:t>
                </w:r>
                <w:r>
                  <w:rPr>
                    <w:color w:val="000000"/>
                    <w:sz w:val="22"/>
                    <w:szCs w:val="22"/>
                    <w:lang w:val="lt" w:eastAsia="lt-LT"/>
                  </w:rPr>
                  <w:t>tvarka.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Tiekėjai gamtinių dujų namų ūkio vartotojams pakankamai iš anksto prieš planuojamą atjungimą suteikia tinkamą informaciją apie alternatyvias priemones, kad būtų galima išvengti atjungimo. Tokiomis alternatyviomis priemonėmis galima nurodyti informaciją apie paramos šaltinius siekiant išvengti atjungimo, išankstinio mokėjimo sistemas, energijos vartojimo auditus, konsultavimo energijos klausimais paslaugas, alternatyvius mokėjimo planus, patarimus dėl skolos valdymo arba atjungimo moratoriumą ir vartotojams, kuriems gresia atjungimas, neturi būti sudaryta papildomų išlaidų.</w:t>
                </w:r>
              </w:p>
            </w:tc>
            <w:tc>
              <w:tcPr>
                <w:tcW w:w="9407" w:type="dxa"/>
                <w:gridSpan w:val="3"/>
                <w:vAlign w:val="center"/>
              </w:tcPr>
              <w:p>
                <w:pPr>
                  <w:jc w:val="both"/>
                  <w:rPr>
                    <w:color w:val="000000"/>
                    <w:sz w:val="22"/>
                    <w:szCs w:val="22"/>
                    <w:lang w:eastAsia="lt-LT"/>
                  </w:rPr>
                </w:pPr>
                <w:r>
                  <w:rPr>
                    <w:b/>
                    <w:bCs/>
                    <w:color w:val="000000"/>
                    <w:sz w:val="22"/>
                    <w:szCs w:val="22"/>
                    <w:lang w:eastAsia="lt-LT"/>
                  </w:rPr>
                  <w:t xml:space="preserve">Lietuvos Respublikos energetikos ministro 2014 m. spalio 10 d. įsakymas Nr. 1-248  „Dėl gamtinių dujų tiekimo ir vartojimo taisyklių patvirtinimo“</w:t>
                </w:r>
                <w:r>
                  <w:rPr>
                    <w:color w:val="000000"/>
                    <w:sz w:val="22"/>
                    <w:szCs w:val="22"/>
                    <w:lang w:eastAsia="lt-LT"/>
                  </w:rPr>
                  <w:t xml:space="preserve"> </w:t>
                </w:r>
              </w:p>
              <w:p>
                <w:pPr>
                  <w:ind w:firstLine="720"/>
                  <w:jc w:val="both"/>
                  <w:rPr>
                    <w:color w:val="000000"/>
                    <w:sz w:val="22"/>
                    <w:szCs w:val="22"/>
                    <w:lang w:eastAsia="lt-LT"/>
                  </w:rPr>
                </w:pPr>
                <w:r>
                  <w:rPr>
                    <w:color w:val="000000"/>
                    <w:sz w:val="22"/>
                    <w:szCs w:val="22"/>
                    <w:lang w:eastAsia="lt-LT"/>
                  </w:rPr>
                  <w:t>155. Vartotojams Taisyklių 154.2 papunktyje nurodytais atvejais dujų tiekimas gali būti apribotas ir (ar) nutrauktas Gamtinių dujų tiekimo saugumo užtikrinimo priemonių aprašo (Taisyklių 1 priedo 8 punktas) nustatyta tvarka.</w:t>
                </w:r>
              </w:p>
              <w:p>
                <w:pPr>
                  <w:ind w:firstLine="720"/>
                  <w:jc w:val="both"/>
                  <w:rPr>
                    <w:color w:val="000000"/>
                    <w:sz w:val="22"/>
                    <w:szCs w:val="22"/>
                    <w:lang w:eastAsia="lt-LT"/>
                  </w:rPr>
                </w:pPr>
                <w:r>
                  <w:rPr>
                    <w:color w:val="000000"/>
                    <w:sz w:val="22"/>
                    <w:szCs w:val="22"/>
                    <w:lang w:eastAsia="lt-LT"/>
                  </w:rPr>
                  <w:t>156. Vartotojui dujų tiekimas gali būti apribotas ir (ar) nutrauktas Gamtinių dujų įstatymo 57 straipsnio 6 dalyje nustatytais pagrindais ir tvarka, tiekimo įmonei raštu įspėjus vartotoją ne vėliau kaip prieš 5 kalendorines dienas. Įspėjimo terminas vartotojui pradedamas skaičiuoti nuo pranešimo dienos.</w:t>
                </w:r>
              </w:p>
              <w:p>
                <w:pPr>
                  <w:ind w:firstLine="720"/>
                  <w:jc w:val="both"/>
                  <w:rPr>
                    <w:color w:val="000000"/>
                    <w:sz w:val="22"/>
                    <w:szCs w:val="22"/>
                    <w:lang w:eastAsia="lt-LT"/>
                  </w:rPr>
                </w:pPr>
                <w:r>
                  <w:rPr>
                    <w:color w:val="000000"/>
                    <w:sz w:val="22"/>
                    <w:szCs w:val="22"/>
                    <w:lang w:eastAsia="lt-LT"/>
                  </w:rPr>
                  <w:t>157. Dujų tiekimas vartotojui gali būti apribotas ir (ar) nutrauktas Gamtinių dujų įstatymo 57 straipsnio 7 dalyje nustatytu atveju, taip pat, kai vartotojas nepateikia visų prievolių pagal sutartį tinkamo įvykdymo užtikrinimo ar nesutinka suteikti kitų tiekimo įmonės pareikalautų atsiskaitymo garantijų ir (ar) vartotojas nevykdo kitų sutartyje nustatytų sąlygų,</w:t>
                </w:r>
                <w:r>
                  <w:rPr>
                    <w:b/>
                    <w:bCs/>
                    <w:color w:val="000000"/>
                    <w:sz w:val="22"/>
                    <w:szCs w:val="22"/>
                    <w:lang w:eastAsia="lt-LT"/>
                  </w:rPr>
                  <w:t> </w:t>
                </w:r>
                <w:r>
                  <w:rPr>
                    <w:color w:val="000000"/>
                    <w:sz w:val="22"/>
                    <w:szCs w:val="22"/>
                    <w:lang w:eastAsia="lt-LT"/>
                  </w:rPr>
                  <w:t xml:space="preserve">jei pasirinktinai paštu, elektroniniu paštu, per kurjerį, faksu, informuojant vartotoją telefonu (skambučiu arba trumpąja žinute) ar kitu sutartyje numatytu būdu </w:t>
                </w:r>
                <w:r>
                  <w:rPr>
                    <w:b/>
                    <w:bCs/>
                    <w:color w:val="000000"/>
                    <w:sz w:val="22"/>
                    <w:szCs w:val="22"/>
                    <w:lang w:eastAsia="lt-LT"/>
                  </w:rPr>
                  <w:t>įspėjus buitinį vartotoją prieš 15 kalendorinių dienų, nebuitinį vartotoją prieš 10 kalendorinių dienų,</w:t>
                </w:r>
                <w:r>
                  <w:rPr>
                    <w:color w:val="000000"/>
                    <w:sz w:val="22"/>
                    <w:szCs w:val="22"/>
                    <w:lang w:eastAsia="lt-LT"/>
                  </w:rPr>
                  <w:t xml:space="preserve"> jis per šį terminą neatsiskaito už suvartotas dujas ir suteiktas paslaugas</w:t>
                </w:r>
                <w:r>
                  <w:rPr>
                    <w:b/>
                    <w:bCs/>
                    <w:color w:val="000000"/>
                    <w:sz w:val="22"/>
                    <w:szCs w:val="22"/>
                    <w:lang w:eastAsia="lt-LT"/>
                  </w:rPr>
                  <w:t>, </w:t>
                </w:r>
                <w:r>
                  <w:rPr>
                    <w:color w:val="000000"/>
                    <w:sz w:val="22"/>
                    <w:szCs w:val="22"/>
                    <w:lang w:eastAsia="lt-LT"/>
                  </w:rPr>
                  <w:t>nepateikia visų prievolių pagal sutartį tinkamo įvykdymo užtikrinimo ar nesuteikia kitų tiekimo įmonės pareikalautų atsiskaitymo garantijų ir (ar) vartotojas neįvykdo kitų sutartyje nustatytų sąlygų. Prieš apribojant ir (ar) nutraukiant dujų tiekimą atliekamas dujų kiekio matavimo priemonės rodmenų patikrinimas.</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67" w:tgtFrame="_parent" w:history="1">
                  <w:r>
                    <w:rPr>
                      <w:i/>
                      <w:sz w:val="22"/>
                      <w:szCs w:val="22"/>
                      <w:lang w:eastAsia="lt-LT"/>
                    </w:rPr>
                    <w:t>1-161</w:t>
                  </w:r>
                </w:hyperlink>
                <w:r>
                  <w:rPr>
                    <w:i/>
                    <w:color w:val="000000"/>
                    <w:sz w:val="22"/>
                    <w:szCs w:val="22"/>
                    <w:lang w:eastAsia="lt-LT"/>
                  </w:rPr>
                  <w:t>, 2018-05-31, paskelbta TAR 2018-06-01, i. k. 2018-08994</w:t>
                </w:r>
              </w:p>
              <w:p>
                <w:pPr>
                  <w:jc w:val="both"/>
                  <w:rPr>
                    <w:color w:val="000000"/>
                    <w:sz w:val="22"/>
                    <w:szCs w:val="22"/>
                    <w:lang w:val="pt-BR" w:eastAsia="lt-LT"/>
                  </w:rPr>
                </w:pPr>
                <w:r>
                  <w:rPr>
                    <w:i/>
                    <w:color w:val="000000"/>
                    <w:sz w:val="22"/>
                    <w:szCs w:val="22"/>
                    <w:lang w:eastAsia="lt-LT"/>
                  </w:rPr>
                  <w:t>Nr. </w:t>
                </w:r>
                <w:hyperlink r:id="rId68" w:tgtFrame="_parent" w:history="1">
                  <w:r>
                    <w:rPr>
                      <w:i/>
                      <w:sz w:val="22"/>
                      <w:szCs w:val="22"/>
                      <w:lang w:eastAsia="lt-LT"/>
                    </w:rPr>
                    <w:t>1-150</w:t>
                  </w:r>
                </w:hyperlink>
                <w:r>
                  <w:rPr>
                    <w:i/>
                    <w:iCs/>
                    <w:color w:val="000000"/>
                    <w:sz w:val="22"/>
                    <w:szCs w:val="22"/>
                    <w:lang w:eastAsia="lt-LT"/>
                  </w:rPr>
                  <w:t>, 2021-06-18, paskelbta TAR 2021-06-18, i. k. 2021-13892</w:t>
                </w:r>
              </w:p>
              <w:p>
                <w:pPr>
                  <w:ind w:firstLine="57"/>
                  <w:jc w:val="both"/>
                  <w:rPr>
                    <w:color w:val="000000"/>
                    <w:sz w:val="22"/>
                    <w:szCs w:val="22"/>
                    <w:lang w:val="pt-BR" w:eastAsia="lt-LT"/>
                  </w:rPr>
                </w:pPr>
              </w:p>
              <w:p>
                <w:pPr>
                  <w:ind w:firstLine="782"/>
                  <w:jc w:val="both"/>
                  <w:rPr>
                    <w:color w:val="000000"/>
                    <w:sz w:val="22"/>
                    <w:szCs w:val="22"/>
                    <w:lang w:val="pt-BR" w:eastAsia="lt-LT"/>
                  </w:rPr>
                </w:pPr>
                <w:r>
                  <w:rPr>
                    <w:color w:val="000000"/>
                    <w:sz w:val="22"/>
                    <w:szCs w:val="22"/>
                    <w:lang w:eastAsia="lt-LT"/>
                  </w:rPr>
                  <w:t>158. Jei dujų tiekimas buvo nutrauktas vadovaujantis Gamtinių dujų įstatymo 57 straipsnio 5 dalies 1 ir 2 punktuose, 6 dalies 1 ir 3 punktuose nustatytais atvejais ir Taisyklių 157 punktu, dujų tiekimas atnaujinamas ne vėliau kaip per 5 darbo dienas nuo pranešimo skirstymo sistemos operatoriui gavimo, kai vartotojas sumoka įsiskolinimus už dujas ir suteiktas paslaugas bei apmoka skirstymo sistemos operatoriui vartotojo dujų sistemos atjungimo / pajungimo bei kitas su tuo susijusias išlaidas sistemos operatoriaus su Taryba suderintais ir patvirtintais įkainiais.</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69" w:tgtFrame="_parent" w:history="1">
                  <w:r>
                    <w:rPr>
                      <w:i/>
                      <w:sz w:val="22"/>
                      <w:szCs w:val="22"/>
                      <w:lang w:eastAsia="lt-LT"/>
                    </w:rPr>
                    <w:t>1-150</w:t>
                  </w:r>
                </w:hyperlink>
                <w:r>
                  <w:rPr>
                    <w:i/>
                    <w:color w:val="000000"/>
                    <w:sz w:val="22"/>
                    <w:szCs w:val="22"/>
                    <w:lang w:eastAsia="lt-LT"/>
                  </w:rPr>
                  <w:t>,</w:t>
                </w:r>
                <w:r>
                  <w:rPr>
                    <w:i/>
                    <w:iCs/>
                    <w:color w:val="000000"/>
                    <w:sz w:val="22"/>
                    <w:szCs w:val="22"/>
                    <w:lang w:eastAsia="lt-LT"/>
                  </w:rPr>
                  <w:t xml:space="preserve"> 2021-06-18, paskelbta TAR 2021-06-18, i. k. 2021-13892</w:t>
                </w:r>
              </w:p>
              <w:p>
                <w:pPr>
                  <w:ind w:firstLine="57"/>
                  <w:jc w:val="both"/>
                  <w:rPr>
                    <w:color w:val="000000"/>
                    <w:sz w:val="22"/>
                    <w:szCs w:val="22"/>
                    <w:lang w:val="pt-BR"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b/>
                    <w:bCs/>
                    <w:color w:val="000000"/>
                    <w:sz w:val="22"/>
                    <w:szCs w:val="22"/>
                    <w:lang w:eastAsia="lt-LT"/>
                  </w:rPr>
                </w:pPr>
                <w:r>
                  <w:rPr>
                    <w:b/>
                    <w:color w:val="000000"/>
                    <w:sz w:val="22"/>
                    <w:szCs w:val="22"/>
                    <w:lang w:eastAsia="lt-LT"/>
                  </w:rPr>
                  <w:t>Antrasis skirsnis</w:t>
                </w:r>
              </w:p>
              <w:p>
                <w:pPr>
                  <w:jc w:val="both"/>
                  <w:rPr>
                    <w:b/>
                    <w:bCs/>
                    <w:color w:val="000000"/>
                    <w:sz w:val="22"/>
                    <w:szCs w:val="22"/>
                    <w:lang w:eastAsia="lt-LT"/>
                  </w:rPr>
                </w:pPr>
                <w:r>
                  <w:rPr>
                    <w:b/>
                    <w:color w:val="000000"/>
                    <w:sz w:val="22"/>
                    <w:szCs w:val="22"/>
                    <w:lang w:eastAsia="lt-LT"/>
                  </w:rPr>
                  <w:t>Skirstymo sistemos operatoriaus teisės</w:t>
                </w:r>
              </w:p>
              <w:p>
                <w:pPr>
                  <w:jc w:val="both"/>
                  <w:rPr>
                    <w:color w:val="000000"/>
                    <w:sz w:val="22"/>
                    <w:szCs w:val="22"/>
                    <w:lang w:val="lt" w:eastAsia="lt-LT"/>
                  </w:rPr>
                </w:pPr>
                <w:r>
                  <w:rPr>
                    <w:color w:val="000000"/>
                    <w:sz w:val="22"/>
                    <w:szCs w:val="22"/>
                    <w:lang w:val="lt" w:eastAsia="lt-LT"/>
                  </w:rPr>
                  <w:t>28. Skirstymo sistemos operatorius, prie kurio sistemos prijungta buitinio vartotojo dujų sistema, turi šias teises buitinio vartotojo atžvilgiu:</w:t>
                </w:r>
              </w:p>
              <w:p>
                <w:pPr>
                  <w:jc w:val="both"/>
                  <w:rPr>
                    <w:color w:val="000000"/>
                    <w:sz w:val="22"/>
                    <w:szCs w:val="22"/>
                    <w:lang w:val="lt" w:eastAsia="lt-LT"/>
                  </w:rPr>
                </w:pPr>
                <w:r>
                  <w:rPr>
                    <w:color w:val="000000"/>
                    <w:sz w:val="22"/>
                    <w:szCs w:val="22"/>
                    <w:lang w:val="lt" w:eastAsia="lt-LT"/>
                  </w:rPr>
                  <w:t>&lt;...&gt;</w:t>
                </w:r>
              </w:p>
              <w:p>
                <w:pPr>
                  <w:ind w:firstLine="627"/>
                  <w:jc w:val="both"/>
                  <w:rPr>
                    <w:color w:val="000000"/>
                    <w:sz w:val="22"/>
                    <w:szCs w:val="22"/>
                    <w:lang w:val="lt" w:eastAsia="lt-LT"/>
                  </w:rPr>
                </w:pPr>
                <w:r>
                  <w:rPr>
                    <w:color w:val="000000"/>
                    <w:sz w:val="22"/>
                    <w:szCs w:val="22"/>
                    <w:lang w:val="lt" w:eastAsia="lt-LT"/>
                  </w:rPr>
                  <w:t>28.4. buitiniam vartotojui nesilaikant esminių sutarties ir (ar) teisės aktų reikalavimų ir (ar) prašant tiekimo įmonei sutartyje, Gamtinių dujų tiekimo ir vartojimo taisyklėse ir teisės aktuose nustatytais atvejais ir tvarka, gali atjungti buitinio vartotojo dujų sistemą nuo skirstymo sistemos;28.5. apriboti ir (ar) nutraukti dujų skirstymą buitiniams vartotojams Gamtinių dujų tiekimo ir vartojimo taisyklių XII skyriuje nurodytais atvejais ir tvarka. Dujų skirstymas buitiniams vartotojams gali būti apribotas ir (ar) nutrauktas Gamtinių dujų tiekimo patikimumo užtikrinimo priemonių aprašo nustatyta tvarka;</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VII skyrius</w:t>
                </w:r>
              </w:p>
              <w:p>
                <w:pPr>
                  <w:jc w:val="both"/>
                  <w:rPr>
                    <w:b/>
                    <w:color w:val="000000"/>
                    <w:sz w:val="22"/>
                    <w:szCs w:val="22"/>
                    <w:lang w:eastAsia="lt-LT"/>
                  </w:rPr>
                </w:pPr>
                <w:r>
                  <w:rPr>
                    <w:b/>
                    <w:color w:val="000000"/>
                    <w:sz w:val="22"/>
                    <w:szCs w:val="22"/>
                    <w:lang w:eastAsia="lt-LT"/>
                  </w:rPr>
                  <w:t>Sutarties nutraukimo sąlygos</w:t>
                </w:r>
              </w:p>
              <w:p>
                <w:pPr>
                  <w:jc w:val="both"/>
                  <w:rPr>
                    <w:color w:val="000000"/>
                    <w:sz w:val="22"/>
                    <w:szCs w:val="22"/>
                    <w:lang w:val="lt" w:eastAsia="lt-LT"/>
                  </w:rPr>
                </w:pPr>
                <w:r>
                  <w:rPr>
                    <w:color w:val="000000"/>
                    <w:sz w:val="22"/>
                    <w:szCs w:val="22"/>
                    <w:lang w:val="lt" w:eastAsia="lt-LT"/>
                  </w:rPr>
                  <w:t>54. Tiekimo įmonė turi teisę vienašališkai nutraukti sutartį apie tai ne vėliau kaip prieš 30 kalendorinių dienų įspėjusi buitinį vartotoją raštu paskutiniu tiekimo įmonei žinomu adresu, sutartyje nurodytu elektroninio pašto adresu ar telefonu siunčiant tekstinę žinutę (SMS), jei: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70" w:history="1">
                  <w:r>
                    <w:rPr>
                      <w:i/>
                      <w:iCs/>
                      <w:color w:val="000000"/>
                      <w:sz w:val="22"/>
                      <w:szCs w:val="22"/>
                      <w:u w:val="single"/>
                      <w:lang w:val="lt" w:eastAsia="lt-LT"/>
                    </w:rPr>
                    <w:t>1-49</w:t>
                  </w:r>
                </w:hyperlink>
                <w:r>
                  <w:rPr>
                    <w:i/>
                    <w:iCs/>
                    <w:color w:val="000000"/>
                    <w:sz w:val="22"/>
                    <w:szCs w:val="22"/>
                    <w:lang w:val="lt" w:eastAsia="lt-LT"/>
                  </w:rPr>
                  <w:t>, 2024-03-06, paskelbta TAR 2024-03-06, i. k. 2024-04178</w:t>
                </w:r>
              </w:p>
              <w:p>
                <w:pPr>
                  <w:jc w:val="both"/>
                  <w:rPr>
                    <w:color w:val="000000"/>
                    <w:sz w:val="22"/>
                    <w:szCs w:val="22"/>
                    <w:lang w:val="lt" w:eastAsia="lt-LT"/>
                  </w:rPr>
                </w:pPr>
                <w:r>
                  <w:rPr>
                    <w:color w:val="000000"/>
                    <w:sz w:val="22"/>
                    <w:szCs w:val="22"/>
                    <w:lang w:val="lt" w:eastAsia="lt-LT"/>
                  </w:rPr>
                  <w:t>54.1. buitinis vartotojas padarė esminį sutarties pažeidimą Civilinio kodekso 6.217 straipsnio nustatytais pagrindais. Esminiu sutarties pažeidimu laikomas praleistas prievolės įvykdymo terminas ir (ar) šalies prievolės per papildomai nustatytą terminą neįvykdymas. Šis reikalavimas netaikomas, jeigu dėl sutartyje nustatytų įsipareigojimų tarp sutarties šalių vyksta ginčai ir (ar) jie nagrinėjami Aprašo nustatyta tvarka;</w:t>
                </w:r>
              </w:p>
              <w:p>
                <w:pPr>
                  <w:jc w:val="both"/>
                  <w:rPr>
                    <w:color w:val="000000"/>
                    <w:sz w:val="22"/>
                    <w:szCs w:val="22"/>
                    <w:lang w:val="lt" w:eastAsia="lt-LT"/>
                  </w:rPr>
                </w:pPr>
                <w:r>
                  <w:rPr>
                    <w:color w:val="000000"/>
                    <w:sz w:val="22"/>
                    <w:szCs w:val="22"/>
                    <w:lang w:val="lt" w:eastAsia="lt-LT"/>
                  </w:rPr>
                  <w:t>54.2. buitinio vartotojo objektą, įsigijo naujas savininkas. Buitinis vartotojas, perleidęs objektą, kuriame vartojamos dujos, kito asmens nuosavybėn, privalo nutraukti sutartį ir iki sutarties nutraukimo dienos tiekimo įmonei pranešti matavimo priemonės rodmenį ir kitą galutiniam atsiskaitymui būtiną informaciją bei atsiskaityti su tiekimo įmone už patiektas dujas ir suteiktas paslaugas. Tuo atveju, jei perleidęs objektą buitinis vartotojas vengia ar dėl kitų priežasčių nenutraukia su tiekimo įmone sudarytos sutarties, ji gali būti nutraukta naujo savininko prašymu;</w:t>
                </w:r>
              </w:p>
              <w:p>
                <w:pPr>
                  <w:jc w:val="both"/>
                  <w:rPr>
                    <w:color w:val="000000"/>
                    <w:sz w:val="22"/>
                    <w:szCs w:val="22"/>
                    <w:lang w:val="lt" w:eastAsia="lt-LT"/>
                  </w:rPr>
                </w:pPr>
                <w:r>
                  <w:rPr>
                    <w:color w:val="000000"/>
                    <w:sz w:val="22"/>
                    <w:szCs w:val="22"/>
                    <w:lang w:val="lt" w:eastAsia="lt-LT"/>
                  </w:rPr>
                  <w:t>54.3. buitinis vartotojas daugiau kaip 18 mėnesių nedeklaravo dujų kiekių, nereagavo į tiekimo įmonės pranešimus ir skirstymo sistemos operatoriaus darbuotojams nebuvo suteiktos teisės patekti į buitinio vartotojo valdą patikrinti matavimo priemonės rodmenų.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Vartotojams pakeitus tiekėją, tiekėjai galutiniams vartotojams pateikia galutinę uždarymo sąskaitą ne vėliau kaip praėjus šešioms savaitėms po tokio pakeitimo.</w:t>
                </w:r>
              </w:p>
            </w:tc>
            <w:tc>
              <w:tcPr>
                <w:tcW w:w="9407" w:type="dxa"/>
                <w:gridSpan w:val="3"/>
                <w:vAlign w:val="center"/>
              </w:tcPr>
              <w:p>
                <w:pPr>
                  <w:tabs>
                    <w:tab w:val="left" w:pos="993"/>
                    <w:tab w:val="left" w:pos="10992"/>
                    <w:tab w:val="left" w:pos="11908"/>
                    <w:tab w:val="left" w:pos="12824"/>
                    <w:tab w:val="left" w:pos="13740"/>
                    <w:tab w:val="left" w:pos="14656"/>
                  </w:tabs>
                  <w:jc w:val="both"/>
                  <w:rPr>
                    <w:rFonts w:eastAsia="Aptos"/>
                    <w:i/>
                    <w:color w:val="000000"/>
                    <w:sz w:val="22"/>
                    <w:szCs w:val="22"/>
                    <w:lang w:eastAsia="lt-LT"/>
                  </w:rPr>
                </w:pPr>
                <w:r>
                  <w:rPr>
                    <w:i/>
                    <w:iCs/>
                    <w:color w:val="000000"/>
                    <w:sz w:val="22"/>
                    <w:szCs w:val="22"/>
                    <w:lang w:eastAsia="lt-LT"/>
                  </w:rPr>
                  <w:t xml:space="preserve">Pastaba.  Ši nuostata bus perkelta į Energetikos ministerijos numatomą parengti poįstatyminė teisės aktą - </w:t>
                </w:r>
                <w:r>
                  <w:rPr>
                    <w:i/>
                    <w:color w:val="000000"/>
                    <w:sz w:val="22"/>
                    <w:szCs w:val="22"/>
                    <w:lang w:eastAsia="lt-LT"/>
                  </w:rPr>
                  <w:t>Vandenilio tiekimo ir vartojimo taisykles</w:t>
                </w:r>
                <w:r>
                  <w:rPr>
                    <w:i/>
                    <w:iCs/>
                    <w:color w:val="000000"/>
                    <w:sz w:val="22"/>
                    <w:szCs w:val="22"/>
                    <w:lang w:eastAsia="lt-LT"/>
                  </w:rPr>
                  <w:t>.</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r>
                  <w:rPr>
                    <w:color w:val="000000"/>
                    <w:sz w:val="22"/>
                    <w:szCs w:val="22"/>
                    <w:lang w:eastAsia="lt-LT"/>
                  </w:rPr>
                  <w:t xml:space="preserve"> </w:t>
                </w:r>
              </w:p>
              <w:p>
                <w:pPr>
                  <w:shd w:val="clear" w:color="auto" w:fill="FFFFFF"/>
                  <w:jc w:val="both"/>
                  <w:rPr>
                    <w:color w:val="000000"/>
                    <w:sz w:val="22"/>
                    <w:szCs w:val="22"/>
                    <w:lang w:eastAsia="lt-LT"/>
                  </w:rPr>
                </w:pPr>
                <w:r>
                  <w:rPr>
                    <w:color w:val="000000"/>
                    <w:sz w:val="22"/>
                    <w:szCs w:val="22"/>
                    <w:lang w:eastAsia="lt-LT"/>
                  </w:rPr>
                  <w:t>102. Tiekimo įmonė privalo:</w:t>
                </w:r>
              </w:p>
              <w:p>
                <w:pPr>
                  <w:shd w:val="clear" w:color="auto" w:fill="FFFFFF"/>
                  <w:jc w:val="both"/>
                  <w:rPr>
                    <w:color w:val="000000"/>
                    <w:sz w:val="22"/>
                    <w:szCs w:val="22"/>
                    <w:lang w:eastAsia="lt-LT"/>
                  </w:rPr>
                </w:pPr>
                <w:r>
                  <w:rPr>
                    <w:color w:val="000000"/>
                    <w:sz w:val="22"/>
                    <w:szCs w:val="22"/>
                    <w:lang w:eastAsia="lt-LT"/>
                  </w:rPr>
                  <w:t>102.8. ne vėliau kaip per 6 savaites nuo sutarties nutraukimo dienos vartotojui, pasirinkusiam kitą tiekimo įmonę ar nutraukusiam sutartį, pateikti galutinę sąskaitą;</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10) pakeitus gamtinių dujų tiekėją, ne vėliau kaip per šešias savaites nuo tiekėjo pakeitimo gauti paskutinę sąskaitą;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r>
                  <w:rPr>
                    <w:color w:val="000000"/>
                    <w:sz w:val="22"/>
                    <w:szCs w:val="22"/>
                    <w:lang w:val="lt" w:eastAsia="lt-LT"/>
                  </w:rPr>
                  <w:t xml:space="preserve"> </w:t>
                </w:r>
              </w:p>
              <w:p>
                <w:pPr>
                  <w:shd w:val="clear" w:color="auto" w:fill="FFFFFF"/>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shd w:val="clear" w:color="auto" w:fill="FFFFFF"/>
                  <w:jc w:val="both"/>
                  <w:rPr>
                    <w:color w:val="000000"/>
                    <w:sz w:val="22"/>
                    <w:szCs w:val="22"/>
                    <w:lang w:val="lt" w:eastAsia="lt-LT"/>
                  </w:rPr>
                </w:pPr>
                <w:r>
                  <w:rPr>
                    <w:color w:val="000000"/>
                    <w:sz w:val="22"/>
                    <w:szCs w:val="22"/>
                    <w:lang w:val="lt" w:eastAsia="lt-LT"/>
                  </w:rPr>
                  <w:t>26. Tiekimo įmonė privalo:</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26.11. ne vėliau kaip per 6 savaites nuo sutarties nutraukimo dienos buitiniam vartotojui, pasirinkusiam kitą tiekimo įmonę ar nutraukusiam sutartį, pateikti galutinę sąskaitą;</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12 straipsnis </w:t>
                </w:r>
              </w:p>
              <w:p>
                <w:pPr>
                  <w:shd w:val="clear" w:color="auto" w:fill="FFFFFF"/>
                  <w:jc w:val="both"/>
                  <w:rPr>
                    <w:i/>
                    <w:iCs/>
                    <w:color w:val="000000"/>
                    <w:sz w:val="22"/>
                    <w:szCs w:val="22"/>
                    <w:lang w:eastAsia="lt-LT"/>
                  </w:rPr>
                </w:pPr>
                <w:r>
                  <w:rPr>
                    <w:b/>
                    <w:bCs/>
                    <w:color w:val="000000"/>
                    <w:sz w:val="22"/>
                    <w:szCs w:val="22"/>
                    <w:lang w:eastAsia="lt-LT"/>
                  </w:rPr>
                  <w:t>Teisė keisti tiekėją ir tiekėjo pakeitimo mokesčių taisyklės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Vartotojai turi teisę keisti gamtinių dujų ir vandenilio tiekėjus arba gamtinių dujų ir vandenilio rinkos dalyvius. Valstybės narės užtikrina, kad vartotojas, norintis pakeisti tiekėjus arba rinkos dalyvius, laikydamasis sutartinių sąlygų, turėtų teisę tai padaryti per kuo trumpesnį laiką ir bet kuriuo atveju per tris savaites nuo vartotojo prašymo pateikimo dienos. Ne vėliau kaip nuo 2026 m. sausio 1 d. techninis tiekėjo arba rinkos dalyvio pakeitimo procesas turės trukti ne ilgiau kaip 24 valandas ir tai bus įmanoma padaryti bet kurią darbo dieną.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ind w:right="57" w:firstLine="720"/>
                  <w:jc w:val="both"/>
                  <w:rPr>
                    <w:b/>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3. Buitinio vartotojo prašymu vandenilio tiekėjas turi būti pakeistas per ne ilgesnį kaip 3 savaičių terminą nuo prašymo pateikimo dienos. </w:t>
                </w:r>
              </w:p>
              <w:p>
                <w:pPr>
                  <w:shd w:val="clear" w:color="auto" w:fill="FFFFFF"/>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teisė pakeisti tiekėją arba rinkos dalyvį vartotojams būtų suteikiama jų nediskriminuojant išlaidų, pastangų ir laiko atžvilgiu.</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4. Vandenilio tiekėjo keitimas neturi sukelti tiekimo pertraukų vartotojui.</w:t>
                </w:r>
              </w:p>
              <w:p>
                <w:pPr>
                  <w:spacing w:line="276" w:lineRule="auto"/>
                  <w:jc w:val="both"/>
                  <w:rPr>
                    <w:b/>
                    <w:bCs/>
                    <w:color w:val="000000"/>
                    <w:sz w:val="22"/>
                    <w:szCs w:val="22"/>
                    <w:lang w:eastAsia="lt-LT"/>
                  </w:rPr>
                </w:pPr>
                <w:r>
                  <w:rPr>
                    <w:b/>
                    <w:bCs/>
                    <w:color w:val="000000"/>
                    <w:sz w:val="22"/>
                    <w:szCs w:val="22"/>
                    <w:lang w:eastAsia="lt-LT"/>
                  </w:rPr>
                  <w:t>5. Informacija apie vandenilio tiekėjo keitimą vartotojams teikiama aiškia, prieinama forma, įskaitant per šio įstatymo 52 straipsnyje nurodytus bendruosius kontaktinius punktus.</w:t>
                </w:r>
              </w:p>
              <w:p>
                <w:pPr>
                  <w:tabs>
                    <w:tab w:val="left" w:pos="567"/>
                  </w:tabs>
                  <w:spacing w:line="276" w:lineRule="auto"/>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spacing w:line="276" w:lineRule="auto"/>
                  <w:ind w:firstLine="720"/>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color w:val="000000"/>
                    <w:sz w:val="22"/>
                    <w:szCs w:val="22"/>
                    <w:lang w:eastAsia="lt-LT"/>
                  </w:rPr>
                </w:pPr>
                <w:r>
                  <w:rPr>
                    <w:color w:val="000000"/>
                    <w:sz w:val="22"/>
                    <w:szCs w:val="22"/>
                    <w:lang w:eastAsia="lt-LT"/>
                  </w:rPr>
                  <w:t>57 straipsnis. Vartotojų apsaugos priemonės</w:t>
                </w:r>
              </w:p>
              <w:p>
                <w:pPr>
                  <w:ind w:right="57"/>
                  <w:jc w:val="both"/>
                  <w:rPr>
                    <w:color w:val="000000"/>
                    <w:sz w:val="22"/>
                    <w:szCs w:val="22"/>
                    <w:lang w:eastAsia="lt-LT"/>
                  </w:rPr>
                </w:pPr>
                <w:r>
                  <w:rPr>
                    <w:color w:val="000000"/>
                    <w:sz w:val="22"/>
                    <w:szCs w:val="22"/>
                    <w:lang w:eastAsia="lt-LT"/>
                  </w:rPr>
                  <w:t>&lt;...&lt;</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i/>
                    <w:iCs/>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bent namų ūkio vartotojams, labai mažoms įmonėms ir mažosioms įmonėms nereikėtų mokėti jokių gamtinių dujų ir vandenilio tiekėjo pakeitimo mokesčių, įskaitant tuos atvejus, kai dujų tiekimas yra susijęs arba susietas su kitomis paslaugomis, įranga ar produktais. Tačiau valstybės narės gali leisti tiekėjams arba rinkos dalyviams taikyti sutarties nutraukimo mokesčius savo vartotojams, kai tie vartotojai savanoriškai nutraukia terminuotas</w:t>
                </w:r>
                <w:r>
                  <w:rPr>
                    <w:sz w:val="22"/>
                    <w:szCs w:val="22"/>
                    <w:lang w:eastAsia="lt-LT"/>
                  </w:rPr>
                  <w:t xml:space="preserve"> elektros</w:t>
                </w:r>
                <w:r>
                  <w:rPr>
                    <w:color w:val="000000"/>
                    <w:sz w:val="22"/>
                    <w:szCs w:val="22"/>
                    <w:lang w:eastAsia="lt-LT"/>
                  </w:rPr>
                  <w:t xml:space="preserve"> energijos tiekimo fiksuota kaina sutartis dar nepasibaigus jų galiojimui, su sąlyga, kad tokie mokesčiai: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color w:val="000000"/>
                    <w:sz w:val="22"/>
                    <w:szCs w:val="22"/>
                    <w:lang w:eastAsia="lt-LT"/>
                  </w:rPr>
                </w:pPr>
                <w:r>
                  <w:rPr>
                    <w:b/>
                    <w:color w:val="000000"/>
                    <w:sz w:val="22"/>
                    <w:szCs w:val="22"/>
                    <w:lang w:eastAsia="lt-LT"/>
                  </w:rPr>
                  <w:t>1. Buitiniai vartotojai, labai mažos įmonės ir mažos įmonės, kaip jos apibrėžiamos Smulkiojo ir vidutinio verslo plėtros įstatyme, turi teisę vienašališkai nutraukti terminuotą vandenilio tiekimo sutartį su vandenilio tiekėju be papildomų mokesčių ar sankcijų, kurias tiekėjai, rinkos dalyviai ar sistemos operatoriai tiesiogiai ar netiesiogiai taiko vartotojams, kai jie pakeičia tiekėją. Vandenilio tiekėjas gali taikyti tokius sutarties nutraukimo mokesčius ar sankcijas savo vartotojams, kai tie vartotojai vienašališkai nutraukia fiksuotos kainos terminuotas vandenilio pirkimo–pardavimo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Susietųjų pasiūlymų atveju vartotojai turi galėti nutraukti atskiras sutartyje numatytas paslaugas. Tiesioginių ekonominių nuostolių įrodymo pareiga tenka tiekėjui. Vandenilio tiekėjų nustatyto sutarties nutraukimo mokesčio dydžio leistinumą stebi Taryba.</w:t>
                </w:r>
              </w:p>
              <w:p>
                <w:pPr>
                  <w:tabs>
                    <w:tab w:val="left" w:pos="567"/>
                  </w:tabs>
                  <w:spacing w:line="276" w:lineRule="auto"/>
                  <w:ind w:firstLine="720"/>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 xml:space="preserve">Pastaba. </w:t>
                </w:r>
                <w:r>
                  <w:rPr>
                    <w:i/>
                    <w:iCs/>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yra numatyti sutartyje, kurią tas vartotojas savanoriškai sudarė,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w:t>
                </w:r>
                <w:r>
                  <w:rPr>
                    <w:b/>
                    <w:bCs/>
                    <w:color w:val="000000"/>
                    <w:sz w:val="22"/>
                    <w:szCs w:val="22"/>
                    <w:lang w:eastAsia="lt-LT"/>
                  </w:rPr>
                  <w:t xml:space="preserve"> tiekimo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apie juos aiškiai pranešta vartotojui prieš sudarant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Tokie mokesčiai turi būti proporcingi ir neturi viršyti tiesioginių ekonominių nuostolių, kuriuos dėl vartotojo inicijuoto sutarties nutraukimo patiria tiekėjas arba rinkos dalyvis. Susietųjų pasiūlymų atveju vartotojai turi galėti nutraukti atskiras sutartyje numatytas paslaugas. Tiesioginių ekonominių nuostolių įrodymo pareiga tenka tiekėjui arba rinkos dalyviui. Sutarties nutraukimo mokesčių leistinumą stebi reguliavimo institucija arba kita kompetentinga nacionalinė institucija.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Namų ūkio gamtinių dujų ir vandenilio vartotojai turi teisę dalyvauti kolektyvinio tiekėjo pakeitimo schemose. Valstybės narės pašalina visas reguliavimo ar administracines kliūtis kolektyviai pakeisti tiekėją ir suteikia sistemą, kuria užtikrinama vartotojų apsauga nuo piktnaudžiavimo.</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tabs>
                    <w:tab w:val="left" w:pos="567"/>
                  </w:tabs>
                  <w:ind w:left="720"/>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užtikrina, kad informacija apie tiekėjo pakeitimą galutiniams vartotojams būtų teikiama vartotojui patogia forma, be kita ko, per 24 straipsnyje nurodytus bendrus kontaktinius punktus.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Vandenilio tiekėjo keitimas neturi sukelti tiekimo pertraukų vartotojui.</w:t>
                </w:r>
              </w:p>
              <w:p>
                <w:pPr>
                  <w:tabs>
                    <w:tab w:val="left" w:pos="567"/>
                  </w:tabs>
                  <w:jc w:val="both"/>
                  <w:rPr>
                    <w:b/>
                    <w:bCs/>
                    <w:color w:val="000000"/>
                    <w:sz w:val="22"/>
                    <w:szCs w:val="22"/>
                    <w:lang w:eastAsia="lt-LT"/>
                  </w:rPr>
                </w:pPr>
                <w:r>
                  <w:rPr>
                    <w:b/>
                    <w:bCs/>
                    <w:color w:val="000000"/>
                    <w:sz w:val="22"/>
                    <w:szCs w:val="22"/>
                    <w:lang w:eastAsia="lt-LT"/>
                  </w:rPr>
                  <w:t xml:space="preserve">5. Informacija apie vandenilio tiekėjo keitimą vartotojams teikiama aiškia, prieinama forma, įskaitant per </w:t>
                </w:r>
                <w:r>
                  <w:rPr>
                    <w:color w:val="000000"/>
                    <w:sz w:val="22"/>
                    <w:szCs w:val="22"/>
                    <w:lang w:eastAsia="lt-LT"/>
                  </w:rPr>
                  <w:t xml:space="preserve"> </w:t>
                </w:r>
                <w:r>
                  <w:rPr>
                    <w:b/>
                    <w:bCs/>
                    <w:color w:val="000000"/>
                    <w:sz w:val="22"/>
                    <w:szCs w:val="22"/>
                    <w:lang w:eastAsia="lt-LT"/>
                  </w:rPr>
                  <w:t>šio įstatymo 52 straipsnyje nurodytus bendruosius kontaktinius punktus.</w:t>
                </w:r>
              </w:p>
              <w:p>
                <w:pPr>
                  <w:tabs>
                    <w:tab w:val="left" w:pos="567"/>
                  </w:tabs>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vartotojams būtų suteikta teisė per trumpą laiką nutraukti dujų tiekimo sutartis.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13 straipsnis </w:t>
                </w:r>
              </w:p>
              <w:p>
                <w:pPr>
                  <w:shd w:val="clear" w:color="auto" w:fill="FFFFFF"/>
                  <w:jc w:val="both"/>
                  <w:rPr>
                    <w:i/>
                    <w:iCs/>
                    <w:color w:val="000000"/>
                    <w:sz w:val="22"/>
                    <w:szCs w:val="22"/>
                    <w:lang w:eastAsia="lt-LT"/>
                  </w:rPr>
                </w:pPr>
                <w:r>
                  <w:rPr>
                    <w:b/>
                    <w:bCs/>
                    <w:color w:val="000000"/>
                    <w:sz w:val="22"/>
                    <w:szCs w:val="22"/>
                    <w:lang w:eastAsia="lt-LT"/>
                  </w:rPr>
                  <w:t>Vartotojų teisės ir apsauga, susijusios su laipsnišku gamtinių dujų atsisakymu</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pagal 38 straipsnio 6 dalį leidžiama atjungti tinklo naudotojus, valstybės narės užtikrina, kad:</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konsultuojamasi su atitinkamais tinklo naudotojais ir kitais atitinkamais suinteresuotaisiais subjektais, visų pirma vartotojų įstaigomis;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tinklo naudotojai, galutiniai vartotojai ir atitinkami suinteresuotieji subjektai būtų pakankamai iš anksto informuojami apie planuojamą datą, atjungimo procedūrą, planuojamus veiksmus ir atitinkamą tvarkaraštį;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galutiniai vartotojai gautų informacijos apie tvaraus šildymo galimybes ir turėtų galimybę gauti pakankamai patarimų dėl jų, taip pat gautų informacijos apie finansinę paramą per atitinkamas įstaigas, kurias turi nustatyti nacionalinės institucijos, įskaitant vieno langelio principu veikiančius centrus, įsteigtus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Europos Parlamento ir Tarybos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 </w:t>
                </w:r>
                <w:r>
                  <w:rPr>
                    <w:color w:val="000000"/>
                    <w:sz w:val="22"/>
                    <w:szCs w:val="22"/>
                    <w:vertAlign w:val="superscript"/>
                    <w:lang w:eastAsia="lt-LT"/>
                  </w:rPr>
                  <w:t>47</w:t>
                </w:r>
                <w:r>
                  <w:rPr>
                    <w:color w:val="000000"/>
                    <w:sz w:val="22"/>
                    <w:szCs w:val="22"/>
                    <w:lang w:eastAsia="lt-LT"/>
                  </w:rPr>
                  <w:t xml:space="preserve">) 18 straipsnį, ir kontaktinius punktus, įsteigtus ar paskirtus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47</w:t>
                </w:r>
                <w:r>
                  <w:rPr>
                    <w:color w:val="000000"/>
                    <w:sz w:val="22"/>
                    <w:szCs w:val="22"/>
                    <w:lang w:eastAsia="lt-LT"/>
                  </w:rPr>
                  <w:t xml:space="preserve">) 2024 m. balandžio 24 d. Europos Parlamento ir Tarybos direktyva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dėl pastatų energinio naudingumo (OL L, 2024/1275, 2024 5 8, ELI: http://data.europa.eu/eli/dir/2024/1275/oj).</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planuojant ir vykdant laipsnišką gamtinių dujų atsisakymą, būtų tinkamai atsižvelgiama į konkrečius pažeidžiamų vartotojų, kaip nurodyta 26 straipsnyje, ir energijos nepriteklių patiriančių vartotojų poreikius, ir, kai taikytina, imamasi tinkamų priemonių, kad būtų pašalintas neigiamas gamtinių dujų laipsniško atsisakymo poveikis, atsižvelgdamos į 27 straipsnyje nurodytas gaires, kurios gali apimti viešojo finansavimo ir Sąjungos lygmeniu nustatytų finansavimo priemonių naudojimą;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bet kokie finansiniai pervedimai tarp reguliuojamų paslaugų būtų vykdomi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 nustatytų taisyklių ir nebūtų diskriminuojami įvairių kategorijų vartotojai ir įvairūs energijos nešikliai.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14 straipsnis </w:t>
                </w:r>
              </w:p>
              <w:p>
                <w:pPr>
                  <w:shd w:val="clear" w:color="auto" w:fill="FFFFFF"/>
                  <w:jc w:val="both"/>
                  <w:rPr>
                    <w:i/>
                    <w:iCs/>
                    <w:color w:val="000000"/>
                    <w:sz w:val="22"/>
                    <w:szCs w:val="22"/>
                    <w:lang w:eastAsia="lt-LT"/>
                  </w:rPr>
                </w:pPr>
                <w:r>
                  <w:rPr>
                    <w:b/>
                    <w:bCs/>
                    <w:color w:val="000000"/>
                    <w:sz w:val="22"/>
                    <w:szCs w:val="22"/>
                    <w:lang w:eastAsia="lt-LT"/>
                  </w:rPr>
                  <w:t>Gamtinių dujų palyginimo priemonės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bent namų ūkio gamtinių dujų vartotojams, taip pat labai mažoms įmonėms ir mažosioms įmonėms, kurių numatomas metinis suvartojimas yra mažesnis kaip 100 000 kWh, būtų suteikta galimybė nemokamai naudotis bent viena tiekėjų pasiūlymų palyginimo priemone, įskaitant susietuosius pasiūlymus. Vartotojai informuojami apie galimybę pasinaudoti tokiomis priemonėmis jų sąskaitose arba kartu su jomis, arba kitais būdais. Tokios priemonės bent:</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turi būti nepriklausomos nuo rinkos dalyvių ir jomis turi būti užtikrinama, kad paieškos rezultatų atžvilgiu gamtinių dujų įmonėms būtų taikomos vienodos sąlygos;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97"/>
                  </w:tabs>
                  <w:jc w:val="both"/>
                  <w:rPr>
                    <w:color w:val="000000"/>
                    <w:sz w:val="22"/>
                    <w:szCs w:val="22"/>
                    <w:lang w:eastAsia="lt-LT"/>
                  </w:rPr>
                </w:pPr>
                <w:r>
                  <w:rPr>
                    <w:color w:val="000000"/>
                    <w:sz w:val="22"/>
                    <w:szCs w:val="22"/>
                    <w:lang w:eastAsia="lt-LT"/>
                  </w:rPr>
                  <w:t>b) jose turi būti aiškiai nurodoma, kam jos priklauso, taip pat nurodomas fizinis ar juridinis asmuo, administruojantis ir kontroliuojantis priemones, ir informacija apie tai, kaip priemonės yra finansuojamos;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w:t>
                </w:r>
                <w:r>
                  <w:rPr>
                    <w:color w:val="000000"/>
                    <w:sz w:val="22"/>
                    <w:szCs w:val="22"/>
                    <w:lang w:eastAsia="lt-LT"/>
                  </w:rPr>
                  <w:t xml:space="preserve"> </w:t>
                </w:r>
                <w:r>
                  <w:rPr>
                    <w:i/>
                    <w:iCs/>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jose turi būti nustatyti aiškūs ir objektyvūs kriterijai, kuriais turi būti grindžiamas palyginimas, įskaitant paslaugas, ir jie turi būti atskleisti;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jose turi būti vartojama paprasta ir nedviprasmiška kalba;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181"/>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e) jose turi būti teikiama tiksli ir naujausia informacija ir nurodyta, kada informacija buvo paskutinį kartą atnaujinta;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874"/>
                  </w:tabs>
                  <w:jc w:val="both"/>
                  <w:rPr>
                    <w:color w:val="000000"/>
                    <w:sz w:val="22"/>
                    <w:szCs w:val="22"/>
                    <w:lang w:eastAsia="lt-LT"/>
                  </w:rPr>
                </w:pPr>
                <w:r>
                  <w:rPr>
                    <w:color w:val="000000"/>
                    <w:sz w:val="22"/>
                    <w:szCs w:val="22"/>
                    <w:lang w:eastAsia="lt-LT"/>
                  </w:rPr>
                  <w:t>f) jos turi būti prieinamos asmenims su negalia – būti pastebimos, lengvai naudojamos, suprantamos ir patvarios;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97"/>
                  </w:tabs>
                  <w:jc w:val="both"/>
                  <w:rPr>
                    <w:color w:val="000000"/>
                    <w:sz w:val="22"/>
                    <w:szCs w:val="22"/>
                    <w:lang w:eastAsia="lt-LT"/>
                  </w:rPr>
                </w:pPr>
                <w:r>
                  <w:rPr>
                    <w:color w:val="000000"/>
                    <w:sz w:val="22"/>
                    <w:szCs w:val="22"/>
                    <w:lang w:eastAsia="lt-LT"/>
                  </w:rPr>
                  <w:t>g) jose turi būti numatyta veiksminga pranešimo apie neteisingą informaciją apie paskelbtus pasiūlymus procedūra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palyginimai jose turi būti atliekami prašant pateikti tik tiek asmens duomenų, kiek tikrai būtina palyginimams atlikti;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jose turi būti aiškiai nurodyta, ar kaina yra fiksuota, ar kintama, ir nurodyta sutarties trukmė.</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bent viena priemonė apimtų visą gamtinių dujų rinką. Jei rinka apžvelgiama daugeliu priemonių, į tas priemones turi būti įtraukiama, kiek praktiškai įmanoma, kuo daugiau gamtinių dujų pasiūlymų, apimančių didelę rinkos dalį, ir, jei tos priemonės neapima visos rinkos, tai turi būti aiškiai nurodoma prieš pateikiant rezultatus.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ir atitinkami tarpininkai pateikia savo atitinkamus pasiūlymus bent vienai kainų palyginimo priemonei, kuri apima visą rinką.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užtikrina, kad palyginimo priemonės veikimą užtikrinančio subjekto teikiama informacija būtų tiksli ir naujausia.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Priemones gali valdyti bet kuris subjektas, įskaitant privačias bendroves ir valdžios institucijas ar įstaigas.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353"/>
                  </w:tabs>
                  <w:jc w:val="both"/>
                  <w:rPr>
                    <w:color w:val="000000"/>
                    <w:sz w:val="22"/>
                    <w:szCs w:val="22"/>
                    <w:lang w:eastAsia="lt-LT"/>
                  </w:rPr>
                </w:pPr>
                <w:r>
                  <w:rPr>
                    <w:color w:val="000000"/>
                    <w:sz w:val="22"/>
                    <w:szCs w:val="22"/>
                    <w:lang w:eastAsia="lt-LT"/>
                  </w:rPr>
                  <w:t>3. Valstybės narės gali reikalauti, kad 1 dalyje nurodytos palyginimo priemonės apimtų lyginamuosius kriterijus, susijusius su tiekėjų siūlomų paslaugų pobūdžiu, įskaitant vieneto kainą, visus mokesčius ir informaciją apie nuolaidas, taip pat, kai taikytina, aplinkosauginį veiksmingumą.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Nustatydamos tuos kriterijus valstybės narės konsultuojasi su atitinkamais suinteresuotaisiais subjektais.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paskiria kompetentingą instituciją, kuri bus atsakinga už patikimumo ženklo suteikimą palyginimo priemonėms, kurios atitinka 1 dalyje išdėstytus reikalavimus, ir už užtikrinimą, kad tokį patikimumo ženklą turinčios palyginimo priemonės ir toliau atitiktų tuos reikalavimus. Ta kompetentinga institucija turi būti nepriklausoma nuo rinkos dalyvių ir palyginimo priemonių veikimą užtikrinančių subjektų.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Bet kuriai rinkos dalyvių pasiūlymų palyginimo priemonei galima prašyti suteikti patikimumo ženklą, kaip nurodyta 4 dalyje, savanorišku ir nediskriminaciniu pagrindu.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Nukrypstant nuo 4 ir 5 dalių, valstybės narės gali nuspręsti palyginimo priemonėms patikimumo ženklų netaikyti, jeigu valdžios institucija ar įstaiga pateikia palyginimo priemonę, atitinkančią 1 dalyje nustatytus reikalavimus.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15 straipsnis </w:t>
                </w:r>
              </w:p>
              <w:p>
                <w:pPr>
                  <w:shd w:val="clear" w:color="auto" w:fill="FFFFFF"/>
                  <w:jc w:val="both"/>
                  <w:rPr>
                    <w:i/>
                    <w:iCs/>
                    <w:color w:val="000000"/>
                    <w:sz w:val="22"/>
                    <w:szCs w:val="22"/>
                    <w:lang w:eastAsia="lt-LT"/>
                  </w:rPr>
                </w:pPr>
                <w:r>
                  <w:rPr>
                    <w:b/>
                    <w:bCs/>
                    <w:color w:val="000000"/>
                    <w:sz w:val="22"/>
                    <w:szCs w:val="22"/>
                    <w:lang w:eastAsia="lt-LT"/>
                  </w:rPr>
                  <w:t>Aktyvieji vartotojai gamtinių dujų rinkoje</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56"/>
                  </w:tabs>
                  <w:jc w:val="both"/>
                  <w:rPr>
                    <w:color w:val="000000"/>
                    <w:sz w:val="22"/>
                    <w:szCs w:val="22"/>
                    <w:lang w:eastAsia="lt-LT"/>
                  </w:rPr>
                </w:pPr>
                <w:r>
                  <w:rPr>
                    <w:color w:val="000000"/>
                    <w:sz w:val="22"/>
                    <w:szCs w:val="22"/>
                    <w:lang w:eastAsia="lt-LT"/>
                  </w:rPr>
                  <w:t>1. Valstybės narės užtikrina, kad galutiniai vartotojai, visų pirma žemės ūkio ar viešojo sektoriaus vartotojai, išsaugodami savo, kaip galutinių vartotojų, teises, kaip nustatyta šioje direktyvoje, turėtų teisę veikti kaip aktyvieji vartotojai, netaikant jiems neproporcingų ar diskriminacinių techninių reikalavimų, administracinių reikalavimų, procedūrų ir mokesčių, taip pat sąnaudų neatitinkančių tinklo mokesčių.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43"/>
                  </w:tabs>
                  <w:jc w:val="both"/>
                  <w:rPr>
                    <w:color w:val="000000"/>
                    <w:sz w:val="22"/>
                    <w:szCs w:val="22"/>
                    <w:lang w:eastAsia="lt-LT"/>
                  </w:rPr>
                </w:pPr>
                <w:r>
                  <w:rPr>
                    <w:color w:val="000000"/>
                    <w:sz w:val="22"/>
                    <w:szCs w:val="22"/>
                    <w:lang w:eastAsia="lt-LT"/>
                  </w:rPr>
                  <w:t>2. Valstybės narės užtikrina, kad aktyvieji vartotojai: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turėtų teisę veikti tiesiogiai;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turėtų teisę parduoti savo pagamintas gamtines dujas iš atsinaujinančiųjų išteklių naudodamiesi gamtinių dujų sistema;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62"/>
                  </w:tabs>
                  <w:jc w:val="both"/>
                  <w:rPr>
                    <w:color w:val="000000"/>
                    <w:sz w:val="22"/>
                    <w:szCs w:val="22"/>
                    <w:lang w:eastAsia="lt-LT"/>
                  </w:rPr>
                </w:pPr>
                <w:r>
                  <w:rPr>
                    <w:color w:val="000000"/>
                    <w:sz w:val="22"/>
                    <w:szCs w:val="22"/>
                    <w:lang w:eastAsia="lt-LT"/>
                  </w:rPr>
                  <w:t>c) turėtų teisę dalyvauti energijos vartojimo efektyvumo ir paklausos perskirstymo programose;</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07"/>
                  </w:tabs>
                  <w:jc w:val="both"/>
                  <w:rPr>
                    <w:color w:val="000000"/>
                    <w:sz w:val="22"/>
                    <w:szCs w:val="22"/>
                    <w:lang w:eastAsia="lt-LT"/>
                  </w:rPr>
                </w:pPr>
                <w:r>
                  <w:rPr>
                    <w:color w:val="000000"/>
                    <w:sz w:val="22"/>
                    <w:szCs w:val="22"/>
                    <w:lang w:eastAsia="lt-LT"/>
                  </w:rPr>
                  <w:t>d) turėtų teisę deleguoti jų veiklai reikalingų įrenginių valdymą, įskaitant įrengimą, eksploatavimą, duomenų tvarkymą ir techninę priežiūrą, trečiajai šaliai; ta trečioji šalis neturi būti laikoma aktyviuoju vartotoju;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jiems būtų taikomi sąnaudas atspindintys, skaidrūs ir nediskriminaciniai tinklo mokesčiai, užtikrinant, kad jie tinkamai ir subalansuotai prisidėtų prie bendrų sistemos išlaidų;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būtų finansiškai atsakingi už disbalansą, kurį jie sukelia gamtinių dujų sistemoje, arba deleguotų savo atsakomybę už balansavimą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 straipsnio e punktą.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savo nacionalinėje teisėje gali nustatyti skirtingas nuostatas, taikytinas individualiems ir kartu veikiantiems aktyviesiems vartotojams su sąlyga, kad visos teisės ir pareigos pagal šį straipsnį taikomos visiems aktyviesiems vartotojams. Bet kokie požiūrio į kartu veikiančius aktyviuosius vartotojus skirtumai turi būti proporcingi ir tinkamai pagrįsti.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aktyviesiems vartotojams, kuriems priklauso dujų iš atsinaujinančiųjų išteklių laikymo įrenginiai: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suteikta teisė prisijungti prie tinklo per pagrįstą laiką po atitinkamo prašymo pateikimo su sąlyga, kad tenkinamos visos būtinos sąlygos, pavyzdžiui, atsakomybė už balansavimą;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nebūtų taikomi jokie dvigubi mokesčiai, įskaitant tinklo mokesčius, už laikomas dujas iš atsinaujinančiųjų išteklių, liekančias jų patalpose;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nebūtų taikomi neproporcingi licencijavimo reikalavimai ar mokesčiai;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būtų leidžiama tuo pačiu metu teikti kelias paslaugas, jei tai techniškai įmanoma.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16 straipsnis </w:t>
                </w:r>
              </w:p>
              <w:p>
                <w:pPr>
                  <w:shd w:val="clear" w:color="auto" w:fill="FFFFFF"/>
                  <w:jc w:val="both"/>
                  <w:rPr>
                    <w:i/>
                    <w:iCs/>
                    <w:color w:val="000000"/>
                    <w:sz w:val="22"/>
                    <w:szCs w:val="22"/>
                    <w:lang w:eastAsia="lt-LT"/>
                  </w:rPr>
                </w:pPr>
                <w:r>
                  <w:rPr>
                    <w:b/>
                    <w:color w:val="000000"/>
                    <w:sz w:val="22"/>
                    <w:szCs w:val="22"/>
                    <w:lang w:eastAsia="lt-LT"/>
                  </w:rPr>
                  <w:t>Sąskaitos ir sąskaitų informacija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sąskaitos ir sąskaitų informacija būtų teisingos, lengvai suprantamos, aiškios, glaustos, vartotojui patogios ir pateikiamos taip, kad galutiniams vartotojams būtų sudarytos palankesnės sąlygos jas palyginti ir kad sąskaitos ir sąskaitų informacija atitiktų minimalius reikalavimus, išdėstytus I priede. Galutinių vartotojų prašymu jiems pateikiamas aiškus ir suprantamas paaiškinimas, kaip parengta jų sąskaita, ypač tais atvejais, kai sąskaitos nėra grindžiamos faktiniu suvartojimu.</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r>
                  <w:rPr>
                    <w:b/>
                    <w:bCs/>
                    <w:sz w:val="22"/>
                    <w:szCs w:val="22"/>
                    <w:lang w:eastAsia="lt-LT"/>
                  </w:rPr>
                  <w:t xml:space="preserve"> </w:t>
                </w:r>
              </w:p>
              <w:p>
                <w:pPr>
                  <w:tabs>
                    <w:tab w:val="left" w:pos="567"/>
                  </w:tabs>
                  <w:ind w:firstLine="720"/>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sz w:val="22"/>
                    <w:szCs w:val="22"/>
                    <w:lang w:eastAsia="lt-LT"/>
                  </w:rPr>
                </w:pPr>
                <w:r>
                  <w:rPr>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sz w:val="22"/>
                    <w:szCs w:val="22"/>
                    <w:lang w:val="lt" w:eastAsia="lt-LT"/>
                  </w:rPr>
                </w:pPr>
                <w:r>
                  <w:rPr>
                    <w:sz w:val="22"/>
                    <w:szCs w:val="22"/>
                    <w:lang w:val="lt" w:eastAsia="lt-LT"/>
                  </w:rPr>
                  <w:t>&lt;...&gt;</w:t>
                </w:r>
              </w:p>
              <w:p>
                <w:pPr>
                  <w:shd w:val="clear" w:color="auto" w:fill="FFFFFF"/>
                  <w:jc w:val="both"/>
                  <w:rPr>
                    <w:sz w:val="22"/>
                    <w:szCs w:val="22"/>
                    <w:lang w:eastAsia="lt-LT"/>
                  </w:rPr>
                </w:pPr>
                <w:r>
                  <w:rPr>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b/>
                    <w:i/>
                    <w:sz w:val="22"/>
                    <w:szCs w:val="22"/>
                    <w:lang w:eastAsia="lt-LT"/>
                  </w:rPr>
                </w:pPr>
              </w:p>
              <w:p>
                <w:pPr>
                  <w:shd w:val="clear" w:color="auto" w:fill="FFFFFF"/>
                  <w:jc w:val="both"/>
                  <w:rPr>
                    <w:b/>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vartotojai visas savo sąskaitas ir sąskaitų informaciją gautų nemokamai.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galutiniams vartotojams būtų pasiūlyta galimybė gauti elektronines sąskaitas ir sąskaitų informaciją ir kad jiems būtų pasiūlyta lanksti faktinio sąskaitų mokėjimo tvarka.</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right="57"/>
                  <w:jc w:val="both"/>
                  <w:rPr>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jc w:val="both"/>
                  <w:rPr>
                    <w:sz w:val="22"/>
                    <w:szCs w:val="22"/>
                    <w:lang w:eastAsia="lt-LT"/>
                  </w:rPr>
                </w:pPr>
              </w:p>
              <w:p>
                <w:pPr>
                  <w:jc w:val="both"/>
                  <w:rPr>
                    <w:sz w:val="22"/>
                    <w:szCs w:val="22"/>
                    <w:lang w:val="lt" w:eastAsia="lt-LT"/>
                  </w:rPr>
                </w:pPr>
                <w:r>
                  <w:rPr>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sz w:val="22"/>
                    <w:szCs w:val="22"/>
                    <w:lang w:eastAsia="lt-LT"/>
                  </w:rPr>
                </w:pPr>
              </w:p>
              <w:p>
                <w:pPr>
                  <w:shd w:val="clear" w:color="auto" w:fill="FFFFFF"/>
                  <w:jc w:val="both"/>
                  <w:rPr>
                    <w:sz w:val="22"/>
                    <w:szCs w:val="22"/>
                    <w:lang w:eastAsia="lt-LT"/>
                  </w:rPr>
                </w:pPr>
              </w:p>
              <w:p>
                <w:pPr>
                  <w:shd w:val="clear" w:color="auto" w:fill="FFFFFF"/>
                  <w:jc w:val="both"/>
                  <w:rPr>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sutartyje numatomas būsimas produkto ar kainos pakeitimas arba nuolaida, tai turi būti nurodyta sąskaitoje kartu su pakeitimo atlikimo data.</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sz w:val="22"/>
                    <w:szCs w:val="22"/>
                    <w:lang w:eastAsia="lt-LT"/>
                  </w:rPr>
                </w:pPr>
                <w:r>
                  <w:rPr>
                    <w:b/>
                    <w:bCs/>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firstLine="57"/>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p>
              <w:p>
                <w:pPr>
                  <w:shd w:val="clear" w:color="auto" w:fill="FFFFFF"/>
                  <w:jc w:val="both"/>
                  <w:rPr>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Svarstydamos sąskaitų turinio reikalavimų pakeitimus valstybės narės konsultuojasi su vartotojų įstaigomis.</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Vyriausybės darbo reglamentas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12.  Teisės aktų projektai (išskyrus Taisyklių 18 punkte nurodytus atvejus) turi būti teikiami derinti pagal kompetenciją suinteresuotų institucijų (jei tokių yra) išvadoms ir suinteresuotų asmenų pastaboms ir pasiūlymams gauti.</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Konsultuojantis su visuomene, kviečiami dalyvauti suinteresuoti asmenys (fiziniai asmenys, ekspertai, asociacijos, nevyriausybinės organizacijos, profesinės sąjungos, kiti subjektai), kuriuos tiesiogiai ar netiesiogiai paveiks ar gali paveikti numatomas teisinis reguliavimas (toliau – suinteresuoti asmenys).</w:t>
                </w:r>
              </w:p>
              <w:p>
                <w:pPr>
                  <w:shd w:val="clear" w:color="auto" w:fill="FFFFFF"/>
                  <w:jc w:val="both"/>
                  <w:rPr>
                    <w:color w:val="000000"/>
                    <w:sz w:val="22"/>
                    <w:szCs w:val="22"/>
                    <w:lang w:eastAsia="lt-LT"/>
                  </w:rPr>
                </w:pPr>
                <w:r>
                  <w:rPr>
                    <w:color w:val="000000"/>
                    <w:sz w:val="22"/>
                    <w:szCs w:val="22"/>
                    <w:lang w:eastAsia="lt-LT"/>
                  </w:rPr>
                  <w:t>Konsultavimasis su visuomene vykdomas atliekant apklausas, interviu, organizuojant diskusijas, konferencijas, viešus klausymus, kviečiant teikti pasiūlymus, sudarant darbo grupes ar Vyriausybės komisijas teisės akto projektui parengti arba kitais būdais, užtikrinančiais, kad bus pasiektas konsultavimosi tikslas.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18.  Teisės aktų projektai gali būti nederinami su suinteresuotomis institucijomis ir suinteresuotais asmenimis karo, nepaprastosios padėties, mobilizacijos, karantino, ekstremaliosios situacijos ar ekstremaliojo įvykio metu ar kai teisės akto projektu būtina neatidėliotinai spręsti klausimus, būtinus valstybės karinės gynybos ir kitoms gyvybiškai svarbioms valstybės funkcijoms užtikrinti, ir jeigu šiais atvejais teisės akto projekto nepriėmimas nedelsiant lemtų neigiamų pasekmių valstybės ir visuomenės saugumui ir stabilumui atsiradimą, taip pat dėl teisės aktų projektų, kuriais siūlomi redakciniai ir (ar) teisės technikos pakeitimai.</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Vyriausybės darbo reglamentas nustato, kad bet kokie Vyriausybės ar jos įstaigų rengiami teisės aktų projektai turi būti derinami su suinteresuotomis įstaigomis ir suinteresuotais asmenimis. Derinant teisės aktus, susijusius su sąskaitų turinio reikalavimais, vartotojų įstaigos yra laikytinos suinteresuotomis įstaigomis. Todėl ši Direktyvos nuostata laikytina perkelta į nacionalinę teisę.</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17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Išmaniosios apskaitos sistemos gamtinių dujų sistemoje</w:t>
                </w:r>
              </w:p>
            </w:tc>
            <w:tc>
              <w:tcPr>
                <w:tcW w:w="9407" w:type="dxa"/>
                <w:gridSpan w:val="3"/>
                <w:vAlign w:val="center"/>
              </w:tcPr>
              <w:p>
                <w:pPr>
                  <w:shd w:val="clear" w:color="auto" w:fill="FFFFFF"/>
                  <w:jc w:val="both"/>
                  <w:rPr>
                    <w:b/>
                    <w:i/>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Siekiant papildyti energijos vartojimo efektyvumo priemones, priimtas pagal direktyvas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ir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ir suteikti daugiau galių galutiniams vartotojams, valstybės narės arba, jei taip numato valstybės narės, reguliavimo institucijos primygtinai rekomenduoja gamtinių dujų įmonėms optimizuoti gamtinių dujų vartojimą, inter alia, teikiant energijos valdymo paslaugas ir pradedant taikyti išmaniąsias apskaitos sistemas pagal šio straipsnio 2 dalį, kurios turi būti sąveikios, visų pirma su vartotojų energijos valdymo sistemomis ir išmaniaisiais tinklais, laikantis taikomų Sąjungos duomenų apsaugos taisyklių.</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p>
              <w:p>
                <w:pPr>
                  <w:shd w:val="clear" w:color="auto" w:fill="FFFFFF"/>
                  <w:jc w:val="both"/>
                  <w:rPr>
                    <w:b/>
                    <w:color w:val="FF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Energetikos įstatymas</w:t>
                </w:r>
              </w:p>
              <w:p>
                <w:pPr>
                  <w:shd w:val="clear" w:color="auto" w:fill="FFFFFF"/>
                  <w:jc w:val="both"/>
                  <w:rPr>
                    <w:b/>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Išmanioji energijos apskaitos sistema</w:t>
                </w:r>
                <w:r>
                  <w:rPr>
                    <w:color w:val="000000"/>
                    <w:sz w:val="22"/>
                    <w:szCs w:val="22"/>
                    <w:lang w:val="lt" w:eastAsia="lt-LT"/>
                  </w:rPr>
                  <w:t xml:space="preserve">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nusprendžia diegti išmaniąsias apskaitos sistemas savo teritorijose tik atlikusios sąnaudų ir naudos vertinimą pagal II priede nustatytus principus, kuriuo būtų nustatyta grynoji nauda vartotojams, gaunama naudojant išmaniuosius skaitiklius ir pasirašius išmaniaisiais skaitikliais grindžiamus pasiūlymus. Atlikdamos sąnaudų ir naudos vertinimą, valstybės narės gali atlikti atskirus vertinimus ir įvertinti išmaniųjų apskaitos sistemų diegimo poveikį įvairių kategorijų vartotojams ir vartotojų grupėms, pavyzdžiui, namų ūkio vartotojams, labai mažoms įmonėms, MVĮ ir pramonei.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kurios nusprendžia diegti išmaniąsias apskaitos sistemas, priima ir paskelbia savo teritorijose numatytoms diegti išmaniosioms apskaitos sistemoms taikytinus minimalius funkcinius ir techninius reikalavimus, laikydamosi 19 straipsnio ir II priedo. Valstybės narės užtikrina tų išmaniųjų apskaitos sistemų sąveikumą ir jų gebėjimą teikti duomenis vartotojų energijos valdymo sistemoms. Tuo tikslu valstybės narės tinkamai atsižvelgia į tai, kaip taikomi atitinkami galiojantys standartai, įskaitant standartus dėl sąveikumo užtikrinimo, į geriausią praktiką, taip pat į išmaniųjų tinklų ir gamtinių dujų vidaus rinkos plėtros svarbą.</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 straipsnis. Vyriausybės ar jos įgaliotos institucijos funkcijos gamtinių</w:t>
                </w:r>
                <w:r>
                  <w:rPr>
                    <w:b/>
                    <w:color w:val="000000"/>
                    <w:sz w:val="22"/>
                    <w:szCs w:val="22"/>
                    <w:lang w:val="lt" w:eastAsia="lt-LT"/>
                  </w:rPr>
                  <w:t xml:space="preserve"> </w:t>
                </w:r>
                <w:r>
                  <w:rPr>
                    <w:b/>
                    <w:color w:val="000000"/>
                    <w:sz w:val="22"/>
                    <w:szCs w:val="22"/>
                    <w:lang w:eastAsia="lt-LT"/>
                  </w:rPr>
                  <w:t>dujų sektoriuje</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Išmaniąsias apskaitos sistemas nusprendusios diegti valstybės narės, pasikonsultavusios su vartotojų įstaigomis ir kitomis atitinkamomis organizacijomis, užtikrina, kad vartotojams būtų teikiama aiški ir suprantama informacija ir patarimai apie išmaniųjų skaitiklių teikiamą naudą. Toje informacijoje turi būti bent:</w:t>
                </w:r>
              </w:p>
            </w:tc>
            <w:tc>
              <w:tcPr>
                <w:tcW w:w="9407" w:type="dxa"/>
                <w:gridSpan w:val="3"/>
                <w:vAlign w:val="center"/>
              </w:tcPr>
              <w:p>
                <w:pPr>
                  <w:shd w:val="clear" w:color="auto" w:fill="FFFFFF"/>
                  <w:jc w:val="both"/>
                  <w:rPr>
                    <w:i/>
                    <w:iCs/>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58 straipsnis. Vartotojų teisių apsauga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išdėstyti patarimai, kaip vartotojų grupės gali naudoti savo išmaniąsias apskaitos sistemas, kad padidintų savo energijos vartojimo efektyvumą;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atsižvelgta į konkrečius energijos nepriteklių patiriančių vartotojų arba pažeidžiamų vartotojų, kaip nurodyta šios direktyvos 26 straipsnyje, pavyzdžiui, regos ar klausos sutrikimų turinčių asmenų ir mažo raštingumo asmenų, poreikius, be kita ko, įgyvendinant bendradarbiavimo strategijas,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55 punkte.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arba, jei taip numato valstybės narės, paskirtosios kompetentingos institucijos reguliariai stebi tokį jų teritorijose vykdomą diegimą, kad galėtų stebėti, kaip užtikrinama nauda vartotojams.</w:t>
                </w:r>
              </w:p>
            </w:tc>
            <w:tc>
              <w:tcPr>
                <w:tcW w:w="9407" w:type="dxa"/>
                <w:gridSpan w:val="3"/>
                <w:vAlign w:val="center"/>
              </w:tcPr>
              <w:p>
                <w:pPr>
                  <w:jc w:val="both"/>
                  <w:rPr>
                    <w:b/>
                    <w:color w:val="000000"/>
                    <w:sz w:val="22"/>
                    <w:szCs w:val="22"/>
                    <w:lang w:val="lt" w:eastAsia="lt-LT"/>
                  </w:rPr>
                </w:pPr>
                <w:r>
                  <w:rPr>
                    <w:b/>
                    <w:color w:val="000000"/>
                    <w:sz w:val="22"/>
                    <w:szCs w:val="22"/>
                    <w:lang w:val="lt" w:eastAsia="lt-LT"/>
                  </w:rPr>
                  <w:t>Energetikos įstatymas</w:t>
                </w:r>
              </w:p>
              <w:p>
                <w:pPr>
                  <w:jc w:val="both"/>
                  <w:rPr>
                    <w:b/>
                    <w:color w:val="000000"/>
                    <w:sz w:val="22"/>
                    <w:szCs w:val="22"/>
                    <w:lang w:eastAsia="lt-LT"/>
                  </w:rPr>
                </w:pPr>
                <w:r>
                  <w:rPr>
                    <w:b/>
                    <w:color w:val="000000"/>
                    <w:sz w:val="22"/>
                    <w:szCs w:val="22"/>
                    <w:lang w:eastAsia="lt-LT"/>
                  </w:rPr>
                  <w:t>30 straipsnis. Energijos apskaita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Energijos matavimo priemones ar išmaniąsias energijos apskaitos sistemas savo lėšomis įrengia ir eksploatuoja perdavimo, skirstymo ar laikymo</w:t>
                </w:r>
                <w:r>
                  <w:rPr>
                    <w:i/>
                    <w:color w:val="000000"/>
                    <w:sz w:val="22"/>
                    <w:szCs w:val="22"/>
                    <w:lang w:val="lt" w:eastAsia="lt-LT"/>
                  </w:rPr>
                  <w:t xml:space="preserve"> </w:t>
                </w:r>
                <w:r>
                  <w:rPr>
                    <w:color w:val="000000"/>
                    <w:sz w:val="22"/>
                    <w:szCs w:val="22"/>
                    <w:lang w:val="lt" w:eastAsia="lt-LT"/>
                  </w:rPr>
                  <w:t>energetikos objektus nuosavybės teise ar kitais teisėtais pagrindais valdančios energetikos įmonės, išskyrus atskirų energetikos sektorių veiklą reglamentuojančiuose įstatymuose nustatytus atvejus. Atskirų energetikos sektorių veiklą reglamentuojančių įstatymų nustatytais atvejais ir tvarka šioje dalyje nurodytos energetikos įmonės energijos vartojimo ir (ar) gamybos apskaitai diegia išmaniąsias energijos apskaitos sistemas.</w:t>
                </w:r>
              </w:p>
              <w:p>
                <w:pPr>
                  <w:jc w:val="both"/>
                  <w:rPr>
                    <w:i/>
                    <w:iCs/>
                    <w:color w:val="000000"/>
                    <w:sz w:val="22"/>
                    <w:szCs w:val="22"/>
                    <w:lang w:eastAsia="lt-LT"/>
                  </w:rPr>
                </w:pPr>
                <w:r>
                  <w:rPr>
                    <w:color w:val="000000"/>
                    <w:sz w:val="22"/>
                    <w:szCs w:val="22"/>
                    <w:lang w:val="lt" w:eastAsia="lt-LT"/>
                  </w:rPr>
                  <w:t>4. Energijos matavimo priemones ar išmaniąsias energijos apskaitos sistemas tarp energetikos objektų įrengia ir eksploatuoja energiją perduodančius energetikos objektus nuosavybės teise ar kitais teisėtais pagrindais juos valdančios energetikos įmonės savo lėšomis.</w:t>
                </w:r>
              </w:p>
              <w:p>
                <w:pPr>
                  <w:ind w:firstLine="720"/>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Šios direktyvos nuostatos dėl išmaniųjų apskaitos sistemų taikomos būsimiems įrenginiams ir įrenginiams, kurie pakeičia senesnius išmaniuosius skaitiklius. Išmaniosios apskaitos sistemos, kurios jau buvo įdiegtos arba kurių darbų pradžia buvo anksčiau nei 2024 m. rugpjūčio 4 d., gali būti toliau eksploatuojamos visą jų veikimo laiką. Tačiau 19 straipsnio ir II priedo reikalavimų neatitinkančios išmaniosios apskaitos sistemos nebėra eksploatuojamos po 2036 m. rugpjūčio 5 d.</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7 dalies tikslu darbų pradžia – su investicija susijusių statybos darbų pradžia arba pirmasis tvirtas įsipareigojimas užsakyti įrangą ar kitas įsipareigojimas, dėl kurio investicija tampa neatšaukiama, atsižvelgiant į tai, kas įvyko anksčiau. Žemės įsigijimas ir parengiamieji darbai, pavyzdžiui, leidimų gavimas ir preliminarių galimybių studijų rengimas, nelaikomi darbų pradžia. Perėmimo atveju darbų pradžia – momentas, kai įsigyjamas su įsigyta įmone tiesiogiai susijęs turtas.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73"/>
                  </w:tabs>
                  <w:jc w:val="both"/>
                  <w:rPr>
                    <w:i/>
                    <w:iCs/>
                    <w:color w:val="000000"/>
                    <w:sz w:val="22"/>
                    <w:szCs w:val="22"/>
                    <w:lang w:eastAsia="lt-LT"/>
                  </w:rPr>
                </w:pPr>
                <w:r>
                  <w:rPr>
                    <w:i/>
                    <w:iCs/>
                    <w:color w:val="000000"/>
                    <w:sz w:val="22"/>
                    <w:szCs w:val="22"/>
                    <w:lang w:eastAsia="lt-LT"/>
                  </w:rPr>
                  <w:t>18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Išmaniosios apskaitos sistemos vandenilio sistemoje</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diegiamos išmaniosios apskaitos sistemos, kurios gali tiksliai matuoti suvartojimą ir teikti informaciją apie naudojimo faktinį laiką, taip pat yra pajėgios tam tikros formos elektroniniu ryšiu perduoti ir priimti duomenis informacijos, stebėjimo ir kontrolės tikslais.</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Nepaisant šio straipsnio 1 dalies, atliekamas tokios diegimo pareigos sąnaudų ir naudos vertinimas bent namų ūkio vartotojų atžvilgiu, kuris vykdomas remiantis II priede nustatytais principais.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shd w:val="clear" w:color="auto" w:fill="FFFFFF"/>
                  <w:ind w:firstLine="483"/>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b/>
                    <w:color w:val="000000"/>
                    <w:sz w:val="22"/>
                    <w:szCs w:val="22"/>
                    <w:lang w:eastAsia="ar-SA"/>
                  </w:rPr>
                </w:pPr>
                <w:r>
                  <w:rPr>
                    <w:b/>
                    <w:color w:val="000000"/>
                    <w:sz w:val="22"/>
                    <w:szCs w:val="22"/>
                    <w:lang w:eastAsia="ar-SA"/>
                  </w:rPr>
                  <w:t>6. Taryba:</w:t>
                </w:r>
              </w:p>
              <w:p>
                <w:pPr>
                  <w:shd w:val="clear" w:color="auto" w:fill="FFFFFF"/>
                  <w:ind w:firstLine="483"/>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32) derina vandenilio perdavimo ir skirstymo tinklų operatorių atliktą ilgalaikės trukmės išlaidų ir naudos rinkai galutiniams vartotojams ekonominį vertinimą arba vertinimą, kokia išmanioji apskaita yra ekonomiškai pagrįsta ir efektyvi ir per kokį laikotarpį ją galima būtų įdiegti dėl išmaniųjų apskaitos sistemų diegimo galimybės;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ind w:right="57"/>
                  <w:jc w:val="both"/>
                  <w:rPr>
                    <w:b/>
                    <w:bCs/>
                    <w:color w:val="000000"/>
                    <w:sz w:val="22"/>
                    <w:szCs w:val="22"/>
                    <w:lang w:eastAsia="lt-LT"/>
                  </w:rPr>
                </w:pPr>
                <w:r>
                  <w:rPr>
                    <w:b/>
                    <w:bCs/>
                    <w:color w:val="000000"/>
                    <w:sz w:val="22"/>
                    <w:szCs w:val="22"/>
                    <w:lang w:eastAsia="lt-LT"/>
                  </w:rPr>
                  <w:t xml:space="preserve">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išmaniųjų apskaitos sistemų ir atitinkamų duomenų perdavimo saugumą bei galutinių vartotojų privatumą, laikydamosi atitinkamos Sąjungos duomenų apsaugos ir privatumo teisės, taip pat jų sąveikumą, ir atsižvelgdamos į atitinkamų standartų naudojimą.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color w:val="000000"/>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jc w:val="both"/>
                  <w:rPr>
                    <w:b/>
                    <w:bCs/>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Komisija įgyvendinimo aktais nustato išmaniųjų skaitiklių sąveikumo reikalavimus ir tvarką, siekdama užtikrinti, kad reikalavimus atitinkančios šalys galėtų naudotis iš išmaniųjų apskaitos sistemų gaunamais duomenimis.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reguliariai stebi tokį jų teritorijose vykdomą diegimą, kad galėtų stebėti, kaip užtikrinama nauda vartotojams.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spacing w:line="276" w:lineRule="auto"/>
                  <w:ind w:firstLine="720"/>
                  <w:jc w:val="both"/>
                  <w:rPr>
                    <w:sz w:val="22"/>
                    <w:szCs w:val="22"/>
                    <w:lang w:eastAsia="lt-LT"/>
                  </w:rPr>
                </w:pPr>
                <w:r>
                  <w:rPr>
                    <w:sz w:val="22"/>
                    <w:szCs w:val="22"/>
                    <w:lang w:eastAsia="lt-LT"/>
                  </w:rPr>
                  <w:t>&lt;...&gt;</w:t>
                </w:r>
              </w:p>
              <w:p>
                <w:pPr>
                  <w:ind w:firstLine="720"/>
                  <w:jc w:val="both"/>
                  <w:rPr>
                    <w:b/>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993"/>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periodiškai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19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Išmaniųjų apskaitos sistemų gamtinių dujų sistemoje funkcijos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atlikus 17 straipsnio 2 dalyje nurodytą sąnaudų ir naudos vertinimą, išmaniųjų apskaitos sistemų diegimas įvertinamas teigiamai arba jei jos sistemingai diegiamos po 2024 m. rugpjūčio 4 d., valstybės narės įdiegia tas sistemas laikydamosi Europos standartų, II priedo ir šių reikalavimų:</w:t>
                </w:r>
              </w:p>
            </w:tc>
            <w:tc>
              <w:tcPr>
                <w:tcW w:w="9407" w:type="dxa"/>
                <w:gridSpan w:val="3"/>
                <w:vAlign w:val="center"/>
              </w:tcPr>
              <w:p>
                <w:pPr>
                  <w:shd w:val="clear" w:color="auto" w:fill="FFFFFF"/>
                  <w:jc w:val="both"/>
                  <w:rPr>
                    <w:sz w:val="22"/>
                    <w:szCs w:val="22"/>
                    <w:lang w:eastAsia="lt-LT"/>
                  </w:rPr>
                </w:pPr>
                <w:r>
                  <w:rPr>
                    <w:b/>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r>
                  <w:rPr>
                    <w:i/>
                    <w:iCs/>
                    <w:color w:val="000000"/>
                    <w:sz w:val="22"/>
                    <w:szCs w:val="22"/>
                    <w:lang w:eastAsia="lt-LT"/>
                  </w:rPr>
                  <w:t xml:space="preserve"> </w:t>
                </w:r>
              </w:p>
              <w:p>
                <w:pPr>
                  <w:ind w:firstLine="720"/>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išmaniosios apskaitos sistemos tiksliai matuoja faktinį gamtinių dujų vartojimą ir gali teikti galutiniams vartotojams informaciją apie naudojimo faktinį laiką, įskaitant patvirtintus ankstesnio suvartojimo duomenis, kurie turi būti lengvai ir saugiai prieinami ir vizualiai išdėstyti galutiniams vartotojams gavus prašymą ir be papildomų išlaidų, ir nepatvirtintus naujausius turimus suvartojimo duomenis, kurie turi būti be papildomų išlaidų lengvai ir saugiai prieinami galutiniams vartotojams per standartizuotą sąsają arba nuotoliniu būdu, kad būtų remiamos automatizuotos energijos vartojimo efektyvumo programos ir kitos paslaugos;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išmaniųjų apskaitos sistemų ir duomenų perdavimo saugumas atitinka atitinkamas Sąjungos saugumo taisykles, tinkamai atsižvelgiant į geriausius turimus būdus, skirtus aukščiausio lygio kibernetiniam saugumui užtikrinti, kartu atsižvelgiant į sąnaudas ir į proporcingumo principą;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galutinių vartotojų privatumas ir jų duomenų apsauga užtikrinami laikantis atitinkamų Sąjungos duomenų apsaugos ir privatumo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galutinių vartotojų prašymu per standartizuotą ryšio sąsają arba nuotoliniu būdu jiems arba jų vardu veikiančiai trečiajai šaliai skaitiklių užfiksuoti jų suvartotų gamtinių dujų duomenys, laikantis pagal 23 straipsnį priimtų įgyvendinimo aktų, teikiami lengvai suprantama forma, kad būtų galima palyginti pasiūlymus naudojant vienodus kriterijus;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prieš įrengiant išmaniuosius skaitiklius arba jų įrengimo metu galutiniams vartotojams teikiami atitinkami patarimai ir informacija, visų pirma apie visas išmaniųjų skaitiklių galimybes, susijusias su skaitiklio rodmenų valdymu ir energijos vartojimo stebėjimu, ir apie asmens duomenų rinkimą bei tvarkymą laikantis taikomų Sąjungos duomenų apsaugos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išmaniosios apskaitos sistemos užtikrina, kad galutinių vartotojų suvartotas energijos kiekis būtų išmatuotas ir už jį būtų atsiskaitoma trumpiausiam atsiskaitymo laikotarpiui nacionalinėje rinkoje tapačia laikine skyra.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d punkto tikslais galutiniai vartotojai turi galėti gauti savo skaitiklių duomenis arba perduoti juos kitai šaliai be papildomų išlaidų, naudodamiesi savo teise į duomenų perkeliamumą pagal Sąjungos duomenų apsaugos taisykles.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20 straipsnis</w:t>
                </w:r>
              </w:p>
              <w:p>
                <w:pPr>
                  <w:shd w:val="clear" w:color="auto" w:fill="FFFFFF"/>
                  <w:jc w:val="both"/>
                  <w:rPr>
                    <w:i/>
                    <w:iCs/>
                    <w:color w:val="000000"/>
                    <w:sz w:val="22"/>
                    <w:szCs w:val="22"/>
                    <w:lang w:eastAsia="lt-LT"/>
                  </w:rPr>
                </w:pPr>
                <w:r>
                  <w:rPr>
                    <w:b/>
                    <w:bCs/>
                    <w:color w:val="000000"/>
                    <w:sz w:val="22"/>
                    <w:szCs w:val="22"/>
                    <w:lang w:eastAsia="lt-LT"/>
                  </w:rPr>
                  <w:t>Teisė į išmanųjį gamtinių dujų skaitiklį</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atlikus 17 straipsnio 2 dalyje nurodytą sąnaudų ir naudos vertinimą, išmaniųjų apskaitos sistemų diegimas įvertintas neigiamai ir jei jos nėra sistemingai diegiamos, valstybės narės užtikrina, kad vartotojai, pateikę prašymą, turėtų teisę, padengdami susijusias išlaidas, į tai, kad sąžiningomis, pagrįstomis ir ekonomiškai efektyviomis sąlygomis jiems būtų įrengtas arba, kai taikytina, patobulintas išmanusis skaitiklis, kuris: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jei techniškai įmanoma, turėtų 19 straipsnyje nurodytas funkcijas arba minimalų funkcijų rinkinį, kurį laikydamosi II priedo valstybės narės turi nustatyti ir paskelbti nacionaliniu lygmeniu;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būtų sąveikus, o apskaitos infrastruktūra pageidaujant galėtų būti sujungta su vartotojų energijos valdymo sistemomis.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Jei pagal 1 dalį vartotojas pateikia prašymą dėl išmaniojo skaitiklio įrengimo, valstybės narės arba, jei taip numato valstybės narės, paskirtosios kompetentingos institucijos: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užtikrina, kad įrengti išmanųjį skaitiklį prašančiam vartotojui pateiktame pasiūlyme būtų nedviprasmiškai nurodyta ir aiškiai aprašyta: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įmanomos išmaniojo skaitiklio funkcijos ir sąveikumas, taip pat paslaugos, kurios gali būti teikiamos, ir tuo momentu realiai pasiekiama išmaniojo skaitiklio nauda;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visos vartotojui tenkančios susijusios sąnaudos;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kad išmanusis skaitiklis būtų įrengtas per pagrįstą laikotarpį ir bet kuriuo atveju ne vėliau kaip per keturis mėnesius nuo vartotojo prašymo;</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reguliariai ir bet kuriuo atveju ne rečiau kaip kas dvejus metus peržiūri ir viešai paskelbia susijusias sąnaudas, taip pat seka jų raidą, kurią lemia technologinė plėtra ir galimi apskaitos sistemos atnaujinimai.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4542"/>
                  </w:tabs>
                  <w:jc w:val="both"/>
                  <w:rPr>
                    <w:i/>
                    <w:iCs/>
                    <w:color w:val="000000"/>
                    <w:sz w:val="22"/>
                    <w:szCs w:val="22"/>
                    <w:lang w:eastAsia="lt-LT"/>
                  </w:rPr>
                </w:pPr>
                <w:r>
                  <w:rPr>
                    <w:i/>
                    <w:iCs/>
                    <w:color w:val="000000"/>
                    <w:sz w:val="22"/>
                    <w:szCs w:val="22"/>
                    <w:lang w:eastAsia="lt-LT"/>
                  </w:rPr>
                  <w:t xml:space="preserve">21 straipsnis </w:t>
                </w:r>
              </w:p>
              <w:p>
                <w:pPr>
                  <w:shd w:val="clear" w:color="auto" w:fill="FFFFFF"/>
                  <w:jc w:val="both"/>
                  <w:rPr>
                    <w:i/>
                    <w:iCs/>
                    <w:color w:val="000000"/>
                    <w:sz w:val="22"/>
                    <w:szCs w:val="22"/>
                    <w:lang w:eastAsia="lt-LT"/>
                  </w:rPr>
                </w:pPr>
                <w:r>
                  <w:rPr>
                    <w:b/>
                    <w:bCs/>
                    <w:color w:val="000000"/>
                    <w:sz w:val="22"/>
                    <w:szCs w:val="22"/>
                    <w:lang w:eastAsia="lt-LT"/>
                  </w:rPr>
                  <w:t>Gamtinių dujų įprasti skaitikliai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galutiniai gamtinių dujų vartotojai išmaniųjų skaitiklių neturi, valstybės narės užtikrina, kad galutiniams vartotojams būtų įrengti individualūs įprasti skaitikliai, tiksliai matuojantys faktinį suvartojimą. Valstybės narės gali taikyti išimtį ir netaikyti šio reikalavimo namų ūkio vartotojams, kurie šildymui nenaudoja gamtinių dujų, jei įrengti tokius skaitiklius nėra techniškai įmanoma, finansiškai pagrįsta arba proporcinga atsižvelgiant į potencialų energijos taupymą. Ta išimtis gali būti taikoma ir ne namų ūkio vartotojams, esantiems pastatuose, kuriuose dauguma vartotojų yra namų ūkio vartotojai, atitinkantys išimties taikymo reikalavimus, jei toks įrengimas nėra techniškai įmanomas.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gamtinių dujų vartotojai galėtų lengvai matyti savo įprastų skaitiklių rodmenis – tiesiogiai ar netiesiogiai per interneto sąsają arba kitą tinkamą sąsają.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22 straipsnis </w:t>
                </w:r>
              </w:p>
              <w:p>
                <w:pPr>
                  <w:shd w:val="clear" w:color="auto" w:fill="FFFFFF"/>
                  <w:jc w:val="both"/>
                  <w:rPr>
                    <w:i/>
                    <w:iCs/>
                    <w:color w:val="000000"/>
                    <w:sz w:val="22"/>
                    <w:szCs w:val="22"/>
                    <w:lang w:eastAsia="lt-LT"/>
                  </w:rPr>
                </w:pPr>
                <w:r>
                  <w:rPr>
                    <w:b/>
                    <w:bCs/>
                    <w:color w:val="000000"/>
                    <w:sz w:val="22"/>
                    <w:szCs w:val="22"/>
                    <w:lang w:eastAsia="lt-LT"/>
                  </w:rPr>
                  <w:t>Duomenų valdymas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Nustatydamos duomenų tvarkymo ir mainų taisykles valstybės narės arba, jei taip numato valstybės narės, paskirtosios kompetentingos institucijos nurodo taisykles dėl reikalavimus atitinkančių šalių prieigos prie galutinio vartotojo duomenų remiantis šiuo straipsniu ir taikoma Sąjungos teisine sistema. Šios direktyvos tikslu duomenys turi būti suprantami kaip apimantys apskaitos ir suvartojimo duomenis, taip pat duomenis, reikalingus vartotojui keičiant tiekėją ir kitoms paslaugoms.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color w:val="000000"/>
                    <w:sz w:val="22"/>
                    <w:szCs w:val="22"/>
                    <w:lang w:eastAsia="lt-LT"/>
                  </w:rPr>
                </w:pPr>
                <w:r>
                  <w:rPr>
                    <w:b/>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spacing w:line="276" w:lineRule="auto"/>
                  <w:ind w:right="57"/>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spacing w:line="276" w:lineRule="auto"/>
                  <w:ind w:right="57"/>
                  <w:jc w:val="both"/>
                  <w:rPr>
                    <w:b/>
                    <w:bCs/>
                    <w:color w:val="000000"/>
                    <w:sz w:val="22"/>
                    <w:szCs w:val="22"/>
                    <w:lang w:eastAsia="lt-LT"/>
                  </w:rPr>
                </w:pPr>
              </w:p>
              <w:p>
                <w:pPr>
                  <w:spacing w:line="276" w:lineRule="auto"/>
                  <w:ind w:right="57" w:firstLine="57"/>
                  <w:jc w:val="both"/>
                  <w:rPr>
                    <w:b/>
                    <w:color w:val="000000"/>
                    <w:sz w:val="22"/>
                    <w:szCs w:val="22"/>
                    <w:lang w:eastAsia="lt-LT"/>
                  </w:rPr>
                </w:pPr>
              </w:p>
              <w:p>
                <w:pPr>
                  <w:spacing w:line="276" w:lineRule="auto"/>
                  <w:ind w:right="57"/>
                  <w:jc w:val="both"/>
                  <w:rPr>
                    <w:rFonts w:eastAsia="Aptos"/>
                    <w:b/>
                    <w:color w:val="000000"/>
                    <w:sz w:val="22"/>
                    <w:szCs w:val="22"/>
                    <w:lang w:eastAsia="lt-LT"/>
                  </w:rPr>
                </w:pPr>
                <w:r>
                  <w:rPr>
                    <w:rFonts w:eastAsia="Aptos"/>
                    <w:b/>
                    <w:color w:val="000000"/>
                    <w:sz w:val="22"/>
                    <w:szCs w:val="22"/>
                    <w:lang w:eastAsia="lt-LT"/>
                  </w:rPr>
                  <w:t>Gamtinių dujų įstatymas</w:t>
                </w:r>
              </w:p>
              <w:p>
                <w:pPr>
                  <w:spacing w:line="276" w:lineRule="auto"/>
                  <w:ind w:right="57"/>
                  <w:jc w:val="both"/>
                  <w:rPr>
                    <w:rFonts w:eastAsia="Aptos"/>
                    <w:b/>
                    <w:sz w:val="22"/>
                    <w:szCs w:val="22"/>
                    <w:lang w:eastAsia="lt-LT"/>
                  </w:rPr>
                </w:pPr>
                <w:r>
                  <w:rPr>
                    <w:rFonts w:eastAsia="Aptos"/>
                    <w:b/>
                    <w:sz w:val="22"/>
                    <w:szCs w:val="22"/>
                    <w:lang w:eastAsia="lt-LT"/>
                  </w:rPr>
                  <w:t>57 straipsnis. Vartotojų apsaugos priemonės</w:t>
                </w:r>
              </w:p>
              <w:p>
                <w:pPr>
                  <w:spacing w:line="276" w:lineRule="auto"/>
                  <w:ind w:left="720" w:right="57" w:hanging="360"/>
                  <w:jc w:val="both"/>
                  <w:rPr>
                    <w:color w:val="000000"/>
                    <w:sz w:val="22"/>
                    <w:szCs w:val="22"/>
                    <w:lang w:eastAsia="lt-LT"/>
                  </w:rPr>
                </w:pPr>
                <w:r>
                  <w:rPr>
                    <w:color w:val="000000"/>
                    <w:sz w:val="22"/>
                    <w:szCs w:val="22"/>
                    <w:lang w:eastAsia="lt-LT"/>
                  </w:rPr>
                  <w:t>1.</w:t>
                  <w:tab/>
                  <w:t>Nepažeisdami vartotojų teisių pagal kitus teisės aktus, vartotojai turi teisę:</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&lt;...&gt;</w:t>
                </w:r>
              </w:p>
              <w:p>
                <w:pPr>
                  <w:spacing w:line="276" w:lineRule="auto"/>
                  <w:ind w:right="57"/>
                  <w:jc w:val="both"/>
                  <w:rPr>
                    <w:bCs/>
                    <w:color w:val="000000"/>
                    <w:sz w:val="22"/>
                    <w:szCs w:val="22"/>
                    <w:lang w:eastAsia="lt-LT"/>
                  </w:rPr>
                </w:pPr>
                <w:r>
                  <w:rPr>
                    <w:rFonts w:eastAsia="Aptos"/>
                    <w:bCs/>
                    <w:sz w:val="22"/>
                    <w:szCs w:val="22"/>
                    <w:lang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58 straipsnis. Vartotojų teisių apsauga</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jc w:val="both"/>
                  <w:rPr>
                    <w:rFonts w:eastAsia="Aptos"/>
                    <w:bCs/>
                    <w:color w:val="000000"/>
                    <w:sz w:val="22"/>
                    <w:szCs w:val="22"/>
                    <w:lang w:eastAsia="lt-LT"/>
                  </w:rPr>
                </w:pPr>
                <w:r>
                  <w:rPr>
                    <w:rFonts w:eastAsia="Aptos"/>
                    <w:bCs/>
                    <w:color w:val="000000"/>
                    <w:sz w:val="22"/>
                    <w:szCs w:val="22"/>
                    <w:lang w:eastAsia="lt-LT"/>
                  </w:rPr>
                  <w:t>1. Siekdama užtikrinti tinkamą vartotojų teisių apsaugą, Taryba:</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3) užtikrina aukštą vartotojų apsaugos lygį, ypač susijusį su sutarties sąlygų, bendros informacijos ir ginčų sprendimo būdų skaidrumu;</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r>
                  <w:rPr>
                    <w:rFonts w:eastAsia="Aptos"/>
                    <w:b/>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5) užtikrina, kad vartotojai turėtų teisę gauti savo suvartojimo duomenis ir laikydamiesi sutarties sąlygų galėtų pakeisti gamtinių dujų tiekėją trijų savaičių laikotarpiu;</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organizuoja duomenų tvarkymą taip, kad užtikrintų veiksmingą ir saugią prieigą prie duomenų ir jų mainus, taip pat duomenų apsaugą ir duomenų saugumą.</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jc w:val="both"/>
                  <w:rPr>
                    <w:b/>
                    <w:color w:val="000000"/>
                    <w:sz w:val="22"/>
                    <w:szCs w:val="22"/>
                    <w:lang w:eastAsia="lt-LT"/>
                  </w:rPr>
                </w:pPr>
                <w:r>
                  <w:rPr>
                    <w:b/>
                    <w:color w:val="000000"/>
                    <w:sz w:val="22"/>
                    <w:szCs w:val="22"/>
                    <w:lang w:eastAsia="lt-LT"/>
                  </w:rPr>
                  <w:t xml:space="preserve">3. Vartotojų duomenys gali būti tvarkomi tik teisėtais tikslais, laikantis duomenų apsaugos reikalavimų. </w:t>
                </w:r>
              </w:p>
              <w:p>
                <w:pPr>
                  <w:jc w:val="both"/>
                  <w:rPr>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tabs>
                    <w:tab w:val="left" w:pos="993"/>
                    <w:tab w:val="left" w:pos="10992"/>
                    <w:tab w:val="left" w:pos="11908"/>
                    <w:tab w:val="left" w:pos="12824"/>
                    <w:tab w:val="left" w:pos="13740"/>
                    <w:tab w:val="left" w:pos="14656"/>
                  </w:tabs>
                  <w:ind w:firstLine="720"/>
                  <w:jc w:val="both"/>
                  <w:rPr>
                    <w:rFonts w:eastAsia="Aptos"/>
                    <w:b/>
                    <w:bCs/>
                    <w:color w:val="000000"/>
                    <w:sz w:val="22"/>
                    <w:szCs w:val="22"/>
                    <w:lang w:eastAsia="lt-LT"/>
                  </w:rPr>
                </w:pPr>
              </w:p>
              <w:p>
                <w:pPr>
                  <w:ind w:right="57"/>
                  <w:jc w:val="both"/>
                  <w:rPr>
                    <w:b/>
                    <w:bCs/>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24 straipsnis. Duomenų saugojimas</w:t>
                </w:r>
              </w:p>
              <w:p>
                <w:pPr>
                  <w:ind w:firstLine="720"/>
                  <w:jc w:val="both"/>
                  <w:rPr>
                    <w:color w:val="000000"/>
                    <w:sz w:val="22"/>
                    <w:szCs w:val="22"/>
                    <w:lang w:eastAsia="lt-LT"/>
                  </w:rPr>
                </w:pPr>
                <w:r>
                  <w:rPr>
                    <w:color w:val="000000"/>
                    <w:sz w:val="22"/>
                    <w:szCs w:val="22"/>
                    <w:lang w:val="lt"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firstLine="720"/>
                  <w:jc w:val="both"/>
                  <w:rPr>
                    <w:color w:val="000000"/>
                    <w:sz w:val="22"/>
                    <w:szCs w:val="22"/>
                    <w:lang w:eastAsia="lt-LT"/>
                  </w:rPr>
                </w:pPr>
                <w:r>
                  <w:rPr>
                    <w:color w:val="000000"/>
                    <w:sz w:val="22"/>
                    <w:szCs w:val="22"/>
                    <w:lang w:val="lt"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ind w:left="1069" w:right="57"/>
                  <w:jc w:val="both"/>
                  <w:rPr>
                    <w:b/>
                    <w:bCs/>
                    <w:color w:val="000000"/>
                    <w:sz w:val="22"/>
                    <w:szCs w:val="22"/>
                    <w:lang w:eastAsia="lt-LT"/>
                  </w:rPr>
                </w:pPr>
              </w:p>
              <w:p>
                <w:pPr>
                  <w:ind w:left="1069"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color w:val="000000"/>
                    <w:sz w:val="22"/>
                    <w:szCs w:val="22"/>
                    <w:lang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ind w:right="57"/>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Nepriklausomai nuo kiekvienoje valstybėje narėje taikomo duomenų tvarkymo modelio, už duomenų tvarkymą atsakingos šalys bet kuriai reikalavimus atitinkančiai šaliai suteikia prieigą prie galutinio vartotojo duomenų pagal 1 dalį. Reikalavimus atitinkančios šalys prašomus duomenis turi gauti nediskriminacinėmis sąlygomis ir tuo pačiu metu. Duomenys turi būti lengvai prieinami, o atitinkamos prieigos prie tų duomenų procedūros turi būti skelbiamos viešai.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b/>
                    <w:bCs/>
                    <w:sz w:val="22"/>
                    <w:szCs w:val="22"/>
                    <w:lang w:eastAsia="lt-LT"/>
                  </w:rPr>
                </w:pPr>
                <w:r>
                  <w:rPr>
                    <w:b/>
                    <w:bCs/>
                    <w:sz w:val="22"/>
                    <w:szCs w:val="22"/>
                    <w:lang w:eastAsia="lt-LT"/>
                  </w:rPr>
                  <w:t>51 straipsnis. Duomenų valdymas</w:t>
                </w:r>
              </w:p>
              <w:p>
                <w:pPr>
                  <w:shd w:val="clear" w:color="auto" w:fill="FFFFFF"/>
                  <w:ind w:firstLine="709"/>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i/>
                    <w:iCs/>
                    <w:color w:val="FF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i/>
                    <w:color w:val="FF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Šios direktyvos tikslu prieigos prie duomenų ir duomenų saugojimo taisyklės turi atitikti atitinkamą Sąjungos teisę</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993"/>
                    <w:tab w:val="left" w:pos="10992"/>
                    <w:tab w:val="left" w:pos="11908"/>
                    <w:tab w:val="left" w:pos="12824"/>
                    <w:tab w:val="left" w:pos="13740"/>
                    <w:tab w:val="left" w:pos="14656"/>
                  </w:tabs>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detalesnes nuostatas dėl duomenų tvarkymo.</w:t>
                </w:r>
              </w:p>
              <w:p>
                <w:pPr>
                  <w:shd w:val="clear" w:color="auto" w:fill="FFFFFF"/>
                  <w:ind w:firstLine="483"/>
                  <w:jc w:val="both"/>
                  <w:rPr>
                    <w:color w:val="000000"/>
                    <w:sz w:val="22"/>
                    <w:szCs w:val="22"/>
                    <w:lang w:eastAsia="lt-LT"/>
                  </w:rPr>
                </w:pPr>
              </w:p>
              <w:p>
                <w:pPr>
                  <w:shd w:val="clear" w:color="auto" w:fill="FFFFFF"/>
                  <w:ind w:firstLine="483"/>
                  <w:jc w:val="both"/>
                  <w:rPr>
                    <w:i/>
                    <w:iCs/>
                    <w:color w:val="000000"/>
                    <w:sz w:val="22"/>
                    <w:szCs w:val="22"/>
                    <w:lang w:eastAsia="lt-LT"/>
                  </w:rPr>
                </w:pPr>
              </w:p>
              <w:p>
                <w:pPr>
                  <w:shd w:val="clear" w:color="auto" w:fill="FFFFFF"/>
                  <w:ind w:firstLine="483"/>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ind w:firstLine="483"/>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Asmens duomenų tvarkymas pagal šią direktyvą vykdomas laikantis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4. </w:t>
                </w:r>
                <w:r>
                  <w:rPr>
                    <w:b/>
                    <w:color w:val="000000"/>
                    <w:sz w:val="22"/>
                    <w:szCs w:val="22"/>
                    <w:lang w:eastAsia="lt-LT"/>
                  </w:rPr>
                  <w:t>Tuo atveju</w:t>
                </w:r>
                <w:r>
                  <w:rPr>
                    <w:b/>
                    <w:bCs/>
                    <w:color w:val="000000"/>
                    <w:sz w:val="22"/>
                    <w:szCs w:val="22"/>
                    <w:lang w:eastAsia="lt-LT"/>
                  </w:rPr>
                  <w:t>,</w:t>
                </w:r>
                <w:r>
                  <w:rPr>
                    <w:b/>
                    <w:color w:val="000000"/>
                    <w:sz w:val="22"/>
                    <w:szCs w:val="22"/>
                    <w:lang w:eastAsia="lt-LT"/>
                  </w:rPr>
                  <w:t xml:space="preserve"> jeigu galutinio vartotojo duomenys yra asmens duomenys, kaip jie apibrėžti </w:t>
                </w:r>
                <w:r>
                  <w:rPr>
                    <w:b/>
                    <w:bCs/>
                    <w:color w:val="000000"/>
                    <w:sz w:val="22"/>
                    <w:szCs w:val="22"/>
                    <w:lang w:eastAsia="lt-LT"/>
                  </w:rPr>
                  <w:t>Bendrajame duomenų apsaugos reglamente,</w:t>
                </w:r>
                <w:r>
                  <w:rPr>
                    <w:b/>
                    <w:color w:val="000000"/>
                    <w:sz w:val="22"/>
                    <w:szCs w:val="22"/>
                    <w:lang w:eastAsia="lt-LT"/>
                  </w:rPr>
                  <w:t xml:space="preserv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r>
                  <w:rPr>
                    <w:b/>
                    <w:bCs/>
                    <w:color w:val="000000"/>
                    <w:sz w:val="22"/>
                    <w:szCs w:val="22"/>
                    <w:lang w:eastAsia="lt-LT"/>
                  </w:rPr>
                  <w:t>.</w:t>
                </w:r>
              </w:p>
              <w:p>
                <w:pPr>
                  <w:shd w:val="clear" w:color="auto" w:fill="FFFFFF"/>
                  <w:jc w:val="both"/>
                  <w:rPr>
                    <w:b/>
                    <w:bCs/>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arba, jei taip numato valstybės narės, paskirtosios kompetentingos institucijos įgalioja ir tvirtina arba, kai taikytina, prižiūri šalis, atsakingas už duomenų tvarkymą, siekdamos užtikrinti, kad jos laikytųsi šios direktyvos reikalavimų.</w:t>
                </w:r>
              </w:p>
            </w:tc>
            <w:tc>
              <w:tcPr>
                <w:tcW w:w="9407" w:type="dxa"/>
                <w:gridSpan w:val="3"/>
                <w:vAlign w:val="center"/>
              </w:tcPr>
              <w:p>
                <w:pPr>
                  <w:shd w:val="clear" w:color="auto" w:fill="FFFFFF"/>
                  <w:jc w:val="both"/>
                  <w:rPr>
                    <w:color w:val="FF0000"/>
                    <w:sz w:val="22"/>
                    <w:szCs w:val="22"/>
                    <w:lang w:eastAsia="lt-LT"/>
                  </w:rPr>
                </w:pPr>
              </w:p>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ind w:left="720" w:hanging="360"/>
                  <w:jc w:val="both"/>
                  <w:rPr>
                    <w:b/>
                    <w:color w:val="000000"/>
                    <w:sz w:val="22"/>
                    <w:szCs w:val="22"/>
                    <w:lang w:eastAsia="lt-LT"/>
                  </w:rPr>
                </w:pPr>
                <w:r>
                  <w:rPr>
                    <w:b/>
                    <w:color w:val="000000"/>
                    <w:sz w:val="22"/>
                    <w:szCs w:val="22"/>
                    <w:lang w:eastAsia="lt-LT"/>
                  </w:rPr>
                  <w:t>7</w:t>
                  <w:tab/>
                  <w:t>straipsnis. Tarybos funkcijos vandenilio sektoriuje</w:t>
                </w:r>
              </w:p>
              <w:p>
                <w:pPr>
                  <w:tabs>
                    <w:tab w:val="left" w:pos="993"/>
                    <w:tab w:val="left" w:pos="10992"/>
                    <w:tab w:val="left" w:pos="11908"/>
                    <w:tab w:val="left" w:pos="12824"/>
                    <w:tab w:val="left" w:pos="13740"/>
                    <w:tab w:val="left" w:pos="14656"/>
                  </w:tabs>
                  <w:ind w:left="852"/>
                  <w:jc w:val="both"/>
                  <w:rPr>
                    <w:color w:val="000000"/>
                    <w:sz w:val="22"/>
                    <w:szCs w:val="22"/>
                    <w:lang w:eastAsia="ar-SA"/>
                  </w:rPr>
                </w:pPr>
                <w:r>
                  <w:rPr>
                    <w:color w:val="000000"/>
                    <w:sz w:val="22"/>
                    <w:szCs w:val="22"/>
                    <w:lang w:eastAsia="ar-SA"/>
                  </w:rPr>
                  <w:t>6. Taryba:</w:t>
                </w:r>
              </w:p>
              <w:p>
                <w:pPr>
                  <w:tabs>
                    <w:tab w:val="left" w:pos="993"/>
                    <w:tab w:val="left" w:pos="10992"/>
                    <w:tab w:val="left" w:pos="11908"/>
                    <w:tab w:val="left" w:pos="12824"/>
                    <w:tab w:val="left" w:pos="13740"/>
                    <w:tab w:val="left" w:pos="14656"/>
                  </w:tabs>
                  <w:ind w:left="121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23)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left="1134" w:hanging="425"/>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shd w:val="clear" w:color="auto" w:fill="FFFFFF"/>
                  <w:ind w:left="720" w:firstLine="46"/>
                  <w:jc w:val="both"/>
                  <w:rPr>
                    <w:b/>
                    <w:bCs/>
                    <w:color w:val="000000"/>
                    <w:sz w:val="22"/>
                    <w:szCs w:val="22"/>
                  </w:rPr>
                </w:pPr>
                <w:r>
                  <w:rPr>
                    <w:b/>
                    <w:bCs/>
                    <w:color w:val="000000"/>
                    <w:sz w:val="22"/>
                    <w:szCs w:val="22"/>
                  </w:rPr>
                  <w:t>1.</w:t>
                  <w:tab/>
                  <w:t xml:space="preserve">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hd w:val="clear" w:color="auto" w:fill="FFFFFF"/>
                  <w:ind w:left="720" w:firstLine="46"/>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ind w:left="720" w:right="57"/>
                  <w:jc w:val="both"/>
                  <w:rPr>
                    <w:b/>
                    <w:bCs/>
                    <w:color w:val="000000"/>
                    <w:sz w:val="22"/>
                    <w:szCs w:val="22"/>
                    <w:lang w:eastAsia="lt-LT"/>
                  </w:rPr>
                </w:pPr>
                <w:r>
                  <w:rPr>
                    <w:b/>
                    <w:bCs/>
                    <w:color w:val="000000"/>
                    <w:sz w:val="22"/>
                    <w:szCs w:val="22"/>
                    <w:lang w:eastAsia="lt-LT"/>
                  </w:rPr>
                  <w:t>&lt;...&gt;</w:t>
                </w:r>
              </w:p>
              <w:p>
                <w:pPr>
                  <w:shd w:val="clear" w:color="auto" w:fill="FFFFFF"/>
                  <w:ind w:left="720"/>
                  <w:jc w:val="both"/>
                  <w:rPr>
                    <w:b/>
                    <w:bCs/>
                    <w:sz w:val="22"/>
                    <w:szCs w:val="22"/>
                    <w:lang w:eastAsia="lt-LT"/>
                  </w:rPr>
                </w:pPr>
                <w:r>
                  <w:rPr>
                    <w:b/>
                    <w:bCs/>
                    <w:sz w:val="22"/>
                    <w:szCs w:val="22"/>
                    <w:lang w:eastAsia="lt-LT"/>
                  </w:rPr>
                  <w:t>6. Vyriausybė ar jos įgaliota institucija prižiūri, kaip užtikrinamas duomenų valdymo skaidrumas vandenilio sektoriuje.</w:t>
                </w:r>
              </w:p>
              <w:p>
                <w:pPr>
                  <w:shd w:val="clear" w:color="auto" w:fill="FFFFFF"/>
                  <w:ind w:left="720"/>
                  <w:jc w:val="both"/>
                  <w:rPr>
                    <w:b/>
                    <w:bCs/>
                    <w:sz w:val="22"/>
                    <w:szCs w:val="22"/>
                    <w:lang w:eastAsia="lt-LT"/>
                  </w:rPr>
                </w:pPr>
                <w:r>
                  <w:rPr>
                    <w:b/>
                    <w:bCs/>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ind w:left="720"/>
                  <w:jc w:val="both"/>
                  <w:rPr>
                    <w:b/>
                    <w:b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ind w:left="720"/>
                  <w:jc w:val="both"/>
                  <w:rPr>
                    <w:b/>
                    <w:bCs/>
                    <w:sz w:val="22"/>
                    <w:szCs w:val="22"/>
                    <w:lang w:eastAsia="lt-LT"/>
                  </w:rPr>
                </w:pP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Nedarant poveikio Reglamente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nustatytoms duomenų apsaugos pareigūnų užduotims, valstybės narės gali nuspręsti reikalauti, kad šalys, atsakingos už duomenų tvarkymą, paskirtų atitikties užtikrinimo pareigūnus, kurie būtų atsakingi už priemonių, kurių ėmėsi tos šalys siekdamos užtikrinti nediskriminacinę prieigą prie duomenų ir atitiktį šios direktyvos reikalavimams, įgyvendinimo stebėjimą.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ind w:left="1080"/>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tabs>
                    <w:tab w:val="left" w:pos="567"/>
                  </w:tabs>
                  <w:jc w:val="both"/>
                  <w:rPr>
                    <w:b/>
                    <w:bCs/>
                    <w:color w:val="000000"/>
                    <w:sz w:val="22"/>
                    <w:szCs w:val="22"/>
                    <w:lang w:eastAsia="lt-LT"/>
                  </w:rPr>
                </w:pP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gali paskirti atitikties užtikrinimo pareigūnus arba 46 straipsnio 2 dalies d punkte nurodytas įstaigas vykdyti šioje dalyje nustatytas pareigas.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spacing w:line="276" w:lineRule="auto"/>
                  <w:ind w:firstLine="720"/>
                  <w:jc w:val="both"/>
                  <w:rPr>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color w:val="000000"/>
                    <w:sz w:val="22"/>
                    <w:szCs w:val="22"/>
                    <w:lang w:eastAsia="lt-LT"/>
                  </w:rPr>
                  <w:t>Pilnas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Galutiniai vartotojai už prieigą prie savo duomenų arba už prašymą juos pateikti neturi mokėti jokių papildomų mokesčių.</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sz w:val="22"/>
                    <w:szCs w:val="22"/>
                    <w:lang w:eastAsia="lt-LT"/>
                  </w:rPr>
                </w:pPr>
                <w:r>
                  <w:rPr>
                    <w:b/>
                    <w:bCs/>
                    <w:sz w:val="22"/>
                    <w:szCs w:val="22"/>
                    <w:lang w:eastAsia="lt-LT"/>
                  </w:rPr>
                  <w:t>&lt;...&gt;</w:t>
                </w:r>
              </w:p>
              <w:p>
                <w:pPr>
                  <w:tabs>
                    <w:tab w:val="left" w:pos="567"/>
                  </w:tabs>
                  <w:ind w:firstLine="720"/>
                  <w:jc w:val="both"/>
                  <w:rPr>
                    <w:b/>
                    <w:bCs/>
                    <w:sz w:val="22"/>
                    <w:szCs w:val="22"/>
                    <w:lang w:eastAsia="lt-LT"/>
                  </w:rPr>
                </w:pPr>
                <w:r>
                  <w:rPr>
                    <w:b/>
                    <w:bCs/>
                    <w:sz w:val="22"/>
                    <w:szCs w:val="22"/>
                    <w:lang w:eastAsia="lt-LT"/>
                  </w:rPr>
                  <w:t>9. Vartotojai turi teisę nemokamai gauti prieigą prie savo apskaitos duomenų</w:t>
                </w:r>
              </w:p>
              <w:p>
                <w:pPr>
                  <w:tabs>
                    <w:tab w:val="left" w:pos="567"/>
                  </w:tabs>
                  <w:ind w:firstLine="720"/>
                  <w:jc w:val="both"/>
                  <w:rPr>
                    <w:b/>
                    <w:bCs/>
                    <w:sz w:val="22"/>
                    <w:szCs w:val="22"/>
                    <w:lang w:eastAsia="lt-LT"/>
                  </w:rPr>
                </w:pPr>
              </w:p>
              <w:p>
                <w:pPr>
                  <w:jc w:val="both"/>
                  <w:rPr>
                    <w:b/>
                    <w:bCs/>
                    <w:color w:val="000000"/>
                    <w:sz w:val="22"/>
                    <w:szCs w:val="22"/>
                    <w:lang w:eastAsia="lt-LT"/>
                  </w:rPr>
                </w:pPr>
                <w:r>
                  <w:rPr>
                    <w:b/>
                    <w:bCs/>
                    <w:color w:val="000000"/>
                    <w:sz w:val="22"/>
                    <w:szCs w:val="22"/>
                    <w:lang w:eastAsia="lt-LT"/>
                  </w:rPr>
                  <w:t>51 straipsnis. Duomenų valdymas</w:t>
                </w:r>
              </w:p>
              <w:p>
                <w:pPr>
                  <w:ind w:right="57" w:firstLine="720"/>
                  <w:jc w:val="both"/>
                  <w:rPr>
                    <w:b/>
                    <w:bCs/>
                    <w:color w:val="000000"/>
                    <w:sz w:val="22"/>
                    <w:szCs w:val="22"/>
                    <w:lang w:eastAsia="lt-LT"/>
                  </w:rPr>
                </w:pPr>
                <w:r>
                  <w:rPr>
                    <w:b/>
                    <w:bCs/>
                    <w:color w:val="000000"/>
                    <w:sz w:val="22"/>
                    <w:szCs w:val="22"/>
                    <w:lang w:eastAsia="lt-LT"/>
                  </w:rPr>
                  <w:t>1. Duomenų valdytojai – vandenilio tiekėjai, operatoriai ar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w:t>
                </w:r>
              </w:p>
              <w:p>
                <w:pPr>
                  <w:ind w:right="57" w:firstLine="720"/>
                  <w:jc w:val="both"/>
                  <w:rPr>
                    <w:b/>
                    <w:color w:val="000000"/>
                    <w:sz w:val="22"/>
                    <w:szCs w:val="22"/>
                    <w:lang w:eastAsia="lt-LT"/>
                  </w:rPr>
                </w:pPr>
                <w:r>
                  <w:rPr>
                    <w:b/>
                    <w:color w:val="000000"/>
                    <w:sz w:val="22"/>
                    <w:szCs w:val="22"/>
                    <w:lang w:eastAsia="lt-LT"/>
                  </w:rPr>
                  <w:t>2. Vartotojas turi teisę:</w:t>
                </w:r>
              </w:p>
              <w:p>
                <w:pPr>
                  <w:ind w:right="57" w:firstLine="720"/>
                  <w:jc w:val="both"/>
                  <w:rPr>
                    <w:b/>
                    <w:color w:val="000000"/>
                    <w:sz w:val="22"/>
                    <w:szCs w:val="22"/>
                    <w:lang w:eastAsia="lt-LT"/>
                  </w:rPr>
                </w:pPr>
                <w:r>
                  <w:rPr>
                    <w:b/>
                    <w:color w:val="000000"/>
                    <w:sz w:val="22"/>
                    <w:szCs w:val="22"/>
                    <w:lang w:eastAsia="lt-LT"/>
                  </w:rPr>
                  <w:t>1) gauti informaciją apie tai, kaip tvarkomi jo duomenys;</w:t>
                </w:r>
              </w:p>
              <w:p>
                <w:pPr>
                  <w:ind w:right="57" w:firstLine="720"/>
                  <w:jc w:val="both"/>
                  <w:rPr>
                    <w:b/>
                    <w:bCs/>
                    <w:color w:val="000000"/>
                    <w:sz w:val="22"/>
                    <w:szCs w:val="22"/>
                    <w:lang w:eastAsia="lt-LT"/>
                  </w:rPr>
                </w:pPr>
                <w:r>
                  <w:rPr>
                    <w:b/>
                    <w:bCs/>
                    <w:color w:val="000000"/>
                    <w:sz w:val="22"/>
                    <w:szCs w:val="22"/>
                    <w:lang w:eastAsia="lt-LT"/>
                  </w:rPr>
                  <w:t>2) duoti arba atšaukti sutikimą dėl duomenų perdavimo bet kurioms kitoms šalims, dėl duomenų perdavimo kurioms vartotojas duoda ar atšaukia sutikimą;</w:t>
                </w:r>
              </w:p>
              <w:p>
                <w:pPr>
                  <w:ind w:right="57" w:firstLine="720"/>
                  <w:jc w:val="both"/>
                  <w:rPr>
                    <w:b/>
                    <w:color w:val="000000"/>
                    <w:sz w:val="22"/>
                    <w:szCs w:val="22"/>
                    <w:lang w:eastAsia="lt-LT"/>
                  </w:rPr>
                </w:pPr>
                <w:r>
                  <w:rPr>
                    <w:b/>
                    <w:color w:val="000000"/>
                    <w:sz w:val="22"/>
                    <w:szCs w:val="22"/>
                    <w:lang w:eastAsia="lt-LT"/>
                  </w:rPr>
                  <w:t>3) perkelti duomenis kitam vandenilio tiekėjui.</w:t>
                </w:r>
              </w:p>
              <w:p>
                <w:pPr>
                  <w:tabs>
                    <w:tab w:val="left" w:pos="567"/>
                  </w:tabs>
                  <w:ind w:firstLine="720"/>
                  <w:jc w:val="both"/>
                  <w:rPr>
                    <w:b/>
                    <w:sz w:val="22"/>
                    <w:szCs w:val="22"/>
                    <w:lang w:eastAsia="lt-LT"/>
                  </w:rPr>
                </w:pPr>
              </w:p>
              <w:p>
                <w:pPr>
                  <w:shd w:val="clear" w:color="auto" w:fill="FFFFFF"/>
                  <w:jc w:val="both"/>
                  <w:rPr>
                    <w:color w:val="000000"/>
                    <w:sz w:val="22"/>
                    <w:szCs w:val="22"/>
                    <w:lang w:eastAsia="lt-LT"/>
                  </w:rPr>
                </w:pPr>
              </w:p>
              <w:p>
                <w:pPr>
                  <w:shd w:val="clear" w:color="auto" w:fill="FFFFFF"/>
                  <w:jc w:val="both"/>
                  <w:rPr>
                    <w:b/>
                    <w:bCs/>
                    <w:sz w:val="22"/>
                    <w:szCs w:val="22"/>
                    <w:lang w:eastAsia="lt-LT"/>
                  </w:rPr>
                </w:pPr>
                <w:r>
                  <w:rPr>
                    <w:b/>
                    <w:sz w:val="22"/>
                    <w:szCs w:val="22"/>
                    <w:lang w:eastAsia="lt-LT"/>
                  </w:rPr>
                  <w:t>Gamtinių dujų įstatymas</w:t>
                </w:r>
              </w:p>
              <w:p>
                <w:pPr>
                  <w:shd w:val="clear" w:color="auto" w:fill="FFFFFF"/>
                  <w:jc w:val="both"/>
                  <w:rPr>
                    <w:b/>
                    <w:bCs/>
                    <w:color w:val="FF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atsako už atitinkamų mokesčių už prieigos prie duomenų suteikimą reikalavimus atitinkančioms šalims nustatymą.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51 straipsnis. Duomenų valdymas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ind w:firstLine="720"/>
                  <w:jc w:val="both"/>
                  <w:rPr>
                    <w:rFonts w:eastAsia="Aptos"/>
                    <w:b/>
                    <w:bCs/>
                    <w:color w:val="000000"/>
                    <w:kern w:val="2"/>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ind w:left="1134" w:hanging="425"/>
                  <w:jc w:val="both"/>
                  <w:rPr>
                    <w:b/>
                    <w:bCs/>
                    <w:color w:val="000000"/>
                    <w:sz w:val="22"/>
                    <w:szCs w:val="22"/>
                    <w:lang w:eastAsia="lt-LT"/>
                  </w:rPr>
                </w:pPr>
                <w:r>
                  <w:rPr>
                    <w:rFonts w:eastAsia="Aptos"/>
                    <w:b/>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duomenų paslaugas teikiančių reguliuojamųjų subjektų nustatyti mokesčiai būtų priimtini ir tinkamai pagrįsti.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shd w:val="clear" w:color="auto" w:fill="FFFFFF"/>
                  <w:jc w:val="both"/>
                  <w:rPr>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b/>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23 straipsnis</w:t>
                </w:r>
              </w:p>
              <w:p>
                <w:pPr>
                  <w:shd w:val="clear" w:color="auto" w:fill="FFFFFF"/>
                  <w:rPr>
                    <w:i/>
                    <w:iCs/>
                    <w:color w:val="000000"/>
                    <w:sz w:val="22"/>
                    <w:szCs w:val="22"/>
                    <w:lang w:eastAsia="lt-LT"/>
                  </w:rPr>
                </w:pPr>
                <w:r>
                  <w:rPr>
                    <w:b/>
                    <w:bCs/>
                    <w:color w:val="000000"/>
                    <w:sz w:val="22"/>
                    <w:szCs w:val="22"/>
                    <w:lang w:eastAsia="lt-LT"/>
                  </w:rPr>
                  <w:t>Sąveikumo reikalavimai ir prieigos prie duomenų procedūros gamtinių dujų rinkoje</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Siekdamos skatinti konkurenciją gamtinių dujų mažmeninėje rinkoje ir išvengti pernelyg didelių administracinių išlaidų reikalavimus atitinkančioms šalims, valstybės narės sudaro palankesnes sąlygas visapusiškam energetikos paslaugų sąveikumui Sąjungoje.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Komisija įgyvendinimo aktais nustato sąveikumo reikalavimus ir nediskriminacinės bei skaidrios prieigos prie 22 straipsnio 1 dalyje nurodytų duomenų procedūras.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gamtinių dujų įmonės taikytų 2 dalyje nurodytus sąveikumo reikalavimus ir prieigos prie duomenų tvarką. Tie reikalavimai ir tvarka turi būti grindžiami esama nacionaline praktika.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24 straipsnis</w:t>
                </w:r>
              </w:p>
              <w:p>
                <w:pPr>
                  <w:shd w:val="clear" w:color="auto" w:fill="FFFFFF"/>
                  <w:tabs>
                    <w:tab w:val="left" w:pos="2094"/>
                  </w:tabs>
                  <w:jc w:val="both"/>
                  <w:rPr>
                    <w:i/>
                    <w:iCs/>
                    <w:color w:val="000000"/>
                    <w:sz w:val="22"/>
                    <w:szCs w:val="22"/>
                    <w:lang w:eastAsia="lt-LT"/>
                  </w:rPr>
                </w:pPr>
                <w:r>
                  <w:rPr>
                    <w:b/>
                    <w:bCs/>
                    <w:color w:val="000000"/>
                    <w:sz w:val="22"/>
                    <w:szCs w:val="22"/>
                    <w:lang w:eastAsia="lt-LT"/>
                  </w:rPr>
                  <w:t>Bendri kontaktiniai punktai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užtikrina, kad būtų įsteigti bendri kontaktiniai punktai, skirti teikti visiems vartotojams, įskaitant prieigos prie interneto neturinčius vartotojus, visą reikiamą informaciją apie jų teises, sertifikuotas palyginimo priemones, esamas paramos priemones, įskaitant priemones, skirtas pažeidžiamiems vartotojams, kaip nurodyta šios direktyvos 26 straipsnyje, taikytiną teisę ir jiems prieinamus neteisminius ginčų sprendimo mechanizmus kilus ginčui. Tokie bendri kontaktiniai punktai gali būti bendrų vartotojų informavimo centrų dalis ir gali būti tie patys subjektai kaip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25 straipsnyje nurodyti bendri elektros energijos informacijos centrai arba kontaktiniai punktai, įsteigti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 ir vieno langelio principu veikiantys centrai, įsteigti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18 straipsnį. Valstybės narės skatina derinti pagal šią direktyvą įsteigtų bendrų kontaktinių punktų ir pagal tuos Sąjungos teisės aktus įsteigtų įstaigų veiklą.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pacing w:line="276" w:lineRule="auto"/>
                  <w:ind w:left="1134" w:hanging="425"/>
                  <w:jc w:val="both"/>
                  <w:rPr>
                    <w:b/>
                    <w:color w:val="000000"/>
                    <w:sz w:val="22"/>
                    <w:szCs w:val="22"/>
                    <w:lang w:eastAsia="lt-LT"/>
                  </w:rPr>
                </w:pPr>
              </w:p>
              <w:p>
                <w:pPr>
                  <w:jc w:val="both"/>
                  <w:rPr>
                    <w:b/>
                    <w:color w:val="000000"/>
                    <w:sz w:val="22"/>
                    <w:szCs w:val="22"/>
                    <w:shd w:val="clear" w:color="auto" w:fill="FFFFFF"/>
                    <w:lang w:eastAsia="lt-LT"/>
                  </w:rPr>
                </w:pPr>
                <w:r>
                  <w:rPr>
                    <w:b/>
                    <w:color w:val="000000"/>
                    <w:sz w:val="22"/>
                    <w:szCs w:val="22"/>
                    <w:shd w:val="clear" w:color="auto" w:fill="FFFFFF"/>
                    <w:lang w:eastAsia="lt-LT"/>
                  </w:rPr>
                  <w:t>52 straipsnis. Kontaktiniai punktai</w:t>
                </w:r>
              </w:p>
              <w:p>
                <w:pPr>
                  <w:jc w:val="both"/>
                  <w:rPr>
                    <w:b/>
                    <w:color w:val="000000"/>
                    <w:sz w:val="22"/>
                    <w:szCs w:val="22"/>
                    <w:shd w:val="clear" w:color="auto" w:fill="FFFFFF"/>
                    <w:lang w:eastAsia="lt-LT"/>
                  </w:rPr>
                </w:pPr>
                <w:r>
                  <w:rPr>
                    <w:b/>
                    <w:color w:val="000000"/>
                    <w:sz w:val="22"/>
                    <w:szCs w:val="22"/>
                    <w:shd w:val="clear" w:color="auto" w:fill="FFFFFF"/>
                    <w:lang w:eastAsia="lt-LT"/>
                  </w:rPr>
                  <w:t>1. Siekiant didinti vartotojų informuotumą, Taryba užtikrina bendro kontaktinio punkto veikimą, kuriame vartotojai gali gauti informaciją apie:</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1) vandenilio tiekėjus;</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2) sutarties sudarymo, keitimo ir nutraukimo tvarką;</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3) ginčų ir skundų sprendimo ir pagalbos priemones.</w:t>
                </w:r>
              </w:p>
              <w:p>
                <w:pPr>
                  <w:jc w:val="both"/>
                  <w:rPr>
                    <w:b/>
                    <w:color w:val="000000"/>
                    <w:sz w:val="22"/>
                    <w:szCs w:val="22"/>
                    <w:shd w:val="clear" w:color="auto" w:fill="FFFFFF"/>
                    <w:lang w:eastAsia="lt-LT"/>
                  </w:rPr>
                </w:pPr>
                <w:r>
                  <w:rPr>
                    <w:b/>
                    <w:color w:val="000000"/>
                    <w:sz w:val="22"/>
                    <w:szCs w:val="22"/>
                    <w:shd w:val="clear" w:color="auto" w:fill="FFFFFF"/>
                    <w:lang w:eastAsia="lt-LT"/>
                  </w:rPr>
                  <w:t>2. Bendras kontaktinis punktas teikia informaciją elektroninėmis ir kitomis prieinamomis priemonėmis.</w:t>
                </w:r>
              </w:p>
              <w:p>
                <w:pPr>
                  <w:jc w:val="both"/>
                  <w:rPr>
                    <w:b/>
                    <w:color w:val="000000"/>
                    <w:sz w:val="22"/>
                    <w:szCs w:val="22"/>
                    <w:shd w:val="clear" w:color="auto" w:fill="FFFFFF"/>
                    <w:lang w:eastAsia="lt-LT"/>
                  </w:rPr>
                </w:pPr>
                <w:r>
                  <w:rPr>
                    <w:b/>
                    <w:color w:val="000000"/>
                    <w:sz w:val="22"/>
                    <w:szCs w:val="22"/>
                    <w:shd w:val="clear" w:color="auto" w:fill="FFFFFF"/>
                    <w:lang w:eastAsia="lt-LT"/>
                  </w:rPr>
                  <w:t>3. Subjektas, nurodytas Energetikos įstatymo 131 straipsnyje:</w:t>
                </w:r>
              </w:p>
              <w:p>
                <w:pPr>
                  <w:jc w:val="both"/>
                  <w:rPr>
                    <w:b/>
                    <w:color w:val="000000"/>
                    <w:sz w:val="22"/>
                    <w:szCs w:val="22"/>
                    <w:shd w:val="clear" w:color="auto" w:fill="FFFFFF"/>
                    <w:lang w:eastAsia="lt-LT"/>
                  </w:rPr>
                </w:pPr>
                <w:r>
                  <w:rPr>
                    <w:b/>
                    <w:color w:val="000000"/>
                    <w:sz w:val="22"/>
                    <w:szCs w:val="22"/>
                    <w:shd w:val="clear" w:color="auto" w:fill="FFFFFF"/>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jc w:val="both"/>
                  <w:rPr>
                    <w:b/>
                    <w:color w:val="000000"/>
                    <w:sz w:val="22"/>
                    <w:szCs w:val="22"/>
                    <w:shd w:val="clear" w:color="auto" w:fill="FFFFFF"/>
                    <w:lang w:eastAsia="lt-LT"/>
                  </w:rPr>
                </w:pPr>
                <w:r>
                  <w:rPr>
                    <w:b/>
                    <w:color w:val="000000"/>
                    <w:sz w:val="22"/>
                    <w:szCs w:val="22"/>
                    <w:shd w:val="clear" w:color="auto" w:fill="FFFFFF"/>
                    <w:lang w:eastAsia="lt-LT"/>
                  </w:rPr>
                  <w:t>2) nemokamai konsultuoja pareiškėją klausimais, susijusiais su visų leidimų, reikalingų vykdyti šios dalies 1 punkte nurodytą veiklą, išdavimo procesu, kol užbaigusios procedūrą atsakingos institucijos išduoda leidimą.</w:t>
                </w:r>
              </w:p>
              <w:p>
                <w:pPr>
                  <w:jc w:val="both"/>
                  <w:rPr>
                    <w:b/>
                    <w:color w:val="000000"/>
                    <w:sz w:val="22"/>
                    <w:szCs w:val="22"/>
                    <w:shd w:val="clear" w:color="auto" w:fill="FFFFFF"/>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58 straipsnis. Vartotojų teisių apsauga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25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Neteisminis ginčų sprendimas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galutiniai vartotojai galėtų naudotis nesudėtingais, sąžiningais, pagrįstais, skaidriais, nepriklausomais, ekonomiškai efektyviais ir veiksmingais neteisminio ginčų sprendimo mechanizmais, skirtais spręsti ginčams dėl pagal šią direktyvą nustatytų teisių ir pareigų per nepriklausomą mechanizmą, pavyzdžiui, per energetikos reikalų ombudsmeną, vartotojų instituciją arba reguliavimo instituciją. Jei galutinis vartotojas yra vartotojas, kaip tai suprantama Europos Parlamento ir Tarybos direktyvoje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tokie neteisminio ginčų sprendimo mechanizmai turi atitikti toje direktyvoje nustatytus kokybės reikalavimus ir juose turi būti numatyta, kad pagrįstais atvejais būtų taikomos išlaidų grąžinimo ir kompensavimo sistemos.</w:t>
                </w:r>
              </w:p>
              <w:p>
                <w:pPr>
                  <w:shd w:val="clear" w:color="auto" w:fill="FFFFFF"/>
                  <w:ind w:left="720"/>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xml:space="preserve">) 2013 m. gegužės 21 d. Europos Parlamento ir Tarybos direktyva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dėl alternatyvaus vartotojų ginčų sprendimo, kuria iš dalies keičiami Reglamentas </w:t>
                </w:r>
                <w:fldSimple w:instr="HYPERLINK http://eur-lex.europa.eu/legal-content/LIT/TXT/?uri=CELEX:32004R2006&amp;locale=lt \t _blank">
                  <w:r>
                    <w:rPr>
                      <w:color w:val="0000FF" w:themeColor="hyperlink"/>
                      <w:sz w:val="22"/>
                      <w:szCs w:val="22"/>
                      <w:lang w:eastAsia="lt-LT"/>
                      <w:u w:val="single"/>
                    </w:rPr>
                    <w:t>(EB) Nr. 2006/2004</w:t>
                  </w:r>
                </w:fldSimple>
                <w:r>
                  <w:rPr>
                    <w:color w:val="000000"/>
                    <w:sz w:val="22"/>
                    <w:szCs w:val="22"/>
                    <w:lang w:eastAsia="lt-LT"/>
                  </w:rPr>
                  <w:t xml:space="preserve"> ir Direktyva </w:t>
                </w:r>
                <w:fldSimple w:instr="HYPERLINK http://eur-lex.europa.eu/legal-content/LIT/TXT/?uri=CELEX:32009L0022&amp;locale=lt \t _blank">
                  <w:r>
                    <w:rPr>
                      <w:color w:val="0000FF" w:themeColor="hyperlink"/>
                      <w:sz w:val="22"/>
                      <w:szCs w:val="22"/>
                      <w:lang w:eastAsia="lt-LT"/>
                      <w:u w:val="single"/>
                    </w:rPr>
                    <w:t>2009/22/EB</w:t>
                  </w:r>
                </w:fldSimple>
                <w:r>
                  <w:rPr>
                    <w:color w:val="000000"/>
                    <w:sz w:val="22"/>
                    <w:szCs w:val="22"/>
                    <w:lang w:eastAsia="lt-LT"/>
                  </w:rPr>
                  <w:t xml:space="preserve"> (Direktyva dėl vartotojų AGS) (OL L 165, 2013 6 18, p. 63).</w:t>
                </w:r>
              </w:p>
            </w:tc>
            <w:tc>
              <w:tcPr>
                <w:tcW w:w="9407" w:type="dxa"/>
                <w:gridSpan w:val="3"/>
              </w:tcPr>
              <w:p>
                <w:pPr>
                  <w:jc w:val="both"/>
                  <w:rPr>
                    <w:b/>
                    <w:color w:val="000000"/>
                    <w:sz w:val="22"/>
                    <w:szCs w:val="22"/>
                    <w:lang w:eastAsia="lt-LT"/>
                  </w:rPr>
                </w:pPr>
                <w:r>
                  <w:rPr>
                    <w:b/>
                    <w:color w:val="000000"/>
                    <w:sz w:val="22"/>
                    <w:szCs w:val="22"/>
                    <w:lang w:eastAsia="lt-LT"/>
                  </w:rPr>
                  <w:t>Vandenilio įstatymo projektas</w:t>
                </w:r>
              </w:p>
              <w:p>
                <w:pPr>
                  <w:jc w:val="both"/>
                  <w:rPr>
                    <w:b/>
                    <w:color w:val="000000"/>
                    <w:sz w:val="22"/>
                    <w:szCs w:val="22"/>
                    <w:shd w:val="clear" w:color="auto" w:fill="FFFFFF"/>
                    <w:lang w:eastAsia="lt-LT"/>
                  </w:rPr>
                </w:pPr>
              </w:p>
              <w:p>
                <w:pPr>
                  <w:jc w:val="both"/>
                  <w:rPr>
                    <w:b/>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w:t>
                </w:r>
                <w:r>
                  <w:rPr>
                    <w:b/>
                    <w:color w:val="000000"/>
                    <w:sz w:val="22"/>
                    <w:szCs w:val="22"/>
                    <w:shd w:val="clear" w:color="auto" w:fill="FFFFFF"/>
                    <w:lang w:eastAsia="lt-LT"/>
                  </w:rPr>
                  <w:t> </w:t>
                </w:r>
              </w:p>
              <w:p>
                <w:pPr>
                  <w:jc w:val="both"/>
                  <w:rPr>
                    <w:b/>
                    <w:color w:val="000000"/>
                    <w:sz w:val="22"/>
                    <w:szCs w:val="22"/>
                    <w:lang w:eastAsia="lt-LT"/>
                  </w:rPr>
                </w:pPr>
                <w:r>
                  <w:rPr>
                    <w:b/>
                    <w:color w:val="000000"/>
                    <w:sz w:val="22"/>
                    <w:szCs w:val="22"/>
                    <w:lang w:eastAsia="lt-LT"/>
                  </w:rPr>
                  <w:t>&lt;...&gt;</w:t>
                </w:r>
              </w:p>
              <w:p>
                <w:pPr>
                  <w:ind w:firstLine="720"/>
                  <w:jc w:val="both"/>
                  <w:textAlignment w:val="baseline"/>
                  <w:rPr>
                    <w:b/>
                    <w:color w:val="000000"/>
                    <w:sz w:val="22"/>
                    <w:szCs w:val="22"/>
                    <w:lang w:eastAsia="lt-LT"/>
                  </w:rPr>
                </w:pPr>
                <w:r>
                  <w:rPr>
                    <w:b/>
                    <w:color w:val="000000"/>
                    <w:sz w:val="22"/>
                    <w:szCs w:val="22"/>
                    <w:lang w:eastAsia="lt-LT"/>
                  </w:rPr>
                  <w:t>5. Vartotojų ginčai ir skundai nagrinėjami, vadovaujantis Energetikos įstatymo 34 ir 34</w:t>
                </w:r>
                <w:r>
                  <w:rPr>
                    <w:b/>
                    <w:color w:val="000000"/>
                    <w:sz w:val="22"/>
                    <w:szCs w:val="22"/>
                    <w:vertAlign w:val="superscript"/>
                    <w:lang w:eastAsia="lt-LT"/>
                  </w:rPr>
                  <w:t>1</w:t>
                </w:r>
                <w:r>
                  <w:rPr>
                    <w:b/>
                    <w:color w:val="000000"/>
                    <w:sz w:val="22"/>
                    <w:szCs w:val="22"/>
                    <w:lang w:eastAsia="lt-LT"/>
                  </w:rPr>
                  <w:t> straipsnių nuostatomis.  </w:t>
                </w:r>
              </w:p>
              <w:p>
                <w:pPr>
                  <w:tabs>
                    <w:tab w:val="left" w:pos="567"/>
                  </w:tabs>
                  <w:ind w:firstLine="720"/>
                  <w:jc w:val="both"/>
                  <w:rPr>
                    <w:rFonts w:eastAsia="Aptos"/>
                    <w:b/>
                    <w:color w:val="000000"/>
                    <w:sz w:val="22"/>
                    <w:szCs w:val="22"/>
                    <w:lang w:eastAsia="lt-LT"/>
                  </w:rPr>
                </w:pPr>
              </w:p>
              <w:p>
                <w:pPr>
                  <w:tabs>
                    <w:tab w:val="left" w:pos="567"/>
                  </w:tabs>
                  <w:ind w:firstLine="720"/>
                  <w:jc w:val="both"/>
                  <w:rPr>
                    <w:rFonts w:eastAsia="Aptos"/>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eastAsia="lt-LT"/>
                  </w:rPr>
                </w:pPr>
              </w:p>
              <w:p>
                <w:pPr>
                  <w:jc w:val="both"/>
                  <w:rPr>
                    <w:b/>
                    <w:color w:val="000000"/>
                    <w:sz w:val="22"/>
                    <w:szCs w:val="22"/>
                    <w:lang w:val="lt" w:eastAsia="lt-LT"/>
                  </w:rPr>
                </w:pPr>
                <w:r>
                  <w:rPr>
                    <w:b/>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jc w:val="both"/>
                  <w:rPr>
                    <w:b/>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bCs/>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shd w:val="clear" w:color="auto" w:fill="FFFFFF"/>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shd w:val="clear" w:color="auto" w:fill="FFFFFF"/>
                  <w:ind w:firstLine="720"/>
                  <w:jc w:val="both"/>
                  <w:rPr>
                    <w:color w:val="000000"/>
                    <w:sz w:val="22"/>
                    <w:szCs w:val="22"/>
                    <w:lang w:eastAsia="lt-LT"/>
                  </w:rPr>
                </w:pPr>
                <w:r>
                  <w:rPr>
                    <w:color w:val="000000"/>
                    <w:sz w:val="22"/>
                    <w:szCs w:val="22"/>
                    <w:lang w:eastAsia="lt-LT"/>
                  </w:rPr>
                  <w:t>3. Šio straipsnio 2 dalyje nurodyti vartotojų skundai nagrinėjami Lietuvos Respublikos </w:t>
                </w:r>
                <w:r>
                  <w:rPr>
                    <w:i/>
                    <w:color w:val="000000"/>
                    <w:sz w:val="22"/>
                    <w:szCs w:val="22"/>
                    <w:u w:val="single"/>
                    <w:lang w:eastAsia="lt-LT"/>
                  </w:rPr>
                  <w:t>viešojo administravimo įstatymo</w:t>
                </w:r>
                <w:r>
                  <w:rPr>
                    <w:color w:val="000000"/>
                    <w:sz w:val="22"/>
                    <w:szCs w:val="22"/>
                    <w:lang w:eastAsia="lt-LT"/>
                  </w:rPr>
                  <w:t> ir Tarybos nustatyta tvarka.</w:t>
                </w:r>
              </w:p>
              <w:p>
                <w:pPr>
                  <w:shd w:val="clear" w:color="auto" w:fill="FFFFFF"/>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w:t>
                </w:r>
                <w:r>
                  <w:rPr>
                    <w:i/>
                    <w:color w:val="000000"/>
                    <w:sz w:val="22"/>
                    <w:szCs w:val="22"/>
                    <w:u w:val="single"/>
                    <w:lang w:eastAsia="lt-LT"/>
                  </w:rPr>
                  <w:t>administracinių bylų teisenos įstatymo</w:t>
                </w:r>
                <w:r>
                  <w:rPr>
                    <w:color w:val="000000"/>
                    <w:sz w:val="22"/>
                    <w:szCs w:val="22"/>
                    <w:lang w:eastAsia="lt-LT"/>
                  </w:rPr>
                  <w:t> nustatyta tvarka.</w:t>
                </w:r>
              </w:p>
              <w:p>
                <w:pPr>
                  <w:ind w:firstLine="630"/>
                  <w:jc w:val="both"/>
                  <w:rPr>
                    <w:b/>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būtina, valstybės narės užtikrina, kad alternatyvaus ginčų sprendimo subjektai bendradarbiautų siekdami suteikti paprastus, sąžiningus, skaidrius, nepriklausomus, efektyvius ir veiksmingus neteisminio ginčų sprendimo mechanizmus, skirtus visų ginčų, kurie kyla dėl produktų ar paslaugų, susijusių arba susietų su bet kuriuo produktu ar paslauga, kuriems taikoma ši direktyva, sprendimui.</w:t>
                </w:r>
              </w:p>
            </w:tc>
            <w:tc>
              <w:tcPr>
                <w:tcW w:w="9407" w:type="dxa"/>
                <w:gridSpan w:val="3"/>
                <w:vAlign w:val="center"/>
              </w:tcPr>
              <w:p>
                <w:pPr>
                  <w:ind w:left="2410" w:hanging="169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textAlignment w:val="baseline"/>
                  <w:rPr>
                    <w:color w:val="000000"/>
                    <w:sz w:val="22"/>
                    <w:szCs w:val="22"/>
                    <w:lang w:eastAsia="lt-LT"/>
                  </w:rPr>
                </w:pPr>
                <w:r>
                  <w:rPr>
                    <w:b/>
                    <w:bCs/>
                    <w:color w:val="000000"/>
                    <w:sz w:val="22"/>
                    <w:szCs w:val="22"/>
                    <w:lang w:eastAsia="lt-LT"/>
                  </w:rPr>
                  <w:t>4 straipsnis.</w:t>
                </w:r>
                <w:r>
                  <w:rPr>
                    <w:color w:val="000000"/>
                    <w:sz w:val="22"/>
                    <w:szCs w:val="22"/>
                    <w:lang w:eastAsia="lt-LT"/>
                  </w:rPr>
                  <w:t> </w:t>
                </w:r>
                <w:r>
                  <w:rPr>
                    <w:b/>
                    <w:bCs/>
                    <w:color w:val="000000"/>
                    <w:sz w:val="22"/>
                    <w:szCs w:val="22"/>
                    <w:lang w:eastAsia="lt-LT"/>
                  </w:rPr>
                  <w:t>Vandenilio sektoriaus veiklos valdymo ir priežiūros institucijos</w:t>
                </w:r>
                <w:r>
                  <w:rPr>
                    <w:color w:val="000000"/>
                    <w:sz w:val="22"/>
                    <w:szCs w:val="22"/>
                    <w:bdr w:val="none" w:sz="0" w:space="0" w:color="auto" w:frame="1"/>
                    <w:shd w:val="clear" w:color="auto" w:fill="C6C6C6"/>
                    <w:lang w:eastAsia="lt-LT"/>
                  </w:rPr>
                  <w:t> </w:t>
                </w:r>
              </w:p>
              <w:p>
                <w:pPr>
                  <w:ind w:firstLine="720"/>
                  <w:jc w:val="both"/>
                  <w:textAlignment w:val="baseline"/>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Valstybinė vartotojų teisių apsaugos tarnyba, įgyvendindama valstybės politiką vartotojų teisių apsaugos srityje, Lietuvos Respublikos vartotojų teisių apsaugos įstatymo nustatyta tvarka nagrinėja vartojimo sutartis dėl vandenilio pirkimo–pardavimo ar paslaugų teikimo dėl nesąžiningų sąlygų nustatymo ir Lietuvos Respublikos nesąžiningos komercinės veiklos vartotojams draudimo įstatymo nustatyta tvarka vykdo vandenilio tiekėjų nesąžiningos komercinės veiklos priežiūrą.</w:t>
                </w:r>
              </w:p>
              <w:p>
                <w:pPr>
                  <w:ind w:left="2410" w:hanging="1690"/>
                  <w:jc w:val="both"/>
                  <w:rPr>
                    <w:b/>
                    <w:bCs/>
                    <w:color w:val="000000"/>
                    <w:sz w:val="22"/>
                    <w:szCs w:val="22"/>
                    <w:lang w:eastAsia="lt-LT"/>
                  </w:rPr>
                </w:pPr>
                <w:r>
                  <w:rPr>
                    <w:b/>
                    <w:bCs/>
                    <w:color w:val="000000"/>
                    <w:sz w:val="22"/>
                    <w:szCs w:val="22"/>
                    <w:lang w:eastAsia="lt-LT"/>
                  </w:rPr>
                  <w:t>4</w:t>
                </w:r>
                <w:r>
                  <w:rPr>
                    <w:b/>
                    <w:bCs/>
                    <w:color w:val="000000"/>
                    <w:sz w:val="22"/>
                    <w:szCs w:val="22"/>
                    <w:u w:val="single"/>
                    <w:lang w:eastAsia="lt-LT"/>
                  </w:rPr>
                  <w:t>9</w:t>
                </w:r>
                <w:r>
                  <w:rPr>
                    <w:b/>
                    <w:bCs/>
                    <w:color w:val="000000"/>
                    <w:sz w:val="22"/>
                    <w:szCs w:val="22"/>
                    <w:lang w:eastAsia="lt-LT"/>
                  </w:rPr>
                  <w:t> straipsnis. Vartotojų teisių apsaugos priemonės </w:t>
                </w:r>
              </w:p>
              <w:p>
                <w:pPr>
                  <w:ind w:firstLine="567"/>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w:t>
                </w:r>
                <w:r>
                  <w:rPr>
                    <w:b/>
                    <w:bCs/>
                    <w:color w:val="000000"/>
                    <w:sz w:val="22"/>
                    <w:szCs w:val="22"/>
                    <w:u w:val="single"/>
                    <w:lang w:eastAsia="lt-LT"/>
                  </w:rPr>
                  <w:t> </w:t>
                </w:r>
                <w:r>
                  <w:rPr>
                    <w:b/>
                    <w:bCs/>
                    <w:color w:val="000000"/>
                    <w:sz w:val="22"/>
                    <w:szCs w:val="22"/>
                    <w:lang w:eastAsia="lt-LT"/>
                  </w:rPr>
                  <w:t xml:space="preserve"> teisių ir teisėtų interesų apsaugos valstybinę priežiūrą pagal kompetenciją </w:t>
                </w:r>
                <w:r>
                  <w:rPr>
                    <w:b/>
                    <w:bCs/>
                    <w:color w:val="000000"/>
                    <w:sz w:val="22"/>
                    <w:szCs w:val="22"/>
                    <w:u w:val="single"/>
                    <w:lang w:eastAsia="lt-LT"/>
                  </w:rPr>
                  <w:t>įstatymuose apibrėžtų funkcijų ir teisių ribose</w:t>
                </w:r>
                <w:r>
                  <w:rPr>
                    <w:b/>
                    <w:bCs/>
                    <w:color w:val="000000"/>
                    <w:sz w:val="22"/>
                    <w:szCs w:val="22"/>
                    <w:lang w:eastAsia="lt-LT"/>
                  </w:rPr>
                  <w:t> atlieka Taryba ir Valstybinė vartotojų teisių apsaugos tarnyba. </w:t>
                </w:r>
              </w:p>
              <w:p>
                <w:pPr>
                  <w:ind w:firstLine="567"/>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89"/>
                  </w:tabs>
                  <w:jc w:val="both"/>
                  <w:rPr>
                    <w:color w:val="000000"/>
                    <w:sz w:val="22"/>
                    <w:szCs w:val="22"/>
                    <w:lang w:eastAsia="lt-LT"/>
                  </w:rPr>
                </w:pPr>
                <w:r>
                  <w:rPr>
                    <w:color w:val="000000"/>
                    <w:sz w:val="22"/>
                    <w:szCs w:val="22"/>
                    <w:lang w:eastAsia="lt-LT"/>
                  </w:rPr>
                  <w:t>3. Gamtinių dujų įmonės privalo dalyvauti namų ūkio vartotojų neteisminio ginčų sprendimo mechanizmuose, nebent atitinkama valstybė narė pagrįstų Komisijai, kad kiti mechanizmai yra tiek pat veiksmingi.</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Nedarant poveikio Direktyvai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valstybės narės įvertina, kaip veikia šiame straipsnyje nurodyti jų neteisminio ginčų sprendimo mechanizmai.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 xml:space="preserve">Pastaba. Neteisminis ginčų sprendimas energetikos sektoriuje yra užtikrinamas pagal Energetikos įstatymo ir Vartotojų teisių apsaugos įstatymo nuostatas. Energetikos sektoriuje neteisminį ginčų nagrinėjimą atlieka Valstybinė energetikos reguliavimo taryba. </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Pažeidžiamų vartotojų ir energijos nepriteklių patiriančių vartotojų apsauga</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imasi tinkamų priemonių galutiniams vartotojams apsaugoti ir visų pirma užtikrina, kad būtų taikomos adekvačios priemonės pažeidžiamiems vartotojams ir energijos nepriteklių patiriantiems vartotojams apsaugoti. Tame kontekste kiekviena valstybė narė apibrėžia pažeidžiamų vartotojų sąvoką, kuri gali būti susijusi su energijos nepritekliumi. Termino „pažeidžiami vartotojai“ apibrėžtis turi atitikti sąvoką „pažeidžiamas vartotojas“, kurią valstybė narė apibrėžė pagal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28 straipsnį.</w:t>
                </w:r>
              </w:p>
            </w:tc>
            <w:tc>
              <w:tcPr>
                <w:tcW w:w="9407" w:type="dxa"/>
                <w:gridSpan w:val="3"/>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b/>
                    <w:sz w:val="22"/>
                    <w:szCs w:val="22"/>
                    <w:lang w:eastAsia="lt-LT"/>
                  </w:rPr>
                </w:pPr>
                <w:r>
                  <w:rPr>
                    <w:b/>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shd w:val="clear" w:color="auto" w:fill="FFFFFF"/>
                  <w:ind w:firstLine="676"/>
                  <w:jc w:val="both"/>
                  <w:rPr>
                    <w:b/>
                    <w:bCs/>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  </w:t>
                </w:r>
              </w:p>
              <w:p>
                <w:pPr>
                  <w:shd w:val="clear" w:color="auto" w:fill="FFFFFF"/>
                  <w:ind w:firstLine="676"/>
                  <w:jc w:val="both"/>
                  <w:rPr>
                    <w:b/>
                    <w:bCs/>
                    <w:color w:val="FF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Visų pirma valstybės narės imasi tinkamų priemonių prie gamtinių dujų arba vandenilio sistemų prisijungusiems galutiniams vartotojams atokiose vietovėse apsaugoti. </w:t>
                </w:r>
                <w:r>
                  <w:rPr>
                    <w:sz w:val="22"/>
                    <w:szCs w:val="22"/>
                    <w:lang w:eastAsia="lt-LT"/>
                  </w:rPr>
                  <w:t>Valstybės narės užtikrina aukštą vartotojų apsaugos lygį, ypač sutarčių sąlygų skaidrumo ir konkurencingų, skaidrių bei nediskriminacinių kainų, bendrosios informacijos ir ginčų sprendimo mechanizmų atžvilgiu</w:t>
                </w:r>
                <w:r>
                  <w:rPr>
                    <w:color w:val="FF0000"/>
                    <w:sz w:val="22"/>
                    <w:szCs w:val="22"/>
                    <w:lang w:eastAsia="lt-LT"/>
                  </w:rPr>
                  <w:t>.</w:t>
                </w:r>
              </w:p>
            </w:tc>
            <w:tc>
              <w:tcPr>
                <w:tcW w:w="9407" w:type="dxa"/>
                <w:gridSpan w:val="3"/>
              </w:tcPr>
              <w:p>
                <w:pPr>
                  <w:shd w:val="clear" w:color="auto" w:fill="FFFFFF"/>
                  <w:jc w:val="both"/>
                  <w:rPr>
                    <w:b/>
                    <w:color w:val="000000"/>
                    <w:sz w:val="22"/>
                    <w:szCs w:val="22"/>
                    <w:lang w:eastAsia="lt-LT"/>
                  </w:rPr>
                </w:pPr>
                <w:r>
                  <w:rPr>
                    <w:b/>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jc w:val="both"/>
                  <w:rPr>
                    <w:b/>
                    <w:sz w:val="22"/>
                    <w:szCs w:val="22"/>
                    <w:lang w:eastAsia="lt-LT"/>
                  </w:rPr>
                </w:pPr>
              </w:p>
              <w:p>
                <w:pPr>
                  <w:ind w:firstLine="709"/>
                  <w:jc w:val="both"/>
                  <w:rPr>
                    <w:b/>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10"/>
                  <w:jc w:val="both"/>
                  <w:rPr>
                    <w:b/>
                    <w:color w:val="000000"/>
                    <w:sz w:val="22"/>
                    <w:szCs w:val="22"/>
                    <w:lang w:eastAsia="ar-SA"/>
                  </w:rPr>
                </w:pPr>
                <w:r>
                  <w:rPr>
                    <w:b/>
                    <w:color w:val="000000"/>
                    <w:sz w:val="22"/>
                    <w:szCs w:val="22"/>
                    <w:lang w:eastAsia="ar-SA"/>
                  </w:rPr>
                  <w:t>6. Taryba:</w:t>
                </w:r>
              </w:p>
              <w:p>
                <w:pPr>
                  <w:ind w:firstLine="709"/>
                  <w:jc w:val="both"/>
                  <w:rPr>
                    <w:b/>
                    <w:bCs/>
                    <w:color w:val="000000"/>
                    <w:sz w:val="22"/>
                    <w:szCs w:val="22"/>
                    <w:lang w:eastAsia="lt-LT"/>
                  </w:rPr>
                </w:pPr>
                <w:r>
                  <w:rPr>
                    <w:b/>
                    <w:bCs/>
                    <w:color w:val="000000"/>
                    <w:sz w:val="22"/>
                    <w:szCs w:val="22"/>
                    <w:lang w:eastAsia="lt-LT"/>
                  </w:rPr>
                  <w:t>&lt;...&gt;</w:t>
                </w:r>
              </w:p>
              <w:p>
                <w:pPr>
                  <w:ind w:left="709"/>
                  <w:jc w:val="both"/>
                  <w:rPr>
                    <w:b/>
                    <w:bCs/>
                    <w:color w:val="000000"/>
                    <w:sz w:val="22"/>
                    <w:szCs w:val="22"/>
                    <w:shd w:val="clear" w:color="auto" w:fill="FFFFFF"/>
                    <w:lang w:eastAsia="lt-LT"/>
                  </w:rPr>
                </w:pPr>
                <w:r>
                  <w:rPr>
                    <w:b/>
                    <w:bCs/>
                    <w:color w:val="000000"/>
                    <w:sz w:val="22"/>
                    <w:szCs w:val="22"/>
                    <w:shd w:val="clear" w:color="auto" w:fill="FFFFFF"/>
                    <w:lang w:eastAsia="lt-LT"/>
                  </w:rPr>
                  <w:t>33) imasi priemonių prie vandenilio sistemos prisijungusiems galutiniams vandenilio vartotojams atokiose vietovėse apsaugoti; </w:t>
                </w:r>
              </w:p>
              <w:p>
                <w:pPr>
                  <w:ind w:left="1069"/>
                  <w:jc w:val="both"/>
                  <w:rPr>
                    <w:b/>
                    <w:bCs/>
                    <w:color w:val="000000"/>
                    <w:sz w:val="22"/>
                    <w:szCs w:val="22"/>
                    <w:lang w:eastAsia="lt-LT"/>
                  </w:rPr>
                </w:pPr>
              </w:p>
              <w:p>
                <w:pPr>
                  <w:ind w:left="1069"/>
                  <w:jc w:val="both"/>
                  <w:rPr>
                    <w:b/>
                    <w:bCs/>
                    <w:color w:val="000000"/>
                    <w:sz w:val="22"/>
                    <w:szCs w:val="22"/>
                    <w:lang w:eastAsia="lt-LT"/>
                  </w:rPr>
                </w:pPr>
                <w:r>
                  <w:rPr>
                    <w:b/>
                    <w:bCs/>
                    <w:color w:val="000000"/>
                    <w:sz w:val="22"/>
                    <w:szCs w:val="22"/>
                    <w:lang w:eastAsia="lt-LT"/>
                  </w:rPr>
                  <w:t>&lt;...&gt;</w:t>
                </w:r>
              </w:p>
              <w:p>
                <w:pPr>
                  <w:shd w:val="clear" w:color="auto" w:fill="FFFFFF"/>
                  <w:ind w:firstLine="630"/>
                  <w:jc w:val="both"/>
                  <w:rPr>
                    <w:b/>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r>
                <w:r>
                  <w:rPr>
                    <w:b/>
                    <w:bCs/>
                    <w:color w:val="000000"/>
                    <w:sz w:val="22"/>
                    <w:szCs w:val="22"/>
                    <w:lang w:eastAsia="lt-LT"/>
                  </w:rPr>
                  <w:t xml:space="preserve"> </w:t>
                </w:r>
                <w:r>
                  <w:rPr>
                    <w:rFonts w:eastAsia="Aptos"/>
                    <w:b/>
                    <w:bCs/>
                    <w:color w:val="000000"/>
                    <w:sz w:val="22"/>
                    <w:szCs w:val="22"/>
                    <w:lang w:eastAsia="lt-LT"/>
                  </w:rPr>
                  <w:t>su laisvai pasirinktu vandenilio tiekėju sudaryti sutartį;</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3)</w:t>
                  <w:tab/>
                  <w:t>keisti vandenilio tiekėją nemokamai ir per Tarybos nustatytą terminą;</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4)</w:t>
                  <w:tab/>
                  <w:t>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5)</w:t>
                  <w:tab/>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 xml:space="preserve">Tiekėjai galutiniams </w:t>
                </w:r>
                <w:r>
                  <w:rPr>
                    <w:rFonts w:eastAsia="Aptos"/>
                    <w:b/>
                    <w:bCs/>
                    <w:color w:val="000000"/>
                    <w:sz w:val="22"/>
                    <w:szCs w:val="22"/>
                    <w:lang w:eastAsia="lt-LT"/>
                  </w:rPr>
                  <w:t xml:space="preserve">vandenilio </w:t>
                </w:r>
                <w:r>
                  <w:rPr>
                    <w:b/>
                    <w:bCs/>
                    <w:color w:val="000000"/>
                    <w:sz w:val="22"/>
                    <w:szCs w:val="22"/>
                    <w:lang w:eastAsia="lt-LT"/>
                  </w:rPr>
                  <w:t>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 xml:space="preserve">8) būti apsaugoti nuo nesąžiningų ar klaidinančių pardavimo metodų. Tiekėjai galutiniams </w:t>
                </w:r>
                <w:r>
                  <w:rPr>
                    <w:rFonts w:eastAsia="Aptos"/>
                    <w:b/>
                    <w:bCs/>
                    <w:color w:val="000000"/>
                    <w:sz w:val="22"/>
                    <w:szCs w:val="22"/>
                    <w:lang w:eastAsia="lt-LT"/>
                  </w:rPr>
                  <w:t xml:space="preserve">vandenilio </w:t>
                </w:r>
                <w:r>
                  <w:rPr>
                    <w:b/>
                    <w:bCs/>
                    <w:color w:val="000000"/>
                    <w:sz w:val="22"/>
                    <w:szCs w:val="22"/>
                    <w:lang w:eastAsia="lt-LT"/>
                  </w:rPr>
                  <w:t>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lang w:eastAsia="lt-LT"/>
                  </w:rPr>
                  <w:t>3. Šio straipsnio 2 dalies 1 punkte nuro</w:t>
                </w:r>
                <w:r>
                  <w:rPr>
                    <w:rFonts w:eastAsia="Aptos"/>
                    <w:b/>
                    <w:bCs/>
                    <w:color w:val="000000"/>
                    <w:sz w:val="22"/>
                    <w:szCs w:val="22"/>
                    <w:lang w:eastAsia="lt-LT"/>
                  </w:rPr>
                  <w:t xml:space="preserve">dytose sutartyse nurodoma </w:t>
                </w:r>
                <w:r>
                  <w:rPr>
                    <w:b/>
                    <w:bCs/>
                    <w:color w:val="000000"/>
                    <w:sz w:val="22"/>
                    <w:szCs w:val="22"/>
                    <w:lang w:eastAsia="lt-LT"/>
                  </w:rPr>
                  <w:t>tiekėjo tapatybė ir kontaktiniai duomenys, įskaitant adresą, el. pašto adresą ir pagalbos vartotojams liniją</w:t>
                </w:r>
                <w:r>
                  <w:rPr>
                    <w:rFonts w:eastAsia="Aptos"/>
                    <w:b/>
                    <w:bCs/>
                    <w:color w:val="000000"/>
                    <w:sz w:val="22"/>
                    <w:szCs w:val="22"/>
                    <w:lang w:eastAsia="lt-LT"/>
                  </w:rPr>
                  <w:t xml:space="preserve">,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w:t>
                </w:r>
                <w:r>
                  <w:rPr>
                    <w:b/>
                    <w:bCs/>
                    <w:color w:val="000000"/>
                    <w:sz w:val="22"/>
                    <w:szCs w:val="22"/>
                    <w:lang w:eastAsia="lt-LT"/>
                  </w:rPr>
                  <w:t>Kai aplinkosauginis veiksmingumas, įskaitant, kai aktualu, mažą išmetamą anglies dioksido kiekį, skatinamas kaip esminė savybė, sutartyje taip pat turi būti nurodyti aiškūs, objektyvūs, viešai prieinami ir patikrinami tiekėjo įsipareigojimai</w:t>
                </w:r>
                <w:r>
                  <w:rPr>
                    <w:rFonts w:eastAsia="Aptos"/>
                    <w:b/>
                    <w:bCs/>
                    <w:color w:val="000000"/>
                    <w:sz w:val="22"/>
                    <w:szCs w:val="22"/>
                    <w:lang w:eastAsia="lt-LT"/>
                  </w:rPr>
                  <w:t xml:space="preserve">. Taip pat, </w:t>
                </w:r>
                <w:r>
                  <w:rPr>
                    <w:b/>
                    <w:bCs/>
                    <w:color w:val="000000"/>
                    <w:sz w:val="22"/>
                    <w:szCs w:val="22"/>
                    <w:lang w:eastAsia="lt-LT"/>
                  </w:rPr>
                  <w:t>atsižvelgiant į aplinkybes, į sutartį įtraukiama informacija apie tiekėją ir produktų ar paslaugų, susijusių arba susietų su vandenilio tiekimu, kainą.</w:t>
                </w:r>
                <w:r>
                  <w:rPr>
                    <w:rFonts w:eastAsia="Aptos"/>
                    <w:b/>
                    <w:bCs/>
                    <w:color w:val="000000"/>
                    <w:sz w:val="22"/>
                    <w:szCs w:val="22"/>
                    <w:lang w:eastAsia="lt-LT"/>
                  </w:rPr>
                  <w:t xml:space="preserve"> Visa šiame punkte nurodyta informacija skelbiama vandenilio tiekėjo interneto svetainėje. </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4. Visos vartojimo sutarčių sąlygos turi būti sąžiningos.</w:t>
                </w:r>
                <w:r>
                  <w:rPr>
                    <w:rFonts w:eastAsia="Aptos"/>
                    <w:b/>
                    <w:bCs/>
                    <w:color w:val="000000"/>
                    <w:sz w:val="22"/>
                    <w:szCs w:val="22"/>
                    <w:lang w:eastAsia="lt-LT"/>
                  </w:rPr>
                  <w:t xml:space="preserve"> Visos sąlygos, taip pat </w:t>
                </w:r>
                <w:r>
                  <w:rPr>
                    <w:b/>
                    <w:bCs/>
                    <w:color w:val="000000"/>
                    <w:sz w:val="22"/>
                    <w:szCs w:val="22"/>
                    <w:lang w:eastAsia="lt-LT"/>
                  </w:rPr>
                  <w:t xml:space="preserve">informacija apie produktų tiekėją ar paslaugų teikėją ir tų produktų ar paslaugų, susijusių arba susietų su vandenilio tiekimu, kainą, turi būti </w:t>
                </w:r>
                <w:r>
                  <w:rPr>
                    <w:rFonts w:eastAsia="Aptos"/>
                    <w:b/>
                    <w:bCs/>
                    <w:color w:val="000000"/>
                    <w:sz w:val="22"/>
                    <w:szCs w:val="22"/>
                    <w:lang w:eastAsia="lt-LT"/>
                  </w:rPr>
                  <w:t>pateiktos vartotojams susipažinti iš anksto, prieš sudarant ar patvirtinant sutartį.</w:t>
                </w:r>
              </w:p>
              <w:p>
                <w:pPr>
                  <w:tabs>
                    <w:tab w:val="left" w:pos="567"/>
                  </w:tabs>
                  <w:spacing w:line="276" w:lineRule="auto"/>
                  <w:ind w:firstLine="720"/>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ind w:firstLine="720"/>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vartotojo sistema kelia grėsmę žmonių gyvybei, sveikatai ar turtui;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ind w:firstLine="676"/>
                  <w:jc w:val="both"/>
                  <w:rPr>
                    <w:b/>
                    <w:bCs/>
                    <w:color w:val="000000"/>
                    <w:sz w:val="22"/>
                    <w:szCs w:val="22"/>
                    <w:lang w:eastAsia="lt-LT"/>
                  </w:rPr>
                </w:pPr>
              </w:p>
              <w:p>
                <w:pPr>
                  <w:tabs>
                    <w:tab w:val="left" w:pos="567"/>
                  </w:tabs>
                  <w:ind w:firstLine="720"/>
                  <w:jc w:val="both"/>
                  <w:rPr>
                    <w:rFonts w:eastAsia="Aptos"/>
                    <w:color w:val="000000"/>
                    <w:sz w:val="22"/>
                    <w:szCs w:val="22"/>
                    <w:lang w:eastAsia="lt-LT"/>
                  </w:rPr>
                </w:pPr>
                <w:r>
                  <w:rPr>
                    <w:i/>
                    <w:iCs/>
                    <w:color w:val="000000"/>
                    <w:sz w:val="22"/>
                    <w:szCs w:val="22"/>
                    <w:lang w:eastAsia="lt-LT"/>
                  </w:rPr>
                  <w:t xml:space="preserve">Pastaba. Visos Vandenilio įstatymo projekte numatytos nuostatos, kurios galios visiems vandenilio vartotojams ir galutiniams vartotojams, galios taip pat ir pažeidžiamiems vartotojams, taip pat galutiniams vartotojams atokiose vietovėse. Kadangi įstatymo projekte tokiems vartotojams nėra numatytos mažesnės teisės arba žemesnis jų kaip vandenilio vartotojų teisių apsaugos lygis, laikytina, kad Direktyvos </w:t>
                </w:r>
                <w:fldSimple w:instr="HYPERLINK http://eur-lex.europa.eu/legal-content/LIT/TXT/?uri=CELEX:32024L1788&amp;locale=lt \t _blank">
                  <w:r>
                    <w:rPr>
                      <w:i/>
                      <w:color w:val="0000FF" w:themeColor="hyperlink"/>
                      <w:sz w:val="22"/>
                      <w:szCs w:val="22"/>
                      <w:lang w:eastAsia="lt-LT"/>
                      <w:u w:val="single"/>
                    </w:rPr>
                    <w:t>(ES) 2024/1788</w:t>
                  </w:r>
                </w:fldSimple>
                <w:r>
                  <w:rPr>
                    <w:i/>
                    <w:iCs/>
                    <w:color w:val="000000"/>
                    <w:sz w:val="22"/>
                    <w:szCs w:val="22"/>
                    <w:lang w:eastAsia="lt-LT"/>
                  </w:rPr>
                  <w:t xml:space="preserve"> 26 straipsnio 2 dalies nuostatos yra tinkamai perkeltos. </w:t>
                </w:r>
              </w:p>
              <w:p>
                <w:pPr>
                  <w:shd w:val="clear" w:color="auto" w:fill="FFFFFF"/>
                  <w:ind w:firstLine="630"/>
                  <w:jc w:val="both"/>
                  <w:rPr>
                    <w:b/>
                    <w:bCs/>
                    <w:sz w:val="22"/>
                    <w:szCs w:val="22"/>
                    <w:lang w:eastAsia="lt-LT"/>
                  </w:rPr>
                </w:pPr>
              </w:p>
              <w:p>
                <w:pPr>
                  <w:shd w:val="clear" w:color="auto" w:fill="FFFFFF"/>
                  <w:ind w:firstLine="630"/>
                  <w:jc w:val="both"/>
                  <w:rPr>
                    <w:b/>
                    <w:sz w:val="22"/>
                    <w:szCs w:val="22"/>
                    <w:lang w:eastAsia="lt-LT"/>
                  </w:rPr>
                </w:pPr>
                <w:r>
                  <w:rPr>
                    <w:b/>
                    <w:sz w:val="22"/>
                    <w:szCs w:val="22"/>
                    <w:lang w:eastAsia="lt-LT"/>
                  </w:rPr>
                  <w:t>Gamtinių dujų įstatymas</w:t>
                </w:r>
              </w:p>
              <w:p>
                <w:pPr>
                  <w:ind w:firstLine="720"/>
                  <w:jc w:val="both"/>
                  <w:rPr>
                    <w:b/>
                    <w:bCs/>
                    <w:color w:val="000000"/>
                    <w:sz w:val="22"/>
                    <w:szCs w:val="22"/>
                    <w:lang w:eastAsia="lt-LT"/>
                  </w:rPr>
                </w:pPr>
                <w:r>
                  <w:rPr>
                    <w:b/>
                    <w:bCs/>
                    <w:color w:val="000000"/>
                    <w:sz w:val="22"/>
                    <w:szCs w:val="22"/>
                    <w:lang w:eastAsia="lt-LT"/>
                  </w:rPr>
                  <w:t>58 straipsnis. Vartotojų teisių apsauga</w:t>
                </w:r>
              </w:p>
              <w:p>
                <w:pPr>
                  <w:ind w:firstLine="720"/>
                  <w:jc w:val="both"/>
                  <w:rPr>
                    <w:color w:val="000000"/>
                    <w:sz w:val="22"/>
                    <w:szCs w:val="22"/>
                    <w:lang w:eastAsia="lt-LT"/>
                  </w:rPr>
                </w:pPr>
                <w:r>
                  <w:rPr>
                    <w:color w:val="000000"/>
                    <w:sz w:val="22"/>
                    <w:szCs w:val="22"/>
                    <w:lang w:eastAsia="lt-LT"/>
                  </w:rPr>
                  <w:t>1. Siekdama užtikrinti tinkamą vartotojų teisių apsaugą, Taryba:</w:t>
                </w:r>
              </w:p>
              <w:p>
                <w:pPr>
                  <w:ind w:firstLine="720"/>
                  <w:jc w:val="both"/>
                  <w:rPr>
                    <w:color w:val="000000"/>
                    <w:sz w:val="22"/>
                    <w:szCs w:val="22"/>
                    <w:lang w:eastAsia="lt-LT"/>
                  </w:rPr>
                </w:pPr>
                <w:r>
                  <w:rPr>
                    <w:color w:val="000000"/>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ind w:firstLine="720"/>
                  <w:jc w:val="both"/>
                  <w:rPr>
                    <w:color w:val="000000"/>
                    <w:sz w:val="22"/>
                    <w:szCs w:val="22"/>
                    <w:lang w:eastAsia="lt-LT"/>
                  </w:rPr>
                </w:pPr>
                <w:r>
                  <w:rPr>
                    <w:color w:val="000000"/>
                    <w:sz w:val="22"/>
                    <w:szCs w:val="22"/>
                    <w:lang w:eastAsia="lt-LT"/>
                  </w:rPr>
                  <w:t>2) imasi tinkamų priemonių prie gamtinių dujų sistemos prisijungusiems vartotojams atokiose vietovėse apsaugoti;</w:t>
                </w:r>
              </w:p>
              <w:p>
                <w:pPr>
                  <w:ind w:firstLine="720"/>
                  <w:jc w:val="both"/>
                  <w:rPr>
                    <w:color w:val="000000"/>
                    <w:sz w:val="22"/>
                    <w:szCs w:val="22"/>
                    <w:lang w:eastAsia="lt-LT"/>
                  </w:rPr>
                </w:pPr>
                <w:r>
                  <w:rPr>
                    <w:color w:val="000000"/>
                    <w:sz w:val="22"/>
                    <w:szCs w:val="22"/>
                    <w:lang w:eastAsia="lt-LT"/>
                  </w:rPr>
                  <w:t>3) užtikrina aukštą vartotojų apsaugos lygį, ypač susijusį su sutarties sąlygų, bendros informacijos ir ginčų sprendimo būdų skaidrumu;</w:t>
                </w:r>
              </w:p>
              <w:p>
                <w:pPr>
                  <w:ind w:firstLine="720"/>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ind w:firstLine="720"/>
                  <w:jc w:val="both"/>
                  <w:rPr>
                    <w:b/>
                    <w:sz w:val="22"/>
                    <w:szCs w:val="22"/>
                    <w:lang w:eastAsia="lt-LT"/>
                  </w:rPr>
                </w:pPr>
                <w:r>
                  <w:rPr>
                    <w:b/>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27 straipsnis </w:t>
                </w:r>
              </w:p>
              <w:p>
                <w:pPr>
                  <w:shd w:val="clear" w:color="auto" w:fill="FFFFFF"/>
                  <w:jc w:val="both"/>
                  <w:rPr>
                    <w:i/>
                    <w:iCs/>
                    <w:color w:val="000000"/>
                    <w:sz w:val="22"/>
                    <w:szCs w:val="22"/>
                    <w:lang w:eastAsia="lt-LT"/>
                  </w:rPr>
                </w:pPr>
                <w:r>
                  <w:rPr>
                    <w:b/>
                    <w:bCs/>
                    <w:color w:val="000000"/>
                    <w:sz w:val="22"/>
                    <w:szCs w:val="22"/>
                    <w:lang w:eastAsia="lt-LT"/>
                  </w:rPr>
                  <w:t>Energijos nepriteklius ir gamtinių dujų skirstymo tinklo eksploatavimo nutraukimas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Komisija pateikia gaires dėl pažeidžiamų vartotojų ir energijos nepriteklių patiriančių vartotojų apsaugos planuojant ir vykdant gamtinių dujų laipsnišką atsisakymą arba nutraukiant gamtinių dujų skirstymo tinklų eksploatavimą, visų pirma siekdama užtikrinti, kad pagal 13 straipsnio 1 dalies d punktą būtų tinkamai atsižvelgiama į konkrečius tokių vartotojų poreikius.</w:t>
                </w:r>
              </w:p>
            </w:tc>
            <w:tc>
              <w:tcPr>
                <w:tcW w:w="9407" w:type="dxa"/>
                <w:gridSpan w:val="3"/>
                <w:vAlign w:val="center"/>
              </w:tcPr>
              <w:p>
                <w:pPr>
                  <w:shd w:val="clear" w:color="auto" w:fill="FFFFFF"/>
                  <w:ind w:firstLine="57"/>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28 straipsnis </w:t>
                </w:r>
              </w:p>
              <w:p>
                <w:pPr>
                  <w:shd w:val="clear" w:color="auto" w:fill="FFFFFF"/>
                  <w:jc w:val="both"/>
                  <w:rPr>
                    <w:i/>
                    <w:iCs/>
                    <w:color w:val="000000"/>
                    <w:sz w:val="22"/>
                    <w:szCs w:val="22"/>
                    <w:lang w:eastAsia="lt-LT"/>
                  </w:rPr>
                </w:pPr>
                <w:r>
                  <w:rPr>
                    <w:b/>
                    <w:bCs/>
                    <w:color w:val="000000"/>
                    <w:sz w:val="22"/>
                    <w:szCs w:val="22"/>
                    <w:lang w:eastAsia="lt-LT"/>
                  </w:rPr>
                  <w:t>Apsauga nuo atjungimo</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50"/>
                  </w:tabs>
                  <w:jc w:val="both"/>
                  <w:rPr>
                    <w:color w:val="000000"/>
                    <w:sz w:val="22"/>
                    <w:szCs w:val="22"/>
                    <w:lang w:eastAsia="lt-LT"/>
                  </w:rPr>
                </w:pPr>
                <w:r>
                  <w:rPr>
                    <w:color w:val="000000"/>
                    <w:sz w:val="22"/>
                    <w:szCs w:val="22"/>
                    <w:lang w:eastAsia="lt-LT"/>
                  </w:rPr>
                  <w:t xml:space="preserve">1. Valstybės narės imasi priemonių, kad būtų užkirstas kelias pažeidžiamų vartotojų ir energijos nepriteklių patiriančių vartotojų atjungimui. Pažeidžiamų vartotojų atžvilgiu toms priemonėms taikomas 26 straipsnis. </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Papildomai pastebėtina, kad Energetikos ministerijos nuomone,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nuostata nėra besąlyginė – t. y. ji nereiškia, kad vandenilio tiekimas pažeidžiamiems vartotojams ir energijos nepriteklių patiriantiems vartotojams jokiomis aplinkybėmis negali būti atjungtas, o reiškia, kad valstybė – narė turi apibrėžti konkrečius atvejus, kai vandenilio tiekimas tokiems vartotojams negali būti atjungtas – panašius į tuos, kurie yra nustatyti Elektros energetikos įstatymo 52 straipsnio 2 dalyje ir Gamtinių dujų įstatymo 47 straipsnyje. Tačiau pažymėtina, kad elektros energijos ir gamtinių dujų atveju yra aišku, kokiais tikslais tokie vartotojai juos naudoja, kokią įtaką jų tiekimas turėtų tokių vartotojų gyvenimui, taip pat įmanoma įvertinti, kokios būtų jų tiekimo už juos neatsiskaičiusiems klientams finansinės pasekmės jų tiekėjams.  Tuo tarpu vandenilio rinka kol kas yra pradinio formavimosi stadijoje; prognozuotina, kad buitiniai vartotojai Lietuvos Respublikoje galimai pradės vartoti vandenilį šildymo ar kitoms su energija susijusioms reikmėms ne anksčiau, kaip 2035 metais. Tokiomis aplinkybėmis, šiuo metu būtų per anksti Vandenilio įstatyme išsamiau reglamentuoti tokių vartotojų apsaugos priemones, o būtų tikslinga atitinkamomis nuostatomis papildyti Vandenilio įstatymą vėliau. Šiame etape Energetikos ministerija laikosi pozicijos, kad Projekto 48 straipsnio 5 dalyje numatyta tokių vartotojų apsaugos priemonė, kuria reglamentuojama teisė nebūti atjungtam dėl priežasčių, dėl kurių atitinkamas tiekėjas nagrinėja skundą, yra pakankama ir kad ji – atsižvelgiant į nurodytas aplinkybes – pakankamu mastu perkelia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nuostatą – t. y.  numato vieną atvejį, kai tokiems vartotojams negali būti atjungtas vandenilio tiekimas. Kiti atvejai, kurie Vandenilio įstatyme bus įtvirtinti vėliau, priklausys nuo to, kaip formuosis vandenilio rinka ir kokiais konkrečiai tikslais tokie vartotojai naudos vandenilį.</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2" w:history="1">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b/>
                    <w:bCs/>
                    <w:color w:val="000000"/>
                    <w:sz w:val="22"/>
                    <w:szCs w:val="22"/>
                    <w:lang w:val="lt" w:eastAsia="lt-LT"/>
                  </w:rPr>
                </w:pPr>
              </w:p>
              <w:p>
                <w:pPr>
                  <w:shd w:val="clear" w:color="auto" w:fill="FFFFFF"/>
                  <w:jc w:val="both"/>
                  <w:rPr>
                    <w:color w:val="000000"/>
                    <w:sz w:val="22"/>
                    <w:szCs w:val="22"/>
                    <w:lang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5. Gamtinių dujų įmonė be jokio išankstinio įspėjimo tol, kol išnyksta toliau išvardytos priežastys, gali nutraukti gamtinių dujų perdavimą, skirstymą ar tiekimą, kai:</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&lt;...&gt; Pažeidžiamiems vartotojams gamtinių dujų tiekimas gali būti apribojamas ar nutraukiamas tik išnaudojus šio įstatymo 47 straipsnyje numatytas priemones.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Pranešdamos Komisijai apie šios direktyvos perkėlimo į nacionalinę teisę priemones, valstybės narės paaiškina pirmos pastraipos ir nacionalinių perkėlimo priemonių atitinkamų dalių sąsajas.</w:t>
                </w:r>
              </w:p>
            </w:tc>
            <w:tc>
              <w:tcPr>
                <w:tcW w:w="9407" w:type="dxa"/>
                <w:gridSpan w:val="3"/>
                <w:vAlign w:val="center"/>
              </w:tcPr>
              <w:p>
                <w:pPr>
                  <w:shd w:val="clear" w:color="auto" w:fill="FFFFFF"/>
                  <w:jc w:val="both"/>
                  <w:rPr>
                    <w:i/>
                    <w:color w:val="000000"/>
                    <w:sz w:val="22"/>
                    <w:szCs w:val="22"/>
                    <w:lang w:val="lt" w:eastAsia="lt-LT"/>
                  </w:rPr>
                </w:pPr>
                <w:r>
                  <w:rPr>
                    <w:i/>
                    <w:color w:val="000000"/>
                    <w:sz w:val="22"/>
                    <w:szCs w:val="22"/>
                    <w:lang w:eastAsia="lt-LT"/>
                  </w:rPr>
                  <w:t xml:space="preserve">Pastaba. Lietuvos galiojančiose nacionalinėse teisės nuostatose gamtinių dujų tiekimo įmonėms </w:t>
                </w:r>
                <w:r>
                  <w:rPr>
                    <w:i/>
                    <w:iCs/>
                    <w:color w:val="000000"/>
                    <w:sz w:val="22"/>
                    <w:szCs w:val="22"/>
                    <w:lang w:eastAsia="lt-LT"/>
                  </w:rPr>
                  <w:t>įtvirtinta</w:t>
                </w:r>
                <w:r>
                  <w:rPr>
                    <w:i/>
                    <w:color w:val="000000"/>
                    <w:sz w:val="22"/>
                    <w:szCs w:val="22"/>
                    <w:lang w:eastAsia="lt-LT"/>
                  </w:rPr>
                  <w:t xml:space="preserve"> prievolė </w:t>
                </w:r>
                <w:r>
                  <w:rPr>
                    <w:i/>
                    <w:iCs/>
                    <w:color w:val="000000"/>
                    <w:sz w:val="22"/>
                    <w:szCs w:val="22"/>
                    <w:lang w:eastAsia="lt-LT"/>
                  </w:rPr>
                  <w:t>užtikrinti</w:t>
                </w:r>
                <w:r>
                  <w:rPr>
                    <w:i/>
                    <w:color w:val="000000"/>
                    <w:sz w:val="22"/>
                    <w:szCs w:val="22"/>
                    <w:lang w:eastAsia="lt-LT"/>
                  </w:rPr>
                  <w:t xml:space="preserve"> gamtinių dujų tiekimą pažeidžiamiems vartotojams. </w:t>
                </w:r>
                <w:r>
                  <w:rPr>
                    <w:i/>
                    <w:iCs/>
                    <w:color w:val="000000"/>
                    <w:sz w:val="22"/>
                    <w:szCs w:val="22"/>
                    <w:lang w:eastAsia="lt-LT"/>
                  </w:rPr>
                  <w:t>Pagal galiojančią nacionalinę teisę, pažeidžiamas</w:t>
                </w:r>
                <w:r>
                  <w:rPr>
                    <w:i/>
                    <w:color w:val="000000"/>
                    <w:sz w:val="22"/>
                    <w:szCs w:val="22"/>
                    <w:lang w:eastAsia="lt-LT"/>
                  </w:rPr>
                  <w:t xml:space="preserve"> vartotojas  yra priskiriamas </w:t>
                </w:r>
                <w:r>
                  <w:rPr>
                    <w:b/>
                    <w:i/>
                    <w:color w:val="000000"/>
                    <w:sz w:val="22"/>
                    <w:szCs w:val="22"/>
                    <w:lang w:eastAsia="lt-LT"/>
                  </w:rPr>
                  <w:t>nenutrūkstamo</w:t>
                </w:r>
                <w:r>
                  <w:rPr>
                    <w:i/>
                    <w:color w:val="000000"/>
                    <w:sz w:val="22"/>
                    <w:szCs w:val="22"/>
                    <w:lang w:eastAsia="lt-LT"/>
                  </w:rPr>
                  <w:t xml:space="preserve"> dujų tiekimo grupei. Pažeidžiamiems vartotojams gamtinių dujų tiekimas gali būti apribojamas tik </w:t>
                </w:r>
                <w:r>
                  <w:rPr>
                    <w:i/>
                    <w:iCs/>
                    <w:color w:val="000000"/>
                    <w:sz w:val="22"/>
                    <w:szCs w:val="22"/>
                    <w:lang w:eastAsia="lt-LT"/>
                  </w:rPr>
                  <w:t>išnaudojus</w:t>
                </w:r>
                <w:r>
                  <w:rPr>
                    <w:i/>
                    <w:color w:val="000000"/>
                    <w:sz w:val="22"/>
                    <w:szCs w:val="22"/>
                    <w:lang w:eastAsia="lt-LT"/>
                  </w:rPr>
                  <w:t xml:space="preserve"> Gamtinių dujų įstatymo 47 straipsnyje </w:t>
                </w:r>
                <w:r>
                  <w:rPr>
                    <w:i/>
                    <w:iCs/>
                    <w:color w:val="000000"/>
                    <w:sz w:val="22"/>
                    <w:szCs w:val="22"/>
                    <w:lang w:eastAsia="lt-LT"/>
                  </w:rPr>
                  <w:t>(nuostatos pateiktos pirmos pastraipos perkėlimui pagrįsti) apibrėžtas priemones.</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Valstybės narės užtikrina, kad tiekėjai nenutrauktų sutarčių su vartotojais arba jų neatjungtų dėl priežasčių, dėl kurių atitinkamas tiekėjas nagrinėja skundą pagal 11 straipsnio 9 dalį arba dėl kurių ginčas sprendžiamas neteismine tvarka pagal 25 straipsnį, ir nedaro poveikio šalių sutartyje numatytoms teisėms ir sutartiniams įsipareigojimams. Valstybės narės gali imtis tinkamų priemonių, kad būtų išvengta piktnaudžiavimo procesu. </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ind w:firstLine="720"/>
                  <w:jc w:val="both"/>
                  <w:rPr>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tabs>
                    <w:tab w:val="left" w:pos="567"/>
                  </w:tabs>
                  <w:ind w:firstLine="720"/>
                  <w:jc w:val="both"/>
                  <w:rPr>
                    <w:b/>
                    <w:bCs/>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color w:val="000000"/>
                    <w:sz w:val="22"/>
                    <w:szCs w:val="22"/>
                    <w:lang w:eastAsia="lt-LT"/>
                  </w:rPr>
                </w:pPr>
              </w:p>
              <w:p>
                <w:pPr>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3">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57 straipsnis. Vartotojų apsaugos priemonės</w:t>
                </w:r>
                <w:r>
                  <w:rPr>
                    <w:color w:val="000000"/>
                    <w:sz w:val="22"/>
                    <w:szCs w:val="22"/>
                    <w:lang w:eastAsia="lt-LT"/>
                  </w:rPr>
                  <w:t xml:space="preserve"> </w:t>
                </w:r>
              </w:p>
              <w:p>
                <w:pPr>
                  <w:jc w:val="both"/>
                  <w:rPr>
                    <w:color w:val="000000"/>
                    <w:sz w:val="22"/>
                    <w:szCs w:val="22"/>
                    <w:lang w:eastAsia="lt-LT"/>
                  </w:rPr>
                </w:pPr>
                <w:r>
                  <w:rPr>
                    <w:color w:val="000000"/>
                    <w:sz w:val="22"/>
                    <w:szCs w:val="22"/>
                    <w:lang w:eastAsia="lt-LT"/>
                  </w:rPr>
                  <w:t xml:space="preserve">&lt;...&gt; </w:t>
                </w:r>
              </w:p>
              <w:p>
                <w:pPr>
                  <w:jc w:val="both"/>
                  <w:rPr>
                    <w:color w:val="000000"/>
                    <w:sz w:val="22"/>
                    <w:szCs w:val="22"/>
                    <w:lang w:eastAsia="lt-LT"/>
                  </w:rPr>
                </w:pPr>
                <w:r>
                  <w:rPr>
                    <w:color w:val="000000"/>
                    <w:sz w:val="22"/>
                    <w:szCs w:val="22"/>
                    <w:lang w:eastAsia="lt-LT"/>
                  </w:rPr>
                  <w:t>4) &lt;...&gt; Pažeidžiamiems vartotojams gamtinių dujų tiekimas gali būti apribojamas ar nutraukiamas tik išnaudojus šio įstatymo 47 straipsnyje numatytas priemones.</w:t>
                </w:r>
              </w:p>
              <w:p>
                <w:pPr>
                  <w:jc w:val="both"/>
                  <w:rPr>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imasi tinkamų priemonių, kad sudarytų sąlygas vartotojams išvengti atjungimo; taikant tokias priemones gali būti, be kita ko:</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w:t>
                </w:r>
                <w:r>
                  <w:rPr>
                    <w:i/>
                    <w:color w:val="000000"/>
                    <w:sz w:val="22"/>
                    <w:szCs w:val="22"/>
                    <w:lang w:eastAsia="lt-LT"/>
                  </w:rPr>
                  <w:t xml:space="preserve">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Vandenilio įstatymo projekto pateikimo metu ne tik neegzistuoja jame numatyta vandenilio tiekimo sistema ir nėra jos galutinių vartotojų, bet ir nėra galutinio aiškumo, kokiais tikslais galutiniai vartotojai vartos vandenilį. Todėl apsiribojama Vandenilio įstatymo projekto </w:t>
                </w:r>
                <w:r>
                  <w:rPr>
                    <w:i/>
                    <w:color w:val="000000"/>
                    <w:sz w:val="22"/>
                    <w:szCs w:val="22"/>
                    <w:lang w:eastAsia="lt-LT"/>
                  </w:rPr>
                  <w:t xml:space="preserve">49 straipsnio </w:t>
                </w:r>
                <w:r>
                  <w:rPr>
                    <w:i/>
                    <w:iCs/>
                    <w:color w:val="000000"/>
                    <w:sz w:val="22"/>
                    <w:szCs w:val="22"/>
                    <w:lang w:eastAsia="lt-LT"/>
                  </w:rPr>
                  <w:t>6</w:t>
                </w:r>
                <w:r>
                  <w:rPr>
                    <w:i/>
                    <w:color w:val="000000"/>
                    <w:sz w:val="22"/>
                    <w:szCs w:val="22"/>
                    <w:lang w:eastAsia="lt-LT"/>
                  </w:rPr>
                  <w:t xml:space="preserve"> dalyje nurodytomis pažeidžiamų vartotojų ir energijos nepriteklių patiriančių vartotojų teisėmis. </w:t>
                </w:r>
                <w:r>
                  <w:rPr>
                    <w:i/>
                    <w:iCs/>
                    <w:color w:val="000000"/>
                    <w:sz w:val="22"/>
                    <w:szCs w:val="22"/>
                    <w:lang w:val="en-US" w:eastAsia="lt-LT"/>
                  </w:rPr>
                  <w:t>Kitos teisės nenustatomos.</w:t>
                </w:r>
                <w:r>
                  <w:rPr>
                    <w:i/>
                    <w:iCs/>
                    <w:color w:val="000000"/>
                    <w:sz w:val="22"/>
                    <w:szCs w:val="22"/>
                    <w:lang w:eastAsia="lt-LT"/>
                  </w:rPr>
                  <w:t xml:space="preserve"> </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skatinami savanoriški tiekėjų ir vartotojų kodeksai, kuriais būtų siekiama užkirsti kelią vartotojų įsiskolinimui ir valdyti tokias įsiskolinimo situacijas, – tai gali būti susiję su parama vartotojams, kad jie galėtų valdyti savo energijos vartojimą ir išlaidas, be kita ko, atkreipiant dėmesį į neįprastus didelius energijos kainų šuolius ar suvartojimą, siūlant tinkamus lanksčius mokėjimo planus, konsultavimo skolos klausimais priemones, gerinant komunikaciją su vartotojais ir paramos agentūromis;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shd w:val="clear" w:color="auto" w:fill="FFFFFF"/>
                    <w:lang w:eastAsia="lt-LT"/>
                  </w:rPr>
                  <w:t xml:space="preserve">Pastaba. Ši nuostata bus perkelta į poįstatyminį teisės aktą, kurį parengs Energetikos ministerija - </w:t>
                </w:r>
                <w:r>
                  <w:rPr>
                    <w:i/>
                    <w:iCs/>
                    <w:color w:val="000000"/>
                    <w:sz w:val="22"/>
                    <w:szCs w:val="22"/>
                    <w:lang w:eastAsia="lt-LT"/>
                  </w:rPr>
                  <w:t>Vandenilio tiekimo ir vartojimo taisykles.</w:t>
                </w:r>
              </w:p>
              <w:p>
                <w:pPr>
                  <w:shd w:val="clear" w:color="auto" w:fill="FFFFFF"/>
                  <w:jc w:val="both"/>
                  <w:rPr>
                    <w:b/>
                    <w:color w:val="000000"/>
                    <w:sz w:val="22"/>
                    <w:szCs w:val="22"/>
                    <w:shd w:val="clear" w:color="auto" w:fill="FFFFFF"/>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Energetikos ministerija ir energetikos ministras: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5) rengia ir tvirtina Vandenilio tiekimo ir vartojimo taisykles (toliau – Tiekimo ir vartojimo taisyklės);</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Energetikos įstatymas</w:t>
                </w: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2</w:t>
                </w:r>
                <w:r>
                  <w:rPr>
                    <w:b/>
                    <w:bCs/>
                    <w:color w:val="000000"/>
                    <w:sz w:val="22"/>
                    <w:szCs w:val="22"/>
                    <w:shd w:val="clear" w:color="auto" w:fill="FFFFFF"/>
                    <w:lang w:eastAsia="lt-LT"/>
                  </w:rPr>
                  <w:t xml:space="preserve"> straipsnis.      Energijos kainos dalies kompensavimas elektros energijos ir (ar) gamtinių dujų buitiniams vartotojams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1. 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color w:val="000000"/>
                    <w:sz w:val="22"/>
                    <w:szCs w:val="22"/>
                    <w:shd w:val="clear" w:color="auto" w:fill="FFFFFF"/>
                    <w:lang w:eastAsia="lt-LT"/>
                  </w:rPr>
                  <w:t>&lt;...&gt;</w:t>
                </w:r>
              </w:p>
              <w:p>
                <w:pPr>
                  <w:shd w:val="clear" w:color="auto" w:fill="FFFFFF"/>
                  <w:jc w:val="both"/>
                  <w:rPr>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3</w:t>
                </w:r>
                <w:r>
                  <w:rPr>
                    <w:b/>
                    <w:bCs/>
                    <w:color w:val="000000"/>
                    <w:sz w:val="22"/>
                    <w:szCs w:val="22"/>
                    <w:shd w:val="clear" w:color="auto" w:fill="FFFFFF"/>
                    <w:lang w:eastAsia="lt-LT"/>
                  </w:rPr>
                  <w:t xml:space="preserve"> straipsnis. Parama, skirta daliai energijos išlaidų sumažinti</w:t>
                </w:r>
                <w:r>
                  <w:rPr>
                    <w:color w:val="000000"/>
                    <w:sz w:val="22"/>
                    <w:szCs w:val="22"/>
                    <w:lang w:eastAsia="lt-LT"/>
                  </w:rPr>
                  <w:br/>
                </w:r>
                <w:r>
                  <w:rPr>
                    <w:color w:val="000000"/>
                    <w:sz w:val="22"/>
                    <w:szCs w:val="22"/>
                    <w:shd w:val="clear" w:color="auto" w:fill="FFFFFF"/>
                    <w:lang w:eastAsia="lt-LT"/>
                  </w:rPr>
                  <w:t>1. Dėl itin didelio elektros energijos ir (ar) gamtinių dujų kainų padidėjimo, galinčio padaryti neigiamą įtaką šalies ekonominiam stabilumui, elektros energijos vartotojams, išskyrus elektros energijos buitinius vartotojus, ir (ar) nebuitiniams gamtinių dujų vartotojams (toliau kartu šiame straipsnyje – nebuitiniai vartotojai), įvertinus valstybės finansines galimybes, iš valstybės biudžeto lėšų teikiama parama, skirta daliai nebuitinių vartotojų išlaidų už suvartotą elektros energiją ir (ar) suvartotas gamtines dujas sumažinti, tokiai paramai numatant lėšas atitinkamų metų valstybės biudžeto ir savivaldybių biudžetų finansinių rodiklių patvirtinimo įstatyme (toliau – parama).</w:t>
                </w:r>
                <w:r>
                  <w:rPr>
                    <w:color w:val="000000"/>
                    <w:sz w:val="22"/>
                    <w:szCs w:val="22"/>
                    <w:lang w:eastAsia="lt-LT"/>
                  </w:rPr>
                  <w:br/>
                  <w:br/>
                </w:r>
                <w:r>
                  <w:rPr>
                    <w:color w:val="000000"/>
                    <w:sz w:val="22"/>
                    <w:szCs w:val="22"/>
                    <w:shd w:val="clear" w:color="auto" w:fill="FFFFFF"/>
                    <w:lang w:eastAsia="lt-LT"/>
                  </w:rPr>
                  <w:t>2. Vyriausybė ar jos įgaliota institucija nustato paramos nebuitiniams vartotojams skyrimo ir administravimo tvarką.</w:t>
                </w:r>
              </w:p>
              <w:p>
                <w:pPr>
                  <w:shd w:val="clear" w:color="auto" w:fill="FFFFFF"/>
                  <w:jc w:val="both"/>
                  <w:rPr>
                    <w:i/>
                    <w:color w:val="000000"/>
                    <w:sz w:val="22"/>
                    <w:szCs w:val="22"/>
                    <w:lang w:eastAsia="lt-LT"/>
                  </w:rPr>
                </w:pPr>
                <w:r>
                  <w:rPr>
                    <w:color w:val="000000"/>
                    <w:sz w:val="22"/>
                    <w:szCs w:val="22"/>
                    <w:lang w:eastAsia="lt-LT"/>
                  </w:rPr>
                  <w:br/>
                </w:r>
                <w:r>
                  <w:rPr>
                    <w:i/>
                    <w:iCs/>
                    <w:color w:val="000000"/>
                    <w:sz w:val="22"/>
                    <w:szCs w:val="22"/>
                    <w:lang w:eastAsia="lt-LT"/>
                  </w:rPr>
                  <w:t xml:space="preserve">Pastaba. </w:t>
                </w:r>
                <w:r>
                  <w:rPr>
                    <w:i/>
                    <w:color w:val="000000"/>
                    <w:sz w:val="22"/>
                    <w:szCs w:val="22"/>
                    <w:lang w:eastAsia="lt-LT"/>
                  </w:rPr>
                  <w:t>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skatinamas vartotojų švietimas ir informuotumas apie jų teises bei skolos valdymą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shd w:val="clear" w:color="auto" w:fill="FFFFFF"/>
                    <w:lang w:eastAsia="lt-LT"/>
                  </w:rPr>
                </w:pPr>
                <w:r>
                  <w:rPr>
                    <w:b/>
                    <w:bCs/>
                    <w:color w:val="000000"/>
                    <w:sz w:val="22"/>
                    <w:szCs w:val="22"/>
                    <w:lang w:eastAsia="lt-LT"/>
                  </w:rPr>
                  <w:t>49 straipsnis. Vartotojų teisių apsaugos priemonės </w:t>
                </w:r>
              </w:p>
              <w:p>
                <w:pPr>
                  <w:shd w:val="clear" w:color="auto" w:fill="FFFFFF"/>
                  <w:jc w:val="both"/>
                  <w:rPr>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567"/>
                  </w:tabs>
                  <w:spacing w:line="276" w:lineRule="auto"/>
                  <w:ind w:firstLine="720"/>
                  <w:jc w:val="both"/>
                  <w:rPr>
                    <w:color w:val="000000"/>
                    <w:sz w:val="22"/>
                    <w:szCs w:val="22"/>
                    <w:lang w:eastAsia="lt-LT"/>
                  </w:rPr>
                </w:pPr>
              </w:p>
              <w:p>
                <w:pPr>
                  <w:ind w:firstLine="693"/>
                  <w:jc w:val="both"/>
                  <w:textAlignment w:val="baseline"/>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b/>
                    <w:bCs/>
                    <w:color w:val="000000"/>
                    <w:sz w:val="22"/>
                    <w:szCs w:val="22"/>
                    <w:lang w:eastAsia="lt-LT"/>
                  </w:rPr>
                  <w:t xml:space="preserve">3) </w:t>
                </w:r>
                <w:r>
                  <w:rPr>
                    <w:rFonts w:eastAsia="Aptos"/>
                    <w:b/>
                    <w:bCs/>
                    <w:color w:val="000000"/>
                    <w:sz w:val="22"/>
                    <w:szCs w:val="22"/>
                    <w:lang w:eastAsia="lt-LT"/>
                  </w:rPr>
                  <w:t xml:space="preserve">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4791"/>
            </w:trPr>
            <w:tc>
              <w:tcPr>
                <w:tcW w:w="3913" w:type="dxa"/>
              </w:tcPr>
              <w:p>
                <w:pPr>
                  <w:shd w:val="clear" w:color="auto" w:fill="FFFFFF"/>
                  <w:jc w:val="both"/>
                  <w:rPr>
                    <w:color w:val="000000"/>
                    <w:sz w:val="22"/>
                    <w:szCs w:val="22"/>
                    <w:lang w:eastAsia="lt-LT"/>
                  </w:rPr>
                </w:pPr>
                <w:r>
                  <w:rPr>
                    <w:color w:val="000000"/>
                    <w:sz w:val="22"/>
                    <w:szCs w:val="22"/>
                    <w:lang w:eastAsia="lt-LT"/>
                  </w:rPr>
                  <w:t>c) suteikiama galimybė gauti finansavimą, kuponus ar subsidijas siekiant padėti apmokėti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ind w:left="720" w:hanging="360"/>
                  <w:jc w:val="both"/>
                  <w:rPr>
                    <w:b/>
                    <w:bCs/>
                    <w:color w:val="000000"/>
                    <w:sz w:val="22"/>
                    <w:szCs w:val="22"/>
                    <w:shd w:val="clear" w:color="auto" w:fill="FFFFFF"/>
                    <w:lang w:eastAsia="lt-LT"/>
                  </w:rPr>
                </w:pPr>
                <w:r>
                  <w:rPr>
                    <w:b/>
                    <w:bCs/>
                    <w:color w:val="000000"/>
                    <w:sz w:val="22"/>
                    <w:szCs w:val="22"/>
                    <w:lang w:eastAsia="lt-LT"/>
                  </w:rPr>
                  <w:t>2.</w:t>
                  <w:tab/>
                </w:r>
                <w:r>
                  <w:rPr>
                    <w:b/>
                    <w:bCs/>
                    <w:color w:val="000000"/>
                    <w:sz w:val="22"/>
                    <w:szCs w:val="22"/>
                    <w:shd w:val="clear" w:color="auto" w:fill="FFFFFF"/>
                    <w:lang w:eastAsia="lt-LT"/>
                  </w:rPr>
                  <w:t>Nepažeisdami vartotojų teisių pagal kitus teisės aktus, galutiniai vandenilio vartotojai turi teisę: </w:t>
                </w:r>
              </w:p>
              <w:p>
                <w:pPr>
                  <w:shd w:val="clear" w:color="auto" w:fill="FFFFFF"/>
                  <w:ind w:left="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29 straipsnis </w:t>
                </w:r>
              </w:p>
              <w:p>
                <w:pPr>
                  <w:shd w:val="clear" w:color="auto" w:fill="FFFFFF"/>
                  <w:jc w:val="both"/>
                  <w:rPr>
                    <w:i/>
                    <w:iCs/>
                    <w:color w:val="000000"/>
                    <w:sz w:val="22"/>
                    <w:szCs w:val="22"/>
                    <w:lang w:eastAsia="lt-LT"/>
                  </w:rPr>
                </w:pPr>
                <w:r>
                  <w:rPr>
                    <w:b/>
                    <w:bCs/>
                    <w:color w:val="000000"/>
                    <w:sz w:val="22"/>
                    <w:szCs w:val="22"/>
                    <w:lang w:eastAsia="lt-LT"/>
                  </w:rPr>
                  <w:t>Garantinis tiekėjas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nustato garantinio tiekėjo režimą arba imasi lygiaverčių priemonių, kad užtikrintų tiekimo tęstinumą bent namų ūkio vartotojams. Garantiniai tiekėjai paskiriami taikant sąžiningą, skaidrią ir nediskriminacinę procedūrą.</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 xml:space="preserve">39. </w:t>
                </w:r>
                <w:r>
                  <w:rPr>
                    <w:b/>
                    <w:bCs/>
                    <w:color w:val="000000"/>
                    <w:sz w:val="22"/>
                    <w:szCs w:val="22"/>
                    <w:lang w:val="lt" w:eastAsia="lt-LT"/>
                  </w:rPr>
                  <w:t>Garantinis gamtinių dujų tiekimas</w:t>
                </w:r>
                <w:r>
                  <w:rPr>
                    <w:color w:val="000000"/>
                    <w:sz w:val="22"/>
                    <w:szCs w:val="22"/>
                    <w:lang w:val="lt" w:eastAsia="lt-LT"/>
                  </w:rPr>
                  <w:t xml:space="preserve"> (toliau – garantinis tiekimas) – vartotojams užtikrinamas gamtinių dujų tiekimas,</w:t>
                </w:r>
                <w:r>
                  <w:rPr>
                    <w:b/>
                    <w:bCs/>
                    <w:color w:val="000000"/>
                    <w:sz w:val="22"/>
                    <w:szCs w:val="22"/>
                    <w:lang w:val="lt" w:eastAsia="lt-LT"/>
                  </w:rPr>
                  <w:t xml:space="preserve"> </w:t>
                </w:r>
                <w:r>
                  <w:rPr>
                    <w:color w:val="000000"/>
                    <w:sz w:val="22"/>
                    <w:szCs w:val="22"/>
                    <w:lang w:val="lt" w:eastAsia="lt-LT"/>
                  </w:rPr>
                  <w:t>garantuojantis saugų, patikimą ir nepertraukiamą gamtinių dujų tiekimą, kai gamtinių dujų tiekimo įmonė nebegali užtikrinti šios pareigos įgyvendinimo.</w:t>
                </w: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4">
                  <w:r>
                    <w:rPr>
                      <w:i/>
                      <w:iCs/>
                      <w:sz w:val="22"/>
                      <w:szCs w:val="22"/>
                      <w:lang w:val="lt" w:eastAsia="lt-LT"/>
                    </w:rPr>
                    <w:t>XIII-1971</w:t>
                  </w:r>
                </w:hyperlink>
                <w:r>
                  <w:rPr>
                    <w:i/>
                    <w:iCs/>
                    <w:sz w:val="22"/>
                    <w:szCs w:val="22"/>
                    <w:lang w:val="lt" w:eastAsia="lt-LT"/>
                  </w:rPr>
                  <w:t xml:space="preserve">, </w:t>
                </w:r>
                <w:r>
                  <w:rPr>
                    <w:i/>
                    <w:iCs/>
                    <w:color w:val="000000"/>
                    <w:sz w:val="22"/>
                    <w:szCs w:val="22"/>
                    <w:lang w:val="lt" w:eastAsia="lt-LT"/>
                  </w:rPr>
                  <w:t>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5">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6">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77">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78">
                  <w:r>
                    <w:rPr>
                      <w:i/>
                      <w:iCs/>
                      <w:sz w:val="22"/>
                      <w:szCs w:val="22"/>
                      <w:lang w:val="lt" w:eastAsia="lt-LT"/>
                    </w:rPr>
                    <w:t>XIII-707</w:t>
                  </w:r>
                </w:hyperlink>
                <w:r>
                  <w:rPr>
                    <w:i/>
                    <w:iCs/>
                    <w:sz w:val="22"/>
                    <w:szCs w:val="22"/>
                    <w:lang w:val="lt" w:eastAsia="lt-LT"/>
                  </w:rPr>
                  <w:t>,</w:t>
                </w:r>
                <w:r>
                  <w:rPr>
                    <w:i/>
                    <w:iCs/>
                    <w:color w:val="000000"/>
                    <w:sz w:val="22"/>
                    <w:szCs w:val="22"/>
                    <w:lang w:val="lt" w:eastAsia="lt-LT"/>
                  </w:rPr>
                  <w:t xml:space="preserve"> 2017-11-07, paskelbta TAR 2017-11-16, i. k. 2017-18141</w:t>
                </w:r>
              </w:p>
              <w:p>
                <w:pPr>
                  <w:shd w:val="clear" w:color="auto" w:fill="FFFFFF"/>
                  <w:jc w:val="both"/>
                  <w:rPr>
                    <w:color w:val="000000"/>
                    <w:sz w:val="22"/>
                    <w:szCs w:val="22"/>
                    <w:lang w:val="lt" w:eastAsia="lt-LT"/>
                  </w:rPr>
                </w:pP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Garantiniams tiekėjams perduodami galutiniai vartotojai toliau naudojasi savo kaip vartotojų teisėmis.</w:t>
                </w:r>
              </w:p>
            </w:tc>
            <w:tc>
              <w:tcPr>
                <w:tcW w:w="9407" w:type="dxa"/>
                <w:gridSpan w:val="3"/>
                <w:vAlign w:val="center"/>
              </w:tcPr>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9">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0">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1">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2">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3">
                  <w:r>
                    <w:rPr>
                      <w:i/>
                      <w:iCs/>
                      <w:sz w:val="22"/>
                      <w:szCs w:val="22"/>
                      <w:lang w:val="lt" w:eastAsia="lt-LT"/>
                    </w:rPr>
                    <w:t>XIII-707</w:t>
                  </w:r>
                </w:hyperlink>
                <w:r>
                  <w:rPr>
                    <w:i/>
                    <w:iCs/>
                    <w:color w:val="000000"/>
                    <w:sz w:val="22"/>
                    <w:szCs w:val="22"/>
                    <w:lang w:val="lt" w:eastAsia="lt-LT"/>
                  </w:rPr>
                  <w:t>, 2017-11-07, paskelbta TAR 2017-11-16, i. k. 2017-18141</w:t>
                </w:r>
              </w:p>
              <w:p>
                <w:pPr>
                  <w:jc w:val="both"/>
                  <w:rPr>
                    <w:color w:val="000000"/>
                    <w:sz w:val="22"/>
                    <w:szCs w:val="22"/>
                    <w:lang w:val="lt"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garantiniai tiekėjai jiems perduotiems vartotojams nedelsdami praneštų savo sąlygas ir užtikrintų, kad paslauga tokiems vartotojams būtų nepertraukiamai teikiama laikotarpiu, kuris reikalingas naujam tiekėjui surasti.</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39 straipsnis. Garantinis tiekimas</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4">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galutiniai vartotojai būtų informuojami ir skatinami pereiti prie rinkos pasiūlymo.</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 xml:space="preserve">&lt;...&gt; </w:t>
                </w: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85">
                  <w:r>
                    <w:rPr>
                      <w:i/>
                      <w:iCs/>
                      <w:sz w:val="22"/>
                      <w:szCs w:val="22"/>
                      <w:lang w:val="lt" w:eastAsia="lt-LT"/>
                    </w:rPr>
                    <w:t>XIII-1782</w:t>
                  </w:r>
                </w:hyperlink>
                <w:r>
                  <w:rPr>
                    <w:i/>
                    <w:iCs/>
                    <w:sz w:val="22"/>
                    <w:szCs w:val="22"/>
                    <w:lang w:val="lt" w:eastAsia="lt-LT"/>
                  </w:rPr>
                  <w:t xml:space="preserve">, </w:t>
                </w:r>
                <w:r>
                  <w:rPr>
                    <w:i/>
                    <w:iCs/>
                    <w:color w:val="000000"/>
                    <w:sz w:val="22"/>
                    <w:szCs w:val="22"/>
                    <w:lang w:val="lt" w:eastAsia="lt-LT"/>
                  </w:rPr>
                  <w:t>2018-12-18, paskelbta TAR 2018-12-21, i. k. 2018-21216</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6">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b/>
                    <w:bCs/>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gali reikalauti, kad garantinis tiekėjas tiektų gamtines dujas namų ūkio vartotojams ir </w:t>
                </w:r>
                <w:r>
                  <w:rPr>
                    <w:b/>
                    <w:color w:val="000000"/>
                    <w:sz w:val="22"/>
                    <w:szCs w:val="22"/>
                    <w:lang w:eastAsia="lt-LT"/>
                  </w:rPr>
                  <w:t>mažosioms bei vidutinėms įmonėms,</w:t>
                </w:r>
                <w:r>
                  <w:rPr>
                    <w:color w:val="000000"/>
                    <w:sz w:val="22"/>
                    <w:szCs w:val="22"/>
                    <w:lang w:eastAsia="lt-LT"/>
                  </w:rPr>
                  <w:t xml:space="preserve"> kurie negauna rinkos pasiūlymų, be kita ko, 28 straipsnio 3 dalies tikslu. Tokiais atvejais taikomos 4 straipsnyje nustatytos sąlygos.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545"/>
            </w:trPr>
            <w:tc>
              <w:tcPr>
                <w:tcW w:w="3913" w:type="dxa"/>
              </w:tcPr>
              <w:p>
                <w:pPr>
                  <w:shd w:val="clear" w:color="auto" w:fill="FFFFFF"/>
                  <w:rPr>
                    <w:color w:val="000000"/>
                    <w:sz w:val="22"/>
                    <w:szCs w:val="22"/>
                    <w:lang w:eastAsia="lt-LT"/>
                  </w:rPr>
                </w:pPr>
                <w:r>
                  <w:rPr>
                    <w:color w:val="000000"/>
                    <w:sz w:val="22"/>
                    <w:szCs w:val="22"/>
                    <w:lang w:eastAsia="lt-LT"/>
                  </w:rPr>
                  <w:t xml:space="preserve">IV SKYRIUS </w:t>
                </w:r>
              </w:p>
              <w:p>
                <w:pPr>
                  <w:shd w:val="clear" w:color="auto" w:fill="FFFFFF"/>
                  <w:jc w:val="both"/>
                  <w:rPr>
                    <w:b/>
                    <w:bCs/>
                    <w:color w:val="000000"/>
                    <w:sz w:val="22"/>
                    <w:szCs w:val="22"/>
                    <w:lang w:eastAsia="lt-LT"/>
                  </w:rPr>
                </w:pPr>
                <w:r>
                  <w:rPr>
                    <w:b/>
                    <w:bCs/>
                    <w:color w:val="000000"/>
                    <w:sz w:val="22"/>
                    <w:szCs w:val="22"/>
                    <w:lang w:eastAsia="lt-LT"/>
                  </w:rPr>
                  <w:t>TREČIŲJŲ ŠALIŲ PRIEIGA PRIE INFRASTRUKTŪROS</w:t>
                </w:r>
              </w:p>
              <w:p>
                <w:pPr>
                  <w:shd w:val="clear" w:color="auto" w:fill="FFFFFF"/>
                  <w:jc w:val="both"/>
                  <w:rPr>
                    <w:color w:val="000000"/>
                    <w:sz w:val="22"/>
                    <w:szCs w:val="22"/>
                    <w:lang w:eastAsia="lt-LT"/>
                  </w:rPr>
                </w:pPr>
                <w:r>
                  <w:rPr>
                    <w:color w:val="000000"/>
                    <w:sz w:val="22"/>
                    <w:szCs w:val="22"/>
                    <w:lang w:eastAsia="lt-LT"/>
                  </w:rPr>
                  <w:t>1 skirsnis</w:t>
                </w:r>
              </w:p>
              <w:p>
                <w:pPr>
                  <w:shd w:val="clear" w:color="auto" w:fill="FFFFFF"/>
                  <w:jc w:val="both"/>
                  <w:rPr>
                    <w:color w:val="000000"/>
                    <w:sz w:val="22"/>
                    <w:szCs w:val="22"/>
                    <w:lang w:eastAsia="lt-LT"/>
                  </w:rPr>
                </w:pPr>
                <w:r>
                  <w:rPr>
                    <w:b/>
                    <w:bCs/>
                    <w:color w:val="000000"/>
                    <w:sz w:val="22"/>
                    <w:szCs w:val="22"/>
                    <w:lang w:eastAsia="lt-LT"/>
                  </w:rPr>
                  <w:t>Prieiga prie gamtinių dujų infrastruktūros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30 straipsnis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Dujų iš atsinaujinančiųjų išteklių ir mažo anglies dioksido pėdsako dujų patekimas į rinką</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sudaro sąlygas patekti į rinką dujoms iš atsinaujinančiųjų išteklių ir mažo anglies dioksido pėdsako dujoms ir įgyti joms prieigą prie infrastruktūros, nepaisant to, ar dujų iš atsinaujinančiųjų išteklių ir mažo anglies dioksido pėdsako dujų gamybos įrenginiai yra prijungti prie skirstymo arba perdavimo tinklų, atsižvelgdamos į gamtinių dujų gamybos, tiekimo ir vartojimo raidos prielaidas pagal 55 straipsnio 2 dalies f punktą.</w:t>
                </w:r>
              </w:p>
            </w:tc>
            <w:tc>
              <w:tcPr>
                <w:tcW w:w="9407" w:type="dxa"/>
                <w:gridSpan w:val="3"/>
                <w:vAlign w:val="center"/>
              </w:tcPr>
              <w:p>
                <w:pPr>
                  <w:jc w:val="both"/>
                  <w:rPr>
                    <w:color w:val="000000"/>
                    <w:sz w:val="22"/>
                    <w:szCs w:val="22"/>
                    <w:lang w:val="lt" w:eastAsia="lt-LT"/>
                  </w:rPr>
                </w:pPr>
                <w:r>
                  <w:rPr>
                    <w:b/>
                    <w:bCs/>
                    <w:color w:val="000000"/>
                    <w:sz w:val="22"/>
                    <w:szCs w:val="22"/>
                    <w:lang w:val="lt" w:eastAsia="lt-LT"/>
                  </w:rPr>
                  <w:t xml:space="preserve">Atsinaujinančių išteklių energetikos įstatymo Nr. XI-1375 </w:t>
                </w:r>
                <w:r>
                  <w:rPr>
                    <w:color w:val="000000"/>
                    <w:sz w:val="22"/>
                    <w:szCs w:val="22"/>
                    <w:lang w:val="lt" w:eastAsia="lt-LT"/>
                  </w:rPr>
                  <w:t xml:space="preserve"> </w:t>
                </w:r>
                <w:r>
                  <w:rPr>
                    <w:b/>
                    <w:bCs/>
                    <w:color w:val="000000"/>
                    <w:sz w:val="22"/>
                    <w:szCs w:val="22"/>
                    <w:lang w:val="lt" w:eastAsia="lt-LT"/>
                  </w:rPr>
                  <w:t>pakeitimo įstatymas Nr. XV-330</w:t>
                </w: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 straipsnis. 29 straipsnio pakeitimas</w:t>
                </w:r>
              </w:p>
              <w:p>
                <w:pPr>
                  <w:jc w:val="both"/>
                  <w:rPr>
                    <w:color w:val="000000"/>
                    <w:sz w:val="22"/>
                    <w:szCs w:val="22"/>
                    <w:lang w:val="lt" w:eastAsia="lt-LT"/>
                  </w:rPr>
                </w:pPr>
                <w:r>
                  <w:rPr>
                    <w:color w:val="000000"/>
                    <w:sz w:val="22"/>
                    <w:szCs w:val="22"/>
                    <w:lang w:val="lt" w:eastAsia="lt-LT"/>
                  </w:rPr>
                  <w:t>1. Pakeisti 29 straipsnio 3 dalį ir ją išdėstyti taip:</w:t>
                </w:r>
              </w:p>
              <w:p>
                <w:pPr>
                  <w:ind w:firstLine="720"/>
                  <w:jc w:val="both"/>
                  <w:rPr>
                    <w:color w:val="000000"/>
                    <w:sz w:val="22"/>
                    <w:szCs w:val="22"/>
                    <w:lang w:val="lt" w:eastAsia="lt-LT"/>
                  </w:rPr>
                </w:pPr>
                <w:r>
                  <w:rPr>
                    <w:color w:val="000000"/>
                    <w:sz w:val="22"/>
                    <w:szCs w:val="22"/>
                    <w:lang w:val="lt" w:eastAsia="lt-LT"/>
                  </w:rPr>
                  <w:t>„3. Kilmės garantijos išduodamos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kuris Vyriausybės ar jos įgaliotos institucijos nustatyta tvarka teikiamas šio straipsnio 2 dalyje nurodytam subjektui.“</w:t>
                </w:r>
              </w:p>
              <w:p>
                <w:pPr>
                  <w:ind w:firstLine="720"/>
                  <w:jc w:val="both"/>
                  <w:rPr>
                    <w:color w:val="000000"/>
                    <w:sz w:val="22"/>
                    <w:szCs w:val="22"/>
                    <w:lang w:val="lt" w:eastAsia="lt-LT"/>
                  </w:rPr>
                </w:pPr>
                <w:r>
                  <w:rPr>
                    <w:color w:val="000000"/>
                    <w:sz w:val="22"/>
                    <w:szCs w:val="22"/>
                    <w:lang w:val="lt" w:eastAsia="lt-LT"/>
                  </w:rPr>
                  <w:t>2. Pakeisti 29 straipsnio 4 dalį ir ją išdėstyti taip:</w:t>
                </w:r>
              </w:p>
              <w:p>
                <w:pPr>
                  <w:ind w:firstLine="720"/>
                  <w:jc w:val="both"/>
                  <w:rPr>
                    <w:color w:val="000000"/>
                    <w:sz w:val="22"/>
                    <w:szCs w:val="22"/>
                    <w:lang w:val="lt" w:eastAsia="lt-LT"/>
                  </w:rPr>
                </w:pPr>
                <w:r>
                  <w:rPr>
                    <w:color w:val="000000"/>
                    <w:sz w:val="22"/>
                    <w:szCs w:val="22"/>
                    <w:lang w:val="lt" w:eastAsia="lt-LT"/>
                  </w:rPr>
                  <w:t>„4. Kilmės garantijos išduodamos, perduodamos ir jų galiojimas panaikinamas elektroniniu būdu. Kilmės garantijos turi būti tikslios, patikimos ir apsaugotos nuo klastojimo.“</w:t>
                </w:r>
              </w:p>
              <w:p>
                <w:pPr>
                  <w:ind w:firstLine="720"/>
                  <w:jc w:val="both"/>
                  <w:rPr>
                    <w:color w:val="000000"/>
                    <w:sz w:val="22"/>
                    <w:szCs w:val="22"/>
                    <w:lang w:val="lt" w:eastAsia="lt-LT"/>
                  </w:rPr>
                </w:pPr>
                <w:r>
                  <w:rPr>
                    <w:color w:val="000000"/>
                    <w:sz w:val="22"/>
                    <w:szCs w:val="22"/>
                    <w:lang w:val="lt" w:eastAsia="lt-LT"/>
                  </w:rPr>
                  <w:t>3. Pakeisti 29 straipsnio 5 dalį ir ją išdėstyti taip:</w:t>
                </w:r>
              </w:p>
              <w:p>
                <w:pPr>
                  <w:ind w:firstLine="720"/>
                  <w:jc w:val="both"/>
                  <w:rPr>
                    <w:color w:val="000000"/>
                    <w:sz w:val="22"/>
                    <w:szCs w:val="22"/>
                    <w:lang w:val="lt" w:eastAsia="lt-LT"/>
                  </w:rPr>
                </w:pPr>
                <w:r>
                  <w:rPr>
                    <w:color w:val="000000"/>
                    <w:sz w:val="22"/>
                    <w:szCs w:val="22"/>
                    <w:lang w:val="lt" w:eastAsia="lt-LT"/>
                  </w:rPr>
                  <w:t xml:space="preserve">„5. Kilmės garantija išduodama taikant minimalią 10 kW įrengtosios galios ribą. Kilmės garantija suteikiama vienam energijos vienetui – vienai MWh. Vyriausybės ar jos įgaliotos institucijos nustatyta tvarka kilmės garantija gali būti suteikiama vienam energijos vienetui </w:t>
                </w:r>
                <w:r>
                  <w:rPr>
                    <w:b/>
                    <w:bCs/>
                    <w:color w:val="000000"/>
                    <w:sz w:val="22"/>
                    <w:szCs w:val="22"/>
                    <w:lang w:val="lt" w:eastAsia="lt-LT"/>
                  </w:rPr>
                  <w:t>–</w:t>
                </w:r>
                <w:r>
                  <w:rPr>
                    <w:color w:val="000000"/>
                    <w:sz w:val="22"/>
                    <w:szCs w:val="22"/>
                    <w:lang w:val="lt" w:eastAsia="lt-LT"/>
                  </w:rPr>
                  <w:t xml:space="preserve"> vienai kWh. Kiekvienam iš atsinaujinančių energijos išteklių pagamintos energijos vienetui gali būti išduodama ne daugiau kaip viena kilmės garantija, į tą patį energijos vienetą atsižvelgiant ne daugiau kaip vieną kartą.“</w:t>
                </w:r>
              </w:p>
              <w:p>
                <w:pPr>
                  <w:jc w:val="both"/>
                  <w:rPr>
                    <w:color w:val="000000"/>
                    <w:sz w:val="22"/>
                    <w:szCs w:val="22"/>
                    <w:lang w:val="lt" w:eastAsia="lt-LT"/>
                  </w:rPr>
                </w:pPr>
                <w:r>
                  <w:rPr>
                    <w:color w:val="000000"/>
                    <w:sz w:val="22"/>
                    <w:szCs w:val="22"/>
                    <w:lang w:val="lt" w:eastAsia="lt-LT"/>
                  </w:rPr>
                  <w:t>4. Pakeisti 29 straipsnio 6 dalį ir ją išdėstyti taip:</w:t>
                </w:r>
              </w:p>
              <w:p>
                <w:pPr>
                  <w:ind w:firstLine="720"/>
                  <w:jc w:val="both"/>
                  <w:rPr>
                    <w:color w:val="000000"/>
                    <w:sz w:val="22"/>
                    <w:szCs w:val="22"/>
                    <w:lang w:val="lt" w:eastAsia="lt-LT"/>
                  </w:rPr>
                </w:pPr>
                <w:r>
                  <w:rPr>
                    <w:color w:val="000000"/>
                    <w:sz w:val="22"/>
                    <w:szCs w:val="22"/>
                    <w:lang w:val="lt" w:eastAsia="lt-LT"/>
                  </w:rPr>
                  <w:t>„6. Kilmės garantija galioja 12 mėnesių nuo atitinkamo energijos vieneto pagaminimo momento, sandoriai dėl kilmės garantijų gali būti sudaromi tik jų galiojimo laikotarpiu. Sandoriu nelaikoma, kai kilmės garantija panaikinama, siekiant galutiniam vartotojui įrodyti patiektos energijos iš atsinaujinančių išteklių kilmę, ir tais atvejais, kai kilmės garantija panaikinama dėl savo nuosavybės ar kita teise valdomame objekte suvartotos energijos iš atsinaujinančių išteklių. Ne vėliau kaip per 6 mėnesius nuo kilmės garantijos galiojimo laikotarpio pabaigos kilmės garantija turi būti panaikinta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Nepanaikinta kilmės garantija netenka galios ne vėliau kaip praėjus 18 mėnesių nuo atitinkamo energijos vieneto pagaminimo momento. Nebegaliojanti kilmės garantija įskaičiuojama į liekamąjį derinį, kurį šio straipsnio 2 dalyje nurodytas subjektas skaičiuoja, ir kiekvienų kalendorinių metų pradžioje savo interneto svetainėje skelbia informaciją apie praėjusiais kalendoriniais metais į liekamąjį derinį įskaičiuotas kilmės garantijas.“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ind w:firstLine="720"/>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jc w:val="both"/>
                  <w:rPr>
                    <w:color w:val="000000"/>
                    <w:sz w:val="22"/>
                    <w:szCs w:val="22"/>
                    <w:lang w:val="lt" w:eastAsia="lt-LT"/>
                  </w:rPr>
                </w:pPr>
                <w:r>
                  <w:rPr>
                    <w:color w:val="000000"/>
                    <w:sz w:val="22"/>
                    <w:szCs w:val="22"/>
                    <w:lang w:val="lt" w:eastAsia="lt-LT"/>
                  </w:rPr>
                  <w:t>6. Pakeisti 29 straipsnio 7 dalį ir ją išdėstyti taip:</w:t>
                </w:r>
              </w:p>
              <w:p>
                <w:pPr>
                  <w:ind w:firstLine="720"/>
                  <w:jc w:val="both"/>
                  <w:rPr>
                    <w:color w:val="000000"/>
                    <w:sz w:val="22"/>
                    <w:szCs w:val="22"/>
                    <w:lang w:val="lt" w:eastAsia="lt-LT"/>
                  </w:rPr>
                </w:pPr>
                <w:r>
                  <w:rPr>
                    <w:color w:val="000000"/>
                    <w:sz w:val="22"/>
                    <w:szCs w:val="22"/>
                    <w:lang w:val="lt" w:eastAsia="lt-LT"/>
                  </w:rPr>
                  <w:t>„7. Kilmės garantijoje, be kita ko, nurodoma:</w:t>
                </w:r>
              </w:p>
              <w:p>
                <w:pPr>
                  <w:ind w:firstLine="720"/>
                  <w:jc w:val="both"/>
                  <w:rPr>
                    <w:color w:val="000000"/>
                    <w:sz w:val="22"/>
                    <w:szCs w:val="22"/>
                    <w:lang w:val="lt" w:eastAsia="lt-LT"/>
                  </w:rPr>
                </w:pPr>
                <w:r>
                  <w:rPr>
                    <w:color w:val="000000"/>
                    <w:sz w:val="22"/>
                    <w:szCs w:val="22"/>
                    <w:lang w:val="lt" w:eastAsia="lt-LT"/>
                  </w:rPr>
                  <w:t>1) energijos rūšis: elektros energija, šilumos energija, vėsumos energija ar dujos, pagamintos iš atsinaujinančių energijos išteklių, įskaitant iš atsinaujinančių energijos išteklių pagamintą nebiologinės kilmės kurą;</w:t>
                </w:r>
              </w:p>
              <w:p>
                <w:pPr>
                  <w:ind w:firstLine="720"/>
                  <w:jc w:val="both"/>
                  <w:rPr>
                    <w:color w:val="000000"/>
                    <w:sz w:val="22"/>
                    <w:szCs w:val="22"/>
                    <w:lang w:val="lt" w:eastAsia="lt-LT"/>
                  </w:rPr>
                </w:pPr>
                <w:r>
                  <w:rPr>
                    <w:color w:val="000000"/>
                    <w:sz w:val="22"/>
                    <w:szCs w:val="22"/>
                    <w:lang w:val="lt" w:eastAsia="lt-LT"/>
                  </w:rPr>
                  <w:t>2) energijos ištekliai, iš kurių buvo pagaminta energija, taip pat gamybos pradžios data ir gamybos pabaigos data, kurios gali būti nurodomos:</w:t>
                </w:r>
              </w:p>
              <w:p>
                <w:pPr>
                  <w:ind w:firstLine="720"/>
                  <w:jc w:val="both"/>
                  <w:rPr>
                    <w:color w:val="000000"/>
                    <w:sz w:val="22"/>
                    <w:szCs w:val="22"/>
                    <w:lang w:val="lt" w:eastAsia="lt-LT"/>
                  </w:rPr>
                </w:pPr>
                <w:r>
                  <w:rPr>
                    <w:color w:val="000000"/>
                    <w:sz w:val="22"/>
                    <w:szCs w:val="22"/>
                    <w:lang w:val="lt" w:eastAsia="lt-LT"/>
                  </w:rPr>
                  <w:t>a) valandiniu ar trumpesniu nei valanda intervalu, kai kilmės garantija išduodama dujoms, pagamintoms iš atsinaujinančių energijos išteklių, įskaitant iš atsinaujinančių energijos išteklių pagamintą nebiologinės kilmės kurą, ir šilumos ar vėsumos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 xml:space="preserve">b) pagal atsiskaitymo už disbalansą laikotarpį, atsižvelgiant į Reglamento </w:t>
                </w:r>
                <w:fldSimple w:instr="HYPERLINK http://eur-lex.europa.eu/legal-content/LIT/TXT/?uri=CELEX:32019R0943&amp;locale=lt \t _blank">
                  <w:r>
                    <w:rPr>
                      <w:color w:val="0000FF" w:themeColor="hyperlink"/>
                      <w:sz w:val="22"/>
                      <w:szCs w:val="22"/>
                      <w:lang w:val="lt" w:eastAsia="lt-LT"/>
                      <w:u w:val="single"/>
                    </w:rPr>
                    <w:t>(ES) 2019/943</w:t>
                  </w:r>
                </w:fldSimple>
                <w:r>
                  <w:rPr>
                    <w:color w:val="000000"/>
                    <w:sz w:val="22"/>
                    <w:szCs w:val="22"/>
                    <w:lang w:val="lt" w:eastAsia="lt-LT"/>
                  </w:rPr>
                  <w:t xml:space="preserve"> 2 straipsnio 15 punkto nuostatą, kai kilmės garantija išduodama elektros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3) įrenginio, kuriame pagaminta energija, identifikaciniai duomenys, vieta, tipas ir pajėgumas;</w:t>
                </w:r>
              </w:p>
              <w:p>
                <w:pPr>
                  <w:ind w:firstLine="720"/>
                  <w:jc w:val="both"/>
                  <w:rPr>
                    <w:color w:val="000000"/>
                    <w:sz w:val="22"/>
                    <w:szCs w:val="22"/>
                    <w:lang w:val="lt" w:eastAsia="lt-LT"/>
                  </w:rPr>
                </w:pPr>
                <w:r>
                  <w:rPr>
                    <w:color w:val="000000"/>
                    <w:sz w:val="22"/>
                    <w:szCs w:val="22"/>
                    <w:lang w:val="lt" w:eastAsia="lt-LT"/>
                  </w:rPr>
                  <w:t>4) ar įrenginiui buvo skirta parama investicijoms ir kokiu mastu, ar energijos vienetui buvo suteikta kitokia parama pagal nacionalinę paramos schemą ir kokiu mastu, taip pat paramos schemos ir (ar) skatinimo priemonių rūšis;</w:t>
                </w:r>
              </w:p>
              <w:p>
                <w:pPr>
                  <w:ind w:firstLine="720"/>
                  <w:jc w:val="both"/>
                  <w:rPr>
                    <w:color w:val="000000"/>
                    <w:sz w:val="22"/>
                    <w:szCs w:val="22"/>
                    <w:lang w:val="lt" w:eastAsia="lt-LT"/>
                  </w:rPr>
                </w:pPr>
                <w:r>
                  <w:rPr>
                    <w:color w:val="000000"/>
                    <w:sz w:val="22"/>
                    <w:szCs w:val="22"/>
                    <w:lang w:val="lt" w:eastAsia="lt-LT"/>
                  </w:rPr>
                  <w:t>5) data, kada įrenginys pradėjo veikti;</w:t>
                </w:r>
              </w:p>
              <w:p>
                <w:pPr>
                  <w:ind w:firstLine="720"/>
                  <w:jc w:val="both"/>
                  <w:rPr>
                    <w:color w:val="000000"/>
                    <w:sz w:val="22"/>
                    <w:szCs w:val="22"/>
                    <w:lang w:val="lt" w:eastAsia="lt-LT"/>
                  </w:rPr>
                </w:pPr>
                <w:r>
                  <w:rPr>
                    <w:color w:val="000000"/>
                    <w:sz w:val="22"/>
                    <w:szCs w:val="22"/>
                    <w:lang w:val="lt" w:eastAsia="lt-LT"/>
                  </w:rPr>
                  <w:t>6) išdavimo data bei valstybė ir unikalus identifikacinis numeris.“</w:t>
                </w:r>
              </w:p>
              <w:p>
                <w:pPr>
                  <w:ind w:firstLine="720"/>
                  <w:jc w:val="both"/>
                  <w:rPr>
                    <w:color w:val="000000"/>
                    <w:sz w:val="22"/>
                    <w:szCs w:val="22"/>
                    <w:lang w:val="lt" w:eastAsia="lt-LT"/>
                  </w:rPr>
                </w:pP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24 straipsnis. 30 straipsnio pakeitimas</w:t>
                </w:r>
              </w:p>
              <w:p>
                <w:pPr>
                  <w:jc w:val="both"/>
                  <w:rPr>
                    <w:color w:val="000000"/>
                    <w:sz w:val="22"/>
                    <w:szCs w:val="22"/>
                    <w:lang w:val="lt" w:eastAsia="lt-LT"/>
                  </w:rPr>
                </w:pPr>
                <w:r>
                  <w:rPr>
                    <w:color w:val="000000"/>
                    <w:sz w:val="22"/>
                    <w:szCs w:val="22"/>
                    <w:lang w:val="lt" w:eastAsia="lt-LT"/>
                  </w:rPr>
                  <w:t>Pakeisti 30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30 straipsnis. Biodujų gamybos skatinimas</w:t>
                </w:r>
              </w:p>
              <w:p>
                <w:pPr>
                  <w:ind w:firstLine="720"/>
                  <w:jc w:val="both"/>
                  <w:rPr>
                    <w:color w:val="000000"/>
                    <w:sz w:val="22"/>
                    <w:szCs w:val="22"/>
                    <w:lang w:val="lt" w:eastAsia="lt-LT"/>
                  </w:rPr>
                </w:pPr>
                <w:r>
                  <w:rPr>
                    <w:color w:val="000000"/>
                    <w:sz w:val="22"/>
                    <w:szCs w:val="22"/>
                    <w:lang w:val="lt"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ind w:firstLine="720"/>
                  <w:jc w:val="both"/>
                  <w:rPr>
                    <w:color w:val="000000"/>
                    <w:sz w:val="22"/>
                    <w:szCs w:val="22"/>
                    <w:lang w:val="lt" w:eastAsia="lt-LT"/>
                  </w:rPr>
                </w:pPr>
                <w:r>
                  <w:rPr>
                    <w:color w:val="000000"/>
                    <w:sz w:val="22"/>
                    <w:szCs w:val="22"/>
                    <w:lang w:val="lt" w:eastAsia="lt-LT"/>
                  </w:rPr>
                  <w:t>2. Dujų sistemų operatoriai privalo sudaryti sąlygas biodujas tiekti į dujų sistemas.“</w:t>
                </w:r>
              </w:p>
              <w:p>
                <w:pPr>
                  <w:ind w:firstLine="720"/>
                  <w:jc w:val="both"/>
                  <w:rPr>
                    <w:b/>
                    <w:bCs/>
                    <w:color w:val="000000"/>
                    <w:sz w:val="22"/>
                    <w:szCs w:val="22"/>
                    <w:lang w:val="lt" w:eastAsia="lt-LT"/>
                  </w:rPr>
                </w:pPr>
                <w:r>
                  <w:rPr>
                    <w:b/>
                    <w:bCs/>
                    <w:color w:val="000000"/>
                    <w:sz w:val="22"/>
                    <w:szCs w:val="22"/>
                    <w:lang w:val="lt" w:eastAsia="lt-LT"/>
                  </w:rPr>
                  <w:t>25 straipsnis. 31 straipsnio pakeitimas</w:t>
                </w:r>
              </w:p>
              <w:p>
                <w:pPr>
                  <w:ind w:firstLine="720"/>
                  <w:jc w:val="both"/>
                  <w:rPr>
                    <w:color w:val="000000"/>
                    <w:sz w:val="22"/>
                    <w:szCs w:val="22"/>
                    <w:lang w:val="lt" w:eastAsia="lt-LT"/>
                  </w:rPr>
                </w:pPr>
                <w:r>
                  <w:rPr>
                    <w:color w:val="000000"/>
                    <w:sz w:val="22"/>
                    <w:szCs w:val="22"/>
                    <w:lang w:val="lt" w:eastAsia="lt-LT"/>
                  </w:rPr>
                  <w:t>Pakeisti 31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Reikalavimai, taikomi biodujų gamybos įrenginiams</w:t>
                </w:r>
              </w:p>
              <w:p>
                <w:pPr>
                  <w:ind w:firstLine="720"/>
                  <w:jc w:val="both"/>
                  <w:rPr>
                    <w:color w:val="000000"/>
                    <w:sz w:val="22"/>
                    <w:szCs w:val="22"/>
                    <w:lang w:val="lt" w:eastAsia="lt-LT"/>
                  </w:rPr>
                </w:pPr>
                <w:r>
                  <w:rPr>
                    <w:color w:val="000000"/>
                    <w:sz w:val="22"/>
                    <w:szCs w:val="22"/>
                    <w:lang w:val="lt" w:eastAsia="lt-LT"/>
                  </w:rPr>
                  <w:t>Energetikos ministras tvirtina technines taisykles, nustatančias privalomus biodujų gamybos įrenginių techninių konstrukcijų ir eksploatavimo reikalavimus, tarp jų dujų kokybės, dujų kvapo neutralizavimo ir dujų slėgio reikalavimus, taikomus biodujų gamybos įrenginių prijungimui prie dujų sistemų. Šios techninės taisyklės nustatomos vadovaujantis objektyviais ir nediskriminaciniais principais.“</w:t>
                </w:r>
              </w:p>
              <w:p>
                <w:pPr>
                  <w:jc w:val="both"/>
                  <w:rPr>
                    <w:b/>
                    <w:color w:val="000000"/>
                    <w:sz w:val="22"/>
                    <w:szCs w:val="22"/>
                    <w:lang w:val="lt" w:eastAsia="lt-LT"/>
                  </w:rPr>
                </w:pPr>
                <w:r>
                  <w:rPr>
                    <w:b/>
                    <w:color w:val="000000"/>
                    <w:sz w:val="22"/>
                    <w:szCs w:val="22"/>
                    <w:lang w:val="lt" w:eastAsia="lt-LT"/>
                  </w:rPr>
                  <w:t>Gamtinių dujų įstatymas</w:t>
                </w:r>
              </w:p>
              <w:p>
                <w:pPr>
                  <w:jc w:val="both"/>
                  <w:rPr>
                    <w:color w:val="000000"/>
                    <w:sz w:val="22"/>
                    <w:szCs w:val="22"/>
                    <w:lang w:eastAsia="lt-LT"/>
                  </w:rPr>
                </w:pPr>
                <w:r>
                  <w:rPr>
                    <w:color w:val="000000"/>
                    <w:sz w:val="22"/>
                    <w:szCs w:val="22"/>
                    <w:lang w:eastAsia="lt-LT"/>
                  </w:rPr>
                  <w:t>1 straipsnis. Įstatymo paskirtis</w:t>
                </w:r>
              </w:p>
              <w:p>
                <w:pPr>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31 straipsnis </w:t>
                </w:r>
              </w:p>
              <w:p>
                <w:pPr>
                  <w:shd w:val="clear" w:color="auto" w:fill="FFFFFF"/>
                  <w:jc w:val="both"/>
                  <w:rPr>
                    <w:i/>
                    <w:iCs/>
                    <w:color w:val="000000"/>
                    <w:sz w:val="22"/>
                    <w:szCs w:val="22"/>
                    <w:lang w:eastAsia="lt-LT"/>
                  </w:rPr>
                </w:pPr>
                <w:r>
                  <w:rPr>
                    <w:b/>
                    <w:bCs/>
                    <w:color w:val="000000"/>
                    <w:sz w:val="22"/>
                    <w:szCs w:val="22"/>
                    <w:lang w:eastAsia="lt-LT"/>
                  </w:rPr>
                  <w:t>Trečiųjų šalių prieiga prie gamtinių dujų skirstymo ir perdavimo sistemų ir SGD terminalų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paskelbtais tarifais pagrįstos sistemos, suteikiančios trečiosioms šalims galimybę naudotis perdavimo ir skirstymo sistema ir SGD įrenginiais, taikomos visiems vartotojams, įskaitant tiekimo įmones, įgyvendinimą ir objektyvų šios sistemos taikymą nediskriminuojant sistemos naudotojų. Valstybės narės užtikrina, kad tuos tarifus arba jų apskaičiavimo metodikas iki jų įsigaliojimo pagal 78 straipsnį patvirtintų reguliavimo institucija ir kad tie tarifai, jei patvirtinamos vien tik metodikos – tos metodikos, būtų viešai paskelbti iki jų įsigaliojimo.</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ind w:firstLine="720"/>
                  <w:jc w:val="both"/>
                  <w:rPr>
                    <w:b/>
                    <w:bCs/>
                    <w:color w:val="000000"/>
                    <w:sz w:val="22"/>
                    <w:szCs w:val="22"/>
                    <w:lang w:val="lt" w:eastAsia="lt-LT"/>
                  </w:rPr>
                </w:pPr>
                <w:r>
                  <w:rPr>
                    <w:b/>
                    <w:bCs/>
                    <w:color w:val="000000"/>
                    <w:sz w:val="22"/>
                    <w:szCs w:val="22"/>
                    <w:lang w:val="lt" w:eastAsia="lt-LT"/>
                  </w:rPr>
                  <w:t>49 straipsnis. Teisė naudotis sistema</w:t>
                </w:r>
              </w:p>
              <w:p>
                <w:pPr>
                  <w:ind w:firstLine="720"/>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bCs/>
                    <w:color w:val="000000"/>
                    <w:sz w:val="22"/>
                    <w:szCs w:val="22"/>
                    <w:lang w:val="lt" w:eastAsia="lt-LT"/>
                  </w:rPr>
                  <w:t xml:space="preserve"> </w:t>
                </w:r>
                <w:r>
                  <w:rPr>
                    <w:color w:val="000000"/>
                    <w:sz w:val="22"/>
                    <w:szCs w:val="22"/>
                    <w:lang w:val="lt" w:eastAsia="lt-LT"/>
                  </w:rPr>
                  <w:t>skirstymo ir SGD sistemomis</w:t>
                </w:r>
                <w:r>
                  <w:rPr>
                    <w:b/>
                    <w:bCs/>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ind w:firstLine="720"/>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ind w:firstLine="720"/>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Ne vėliau kaip prieš vieną mėnesį iki naudojimosi sistema taisyklių įsigaliojimo momento šias taisykles ir jų pakeitimus savo interneto svetainėje paskelbia Taryba ir sistemų operatoriai. Teisė naudotis sistemomis turi būti suteikiama objektyviai, nediskriminuojant sistemos naudotojų.</w:t>
                </w:r>
              </w:p>
              <w:p>
                <w:pPr>
                  <w:ind w:firstLine="720"/>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ind w:firstLine="720"/>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8"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jc w:val="both"/>
                  <w:rPr>
                    <w:color w:val="000000"/>
                    <w:sz w:val="22"/>
                    <w:szCs w:val="22"/>
                    <w:lang w:val="lt" w:eastAsia="lt-LT"/>
                  </w:rPr>
                </w:pPr>
                <w:r>
                  <w:rPr>
                    <w:color w:val="000000"/>
                    <w:sz w:val="22"/>
                    <w:szCs w:val="22"/>
                    <w:lang w:val="lt" w:eastAsia="lt-LT"/>
                  </w:rPr>
                  <w:t>1) tikslą sukurti konkurencinę gamtinių dujų rinką;</w:t>
                </w:r>
              </w:p>
              <w:p>
                <w:pPr>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jc w:val="both"/>
                  <w:rPr>
                    <w:color w:val="000000"/>
                    <w:sz w:val="22"/>
                    <w:szCs w:val="22"/>
                    <w:lang w:val="lt" w:eastAsia="lt-LT"/>
                  </w:rPr>
                </w:pPr>
                <w:r>
                  <w:rPr>
                    <w:color w:val="000000"/>
                    <w:sz w:val="22"/>
                    <w:szCs w:val="22"/>
                    <w:lang w:val="lt" w:eastAsia="lt-LT"/>
                  </w:rPr>
                  <w:t>6) pastangas rasti problemos sprendimo būdą;</w:t>
                </w:r>
              </w:p>
              <w:p>
                <w:pPr>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jc w:val="both"/>
                  <w:rPr>
                    <w:color w:val="000000"/>
                    <w:sz w:val="22"/>
                    <w:szCs w:val="22"/>
                    <w:lang w:val="lt" w:eastAsia="lt-LT"/>
                  </w:rPr>
                </w:pPr>
                <w:r>
                  <w:rPr>
                    <w:color w:val="000000"/>
                    <w:sz w:val="22"/>
                    <w:szCs w:val="22"/>
                    <w:lang w:val="lt" w:eastAsia="lt-LT"/>
                  </w:rPr>
                  <w:t>8) sistemos sujungimą su kitomis sistemomis ir tų sistemų sąveiką;</w:t>
                </w:r>
              </w:p>
              <w:p>
                <w:pPr>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9" w:history="1">
                  <w:r>
                    <w:rPr>
                      <w:i/>
                      <w:iCs/>
                      <w:color w:val="0000FF"/>
                      <w:sz w:val="22"/>
                      <w:szCs w:val="22"/>
                      <w:u w:val="single"/>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color w:val="000000"/>
                    <w:sz w:val="22"/>
                    <w:szCs w:val="22"/>
                    <w:lang w:val="lt" w:eastAsia="lt-LT"/>
                  </w:rPr>
                </w:pPr>
                <w:r>
                  <w:rPr>
                    <w:i/>
                    <w:iCs/>
                    <w:color w:val="000000"/>
                    <w:sz w:val="22"/>
                    <w:szCs w:val="22"/>
                    <w:lang w:val="lt" w:eastAsia="lt-LT"/>
                  </w:rPr>
                  <w:t xml:space="preserve">Nr. </w:t>
                </w:r>
                <w:hyperlink r:id="rId9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18"/>
                  </w:tabs>
                  <w:jc w:val="both"/>
                  <w:rPr>
                    <w:color w:val="000000"/>
                    <w:sz w:val="22"/>
                    <w:szCs w:val="22"/>
                    <w:lang w:eastAsia="lt-LT"/>
                  </w:rPr>
                </w:pPr>
                <w:r>
                  <w:rPr>
                    <w:color w:val="000000"/>
                    <w:sz w:val="22"/>
                    <w:szCs w:val="22"/>
                    <w:lang w:eastAsia="lt-LT"/>
                  </w:rPr>
                  <w:t>2. Perdavimo sistemos operatoriai, jei tai būtina jų funkcijoms, įskaitant su tarpvalstybiniu perdavimu susijusias funkcijas, vykdyti, turi teisę naudotis kitų perdavimo sistemos operatorių tinklu.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Šia direktyva nedraudžiama sudaryti ilgalaikių sutarčių dėl dujų iš atsinaujinančiųjų išteklių ir mažo anglies dioksido pėdsako dujų, jei tos sutartys neprieštarauja Sąjungos konkurencijos taisyklėms ir jomis prisidedama prie priklausomybės nuo iškastinio kuro mažinimo. Negalima sudaryti ilgalaikių sutarčių dėl iškastinių dujų, kurioms netaikomos taršos mažinimo priemonės, tiekimo, kurios galiotų po 2049 m. gruodžio 31 d.</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32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gavybos tinklais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siekdamos užtikrinti, kad gamtinių dujų įmonės ir reikalavimus atitinkantys vartotojai, neatsižvelgiant į jų buvimo vietą, šiame straipsnyje nustatyta tvarka galėtų naudotis gavybos tinklais, įskaitant įrenginius, teikiančius tokiam naudojimuisi būtinas technines paslaugas, išskyrus tokių tinklų ir įrenginių dalis, kurios naudojamos vietinei gavybos veiklai gamtinių dujų gavybos telkinio vietoje. Pagal 94 straipsnį apie šias priemones pranešama Komisijai.</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jc w:val="both"/>
                  <w:rPr>
                    <w:b/>
                    <w:bCs/>
                    <w:color w:val="000000"/>
                    <w:sz w:val="22"/>
                    <w:szCs w:val="22"/>
                    <w:lang w:val="lt" w:eastAsia="lt-LT"/>
                  </w:rPr>
                </w:pPr>
                <w:r>
                  <w:rPr>
                    <w:b/>
                    <w:bCs/>
                    <w:color w:val="000000"/>
                    <w:sz w:val="22"/>
                    <w:szCs w:val="22"/>
                    <w:lang w:val="lt" w:eastAsia="lt-LT"/>
                  </w:rPr>
                  <w:t>51 straipsnis. Teisė naudotis gavybos tinklais</w:t>
                </w:r>
              </w:p>
              <w:p>
                <w:pPr>
                  <w:jc w:val="both"/>
                  <w:rPr>
                    <w:color w:val="000000"/>
                    <w:sz w:val="22"/>
                    <w:szCs w:val="22"/>
                    <w:lang w:val="lt" w:eastAsia="lt-LT"/>
                  </w:rPr>
                </w:pPr>
                <w:r>
                  <w:rPr>
                    <w:color w:val="000000"/>
                    <w:sz w:val="22"/>
                    <w:szCs w:val="22"/>
                    <w:lang w:val="lt" w:eastAsia="lt-LT"/>
                  </w:rPr>
                  <w:t>1. Taryba imasi būtinų priemonių, kad gamtinių dujų įmonės ir vartotojai, neatsižvelgiant į jų buvimo vietą, šiame straipsnyje nustatyta tvarka galėtų naudotis gavybos tinklais, įskaitant įrenginius, kuriais teikiamos tokiam naudojimuisi būtinos techninės paslaugos, išskyrus tokias tinklų ir įrenginių dalis, kurios naudojamos vietinei gavybos veiklai gamtinių dujų gavybos telkinio vietoje. Apie tokias taikomas priemones Taryba praneša Europos Komisijai.</w:t>
                </w:r>
              </w:p>
              <w:p>
                <w:pPr>
                  <w:jc w:val="both"/>
                  <w:rPr>
                    <w:color w:val="000000"/>
                    <w:sz w:val="22"/>
                    <w:szCs w:val="22"/>
                    <w:lang w:val="lt" w:eastAsia="lt-LT"/>
                  </w:rPr>
                </w:pPr>
                <w:r>
                  <w:rPr>
                    <w:color w:val="000000"/>
                    <w:sz w:val="22"/>
                    <w:szCs w:val="22"/>
                    <w:lang w:val="lt" w:eastAsia="lt-LT"/>
                  </w:rPr>
                  <w:t>2. Šio straipsnio 1 dalyje nurodyta naudojimosi teisė suteikiama pagal Tarybos patvirtintą naudojimosi gavybos tinklais tvarkos aprašą. Naudojimosi gavybos tinklais tvarkos apraše nustatomi kriterijai, pagal kuriuos naudojimosi teisė suteikiama sąžiningai ir viešai, skatinant konkurencingą gamtinių dujų rinką ir išvengiant piktnaudžiavimo dominuojančia padėtimi, atsižvelgiant į tiekimo saugumą ir reguliarumą, turimus arba pagrįstai prieinamus pajėgumus ir aplinkos apsaugos reikalavimus.</w:t>
                </w:r>
              </w:p>
              <w:p>
                <w:pPr>
                  <w:jc w:val="both"/>
                  <w:rPr>
                    <w:color w:val="000000"/>
                    <w:sz w:val="22"/>
                    <w:szCs w:val="22"/>
                    <w:lang w:val="lt" w:eastAsia="lt-LT"/>
                  </w:rPr>
                </w:pPr>
                <w:r>
                  <w:rPr>
                    <w:color w:val="000000"/>
                    <w:sz w:val="22"/>
                    <w:szCs w:val="22"/>
                    <w:lang w:val="lt" w:eastAsia="lt-LT"/>
                  </w:rPr>
                  <w:t>3. Taryba ginčus dėl naudojimosi gavybos tinklais sprendžia operatyviai ir vadovaudamasi Energetikos įstatymo ir kitų teisės aktų nustatyta tvarka.</w:t>
                </w:r>
              </w:p>
              <w:p>
                <w:pPr>
                  <w:jc w:val="both"/>
                  <w:rPr>
                    <w:color w:val="000000"/>
                    <w:sz w:val="22"/>
                    <w:szCs w:val="22"/>
                    <w:lang w:val="lt" w:eastAsia="lt-LT"/>
                  </w:rPr>
                </w:pPr>
                <w:r>
                  <w:rPr>
                    <w:color w:val="000000"/>
                    <w:sz w:val="22"/>
                    <w:szCs w:val="22"/>
                    <w:lang w:val="lt" w:eastAsia="lt-LT"/>
                  </w:rPr>
                  <w:t>4. Kilus tarptautiniam ginčui, jo sprendimui taikoma valstybės narės, kurios jurisdikcijai priklauso gavybos tinklas, kuriuo atsisakoma leisti naudotis, arba tarptautiniuose susitarimuose numatyta teisė. Jei, kilus tarptautiniam ginčui, ginčijamas gavybos tinklas yra ne tik Lietuvos Respublikos, bet ir kitos valstybės narės ir (ar) trečiosios šalies teritorijoje, turi būti konsultuojamasi su atitinkama valstybe nare ir (ar) trečiąja šalimi siekiant užtikrinti, kad Europos Sąjungos teisės aktų reikalavimai būtų taikomi nuosekliai.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91" w:history="1">
                  <w:r>
                    <w:rPr>
                      <w:i/>
                      <w:iCs/>
                      <w:color w:val="0000FF"/>
                      <w:sz w:val="22"/>
                      <w:szCs w:val="22"/>
                      <w:u w:val="single"/>
                      <w:lang w:val="lt" w:eastAsia="lt-LT"/>
                    </w:rPr>
                    <w:t>XIII-3140</w:t>
                  </w:r>
                </w:hyperlink>
                <w:r>
                  <w:rPr>
                    <w:i/>
                    <w:iCs/>
                    <w:color w:val="000000"/>
                    <w:sz w:val="22"/>
                    <w:szCs w:val="22"/>
                    <w:lang w:val="lt" w:eastAsia="lt-LT"/>
                  </w:rPr>
                  <w:t>, 2020-06-25, paskelbta TAR 2020-07-03, i. k. 2020-15002</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2"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 naudojimosi teisė suteikiama valstybių narių nustatytu būdu pagal atitinkamas teisines priemones. Valstybės narės siekia, kad naudojimosi teisė būtų suteikiama sąžiningai ir viešai, būtų sukurta konkurencinė gamtinių dujų rinka ir išvengta piktnaudžiavimo dominuojančia padėtimi, atsižvelgiant į tiekimo saugumą bei reguliarumą, turimą arba pagrįstai prieinamą pajėgumą ir aplinkos apsaugą. Galima atsižvelgti į šiuos poreikius: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poreikį atsisakyti suteikti naudojimosi teisę esant techninių sąlygų nesuderinamumui, kurio negalima panaikinti prieinamomis priemonėmis;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poreikį išvengti sunkumų, kurių negalima įveikti prieinamomis priemonėmis ir kurie galėtų daryti neigiamą įtaką efektyviai esamai ir ateityje planuojamai angliavandenilių gavybai, įskaitant gavybą iš ribinio ekonominio gyvybingumo telkinių;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poreikį gerbti tinkamai pagrįstus gavybos tinklo savininko ar operatoriaus poreikius, susijusius su gamtinių dujų transportavimu ir perdirbimu, ir visų kitų gavybos tinklo naudotojų arba atitinkamų perdirbimo įmonių ar perdirbimo įrenginių naudotojų, kuriems gali būti daroma įtaka, interesus, ir</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22"/>
                  </w:tabs>
                  <w:jc w:val="both"/>
                  <w:rPr>
                    <w:color w:val="000000"/>
                    <w:sz w:val="22"/>
                    <w:szCs w:val="22"/>
                    <w:lang w:eastAsia="lt-LT"/>
                  </w:rPr>
                </w:pPr>
                <w:r>
                  <w:rPr>
                    <w:color w:val="000000"/>
                    <w:sz w:val="22"/>
                    <w:szCs w:val="22"/>
                    <w:lang w:eastAsia="lt-LT"/>
                  </w:rPr>
                  <w:t>d) poreikį taikyti Sąjungos teisę atitinkančius valstybių narių įstatymus ir administracines procedūras išduodant leidimus gavybai ar gavybos procesui plėsti.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būtų nustatyta ginčų sprendimo tvarka, be kita ko, būtų įsteigta nuo šalių nepriklausoma institucija, kuriai būtų suteikta galimybė naudotis visa atitinkama informacija, ir taip būtų sudarytos sąlygos greitai spręsti ginčus, susijusius su teise naudotis gavybos tinklais, atsižvelgiant į 2 dalyje nurodytus poreikius ir šalių, galinčių dalyvauti derybose dėl teisės naudotis tokiais tinklais, skaičių.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Kilus tarpvalstybiniams ginčams, taikoma valstybės narės, kurios jurisdikcijai priklauso gavybos tinklas, kuriuo atsisakoma leisti naudotis, ginčų sprendimo tvarka. Jei, kilus tarpvalstybiniam ginčui, atitinkamas tinklas yra daugiau kaip vienos valstybės narės teritorijoje, atitinkamos valstybės narės konsultuojasi viena su kita siekdamos užtikrinti, kad ši direktyva būtų taikoma nuosekliai. Jeigu gavybos tinklas prasideda trečiojoje valstybėje ir jungiasi su bent viena valstybe nare, atitinkamos valstybės narės konsultuojasi tarpusavyje, o valstybė narė, kurioje yra pirmas įleidimo į valstybių narių tinklą taškas, konsultuojasi su atitinkama trečiąja valstybe, kurioje prasideda gavybos tinklas, siekiant užtikrinti, kad atitinkamo tinklo atžvilgiu ši direktyva nuosekliai būtų taikoma valstybių narių teritorijoje.</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53"/>
            </w:trPr>
            <w:tc>
              <w:tcPr>
                <w:tcW w:w="3913" w:type="dxa"/>
                <w:vMerge w:val="restart"/>
              </w:tcPr>
              <w:p>
                <w:pPr>
                  <w:shd w:val="clear" w:color="auto" w:fill="FFFFFF"/>
                  <w:jc w:val="both"/>
                  <w:rPr>
                    <w:i/>
                    <w:iCs/>
                    <w:color w:val="000000"/>
                    <w:sz w:val="22"/>
                    <w:szCs w:val="22"/>
                    <w:lang w:eastAsia="lt-LT"/>
                  </w:rPr>
                </w:pPr>
                <w:r>
                  <w:rPr>
                    <w:i/>
                    <w:iCs/>
                    <w:color w:val="000000"/>
                    <w:sz w:val="22"/>
                    <w:szCs w:val="22"/>
                    <w:lang w:eastAsia="lt-LT"/>
                  </w:rPr>
                  <w:t xml:space="preserve">33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saugyklomis</w:t>
                </w:r>
              </w:p>
            </w:tc>
            <w:tc>
              <w:tcPr>
                <w:tcW w:w="9407" w:type="dxa"/>
                <w:gridSpan w:val="3"/>
                <w:vMerge w:val="restart"/>
                <w:vAlign w:val="center"/>
              </w:tcPr>
              <w:p>
                <w:pPr>
                  <w:shd w:val="clear" w:color="auto" w:fill="FFFFFF"/>
                  <w:jc w:val="both"/>
                  <w:rPr>
                    <w:i/>
                    <w:iCs/>
                    <w:color w:val="000000"/>
                    <w:sz w:val="22"/>
                    <w:szCs w:val="22"/>
                    <w:lang w:eastAsia="lt-LT"/>
                  </w:rPr>
                </w:pPr>
              </w:p>
            </w:tc>
            <w:tc>
              <w:tcPr>
                <w:tcW w:w="1703" w:type="dxa"/>
                <w:gridSpan w:val="3"/>
                <w:vMerge/>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Merge/>
              </w:tcPr>
              <w:p>
                <w:pPr>
                  <w:shd w:val="clear" w:color="auto" w:fill="FFFFFF"/>
                  <w:jc w:val="both"/>
                  <w:rPr>
                    <w:b/>
                    <w:bCs/>
                    <w:color w:val="000000"/>
                    <w:sz w:val="22"/>
                    <w:szCs w:val="22"/>
                    <w:lang w:eastAsia="lt-LT"/>
                  </w:rPr>
                </w:pPr>
              </w:p>
            </w:tc>
            <w:tc>
              <w:tcPr>
                <w:tcW w:w="9407" w:type="dxa"/>
                <w:gridSpan w:val="3"/>
                <w:vMerge/>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Organizuodamos teisės naudotis gamtinių dujų saugyklomis ir laikymo vamzdynuose paslaugomis suteikimą, kai tai yra būtina dėl techninių arba ekonominių priežasčių norint užtikrinti teisę veiksmingai naudotis tiekimo vartotojams sistema, ir organizuodamos teisės naudotis papildomomis paslaugomis suteikimą, valstybės narės gali nuspręsti taikyti kurią nors vieną arba abi 3 ir 4 dalyse nurodytas procedūras. Tos procedūros įgyvendinamos laikantis objektyvių, skaidrių ir nediskriminacinių kriterijų.</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shd w:val="clear" w:color="auto" w:fill="FFFFFF"/>
                  <w:jc w:val="both"/>
                  <w:rPr>
                    <w:b/>
                    <w:bCs/>
                    <w:color w:val="000000"/>
                    <w:sz w:val="22"/>
                    <w:szCs w:val="22"/>
                    <w:lang w:val="lt" w:eastAsia="lt-LT"/>
                  </w:rPr>
                </w:pPr>
                <w:r>
                  <w:rPr>
                    <w:b/>
                    <w:bCs/>
                    <w:color w:val="000000"/>
                    <w:sz w:val="22"/>
                    <w:szCs w:val="22"/>
                    <w:lang w:val="lt" w:eastAsia="lt-LT"/>
                  </w:rPr>
                  <w:t>50 straipsnis. Teisė naudotis saugyklomis</w:t>
                </w:r>
              </w:p>
              <w:p>
                <w:pPr>
                  <w:shd w:val="clear" w:color="auto" w:fill="FFFFFF"/>
                  <w:jc w:val="both"/>
                  <w:rPr>
                    <w:color w:val="000000"/>
                    <w:sz w:val="22"/>
                    <w:szCs w:val="22"/>
                    <w:lang w:val="lt" w:eastAsia="lt-LT"/>
                  </w:rPr>
                </w:pPr>
                <w:r>
                  <w:rPr>
                    <w:color w:val="000000"/>
                    <w:sz w:val="22"/>
                    <w:szCs w:val="22"/>
                    <w:lang w:val="lt" w:eastAsia="lt-LT"/>
                  </w:rPr>
                  <w:t>1. Suteikiant teisę asmenims naudotis gamtinių dujų įmonių saugyklomis ir gamtinių dujų laikymo vamzdynuose paslaugomis, kai tai yra būtina dėl techninių ir (arba) ekonominių priežasčių, norint užtikrinti teisę veiksmingai naudotis tiekimo vartotojams sistema, ir suteikiant teisę naudotis papildomomis paslaugomis, Taryba gali nuspręsti taikyti kurį nors vieną arba abu šio straipsnio 4 ir 5 dalyse nurodytus būdus. Šios procedūros įgyvendinamos laikantis objektyvių, skaidrių ir nediskriminacinių kriterijų.</w:t>
                </w:r>
              </w:p>
              <w:p>
                <w:pPr>
                  <w:jc w:val="both"/>
                  <w:rPr>
                    <w:color w:val="000000"/>
                    <w:sz w:val="22"/>
                    <w:szCs w:val="22"/>
                    <w:lang w:val="lt" w:eastAsia="lt-LT"/>
                  </w:rPr>
                </w:pPr>
                <w:r>
                  <w:rPr>
                    <w:color w:val="000000"/>
                    <w:sz w:val="22"/>
                    <w:szCs w:val="22"/>
                    <w:lang w:val="lt" w:eastAsia="lt-LT"/>
                  </w:rPr>
                  <w:t>2. Taryba apibrėžia ir paskelbia kriterijus, pagal kuriuos galima nustatyti, kuris teisės naudotis saugyklomis ir gamtinių dujų laikymo vamzdynuose paslaugomis būdas taikomas. Taryba paskelbia, kokios saugyklos ar tų saugyklų dalys ir atitinkamos gamtinių dujų laikymo vamzdyne paslaugos yra siūlomos pagal šio straipsnio 4 ir 5 dalyse nurodytus būdus.</w:t>
                </w:r>
              </w:p>
              <w:p>
                <w:pPr>
                  <w:jc w:val="both"/>
                  <w:rPr>
                    <w:color w:val="000000"/>
                    <w:sz w:val="22"/>
                    <w:szCs w:val="22"/>
                    <w:lang w:val="lt" w:eastAsia="lt-LT"/>
                  </w:rPr>
                </w:pPr>
                <w:r>
                  <w:rPr>
                    <w:color w:val="000000"/>
                    <w:sz w:val="22"/>
                    <w:szCs w:val="22"/>
                    <w:lang w:val="lt" w:eastAsia="lt-LT"/>
                  </w:rPr>
                  <w:t>3. Šio straipsnio 1 dalies nuostatos netaikomos papildomoms ir laikinojo laikymo paslaugoms, kurios susijusios su SGD sistema ir būtinos SGD pakartotinio dujinimo procesui ir paskesniam pristatymui į perdavimo sistemą.</w:t>
                </w:r>
              </w:p>
              <w:p>
                <w:pPr>
                  <w:jc w:val="both"/>
                  <w:rPr>
                    <w:color w:val="000000"/>
                    <w:sz w:val="22"/>
                    <w:szCs w:val="22"/>
                    <w:lang w:val="lt" w:eastAsia="lt-LT"/>
                  </w:rPr>
                </w:pPr>
                <w:r>
                  <w:rPr>
                    <w:color w:val="000000"/>
                    <w:sz w:val="22"/>
                    <w:szCs w:val="22"/>
                    <w:lang w:val="lt" w:eastAsia="lt-LT"/>
                  </w:rPr>
                  <w:t>4. Kai teisė naudotis saugykla, gamtinių dujų laikymo vamzdynuose paslaugomis ir kitomis papildomomis paslaugomis įgyvendinama derybų būdu, vartotojai ir sistemos naudotojai dėl sutarčių derasi su atitinkamu laikymo sistemos operatoriumi arba gamtinių dujų įmonėmis. Laikymo sistemos operatoriai ir gamtinių dujų įmonės kiekvienais metais paskelbia naudojimosi savo saugyklomis, gamtinių dujų laikymo vamzdynuose paslaugomis ir kitomis papildomomis paslaugomis pagrindines komercines sąlygas. Laikymo sistemos operatoriai ir gamtinių dujų įmonės šias sąlygas nustato pasikonsultavę su sistemos naudotojais. Šalys dėl teisės naudotis saugyklomis, gamtinių dujų laikymo vamzdynuose paslaugomis ir kitomis papildomomis paslaugomis privalo derėtis sąžiningai.</w:t>
                </w:r>
              </w:p>
              <w:p>
                <w:pPr>
                  <w:jc w:val="both"/>
                  <w:rPr>
                    <w:color w:val="000000"/>
                    <w:sz w:val="22"/>
                    <w:szCs w:val="22"/>
                    <w:lang w:val="lt" w:eastAsia="lt-LT"/>
                  </w:rPr>
                </w:pPr>
                <w:r>
                  <w:rPr>
                    <w:color w:val="000000"/>
                    <w:sz w:val="22"/>
                    <w:szCs w:val="22"/>
                    <w:lang w:val="lt" w:eastAsia="lt-LT"/>
                  </w:rPr>
                  <w:t>5. Taryba imasi būtinų priemonių, kad gamtinių dujų įmonėms ir vartotojams būtų suteikta teisė naudotis saugyklomis, gamtinių dujų laikymo vamzdynuose paslaugomis ar kitomis papildomomis paslaugomis taikant iš anksto paskelbtus tarifus ir (arba) kitas naudojimosi šiomis saugyklomis ir gamtinių dujų laikymo vamzdynuose paslaugomis sąlygas ir pareigas.</w:t>
                </w:r>
              </w:p>
              <w:p>
                <w:pPr>
                  <w:jc w:val="both"/>
                  <w:rPr>
                    <w:color w:val="000000"/>
                    <w:sz w:val="22"/>
                    <w:szCs w:val="22"/>
                    <w:lang w:val="lt" w:eastAsia="lt-LT"/>
                  </w:rPr>
                </w:pPr>
                <w:r>
                  <w:rPr>
                    <w:color w:val="000000"/>
                    <w:sz w:val="22"/>
                    <w:szCs w:val="22"/>
                    <w:lang w:val="lt" w:eastAsia="lt-LT"/>
                  </w:rPr>
                  <w:t>Taryba šiuos tarifus ir jų apskaičiavimo metodikas nustato, pasikonsultavusi su sistemos naudotojais.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3"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74"/>
                  </w:tabs>
                  <w:jc w:val="both"/>
                  <w:rPr>
                    <w:color w:val="000000"/>
                    <w:sz w:val="22"/>
                    <w:szCs w:val="22"/>
                    <w:lang w:eastAsia="lt-LT"/>
                  </w:rPr>
                </w:pPr>
                <w:r>
                  <w:rPr>
                    <w:color w:val="000000"/>
                    <w:sz w:val="22"/>
                    <w:szCs w:val="22"/>
                    <w:lang w:eastAsia="lt-LT"/>
                  </w:rPr>
                  <w:t xml:space="preserve">Rinkdamosi teisės naudotis gamtinių dujų saugyklomis suteikimo procedūrą pagal šį straipsnį, valstybės narės atsižvelgia į bendro ir nacionalinio rizikos vertinimų, atliktų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rezultatus.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nustato ir paskelbia kriterijus, pagal kuriuos turi būti nustatoma, kokią teisės naudotis gamtinių dujų saugyklomis ir laikymo vamzdynuose paslaugomis tvarką taikyti. Jos paskelbia arba įpareigoja gamtinių dujų laikymo sistemų operatorius ir perdavimo sistemos operatorius paskelbti, kokios gamtinių dujų saugyklos ar tų gamtinių dujų saugyklų dalys ir atitinkamos laikymo vamzdynuose paslaugos yra siūlomos pagal įvairias 3 ir 4 dalyse nurodytas procedūras.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dalis netaikoma papildomoms ir laikinojo laikymo paslaugoms, kurios yra susijusios su SGD įrenginiais ir kurios yra būtinos pakartotinio dujinimo procesui ir paskesniam pristatymui į perdavimo sistemą atlikti.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dėl teisės naudotis sistema susitariama derybų būdu, reguliavimo institucijos imasi būtinų priemonių, suteikiančių įmonėms ir reikalavimus atitinkantiems vartotojams, esantiems jungtinės sistemos teritorijoje arba už jos ribų, galimybę derėtis dėl teisės naudotis gamtinių dujų saugyklomis ir laikymo vamzdynuose paslaugomis, kai tai būtina dėl techninių arba ekonominių priežasčių norint užtikrinti teisę veiksmingai naudotis sistema, bei organizuojant teisės naudotis kitomis papildomomis paslaugomis suteikimą. Šalys dėl teisės naudotis saugyklomis, laikymo vamzdynuose paslaugomis ir kitomis papildomomis paslaugomis privalo derėtis sąžiningai.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Dėl sutarčių įgyti teisę naudotis gamtinių dujų saugykla, laikymo vamzdynuose paslaugomis ir kitomis papildomomis paslaugomis deramasi su atitinkamu gamtinių dujų laikymo sistemos operatoriumi. Reguliavimo institucijos reikalauja, kad laikymo sistemos operatoriai ir gamtinių dujų įmonės kasmet skelbtų savo pagrindines naudojimosi saugyklomis, laikymo vamzdynuose paslaugomis ir kitomis papildomomis paslaugomis komercines sąlygas.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Gamtinių dujų laikymo sistemos operatoriai tas sąlygas nustato pasikonsultavę su sistemos naudotojais.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Reguliuojamos prieigos atveju reguliavimo institucijos imasi būtinų priemonių, kad gamtinių dujų įmonėms ir reikalavimus atitinkantiems vartotojams, esantiems jungtinės sistemos teritorijoje arba už jos ribų, būtų suteikta teisė naudotis saugyklomis, laikymo vamzdynuose paslauga ar kitomis papildomomis paslaugomis taikant iš anksto paskelbtus tarifus arba kitas naudojimosi šiomis saugyklomis ir laikymo vamzdynuose paslauga sąlygas ir pareigas, kai tai būtina dėl techninių arba ekonominių priežasčių norint veiksmingai užtikrinti teisę naudotis sistema, bei organizuojant teisės naudotis kitomis papildomomis paslaugomis suteikimą. Reguliavimo institucijos tuos tarifus arba jų apskaičiavimo metodikas nustato pasikonsultavusios su sistemos naudotojais. Reikalavimus atitinkantiems vartotojams prieigos teisė gali būti suteikiama leidžiant sudaryti tiekimo sutartis su konkuruojančiomis įmonėmis, kitomis nei savininkas arba sistemos operatorius ar susijusi įmonė.</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3722"/>
                  </w:tabs>
                  <w:jc w:val="both"/>
                  <w:rPr>
                    <w:i/>
                    <w:iCs/>
                    <w:color w:val="000000"/>
                    <w:sz w:val="22"/>
                    <w:szCs w:val="22"/>
                    <w:lang w:eastAsia="lt-LT"/>
                  </w:rPr>
                </w:pPr>
                <w:r>
                  <w:rPr>
                    <w:i/>
                    <w:iCs/>
                    <w:color w:val="000000"/>
                    <w:sz w:val="22"/>
                    <w:szCs w:val="22"/>
                    <w:lang w:eastAsia="lt-LT"/>
                  </w:rPr>
                  <w:t xml:space="preserve">34 straipsnis </w:t>
                </w:r>
              </w:p>
              <w:p>
                <w:pPr>
                  <w:shd w:val="clear" w:color="auto" w:fill="FFFFFF"/>
                  <w:jc w:val="both"/>
                  <w:rPr>
                    <w:i/>
                    <w:iCs/>
                    <w:color w:val="000000"/>
                    <w:sz w:val="22"/>
                    <w:szCs w:val="22"/>
                    <w:lang w:eastAsia="lt-LT"/>
                  </w:rPr>
                </w:pPr>
                <w:r>
                  <w:rPr>
                    <w:b/>
                    <w:bCs/>
                    <w:color w:val="000000"/>
                    <w:sz w:val="22"/>
                    <w:szCs w:val="22"/>
                    <w:lang w:eastAsia="lt-LT"/>
                  </w:rPr>
                  <w:t>Gamtinių dujų tiesioginiai vamzdynai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reikiamų priemonių, kad sudarytų sąlygas:</w:t>
                </w:r>
              </w:p>
            </w:tc>
            <w:tc>
              <w:tcPr>
                <w:tcW w:w="9407" w:type="dxa"/>
                <w:gridSpan w:val="3"/>
                <w:vMerge w:val="restart"/>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55 straipsnis. Tiesioginiai vamzdynai</w:t>
                </w:r>
              </w:p>
              <w:p>
                <w:pPr>
                  <w:ind w:right="57"/>
                  <w:jc w:val="both"/>
                  <w:rPr>
                    <w:color w:val="000000"/>
                    <w:sz w:val="22"/>
                    <w:szCs w:val="22"/>
                    <w:lang w:val="lt" w:eastAsia="lt-LT"/>
                  </w:rPr>
                </w:pPr>
                <w:r>
                  <w:rPr>
                    <w:color w:val="000000"/>
                    <w:sz w:val="22"/>
                    <w:szCs w:val="22"/>
                    <w:lang w:val="lt" w:eastAsia="lt-LT"/>
                  </w:rPr>
                  <w:t>1. Gamtinių dujų įmonės turi teisę tiekti vartotojams dujas tiesioginiu vamzdynu ir vartotojai turi teisę gauti gamtines dujas iš dujų įmonių tiesioginiu vamzdynu.</w:t>
                </w:r>
              </w:p>
              <w:p>
                <w:pPr>
                  <w:jc w:val="both"/>
                  <w:rPr>
                    <w:color w:val="000000"/>
                    <w:sz w:val="22"/>
                    <w:szCs w:val="22"/>
                    <w:lang w:val="lt" w:eastAsia="lt-LT"/>
                  </w:rPr>
                </w:pPr>
                <w:r>
                  <w:rPr>
                    <w:color w:val="000000"/>
                    <w:sz w:val="22"/>
                    <w:szCs w:val="22"/>
                    <w:lang w:val="lt" w:eastAsia="lt-LT"/>
                  </w:rPr>
                  <w:t>2. Jeigu gamtinių dujų įmonė atsisako suteikti teisę naudotis gamtinių dujų sistema šio įstatymo 52 straipsnyje nustatytais atvejais arba jeigu kyla ginčas dėl tokio atsisakymo suteikti teisę naudotis gamtinių dujų sistema, sprendimą dėl tiesioginio vamzdyno įrengimo ir sąlygų priima Taryba. Tarybos priimti sprendimai dėl tiesioginių vamzdynų įrengimo yra privalomi vykdyti abiem šalims, jie turi būti pagrįsti, objektyvūs, skaidrūs ir nediskriminuojantys kitų vartotojų. Taryba, priimdama sprendimą dėl tiesioginio vamzdyno įrengimo, turi užtikrinti, kad būtų išnaudojami visi esami pajėgumai.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94"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jų teritorijoje įsisteigusioms gamtinių dujų įmonėms tiesioginiu vamzdynu vykdyti tiekimą reikalavimus atitinkantiems vartotojams ir </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jų teritorijoje esančiam bet kuriam tokiam vartotojui gauti iš gamtinių dujų įmonių dujas tiesioginiu vamzdynu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tiesioginiams vamzdynams statyti arba eksploatuoti reikalingas leidimas, pavyzdžiui, licencija, leidimas, koncesija, sutikimas ar patvirtinimas, valstybės narės ar bet kuri jų paskirta kompetentinga institucija nustato leidimų statyti arba eksploatuoti tokius vamzdynus jų teritorijoje išdavimo kriterijus. Tie kriterijai turi būti objektyvūs, skaidrūs ir nediskriminaciniai.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leisti statyti tiesioginį vamzdyną, jeigu buvo atsisakyta suteikti teisę naudotis sistema remiantis 38 straipsniu arba buvo pradėta ginčo sprendimo procedūra pagal 79 straipsnį.</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 skirsnis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b/>
                    <w:bCs/>
                    <w:color w:val="000000"/>
                    <w:sz w:val="22"/>
                    <w:szCs w:val="22"/>
                    <w:lang w:eastAsia="lt-LT"/>
                  </w:rPr>
                </w:pPr>
                <w:r>
                  <w:rPr>
                    <w:b/>
                    <w:bCs/>
                    <w:color w:val="000000"/>
                    <w:sz w:val="22"/>
                    <w:szCs w:val="22"/>
                    <w:lang w:eastAsia="lt-LT"/>
                  </w:rPr>
                  <w:t>Prieiga prie vandenilio infrastruktūros</w:t>
                </w:r>
              </w:p>
              <w:p>
                <w:pPr>
                  <w:shd w:val="clear" w:color="auto" w:fill="FFFFFF"/>
                  <w:jc w:val="both"/>
                  <w:rPr>
                    <w:i/>
                    <w:iCs/>
                    <w:color w:val="000000"/>
                    <w:sz w:val="22"/>
                    <w:szCs w:val="22"/>
                    <w:lang w:eastAsia="lt-LT"/>
                  </w:rPr>
                </w:pPr>
                <w:r>
                  <w:rPr>
                    <w:i/>
                    <w:iCs/>
                    <w:color w:val="000000"/>
                    <w:sz w:val="22"/>
                    <w:szCs w:val="22"/>
                    <w:lang w:eastAsia="lt-LT"/>
                  </w:rPr>
                  <w:t xml:space="preserve">35 straipsnis </w:t>
                </w:r>
              </w:p>
              <w:p>
                <w:pPr>
                  <w:shd w:val="clear" w:color="auto" w:fill="FFFFFF"/>
                  <w:jc w:val="both"/>
                  <w:rPr>
                    <w:b/>
                    <w:bCs/>
                    <w:color w:val="000000"/>
                    <w:sz w:val="22"/>
                    <w:szCs w:val="22"/>
                    <w:lang w:eastAsia="lt-LT"/>
                  </w:rPr>
                </w:pPr>
                <w:r>
                  <w:rPr>
                    <w:b/>
                    <w:bCs/>
                    <w:color w:val="000000"/>
                    <w:sz w:val="22"/>
                    <w:szCs w:val="22"/>
                    <w:lang w:eastAsia="lt-LT"/>
                  </w:rPr>
                  <w:t>Trečiųjų šalių prieiga prie vandenilio tinklų</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tinklų sistema ir kad ji būtų taikoma objektyviai ir nediskriminuojant vandenilio tinklo naudotojų.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p>
              <w:p>
                <w:pPr>
                  <w:spacing w:line="276" w:lineRule="auto"/>
                  <w:ind w:right="57"/>
                  <w:jc w:val="both"/>
                  <w:rPr>
                    <w:color w:val="000000"/>
                    <w:sz w:val="22"/>
                    <w:szCs w:val="22"/>
                    <w:lang w:eastAsia="lt-LT"/>
                  </w:rPr>
                </w:pPr>
                <w:r>
                  <w:rPr>
                    <w:b/>
                    <w:color w:val="000000"/>
                    <w:sz w:val="22"/>
                    <w:szCs w:val="22"/>
                    <w:lang w:eastAsia="lt-LT"/>
                  </w:rPr>
                  <w:t>13 straipsnis. Vandenilio sektoriaus kainų reguliavimas</w:t>
                </w:r>
              </w:p>
              <w:p>
                <w:pPr>
                  <w:tabs>
                    <w:tab w:val="left" w:pos="567"/>
                  </w:tabs>
                  <w:jc w:val="both"/>
                  <w:rPr>
                    <w:b/>
                    <w:color w:val="000000"/>
                    <w:sz w:val="22"/>
                    <w:szCs w:val="22"/>
                    <w:lang w:eastAsia="lt-LT"/>
                  </w:rPr>
                </w:pPr>
                <w:r>
                  <w:rPr>
                    <w:b/>
                    <w:color w:val="000000"/>
                    <w:sz w:val="22"/>
                    <w:szCs w:val="22"/>
                    <w:lang w:eastAsia="lt-LT"/>
                  </w:rPr>
                  <w:t>1. Vandenilio sektoriuje nustatydama viršutines paslaugų pajamų ribas, Taryba reguliuoja vandenilio perdavimo, skirstymo, vandenilio saugyklų paslaugų tarifus. </w:t>
                </w:r>
              </w:p>
              <w:p>
                <w:pPr>
                  <w:tabs>
                    <w:tab w:val="left" w:pos="567"/>
                  </w:tabs>
                  <w:jc w:val="both"/>
                  <w:rPr>
                    <w:b/>
                    <w:color w:val="000000"/>
                    <w:sz w:val="22"/>
                    <w:szCs w:val="22"/>
                    <w:lang w:eastAsia="lt-LT"/>
                  </w:rPr>
                </w:pPr>
                <w:r>
                  <w:rPr>
                    <w:b/>
                    <w:color w:val="000000"/>
                    <w:sz w:val="22"/>
                    <w:szCs w:val="22"/>
                    <w:lang w:eastAsia="lt-LT"/>
                  </w:rPr>
                  <w:t>2. Taryba rengia ir tvirtina šio straipsnio 1 dalyje nurodytų paslaugų tarifų ir viršutinių paslaugų pajamų ribų nustatymo metodikas.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jc w:val="both"/>
                  <w:rPr>
                    <w:b/>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šio straipsnio 1 dalyje nurodytus tarifus arba jų apskaičiavimo metodikas iki jų įsigaliojimo pagal 78 straipsnį patvirtintų reguliavimo institucija ir kad tie tarifai būtų viešai paskelbti iki jų įsigaliojimo ir – jei patvirtinamos vien tik metodikos – tos metodikos būtų viešai paskelbtos iki jų įsigaliojimo.</w:t>
                </w:r>
              </w:p>
            </w:tc>
            <w:tc>
              <w:tcPr>
                <w:tcW w:w="9407" w:type="dxa"/>
                <w:gridSpan w:val="3"/>
                <w:vAlign w:val="center"/>
              </w:tcPr>
              <w:p>
                <w:pPr>
                  <w:tabs>
                    <w:tab w:val="left" w:pos="567"/>
                  </w:tabs>
                  <w:ind w:firstLine="693"/>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693"/>
                  <w:jc w:val="both"/>
                  <w:rPr>
                    <w:b/>
                    <w:bCs/>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13 straipsnis. Vandenilio sektoriaus kainų reguliavimas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sektoriuje nustatydama viršutines paslaugų pajamų ribas, Taryba reguliuoja vandenilio perdavimo, skirstymo, vandenilio saugyklų paslaugų tarifus.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Taryba rengia ir tvirtina šio straipsnio 1 dalyje nurodytų paslaugų tarifų ir viršutinių paslaugų pajamų ribų nustatymo metodikas.</w:t>
                </w:r>
              </w:p>
              <w:p>
                <w:pPr>
                  <w:tabs>
                    <w:tab w:val="left" w:pos="567"/>
                  </w:tabs>
                  <w:spacing w:line="276" w:lineRule="auto"/>
                  <w:ind w:firstLine="693"/>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93"/>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spacing w:line="276" w:lineRule="auto"/>
                  <w:ind w:firstLine="720"/>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ind w:firstLine="693"/>
                  <w:jc w:val="both"/>
                  <w:rPr>
                    <w:b/>
                    <w:bCs/>
                    <w:color w:val="000000"/>
                    <w:sz w:val="22"/>
                    <w:szCs w:val="22"/>
                    <w:lang w:eastAsia="lt-LT"/>
                  </w:rPr>
                </w:pPr>
              </w:p>
              <w:p>
                <w:pPr>
                  <w:tabs>
                    <w:tab w:val="left" w:pos="567"/>
                  </w:tabs>
                  <w:ind w:firstLine="693"/>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tinklo operatoriai, jei tai būtina jų funkcijoms, įskaitant funkcijas, susijusias su tarpvalstybiniu vandenilio transportavimu, vykdyti, turi teisę naudotis kitų vandenilio tinklo operatorių tinklu.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color w:val="000000"/>
                    <w:sz w:val="22"/>
                    <w:szCs w:val="22"/>
                    <w:lang w:eastAsia="lt-LT"/>
                  </w:rPr>
                </w:pPr>
                <w:r>
                  <w:rPr>
                    <w:b/>
                    <w:color w:val="000000"/>
                    <w:sz w:val="22"/>
                    <w:szCs w:val="22"/>
                    <w:lang w:eastAsia="lt-LT"/>
                  </w:rPr>
                  <w:t>44 straipsnis. Teisė naudotis vandenilio tinklais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tinklų operatoriai turi teisę naudotis kitų vandenilio tinklų operatorių tinklais, jei tai būtina jų funkcijoms vykdyti, įskaitant funkcijas, susijusias su tarpvalstybiniu vandenilio transportavimu.</w:t>
                </w:r>
              </w:p>
              <w:p>
                <w:pPr>
                  <w:spacing w:line="276" w:lineRule="auto"/>
                  <w:ind w:firstLine="720"/>
                  <w:jc w:val="both"/>
                  <w:rPr>
                    <w:b/>
                    <w:bCs/>
                    <w:color w:val="000000"/>
                    <w:sz w:val="22"/>
                    <w:szCs w:val="22"/>
                    <w:lang w:eastAsia="lt-LT"/>
                  </w:rPr>
                </w:pPr>
                <w:r>
                  <w:rPr>
                    <w:b/>
                    <w:bCs/>
                    <w:color w:val="000000"/>
                    <w:sz w:val="22"/>
                    <w:szCs w:val="22"/>
                    <w:lang w:eastAsia="lt-LT"/>
                  </w:rPr>
                  <w:t>3. Vandenilio tinklų operatoriai, vadovaudamiesi Tarybos patvirtintomis ir paskelbtomis naudojimosi vandenilio tinklais sąlygomis, parengia ir teikia Tarybai tvirtinti naudojimosi vandenilio tinklais taisykles. Naudojimosi vandenilio perdavimo tinklu taisyklėse nustatoma ir vandenilio perdavimo tinklo  perkrovos valdymo ir pajėgumų paskirstymo tvarka. Taryba turi teisę pareikalauti iš dalies pakeisti tas taisykles, jeigu jos neatitinka Tarybos nustatytų sąlygų.</w:t>
                </w:r>
              </w:p>
              <w:p>
                <w:pPr>
                  <w:ind w:firstLine="720"/>
                  <w:jc w:val="both"/>
                  <w:rPr>
                    <w:b/>
                    <w:bCs/>
                    <w:color w:val="D13438"/>
                    <w:sz w:val="22"/>
                    <w:szCs w:val="22"/>
                    <w:u w:val="single"/>
                    <w:lang w:eastAsia="lt-LT"/>
                  </w:rPr>
                </w:pPr>
              </w:p>
              <w:p>
                <w:pPr>
                  <w:ind w:firstLine="720"/>
                  <w:jc w:val="both"/>
                  <w:rPr>
                    <w:color w:val="D13438"/>
                    <w:sz w:val="22"/>
                    <w:szCs w:val="22"/>
                    <w:u w:val="single"/>
                    <w:lang w:eastAsia="lt-LT"/>
                  </w:rPr>
                </w:pPr>
              </w:p>
              <w:p>
                <w:pPr>
                  <w:ind w:firstLine="720"/>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76"/>
                  </w:tabs>
                  <w:jc w:val="both"/>
                  <w:rPr>
                    <w:color w:val="000000"/>
                    <w:sz w:val="22"/>
                    <w:szCs w:val="22"/>
                    <w:lang w:eastAsia="lt-LT"/>
                  </w:rPr>
                </w:pPr>
                <w:r>
                  <w:rPr>
                    <w:color w:val="000000"/>
                    <w:sz w:val="22"/>
                    <w:szCs w:val="22"/>
                    <w:lang w:eastAsia="lt-LT"/>
                  </w:rPr>
                  <w:t>4. Valstybė narė gali nuspręsti iki 2032 m. gruodžio 31 d. netaikyti 1 dalies. Tokiu atveju valstybė narė užtikrina, kad būtų įgyvendinta derybinės trečiųjų šalių prieigos prie vandenilio tinklų sistema ir kad ji būtų grindžiama objektyviais, skaidriais ir nediskriminaciniais kriterijais. Reguliavimo institucijos imasi reikiamų priemonių, kad vandenilio tinklo naudotojai turėtų galimybę išsiderėti prieigą prie vandenilio tinklų ir kad būtų užtikrinta, kad šalys dėl prieigos prie vandenilio tinklų būtų įpareigotos derėtis sąžiningai.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 Kai naudojamasi 4 dalyje nurodyta derybine prieiga, reguliavimo institucijos teikia gaires vandenilio tinklo naudotojams, koks bus poveikis išsiderėtiems tarifams, kai bus įvesta reguliuojama trečiųjų šalių prieiga.</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r>
                  <w:rPr>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Trečiųjų šalių prieiga prie vandenilio terminalų</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derybinės trečiųjų šalių prieigos prie vandenilio terminalų sistema ir kad ji būtų taikoma objektyviai, skaidriai ir nediskriminuojant, o reguliavimo institucijos imasi reikiamų priemonių, kad vandenilio tinklo naudotojai turėtų galimybę išsiderėti prieigą prie tokių terminalų. Šalys dėl prieigos privalo derėtis sąžiningai.</w:t>
                </w:r>
              </w:p>
            </w:tc>
            <w:tc>
              <w:tcPr>
                <w:tcW w:w="9407" w:type="dxa"/>
                <w:gridSpan w:val="3"/>
                <w:vAlign w:val="center"/>
              </w:tcPr>
              <w:p>
                <w:pPr>
                  <w:tabs>
                    <w:tab w:val="left" w:pos="567"/>
                  </w:tabs>
                  <w:spacing w:line="276" w:lineRule="auto"/>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46 straipsnis. Teisė naudotis vandenilio terminalais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institucijos stebi trečiųjų šalių prieigos prie vandenilio terminalų sąlygas ir jų poveikį vandenilio rinkai ir, kai tai būtina siekiant apsaugoti konkurenciją, imasi priemonių, kad pagerintų prieigą pagal 1 dalyje nustatytus kriterijus.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46 straipsnis. Teisė naudotis vandenilio terminalais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Taryba prižiūri naudojimosi vandenilio terminalais sąlygas ir jų poveikį vandenilio rinkai ir, kai tai būtina, imasi priemonių siekdama apsaugoti konkurenciją ir (ar) užtikrinti šio straipsnio 1 dalyje nustatytų sąlygų laikymąsi.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37 straipsnis </w:t>
                </w:r>
              </w:p>
              <w:p>
                <w:pPr>
                  <w:shd w:val="clear" w:color="auto" w:fill="FFFFFF"/>
                  <w:jc w:val="both"/>
                  <w:rPr>
                    <w:i/>
                    <w:iCs/>
                    <w:color w:val="000000"/>
                    <w:sz w:val="22"/>
                    <w:szCs w:val="22"/>
                    <w:lang w:eastAsia="lt-LT"/>
                  </w:rPr>
                </w:pPr>
                <w:r>
                  <w:rPr>
                    <w:b/>
                    <w:bCs/>
                    <w:color w:val="000000"/>
                    <w:sz w:val="22"/>
                    <w:szCs w:val="22"/>
                    <w:lang w:eastAsia="lt-LT"/>
                  </w:rPr>
                  <w:t>Prieiga prie vandenilio saugyklų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ir kad ji būtų taikoma objektyviai ir nediskriminuojant vandenilio sistemos naudotojų. Valstybės narės užtikrina, kad tuos tarifus arba jų apskaičiavimo metodikas reguliavimo institucija patvirtintų iki jų įsigaliojimo pagal 78 straipsnį.</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left="720"/>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w:t>
                </w:r>
              </w:p>
              <w:p>
                <w:pPr>
                  <w:spacing w:line="276" w:lineRule="auto"/>
                  <w:ind w:firstLine="720"/>
                  <w:jc w:val="both"/>
                  <w:rPr>
                    <w:b/>
                    <w:bCs/>
                    <w:color w:val="000000"/>
                    <w:sz w:val="22"/>
                    <w:szCs w:val="22"/>
                    <w:lang w:eastAsia="lt-LT"/>
                  </w:rPr>
                </w:pPr>
              </w:p>
              <w:p>
                <w:pPr>
                  <w:spacing w:line="276" w:lineRule="auto"/>
                  <w:ind w:firstLine="777"/>
                  <w:jc w:val="both"/>
                  <w:rPr>
                    <w:b/>
                    <w:bCs/>
                    <w:color w:val="000000"/>
                    <w:sz w:val="22"/>
                    <w:szCs w:val="22"/>
                    <w:lang w:eastAsia="lt-LT"/>
                  </w:rPr>
                </w:pPr>
                <w:r>
                  <w:rPr>
                    <w:b/>
                    <w:bCs/>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w:t>
                </w:r>
              </w:p>
              <w:p>
                <w:pPr>
                  <w:spacing w:line="276" w:lineRule="auto"/>
                  <w:ind w:firstLine="720"/>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gali nuspręsti iki 2032 m. gruodžio 31 d. netaikyti 1 dalies. Tokiu atveju valstybės narės užtikrina, kad būtų įgyvendinta derybinės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remiantis objektyviais, skaidriais ir nediskriminaciniais kriterijais. Reguliavimo institucijos imasi reikiamų priemonių, kad vandenilio saugyklos naudotojai turėtų galimybę išsiderėti prieigą prie vandenilio saugyklų ir kad būtų užtikrinta, kad šalys dėl prieigos prie vandenilio saugyklų būtų įpareigotos derėtis sąžiningai.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numatyti, kad anksčiau nei 2026 m. rugpjūčio 5 d. pagal derybinės trečiųjų šalių prieigos sistemą pagal 2 dalį suteiktų teisių naudotis pajėgumu būtų paisoma iki jų galiojimo pabaigos ir kad joms nedarytų poveikio reguliuojamos trečiųjų šalių prieigos įgyvendinimas pagal 1 dalį.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 xml:space="preserve">Pastaba. Dispozityvi nuostata, nereikalauja perkėlimo. Lietuvoje iki 2026 rugpjūčio 5 d.  nebus sukurta H2 tinklų infrastruktūra</w:t>
                </w:r>
                <w:r>
                  <w:rPr>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38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operatoriai, skirstymo sistemos operatoriai ir vandenilio tinklo operatoriai gali atsisakyti suteikti prieigą arba leisti prisijungti prie gamtinių dujų arba vandenilio sistemos, jeigu trūksta pajėgumo arba jungčių.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turi teisę įpareigoti vandenilio tinklo operatorių suteikti teisę naudotis jo valdoma vandenilio sistema, jeigu nustato, kad vandenilio tinklo operatoriaus atsisakymas yra nepagrįstas.</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tabs>
                    <w:tab w:val="left" w:pos="567"/>
                  </w:tabs>
                  <w:spacing w:line="276" w:lineRule="auto"/>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Gamtinių dujų įstatymas</w:t>
                </w:r>
              </w:p>
              <w:p>
                <w:pPr>
                  <w:tabs>
                    <w:tab w:val="left" w:pos="567"/>
                  </w:tabs>
                  <w:ind w:firstLine="720"/>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52 straipsnis. Atsisakymas suteikti teisę naudotis sistema</w:t>
                </w:r>
              </w:p>
              <w:p>
                <w:pPr>
                  <w:ind w:firstLine="720"/>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ind w:firstLine="720"/>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ind w:firstLine="720"/>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ind w:firstLine="720"/>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5">
                  <w:r>
                    <w:rPr>
                      <w:i/>
                      <w:iCs/>
                      <w:sz w:val="22"/>
                      <w:szCs w:val="22"/>
                      <w:lang w:val="lt" w:eastAsia="lt-LT"/>
                    </w:rPr>
                    <w:t>XIV-1185</w:t>
                  </w:r>
                </w:hyperlink>
                <w:r>
                  <w:rPr>
                    <w:i/>
                    <w:iCs/>
                    <w:color w:val="000000"/>
                    <w:sz w:val="22"/>
                    <w:szCs w:val="22"/>
                    <w:lang w:val="lt" w:eastAsia="lt-LT"/>
                  </w:rPr>
                  <w:t>, 2022-06-28, paskelbta TAR 2022-07-11, i. k. 2022-15168</w:t>
                </w:r>
              </w:p>
              <w:p>
                <w:pPr>
                  <w:jc w:val="both"/>
                  <w:rPr>
                    <w:i/>
                    <w:iCs/>
                    <w:color w:val="000000"/>
                    <w:sz w:val="22"/>
                    <w:szCs w:val="22"/>
                    <w:lang w:val="lt" w:eastAsia="lt-LT"/>
                  </w:rPr>
                </w:pPr>
                <w:r>
                  <w:rPr>
                    <w:i/>
                    <w:iCs/>
                    <w:color w:val="000000"/>
                    <w:sz w:val="22"/>
                    <w:szCs w:val="22"/>
                    <w:lang w:val="lt" w:eastAsia="lt-LT"/>
                  </w:rPr>
                  <w:t>&lt;...&gt;</w:t>
                </w:r>
              </w:p>
              <w:p>
                <w:pPr>
                  <w:tabs>
                    <w:tab w:val="left" w:pos="567"/>
                  </w:tabs>
                  <w:ind w:firstLine="720"/>
                  <w:jc w:val="both"/>
                  <w:rPr>
                    <w:b/>
                    <w:bCs/>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Nedarant poveikio Sąjungos ir nacionaliniams priklausomybės nuo iškastinio kuro mažinimo tikslams ir esamiems reikalavimams sumažinti iškastinių dujų suvartojimą arba pereiti prie kitų šaltinių, valstybės narės imasi tinkamų priemonių užtikrinti, kad perdavimo sistemos operatorius, skirstymo sistemos operatorius arba vandenilio tinklo operatoriai, atsisakęs (-ę) suteikti prieigą arba leisti prisijungti prie gamtinių dujų arba vandenilio sistemos dėl pajėgumo ar jungčių trūkumo, atliktų būtinus patobulinimus, jeigu jie ekonomiškai pagrįsti arba jeigu potencialus vartotojas yra pasirengęs už juos sumokėti.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ind w:firstLine="720"/>
                  <w:jc w:val="both"/>
                  <w:rPr>
                    <w:color w:val="000000"/>
                    <w:sz w:val="22"/>
                    <w:szCs w:val="22"/>
                    <w:lang w:val="lt" w:eastAsia="lt-LT"/>
                  </w:rPr>
                </w:pPr>
              </w:p>
              <w:p>
                <w:pPr>
                  <w:jc w:val="both"/>
                  <w:rPr>
                    <w:b/>
                    <w:sz w:val="22"/>
                    <w:szCs w:val="22"/>
                    <w:lang w:val="lt" w:eastAsia="lt-LT"/>
                  </w:rPr>
                </w:pPr>
                <w:r>
                  <w:rPr>
                    <w:b/>
                    <w:color w:val="000000"/>
                    <w:sz w:val="22"/>
                    <w:szCs w:val="22"/>
                    <w:lang w:val="lt" w:eastAsia="lt-LT"/>
                  </w:rPr>
                  <w:t>Gamtinių dujų įstatymas</w:t>
                </w:r>
              </w:p>
              <w:p>
                <w:pPr>
                  <w:jc w:val="both"/>
                  <w:rPr>
                    <w:b/>
                    <w:bCs/>
                    <w:sz w:val="22"/>
                    <w:szCs w:val="22"/>
                    <w:lang w:val="lt" w:eastAsia="lt-LT"/>
                  </w:rPr>
                </w:pPr>
                <w:r>
                  <w:rPr>
                    <w:b/>
                    <w:bCs/>
                    <w:sz w:val="22"/>
                    <w:szCs w:val="22"/>
                    <w:lang w:val="lt" w:eastAsia="lt-LT"/>
                  </w:rPr>
                  <w:t>52 straipsnis. Atsisakymas suteikti teisę naudotis sistema</w:t>
                </w:r>
              </w:p>
              <w:p>
                <w:pPr>
                  <w:jc w:val="both"/>
                  <w:rPr>
                    <w:sz w:val="22"/>
                    <w:szCs w:val="22"/>
                    <w:lang w:val="lt" w:eastAsia="lt-LT"/>
                  </w:rPr>
                </w:pPr>
                <w:r>
                  <w:rPr>
                    <w:color w:val="000000"/>
                    <w:sz w:val="22"/>
                    <w:szCs w:val="22"/>
                    <w:lang w:val="lt" w:eastAsia="lt-LT"/>
                  </w:rPr>
                  <w:t>&lt;...&gt;</w:t>
                </w:r>
              </w:p>
              <w:p>
                <w:pPr>
                  <w:ind w:firstLine="720"/>
                  <w:jc w:val="both"/>
                  <w:rPr>
                    <w:sz w:val="22"/>
                    <w:szCs w:val="22"/>
                    <w:lang w:eastAsia="lt-LT"/>
                  </w:rPr>
                </w:pPr>
                <w:r>
                  <w:rPr>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tabs>
                    <w:tab w:val="left" w:pos="567"/>
                  </w:tabs>
                  <w:jc w:val="both"/>
                  <w:rPr>
                    <w:b/>
                    <w:bCs/>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Suteikti prieigą prie dujų iš atsinaujinančiųjų išteklių ir mažo anglies dioksido pėdsako dujų galima atsisakyti tik remiantis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20 ir 36 straipsniais.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Nukrypstant nuo šio straipsnio 1, 2 ir 3 dalių, valstybė narė užtikrina, kad perdavimo sistemos operatoriams ir skirstymo sistemos operatoriams būtų leidžiama atsisakyti suteikti prieigą ar leisti prisijungti gamtinių dujų tinklo naudotojams arba leidžiama juos atjungti, visų pirma siekiant užtikrinti atitiktį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nustatyto poveikio klimatui neutralumo tikslo įgyvendinimui, jei: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pagal 55 straipsnį parengtame tinklo plėtros plane numatoma nutraukti perdavimo sistemos ar atitinkamų jos dalių eksploatavimą;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atitinkama nacionalinė institucija patvirtino tinklo eksploatavimo nutraukimo planą pagal 57 straipsnio 3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atitinkamas skirstymo tinklo operatorius, kuriam pagal 57 straipsnio 5 dalį leidžiama neteikti tinklo eksploatavimo nutraukimo planą, pranešė atitinkamai nacionalinei institucijai apie skirstymo tinklo arba atitinkamų jo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kurios pagal šio straipsnio 4 dalį leidžia atsisakyti suteikti prieigą ar leisti prisijungti tinklo naudotojams arba leidžia juos atjungti, numato reguliavimo sistemą, pagal kurią atsisakoma suteikti prieigą ar leisti prisijungti arba leidžiama atjungti, kuri būtų grindžiama reguliavimo institucijos nustatytais objektyviais, skaidriais ir nediskriminaciniais kriterijais, atsižvelgiant į paveiktus interesus, esamus reikalavimus sumažinti gamtinių dujų suvartojimą arba pereiti prie kitų šaltinių ir atitinkamus vietos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Valstybės narės imasi tinkamų priemonių, kad apsaugotų tinklo naudotojus pagal šios direktyvos 13 straipsnį, kai leidžiama juos atjungti.</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49 straipsnis. Teisė naudotis sistema</w:t>
                </w:r>
              </w:p>
              <w:p>
                <w:pPr>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color w:val="000000"/>
                    <w:sz w:val="22"/>
                    <w:szCs w:val="22"/>
                    <w:lang w:val="lt" w:eastAsia="lt-LT"/>
                  </w:rPr>
                  <w:t xml:space="preserve"> </w:t>
                </w:r>
                <w:r>
                  <w:rPr>
                    <w:color w:val="000000"/>
                    <w:sz w:val="22"/>
                    <w:szCs w:val="22"/>
                    <w:lang w:val="lt" w:eastAsia="lt-LT"/>
                  </w:rPr>
                  <w:t>skirstymo ir SGD sistemomis</w:t>
                </w:r>
                <w:r>
                  <w:rPr>
                    <w:b/>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Taryba ir sistemų operatoriai naudojimosi sistema taisykles skelbia savo interneto svetainėse. Teisė naudotis sistemomis turi būti suteikiama objektyviai, nediskriminuojant sistemos naudotojų.</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96" w:history="1">
                  <w:r>
                    <w:rPr>
                      <w:i/>
                      <w:iCs/>
                      <w:sz w:val="22"/>
                      <w:szCs w:val="22"/>
                      <w:lang w:val="lt" w:eastAsia="lt-LT"/>
                    </w:rPr>
                    <w:t>XV-166</w:t>
                  </w:r>
                </w:hyperlink>
                <w:r>
                  <w:rPr>
                    <w:i/>
                    <w:iCs/>
                    <w:color w:val="000000"/>
                    <w:sz w:val="22"/>
                    <w:szCs w:val="22"/>
                    <w:lang w:val="lt" w:eastAsia="lt-LT"/>
                  </w:rPr>
                  <w:t>, 2025-04-17, paskelbta TAR 2025-04-25, i. k. 2025-07424</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7" w:history="1">
                  <w:r>
                    <w:rPr>
                      <w:i/>
                      <w:iCs/>
                      <w:sz w:val="22"/>
                      <w:szCs w:val="22"/>
                      <w:lang w:val="lt" w:eastAsia="lt-LT"/>
                    </w:rPr>
                    <w:t>XIII-1971</w:t>
                  </w:r>
                </w:hyperlink>
                <w:r>
                  <w:rPr>
                    <w:i/>
                    <w:iCs/>
                    <w:color w:val="000000"/>
                    <w:sz w:val="22"/>
                    <w:szCs w:val="22"/>
                    <w:lang w:val="lt" w:eastAsia="lt-LT"/>
                  </w:rPr>
                  <w:t>, 2019-02-14, paskelbta TAR 2019-02-26, i. k. 2019-03169</w:t>
                </w:r>
              </w:p>
              <w:p>
                <w:pPr>
                  <w:jc w:val="both"/>
                  <w:rPr>
                    <w:color w:val="000000"/>
                    <w:sz w:val="22"/>
                    <w:szCs w:val="22"/>
                    <w:lang w:val="lt" w:eastAsia="lt-LT"/>
                  </w:rPr>
                </w:pP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52 straipsnis. Atsisakymas suteikti teisę naudotis sistema</w:t>
                </w:r>
              </w:p>
              <w:p>
                <w:pPr>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8"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2. Atsisakymas, grindžiamas įsipareigojimo mokėti už nepaimtą gamtinių dujų kiekį sutarčių („imk arba mokėk“ sutarčių) vykdymu, gali būti pripažintas tinkamu tik gavus Tarybos pritarimą.</w:t>
                </w:r>
              </w:p>
              <w:p>
                <w:pPr>
                  <w:jc w:val="both"/>
                  <w:rPr>
                    <w:color w:val="000000"/>
                    <w:sz w:val="22"/>
                    <w:szCs w:val="22"/>
                    <w:lang w:val="lt" w:eastAsia="lt-LT"/>
                  </w:rPr>
                </w:pPr>
                <w:r>
                  <w:rPr>
                    <w:color w:val="000000"/>
                    <w:sz w:val="22"/>
                    <w:szCs w:val="22"/>
                    <w:lang w:val="lt" w:eastAsia="lt-LT"/>
                  </w:rPr>
                  <w:t>3. Gamtinių dujų įmonė, atsisakiusi patenkinti kitos gamtinių dujų įmonės ar vartotojo raštu pateiktą prašymą naudotis sistema gamtinėms dujoms transportuoti, apie šį savo sprendimą ir jo priežastis per 10 darbo dienų praneša Tarybai.</w:t>
                </w:r>
              </w:p>
              <w:p>
                <w:pPr>
                  <w:jc w:val="both"/>
                  <w:rPr>
                    <w:color w:val="000000"/>
                    <w:sz w:val="22"/>
                    <w:szCs w:val="22"/>
                    <w:lang w:val="lt" w:eastAsia="lt-LT"/>
                  </w:rPr>
                </w:pPr>
                <w:r>
                  <w:rPr>
                    <w:color w:val="000000"/>
                    <w:sz w:val="22"/>
                    <w:szCs w:val="22"/>
                    <w:lang w:val="lt" w:eastAsia="lt-LT"/>
                  </w:rPr>
                  <w:t>4. Taryba turi teisę įpareigoti gamtinių dujų įmonę suteikti teisę pasinaudoti sistema, jeigu nustato, kad gamtinių dujų įmonės atsisakymas yra nepagrįstas.</w:t>
                </w:r>
              </w:p>
              <w:p>
                <w:pPr>
                  <w:jc w:val="both"/>
                  <w:rPr>
                    <w:color w:val="000000"/>
                    <w:sz w:val="22"/>
                    <w:szCs w:val="22"/>
                    <w:lang w:val="lt" w:eastAsia="lt-LT"/>
                  </w:rPr>
                </w:pPr>
                <w:r>
                  <w:rPr>
                    <w:color w:val="000000"/>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jc w:val="both"/>
                  <w:rPr>
                    <w:color w:val="000000"/>
                    <w:sz w:val="22"/>
                    <w:szCs w:val="22"/>
                    <w:lang w:val="lt" w:eastAsia="lt-LT"/>
                  </w:rPr>
                </w:pPr>
                <w:r>
                  <w:rPr>
                    <w:color w:val="000000"/>
                    <w:sz w:val="22"/>
                    <w:szCs w:val="22"/>
                    <w:lang w:val="lt" w:eastAsia="lt-LT"/>
                  </w:rPr>
                  <w:t>6. Gamtinių dujų įmonės, pateikdamos argumentuotus motyvus, atsisako suteikti teisę naudotis sistema, jeigu jos įgyvendina šio įstatymo 46 straipsnio 3</w:t>
                </w:r>
                <w:r>
                  <w:rPr>
                    <w:color w:val="000000"/>
                    <w:sz w:val="22"/>
                    <w:szCs w:val="22"/>
                    <w:vertAlign w:val="superscript"/>
                    <w:lang w:val="lt" w:eastAsia="lt-LT"/>
                  </w:rPr>
                  <w:t>1</w:t>
                </w:r>
                <w:r>
                  <w:rPr>
                    <w:color w:val="000000"/>
                    <w:sz w:val="22"/>
                    <w:szCs w:val="22"/>
                    <w:lang w:val="lt" w:eastAsia="lt-LT"/>
                  </w:rPr>
                  <w:t xml:space="preserve"> ir 3</w:t>
                </w:r>
                <w:r>
                  <w:rPr>
                    <w:color w:val="000000"/>
                    <w:sz w:val="22"/>
                    <w:szCs w:val="22"/>
                    <w:vertAlign w:val="superscript"/>
                    <w:lang w:val="lt" w:eastAsia="lt-LT"/>
                  </w:rPr>
                  <w:t>2</w:t>
                </w:r>
                <w:r>
                  <w:rPr>
                    <w:color w:val="000000"/>
                    <w:sz w:val="22"/>
                    <w:szCs w:val="22"/>
                    <w:lang w:val="lt" w:eastAsia="lt-LT"/>
                  </w:rPr>
                  <w:t xml:space="preserve"> dalyse nustatytus draudimus.</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Atsisakymas suteikti prieigą ar leisti prisijungti ir leidimas atjungti pagal šį straipsnį turi būti deramai pagrįsti.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ind w:firstLine="720"/>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ind w:firstLine="720"/>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ind w:firstLine="720"/>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ind w:firstLine="720"/>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ind w:firstLine="720"/>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ind w:firstLine="720"/>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ind w:firstLine="720"/>
                  <w:jc w:val="both"/>
                  <w:rPr>
                    <w:color w:val="000000"/>
                    <w:sz w:val="22"/>
                    <w:szCs w:val="22"/>
                    <w:lang w:val="lt" w:eastAsia="lt-LT"/>
                  </w:rPr>
                </w:pPr>
                <w:r>
                  <w:rPr>
                    <w:color w:val="000000"/>
                    <w:sz w:val="22"/>
                    <w:szCs w:val="22"/>
                    <w:lang w:val="lt" w:eastAsia="lt-LT"/>
                  </w:rPr>
                  <w:t>1) tikslą sukurti konkurencinę gamtinių dujų rinką;</w:t>
                </w:r>
              </w:p>
              <w:p>
                <w:pPr>
                  <w:ind w:firstLine="720"/>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ind w:firstLine="720"/>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ind w:firstLine="720"/>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ind w:firstLine="720"/>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ind w:firstLine="720"/>
                  <w:jc w:val="both"/>
                  <w:rPr>
                    <w:color w:val="000000"/>
                    <w:sz w:val="22"/>
                    <w:szCs w:val="22"/>
                    <w:lang w:val="lt" w:eastAsia="lt-LT"/>
                  </w:rPr>
                </w:pPr>
                <w:r>
                  <w:rPr>
                    <w:color w:val="000000"/>
                    <w:sz w:val="22"/>
                    <w:szCs w:val="22"/>
                    <w:lang w:val="lt" w:eastAsia="lt-LT"/>
                  </w:rPr>
                  <w:t>6) pastangas rasti problemos sprendimo būdą;</w:t>
                </w:r>
              </w:p>
              <w:p>
                <w:pPr>
                  <w:ind w:firstLine="720"/>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ind w:firstLine="720"/>
                  <w:jc w:val="both"/>
                  <w:rPr>
                    <w:color w:val="000000"/>
                    <w:sz w:val="22"/>
                    <w:szCs w:val="22"/>
                    <w:lang w:val="lt" w:eastAsia="lt-LT"/>
                  </w:rPr>
                </w:pPr>
                <w:r>
                  <w:rPr>
                    <w:color w:val="000000"/>
                    <w:sz w:val="22"/>
                    <w:szCs w:val="22"/>
                    <w:lang w:val="lt" w:eastAsia="lt-LT"/>
                  </w:rPr>
                  <w:t>8) sistemos sujungimą su kitomis sistemomis ir tų sistemų sąveiką;</w:t>
                </w:r>
              </w:p>
              <w:p>
                <w:pPr>
                  <w:ind w:firstLine="720"/>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ind w:firstLine="720"/>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ind w:firstLine="720"/>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Nr</w:t>
                </w:r>
                <w:r>
                  <w:rPr>
                    <w:i/>
                    <w:iCs/>
                    <w:sz w:val="22"/>
                    <w:szCs w:val="22"/>
                    <w:lang w:val="lt" w:eastAsia="lt-LT"/>
                  </w:rPr>
                  <w:t xml:space="preserve">. </w:t>
                </w:r>
                <w:hyperlink r:id="rId99">
                  <w:r>
                    <w:rPr>
                      <w:i/>
                      <w:iCs/>
                      <w:sz w:val="22"/>
                      <w:szCs w:val="22"/>
                      <w:lang w:val="lt" w:eastAsia="lt-LT"/>
                    </w:rPr>
                    <w:t>XI-2054</w:t>
                  </w:r>
                </w:hyperlink>
                <w:r>
                  <w:rPr>
                    <w:i/>
                    <w:iCs/>
                    <w:sz w:val="22"/>
                    <w:szCs w:val="22"/>
                    <w:lang w:val="lt" w:eastAsia="lt-LT"/>
                  </w:rPr>
                  <w:t xml:space="preserve">, 2012-06-12, Žin., 2012, Nr. </w:t>
                </w:r>
                <w:fldSimple w:instr="HYPERLINK https://www.e-tar.lt/portal/legalAct.html?documentId=TAIS.427222 \t _blank">
                  <w:r>
                    <w:rPr>
                      <w:i/>
                      <w:iCs/>
                      <w:sz w:val="22"/>
                      <w:szCs w:val="22"/>
                      <w:lang w:val="lt" w:eastAsia="lt-LT"/>
                      <w:u w:val="single"/>
                      <w:color w:val="0000FF" w:themeColor="hyperlink"/>
                    </w:rPr>
                    <w:t>68-3467</w:t>
                  </w:r>
                </w:fldSimple>
                <w:r>
                  <w:rPr>
                    <w:i/>
                    <w:iCs/>
                    <w:sz w:val="22"/>
                    <w:szCs w:val="22"/>
                    <w:lang w:val="lt" w:eastAsia="lt-LT"/>
                  </w:rPr>
                  <w:t xml:space="preserve"> (2012-06-19)</w:t>
                </w:r>
              </w:p>
              <w:p>
                <w:pPr>
                  <w:jc w:val="both"/>
                  <w:rPr>
                    <w:i/>
                    <w:iCs/>
                    <w:sz w:val="22"/>
                    <w:szCs w:val="22"/>
                    <w:lang w:val="lt" w:eastAsia="lt-LT"/>
                  </w:rPr>
                </w:pPr>
                <w:r>
                  <w:rPr>
                    <w:i/>
                    <w:iCs/>
                    <w:sz w:val="22"/>
                    <w:szCs w:val="22"/>
                    <w:lang w:val="lt" w:eastAsia="lt-LT"/>
                  </w:rPr>
                  <w:t>Straipsnio pakeitimai:</w:t>
                </w:r>
              </w:p>
              <w:p>
                <w:pPr>
                  <w:jc w:val="both"/>
                  <w:rPr>
                    <w:i/>
                    <w:iCs/>
                    <w:color w:val="000000"/>
                    <w:sz w:val="22"/>
                    <w:szCs w:val="22"/>
                    <w:lang w:val="lt" w:eastAsia="lt-LT"/>
                  </w:rPr>
                </w:pPr>
                <w:r>
                  <w:rPr>
                    <w:i/>
                    <w:iCs/>
                    <w:sz w:val="22"/>
                    <w:szCs w:val="22"/>
                    <w:lang w:val="lt" w:eastAsia="lt-LT"/>
                  </w:rPr>
                  <w:t xml:space="preserve">Nr. </w:t>
                </w:r>
                <w:hyperlink r:id="rId100">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 SKYRIUS </w:t>
                </w:r>
              </w:p>
              <w:p>
                <w:pPr>
                  <w:shd w:val="clear" w:color="auto" w:fill="FFFFFF"/>
                  <w:jc w:val="both"/>
                  <w:rPr>
                    <w:b/>
                    <w:bCs/>
                    <w:color w:val="000000"/>
                    <w:sz w:val="22"/>
                    <w:szCs w:val="22"/>
                    <w:lang w:eastAsia="lt-LT"/>
                  </w:rPr>
                </w:pPr>
                <w:r>
                  <w:rPr>
                    <w:b/>
                    <w:bCs/>
                    <w:color w:val="000000"/>
                    <w:sz w:val="22"/>
                    <w:szCs w:val="22"/>
                    <w:lang w:eastAsia="lt-LT"/>
                  </w:rPr>
                  <w:t>GAMTINIŲ DUJŲ PERDAVIMO, LAIKYMO IR SGD SISTEMOS OPERATORIAMS TAIKOMOS TAISYKLĖS</w:t>
                </w:r>
              </w:p>
              <w:p>
                <w:pPr>
                  <w:shd w:val="clear" w:color="auto" w:fill="FFFFFF"/>
                  <w:jc w:val="both"/>
                  <w:rPr>
                    <w:i/>
                    <w:iCs/>
                    <w:color w:val="000000"/>
                    <w:sz w:val="22"/>
                    <w:szCs w:val="22"/>
                    <w:lang w:eastAsia="lt-LT"/>
                  </w:rPr>
                </w:pPr>
                <w:r>
                  <w:rPr>
                    <w:i/>
                    <w:iCs/>
                    <w:color w:val="000000"/>
                    <w:sz w:val="22"/>
                    <w:szCs w:val="22"/>
                    <w:lang w:eastAsia="lt-LT"/>
                  </w:rPr>
                  <w:t>39 straipsnis</w:t>
                </w:r>
              </w:p>
              <w:p>
                <w:pPr>
                  <w:shd w:val="clear" w:color="auto" w:fill="FFFFFF"/>
                  <w:jc w:val="both"/>
                  <w:rPr>
                    <w:color w:val="000000"/>
                    <w:sz w:val="22"/>
                    <w:szCs w:val="22"/>
                    <w:lang w:eastAsia="lt-LT"/>
                  </w:rPr>
                </w:pPr>
                <w:r>
                  <w:rPr>
                    <w:b/>
                    <w:bCs/>
                    <w:color w:val="000000"/>
                    <w:sz w:val="22"/>
                    <w:szCs w:val="22"/>
                    <w:lang w:eastAsia="lt-LT"/>
                  </w:rPr>
                  <w:t>Gamtinių dujų perdavimo, laikymo ar SGD sistemos operatorių užduotys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gamtinių dujų perdavimo, laikymo ar SGD sistemos operatorius: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1. Kiekvienas perdavimo, laikymo ir (arba) SGD sistemos operatorius:</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p>
                <w:pPr>
                  <w:jc w:val="both"/>
                  <w:rPr>
                    <w:i/>
                    <w:iCs/>
                    <w:color w:val="000000"/>
                    <w:sz w:val="22"/>
                    <w:szCs w:val="22"/>
                    <w:lang w:val="lt" w:eastAsia="lt-LT"/>
                  </w:rPr>
                </w:pPr>
                <w:r>
                  <w:rPr>
                    <w:i/>
                    <w:iCs/>
                    <w:color w:val="000000"/>
                    <w:sz w:val="22"/>
                    <w:szCs w:val="22"/>
                    <w:lang w:val="lt" w:eastAsia="lt-LT"/>
                  </w:rPr>
                  <w:t>Straipsnio punkto pakeitimai:</w:t>
                </w:r>
              </w:p>
              <w:p>
                <w:pPr>
                  <w:tabs>
                    <w:tab w:val="left" w:pos="567"/>
                  </w:tabs>
                  <w:jc w:val="both"/>
                  <w:rPr>
                    <w:b/>
                    <w:bCs/>
                    <w:color w:val="000000"/>
                    <w:sz w:val="22"/>
                    <w:szCs w:val="22"/>
                    <w:lang w:eastAsia="lt-LT"/>
                  </w:rPr>
                </w:pPr>
                <w:r>
                  <w:rPr>
                    <w:i/>
                    <w:color w:val="000000"/>
                    <w:sz w:val="22"/>
                    <w:szCs w:val="22"/>
                    <w:lang w:val="lt" w:eastAsia="lt-LT"/>
                  </w:rPr>
                  <w:t>Nr</w:t>
                </w:r>
                <w:r>
                  <w:rPr>
                    <w:i/>
                    <w:sz w:val="22"/>
                    <w:szCs w:val="22"/>
                    <w:lang w:val="lt" w:eastAsia="lt-LT"/>
                  </w:rPr>
                  <w:t xml:space="preserve">. </w:t>
                </w:r>
                <w:hyperlink r:id="rId101" w:history="1">
                  <w:r>
                    <w:rPr>
                      <w:i/>
                      <w:sz w:val="22"/>
                      <w:szCs w:val="22"/>
                      <w:lang w:val="lt" w:eastAsia="lt-LT"/>
                    </w:rPr>
                    <w:t>XIII-707</w:t>
                  </w:r>
                </w:hyperlink>
                <w:r>
                  <w:rPr>
                    <w:i/>
                    <w:color w:val="000000"/>
                    <w:sz w:val="22"/>
                    <w:szCs w:val="22"/>
                    <w:lang w:val="lt" w:eastAsia="lt-LT"/>
                  </w:rPr>
                  <w:t>, 2017-11-07, paskelbta TAR 2017-11-16, i. k. 2017-18141</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ekonomikos sąlygomis eksploatuoja, prižiūri ir plėtoja saugius, patikimus ir efektyvius gamtinių dujų perdavimo, laikymo ar SGD įrenginius, skirtus atvirai rinkai užtikrinti, arba nutraukia jų eksploatavimą, deramai atsižvelgdamas į aplinką bei klimatą ir į Reglamente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taip pat užtikrina tinkamas priemones savo paslaugų teikimo įsipareigojimams vykdyti;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 sistemos naudotojų ar sistemos naudotojų kategorijų, ypač savo susijusių įmonių naudai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nediskriminuoja sistemos naudotojų ar sistemos naudotojų kategorijų;</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bet kuriam kitam perdavimo sistemos operatoriui, gamtinių dujų laikymo sistemos operatoriui, SGD sistemos operatoriui arba skirstymo sistemos operatoriui pateikia pakankamai informacijos, kad užtikrintų, jog gamtinių dujų transportavimą ir laikymą būtų galima vykdyti laikantis saugaus ir veiksmingo jungtinės sistemos eksploatavimo reikalavimų;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32"/>
                  </w:tabs>
                  <w:jc w:val="both"/>
                  <w:rPr>
                    <w:color w:val="000000"/>
                    <w:sz w:val="22"/>
                    <w:szCs w:val="22"/>
                    <w:lang w:eastAsia="lt-LT"/>
                  </w:rPr>
                </w:pPr>
                <w:r>
                  <w:rPr>
                    <w:color w:val="000000"/>
                    <w:sz w:val="22"/>
                    <w:szCs w:val="22"/>
                    <w:lang w:eastAsia="lt-LT"/>
                  </w:rPr>
                  <w:t>d) teikia sistemos naudotojams informaciją, kurios jiems reikia, kad galėtų veiksmingai naudotis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teikia sistemos naudotojams informaciją, reikalingą veiksmingai naudotis sistema.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Kiekvienas perdavimo sistemos operatorius pastato pakankamą tarpvalstybinį pajėgumą, skirtą Europos perdavimo infrastruktūrai integruoti, atsižvelgdamas į visą ekonomiškai pagrįstą ir techniškai įmanomą pajėgumo paklausą ir atsižvelgdamas į dujų tiekimo saugumą.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Perdavimo sistemos operatoriai bendradarbiauja su skirstymo sistemos operatoriais, kad užtikrintų veiksmingą prie tinklo prijungtų rinkos dalyvių dalyvavimą mažmeninėje, didmeninėje ir balansavimo rinkose.</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operatoriai užtikrina efektyvų dujų kokybės valdymą savo įrenginiuose pagal taikomus dujų kokybės standartus.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operatorių priimtos taisyklės dėl dujų perdavimo sistemos subalansavimo, įskaitant taisykles, pagal kurias iš jų tinklų naudotojų imamas mokestis už energijos disbalansą, turi būti objektyvios, skaidrios ir nediskriminacinės. Sąlygos, kuriomis perdavimo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arba, jei taip numato valstybės narės, reguliavimo institucijos gali reikalauti, kad perdavimo sistemos operatoriai laikytųsi būtiniausių perdavimo sistemos, įskaitant sujungimo pajėgumą, techninės priežiūros ir plėtros standartų.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Valstybės narės gali nustatyti, kad viena ar daugiau šio straipsnio 1 dalyje išvardytų užduočių būtų priskirtos kitam perdavimo sistemos operatoriui nei tas, kuriam perdavimo sistema priklauso nuosavybės teise ir kuriam kitu atveju būtų taikomos atitinkamos atsakomybės sritys. Perdavimo sistemos operatorius, kuriam paskirtos užduotys, turi būti sertifikuotas kaip operatorius, kuriam taikomas nuosavybės atskyrimas, nepriklausomas sistemos operatorius arba nepriklausomas perdavimo operatorius ir atitikti 60 straipsnyje nustatytus reikalavimus, tačiau neturi būti reikalaujama, kad jam nuosavybės teise priklausytų perdavimo sistema, už kurią jis yra atsakingas.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28 straipsnis. Perdavimo sistemos operatoriaus paskyrimas</w:t>
                </w:r>
              </w:p>
              <w:p>
                <w:pPr>
                  <w:jc w:val="both"/>
                  <w:rPr>
                    <w:color w:val="000000"/>
                    <w:sz w:val="22"/>
                    <w:szCs w:val="22"/>
                    <w:lang w:val="lt" w:eastAsia="lt-LT"/>
                  </w:rPr>
                </w:pPr>
                <w:r>
                  <w:rPr>
                    <w:color w:val="000000"/>
                    <w:sz w:val="22"/>
                    <w:szCs w:val="22"/>
                    <w:lang w:val="lt"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Perdavimo sistemos operatorius, kuriam nuosavybės teise priklauso perdavimo sistema, turi atitikti IX skyriuje nustatytus reikalavimus ir būti sertifikuotas pagal 71 straipsnį. Tai nedaro poveikio perdavimo sistemos operatorių, kurie yra sertifikuoti kaip operatoriai, kuriems taikomas nuosavybės atskyrimas, nepriklausomi sistemos operatoriai arba nepriklausomi perdavimo operatoriai, galimybei savo iniciatyva ir jiems vykdant priežiūrą deleguoti tam tikras užduotis kitiems perdavimo sistemos operatoriams, kurie yra sertifikuoti kaip operatoriai, kuriems taikomas nuosavybės atskyrimas, nepriklausomi sistemos operatoriai arba nepriklausomi perdavimo operatoriai, jeigu užduočių delegavimas nekelia pavojaus užduotis deleguojančio perdavimo sistemos operatoriaus teisėms priimti veiksmingus ir nepriklausomus sprendimus.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SGD, perdavimo ir gamtinių dujų laikymo sistemos operatoriai bendradarbiauja valstybėje narėje ir regiono mastu, kad užtikrintų efektyviausią įrenginių pajėgumų naudojimą ir tų įrenginių sinergiją, atsižvelgdami į sistemos vientisumą bei eksploatavimą ir vengdami sukurti SGD ir gamtinių dujų saugyklų eksploatavimo apribojimus.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Perdavimo sistemos operatoriai energiją, kurią jie suvartoja atlikdami savo funkcijas, įsigyja laikydamiesi skaidrios, nediskriminacinės ir rinkos pagrindu veikiančios tvarkos.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operatoriams ir perdavimo sistemos savininkams taikomi konfidencialumo reikalavimai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2" w:history="1">
                  <w:r>
                    <w:rPr>
                      <w:i/>
                      <w:iCs/>
                      <w:sz w:val="22"/>
                      <w:szCs w:val="22"/>
                      <w:lang w:val="lt" w:eastAsia="lt-LT"/>
                    </w:rPr>
                    <w:t>XIII-1971</w:t>
                  </w:r>
                </w:hyperlink>
                <w:r>
                  <w:rPr>
                    <w:i/>
                    <w:iCs/>
                    <w:color w:val="000000"/>
                    <w:sz w:val="22"/>
                    <w:szCs w:val="22"/>
                    <w:lang w:val="lt" w:eastAsia="lt-LT"/>
                  </w:rPr>
                  <w:t>, 2019-02-14, paskelbta TAR 2019-02-26, i. k. 2019-03169</w:t>
                </w:r>
              </w:p>
              <w:p>
                <w:pPr>
                  <w:tabs>
                    <w:tab w:val="left" w:pos="567"/>
                  </w:tabs>
                  <w:jc w:val="both"/>
                  <w:rPr>
                    <w:b/>
                    <w:bCs/>
                    <w:color w:val="000000"/>
                    <w:sz w:val="22"/>
                    <w:szCs w:val="22"/>
                    <w:lang w:eastAsia="lt-LT"/>
                  </w:rPr>
                </w:pPr>
              </w:p>
            </w:tc>
            <w:tc>
              <w:tcPr>
                <w:tcW w:w="1703" w:type="dxa"/>
                <w:gridSpan w:val="3"/>
                <w:vMerge w:val="restart"/>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1. Nedarant poveikio 74 straipsniui ar bet kuriai kitai teisinei pareigai atskleisti informaciją, kiekvienas gamtinių dujų perdavimo, laikymo ar SGD sistemos operatorius ir kiekvienas perdavimo sistemos savininkas išsaugo neskelbtinos komercinės informacijos, gautos vykdant jų veiklą, konfidencialumą ir užtikrina, kad informacija apie jų pačių veiklą, kuri gali suteikti komercinį pranašumą, nebūtų atskleista diskriminaciniu būdu. Jei gamtinių dujų perdavimo, laikymo ar SGD sistemos operatorius arba perdavimo sistemos savininkas yra vertikaliai integruotos įmonės padalinys, visų pirma jis neatskleidžia jokios neskelbtinos komercinės informacijos kitiems vertikaliai integruotos įmonės padaliniams, kurie nėra perdavimo sistemos operatoriai, skirstymo sistemos operatoriai ar vandenilio tinklo operatoriai, nebent tai reikalinga verslo sandoriui atlikti. Siekdamos užtikrinti griežtą informacijos atskyrimo taisyklių laikymąsi, valstybės narės užtikrina, kad perdavimo sistemos savininkas, be kita ko, skirstymo sistemos operatorių jungtinio operatoriaus atveju, ir kiti įmonės padaliniai, kurie nėra perdavimo ar skirstymo sistemos operatoriai arba vandenilio tinklo operatoriai, nesinaudotų bendromis tarnybomis, pavyzdžiui, bendromis teisės tarnybomis, išskyrus atvejus, kai vykdomos išimtinai administracinės arba su IT susijusios funkcijos.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3">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Susijusioms įmonėms parduodant ar perkant gamtines dujas, gamtinių dujų perdavimo, laikymo ar SGD sistemos operatoriai nenaudoja ne pagal paskirtį neskelbtinos komercinės informacijos, kurią gauna iš trečiųjų šalių suteikdami prieigą prie sistemos arba derėdamiesi dėl tokios prieigos. </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jc w:val="both"/>
                  <w:rPr>
                    <w:color w:val="000000"/>
                    <w:sz w:val="22"/>
                    <w:szCs w:val="22"/>
                    <w:lang w:val="lt" w:eastAsia="lt-LT"/>
                  </w:rPr>
                </w:pPr>
                <w:r>
                  <w:rPr>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41 straipsnis </w:t>
                </w:r>
              </w:p>
              <w:p>
                <w:pPr>
                  <w:shd w:val="clear" w:color="auto" w:fill="FFFFFF"/>
                  <w:jc w:val="both"/>
                  <w:rPr>
                    <w:i/>
                    <w:i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perdavimo sistemos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nustato ir paskelbia skaidrią ir efektyvią dujų iš atsinaujinančiųjų išteklių ir mažo anglies dioksido pėdsako dujų gamybos įrenginių nediskriminacinio prijungimo tvarką, atsižvelgdamas į pajėgumus, nustatytus 55 straipsnyje nurodytame dešimties metų tinklo plėtros plane. Tą tvarką tvirtina reguliavimo institucijos. Valstybės narės gali suteikti prijungimo pirmenybę biometano gamybos įrenginiams.</w:t>
                </w:r>
              </w:p>
            </w:tc>
            <w:tc>
              <w:tcPr>
                <w:tcW w:w="9407" w:type="dxa"/>
                <w:gridSpan w:val="3"/>
                <w:vAlign w:val="center"/>
              </w:tcPr>
              <w:p>
                <w:pPr>
                  <w:tabs>
                    <w:tab w:val="left" w:pos="567"/>
                  </w:tabs>
                  <w:jc w:val="both"/>
                  <w:rPr>
                    <w:b/>
                    <w:color w:val="000000"/>
                    <w:sz w:val="22"/>
                    <w:szCs w:val="22"/>
                    <w:lang w:val="lt" w:eastAsia="lt-LT"/>
                  </w:rPr>
                </w:pPr>
                <w:r>
                  <w:rPr>
                    <w:b/>
                    <w:bCs/>
                    <w:color w:val="000000"/>
                    <w:sz w:val="22"/>
                    <w:szCs w:val="22"/>
                    <w:lang w:val="lt" w:eastAsia="lt-LT"/>
                  </w:rPr>
                  <w:t>Atsinaujinančių</w:t>
                </w:r>
                <w:r>
                  <w:rPr>
                    <w:b/>
                    <w:color w:val="000000"/>
                    <w:sz w:val="22"/>
                    <w:szCs w:val="22"/>
                    <w:lang w:val="lt" w:eastAsia="lt-LT"/>
                  </w:rPr>
                  <w:t xml:space="preserve"> išteklių energetikos įstatymas</w:t>
                </w:r>
              </w:p>
              <w:p>
                <w:pPr>
                  <w:tabs>
                    <w:tab w:val="left" w:pos="567"/>
                  </w:tabs>
                  <w:jc w:val="both"/>
                  <w:rPr>
                    <w:b/>
                    <w:color w:val="000000"/>
                    <w:sz w:val="22"/>
                    <w:szCs w:val="22"/>
                    <w:lang w:val="lt" w:eastAsia="lt-LT"/>
                  </w:rPr>
                </w:pPr>
                <w:r>
                  <w:rPr>
                    <w:b/>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04"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05" w:history="1">
                  <w:r>
                    <w:rPr>
                      <w:i/>
                      <w:iCs/>
                      <w:sz w:val="22"/>
                      <w:szCs w:val="22"/>
                      <w:lang w:val="lt" w:eastAsia="lt-LT"/>
                    </w:rPr>
                    <w:t>XIV-1169</w:t>
                  </w:r>
                </w:hyperlink>
                <w:r>
                  <w:rPr>
                    <w:i/>
                    <w:iCs/>
                    <w:color w:val="000000"/>
                    <w:sz w:val="22"/>
                    <w:szCs w:val="22"/>
                    <w:lang w:val="lt" w:eastAsia="lt-LT"/>
                  </w:rPr>
                  <w:t>, 2022-06-23, paskelbta TAR 2022-07-07, i. k. 2022-14906</w:t>
                </w:r>
              </w:p>
              <w:p>
                <w:pPr>
                  <w:jc w:val="both"/>
                  <w:rPr>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val="lt"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val="lt" w:eastAsia="lt-LT"/>
                  </w:rPr>
                </w:pPr>
                <w:r>
                  <w:rPr>
                    <w:color w:val="000000"/>
                    <w:sz w:val="22"/>
                    <w:szCs w:val="22"/>
                    <w:lang w:val="lt" w:eastAsia="lt-LT"/>
                  </w:rPr>
                  <w:t>5. Taryba parengia ir patvirtina prijungimo įkainių nustatymo metodiką. Taryba tvirtina naujų buitinių vartotojų sistemų prijungimo įkainius.</w:t>
                </w:r>
              </w:p>
              <w:p>
                <w:pPr>
                  <w:jc w:val="both"/>
                  <w:rPr>
                    <w:color w:val="000000"/>
                    <w:sz w:val="22"/>
                    <w:szCs w:val="22"/>
                    <w:lang w:val="lt" w:eastAsia="lt-LT"/>
                  </w:rPr>
                </w:pPr>
                <w:r>
                  <w:rPr>
                    <w:color w:val="000000"/>
                    <w:sz w:val="22"/>
                    <w:szCs w:val="22"/>
                    <w:lang w:val="lt" w:eastAsia="lt-LT"/>
                  </w:rPr>
                  <w:t>6. Perdavimo ar skirstymo sistemos operatoriai padengia ekonomiškai pagrįstas sistemos plėtros ir prie perdavimo ar skirstymo sistemos prijungiamų vartotojų sistemų prijungimo išlaidas. Vartotojai, kurių sistemos prijungiamos prie</w:t>
                </w:r>
                <w:r>
                  <w:rPr>
                    <w:b/>
                    <w:color w:val="000000"/>
                    <w:sz w:val="22"/>
                    <w:szCs w:val="22"/>
                    <w:lang w:val="lt" w:eastAsia="lt-LT"/>
                  </w:rPr>
                  <w:t xml:space="preserve"> </w:t>
                </w:r>
                <w:r>
                  <w:rPr>
                    <w:color w:val="000000"/>
                    <w:sz w:val="22"/>
                    <w:szCs w:val="22"/>
                    <w:lang w:val="lt" w:eastAsia="lt-LT"/>
                  </w:rPr>
                  <w:t>perdavimo ar skirstymo sistemos, padengia ekonomiškai pagrįstas prijungimo išlaidas viršijančias išlaidas.</w:t>
                </w:r>
              </w:p>
              <w:p>
                <w:pPr>
                  <w:jc w:val="both"/>
                  <w:rPr>
                    <w:color w:val="000000"/>
                    <w:sz w:val="22"/>
                    <w:szCs w:val="22"/>
                    <w:lang w:val="lt" w:eastAsia="lt-LT"/>
                  </w:rPr>
                </w:pPr>
                <w:r>
                  <w:rPr>
                    <w:color w:val="000000"/>
                    <w:sz w:val="22"/>
                    <w:szCs w:val="22"/>
                    <w:lang w:val="lt" w:eastAsia="lt-LT"/>
                  </w:rPr>
                  <w:t>7. Prijungimo prie esamų gamtinių dujų sistemų išlaidos negali būti pripažintos pagrįstomis, jeigu dėl jų padidėtų kainos esamiems sistemų naudotojams ir gamtinių dujų vartotojams. Naujai dujofikuojamoms teritorijoms atsipirkimo laikotarpiu gali būti nustatyta tokia gamtinių dujų perdavimo ir skirstymo kaina, kuri padengtų investicijas.</w:t>
                </w:r>
              </w:p>
              <w:p>
                <w:pPr>
                  <w:jc w:val="both"/>
                  <w:rPr>
                    <w:color w:val="000000"/>
                    <w:sz w:val="22"/>
                    <w:szCs w:val="22"/>
                    <w:lang w:val="lt" w:eastAsia="lt-LT"/>
                  </w:rPr>
                </w:pPr>
                <w:r>
                  <w:rPr>
                    <w:color w:val="000000"/>
                    <w:sz w:val="22"/>
                    <w:szCs w:val="22"/>
                    <w:lang w:val="lt" w:eastAsia="lt-LT"/>
                  </w:rPr>
                  <w:t>8. Kai prie skirstymo sistemos prijungiama vartotojo sistema arba didinami skirstymo sistemos pajėgumai, išskyrus atvejus, kai prijungiant vartotojo sistemą arba didinant skirstymo sistemos pajėgumus prijungimo paslaugos kaina yra apskaičiuojama vadovaujantis Tarybos patvirtintais įkainiais, arba kai asmuo pageidauja perkelti, pertvarkyti (rekonstruoti) ar išmontuoti skirstymo sistemą, šis vartotojas ar kitas asmuo, pageidaujantis perkelti, pertvarkyti (rekonstruoti) ar išmontuoti skirstymo sistemą, turi teisę, suderinęs su skirstymo sistemos operatoriumi, energetikos ministro nustatyta tvarka savo lėšomis skirstymo sistemos operatoriaus vardu organizuoti ir vykdyti skirstymo sistemos projektavimą, įrengimą, įskaitant jos perkėlimą, pertvarkymą (rekonstravimą) ar išmontavimą, ir kitus darbus skirstymo sistemoje, jos objektuose ar atskirose jos dalyse. Šiuo atveju skirstymo sistema ir jos objektai ar atskiros jos dalys, kuriuos vartotojas ar kitas asmuo, pageidaujantis perkelti, pertvarkyti (rekonstruoti) ar išmontuoti skirstymo sistemą, įrengė, įskaitant jos perkėlimą, pertvarkymą (rekonstravimą) ar išmontavimą, ar kuriuose atliko kitus darbus, yra skirstymo sistemos operatoriaus nuosavybė. Kai prie šios skirstymo sistemos prijungiamos kitų vartotojų sistemos, už jų įrengimą ir (ar) naudojimą, įskaitant jų perkėlimą, pertvarkymą (rekonstravimą) ar išmontavimą, ar kitus darbus juos atlikusiam vartotojui ar kitam asmeniui nėra atlyginama.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color w:val="000000"/>
                    <w:sz w:val="22"/>
                    <w:szCs w:val="22"/>
                    <w:lang w:val="lt" w:eastAsia="lt-LT"/>
                  </w:rPr>
                </w:pPr>
                <w:r>
                  <w:rPr>
                    <w:b/>
                    <w:color w:val="000000"/>
                    <w:sz w:val="22"/>
                    <w:szCs w:val="22"/>
                    <w:lang w:val="lt" w:eastAsia="lt-LT"/>
                  </w:rPr>
                  <w:t>32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Siekdamos greitai prijungti prie tinklo biometano gamybos įrenginius, valstybės narės stengiasi užtikrinti, kad perdavimo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eastAsia="lt-LT"/>
                  </w:rPr>
                </w:pPr>
              </w:p>
              <w:p>
                <w:pPr>
                  <w:tabs>
                    <w:tab w:val="left" w:pos="567"/>
                  </w:tabs>
                  <w:jc w:val="both"/>
                  <w:rPr>
                    <w:b/>
                    <w:bCs/>
                    <w:color w:val="000000"/>
                    <w:sz w:val="22"/>
                    <w:szCs w:val="22"/>
                    <w:lang w:val="lt" w:eastAsia="lt-LT"/>
                  </w:rPr>
                </w:pPr>
                <w:r>
                  <w:rPr>
                    <w:b/>
                    <w:bCs/>
                    <w:color w:val="000000"/>
                    <w:sz w:val="22"/>
                    <w:szCs w:val="22"/>
                    <w:lang w:val="lt" w:eastAsia="lt-LT"/>
                  </w:rPr>
                  <w:t>Atsinaujinančių išteklių energetikos įstatymas</w:t>
                </w:r>
              </w:p>
              <w:p>
                <w:pPr>
                  <w:tabs>
                    <w:tab w:val="left" w:pos="567"/>
                  </w:tabs>
                  <w:jc w:val="both"/>
                  <w:rPr>
                    <w:b/>
                    <w:bCs/>
                    <w:color w:val="000000"/>
                    <w:sz w:val="22"/>
                    <w:szCs w:val="22"/>
                    <w:lang w:val="lt" w:eastAsia="lt-LT"/>
                  </w:rPr>
                </w:pPr>
                <w:r>
                  <w:rPr>
                    <w:b/>
                    <w:bCs/>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prijungimo prie perdavimo sistemos ir vandenilio perdavimo tinklo</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ir vandenilio perdavimo tinklo operatorius nustato ir paskelbia skaidrią ir efektyvią gamtinių dujų ir vandenilio saugyklų, SGD įrenginių, vandenilio terminalų ir pramonės vartotojų nediskriminacinio prijungimo prie perdavimo sistemos ir vandenilio perdavimo tinklo tvarką ir tarifus. Tą tvarką tvirtina reguliavimo institucija.</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shd w:val="clear" w:color="auto" w:fill="FFFFFF"/>
                    <w:lang w:eastAsia="lt-LT"/>
                  </w:rPr>
                </w:pP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b/>
                    <w:bCs/>
                    <w:color w:val="000000"/>
                    <w:sz w:val="22"/>
                    <w:szCs w:val="22"/>
                    <w:shd w:val="clear" w:color="auto" w:fill="FFFFFF"/>
                    <w:lang w:eastAsia="lt-LT"/>
                  </w:rPr>
                  <w:t>7 straipsnis. Tarybos funkcijos vandenilio sektoriuje</w:t>
                </w:r>
                <w:r>
                  <w:rPr>
                    <w:color w:val="000000"/>
                    <w:sz w:val="22"/>
                    <w:szCs w:val="22"/>
                    <w:shd w:val="clear" w:color="auto" w:fill="FFFFFF"/>
                    <w:lang w:eastAsia="lt-LT"/>
                  </w:rPr>
                  <w:t> </w:t>
                </w:r>
              </w:p>
              <w:p>
                <w:pPr>
                  <w:tabs>
                    <w:tab w:val="left" w:pos="993"/>
                    <w:tab w:val="left" w:pos="10992"/>
                    <w:tab w:val="left" w:pos="11908"/>
                    <w:tab w:val="left" w:pos="12824"/>
                    <w:tab w:val="left" w:pos="13740"/>
                    <w:tab w:val="left" w:pos="14656"/>
                  </w:tabs>
                  <w:ind w:left="71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567"/>
                  </w:tabs>
                  <w:ind w:firstLine="720"/>
                  <w:jc w:val="both"/>
                  <w:rPr>
                    <w:b/>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ind w:left="1440" w:hanging="360"/>
                  <w:jc w:val="both"/>
                  <w:rPr>
                    <w:b/>
                    <w:bCs/>
                    <w:color w:val="000000"/>
                    <w:kern w:val="2"/>
                    <w:sz w:val="22"/>
                    <w:szCs w:val="22"/>
                    <w:lang w:eastAsia="lt-LT"/>
                  </w:rPr>
                </w:pPr>
                <w:r>
                  <w:rPr>
                    <w:b/>
                    <w:bCs/>
                    <w:color w:val="000000"/>
                    <w:kern w:val="2"/>
                    <w:sz w:val="22"/>
                    <w:szCs w:val="22"/>
                    <w:lang w:eastAsia="lt-LT"/>
                  </w:rPr>
                  <w:t>9)</w:t>
                  <w:tab/>
                  <w:t>tvirtina vandenilio perdavimo ir skirstymo tinklų operatorių parengtas prijungimo prie vandenilio tinklų tvarkas ir sąlygas;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laikymo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 xml:space="preserve">Tarybos patvirtintas tvarkas  vandenilio tinklų operatoriai skelbia viešai.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2. Vandenilio gamyklos, vandenilio įrenginiai, vandenilio saugyklos, vandenilio laikymo įrenginiai, vandenilio terminalai, kiti vandenilio tinklai ir nebuitinių vartotojų įrenginiai prijungiami prie vandenilio tinklų laikantis </w:t>
                </w:r>
                <w:r>
                  <w:rPr>
                    <w:b/>
                    <w:bCs/>
                    <w:color w:val="000000"/>
                    <w:sz w:val="22"/>
                    <w:szCs w:val="22"/>
                    <w:lang w:val="lt" w:eastAsia="lt-LT"/>
                  </w:rPr>
                  <w:t>prijungimo prie vandenilio tinklų tvarkos,</w:t>
                </w:r>
                <w:r>
                  <w:rPr>
                    <w:b/>
                    <w:bCs/>
                    <w:color w:val="000000"/>
                    <w:sz w:val="22"/>
                    <w:szCs w:val="22"/>
                    <w:lang w:eastAsia="lt-LT"/>
                  </w:rPr>
                  <w:t xml:space="preserve"> nurodytos šio straipsnio 1 dalyje.</w:t>
                </w:r>
              </w:p>
              <w:p>
                <w:pPr>
                  <w:tabs>
                    <w:tab w:val="left" w:pos="567"/>
                  </w:tabs>
                  <w:ind w:firstLine="720"/>
                  <w:jc w:val="both"/>
                  <w:rPr>
                    <w:b/>
                    <w:bCs/>
                    <w:color w:val="0078D4"/>
                    <w:sz w:val="22"/>
                    <w:szCs w:val="22"/>
                    <w:u w:val="single"/>
                    <w:lang w:eastAsia="lt-LT"/>
                  </w:rPr>
                </w:pPr>
              </w:p>
              <w:p>
                <w:pPr>
                  <w:tabs>
                    <w:tab w:val="left" w:pos="567"/>
                  </w:tabs>
                  <w:jc w:val="both"/>
                  <w:rPr>
                    <w:b/>
                    <w:sz w:val="22"/>
                    <w:szCs w:val="22"/>
                    <w:lang w:eastAsia="lt-LT"/>
                  </w:rPr>
                </w:pPr>
                <w:r>
                  <w:rPr>
                    <w:b/>
                    <w:sz w:val="22"/>
                    <w:szCs w:val="22"/>
                    <w:lang w:eastAsia="lt-LT"/>
                  </w:rPr>
                  <w:t>Gamtinių dujų įstatymas</w:t>
                </w:r>
              </w:p>
              <w:p>
                <w:pPr>
                  <w:tabs>
                    <w:tab w:val="left" w:pos="567"/>
                  </w:tabs>
                  <w:jc w:val="both"/>
                  <w:rPr>
                    <w:b/>
                    <w:bCs/>
                    <w:color w:val="0078D4"/>
                    <w:sz w:val="22"/>
                    <w:szCs w:val="22"/>
                    <w:u w:val="single"/>
                    <w:lang w:eastAsia="lt-LT"/>
                  </w:rPr>
                </w:pPr>
              </w:p>
              <w:p>
                <w:pPr>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jc w:val="both"/>
                  <w:rPr>
                    <w:color w:val="000000"/>
                    <w:sz w:val="22"/>
                    <w:szCs w:val="22"/>
                    <w:lang w:val="lt"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val="lt" w:eastAsia="lt-LT"/>
                  </w:rPr>
                </w:pPr>
                <w:r>
                  <w:rPr>
                    <w:color w:val="000000"/>
                    <w:sz w:val="22"/>
                    <w:szCs w:val="22"/>
                    <w:lang w:val="lt" w:eastAsia="lt-LT"/>
                  </w:rPr>
                  <w:t>1) formuoja ir įgyvendina valstybės gamtinių dujų politiką;</w:t>
                </w:r>
              </w:p>
              <w:p>
                <w:pPr>
                  <w:ind w:right="57" w:firstLine="720"/>
                  <w:jc w:val="both"/>
                  <w:rPr>
                    <w:color w:val="000000"/>
                    <w:sz w:val="22"/>
                    <w:szCs w:val="22"/>
                    <w:lang w:val="lt" w:eastAsia="lt-LT"/>
                  </w:rPr>
                </w:pPr>
                <w:r>
                  <w:rPr>
                    <w:color w:val="000000"/>
                    <w:sz w:val="22"/>
                    <w:szCs w:val="22"/>
                    <w:lang w:val="lt" w:eastAsia="lt-LT"/>
                  </w:rPr>
                  <w:t>2) suderinusi su Valstybine vartotojų teisių apsaugos tarnyba, nustato sutarčių su buitiniais vartotojais dėl gamtinių dujų tiekimo, perdavimo ir skirstymo bei naujų buitinių vartotojų gamtinių dujų įrenginių prijungimo standartines sąlygas, kurios yra privalomos abiem sutarčių šalims;</w:t>
                </w:r>
              </w:p>
              <w:p>
                <w:pPr>
                  <w:ind w:firstLine="720"/>
                  <w:jc w:val="both"/>
                  <w:rPr>
                    <w:color w:val="000000"/>
                    <w:sz w:val="22"/>
                    <w:szCs w:val="22"/>
                    <w:lang w:val="lt"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6">
                  <w:r>
                    <w:rPr>
                      <w:i/>
                      <w:iCs/>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7">
                  <w:r>
                    <w:rPr>
                      <w:i/>
                      <w:iCs/>
                      <w:sz w:val="22"/>
                      <w:szCs w:val="22"/>
                      <w:lang w:val="lt" w:eastAsia="lt-LT"/>
                    </w:rPr>
                    <w:t>XIII-707</w:t>
                  </w:r>
                </w:hyperlink>
                <w:r>
                  <w:rPr>
                    <w:i/>
                    <w:iCs/>
                    <w:color w:val="000000"/>
                    <w:sz w:val="22"/>
                    <w:szCs w:val="22"/>
                    <w:lang w:val="lt" w:eastAsia="lt-LT"/>
                  </w:rPr>
                  <w:t>, 2017-11-07, paskelbta TAR 2017-11-16, i. k. 2017-18141</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Prijungimo prie gamtinių dujų sistemų įmokų ir įkainių nustatymo metodika</w:t>
                </w:r>
              </w:p>
              <w:p>
                <w:pPr>
                  <w:ind w:firstLine="567"/>
                  <w:jc w:val="both"/>
                  <w:rPr>
                    <w:color w:val="000000"/>
                    <w:sz w:val="22"/>
                    <w:szCs w:val="22"/>
                    <w:lang w:val="lt" w:eastAsia="lt-LT"/>
                  </w:rPr>
                </w:pPr>
                <w:r>
                  <w:rPr>
                    <w:color w:val="000000"/>
                    <w:sz w:val="22"/>
                    <w:szCs w:val="22"/>
                    <w:lang w:val="lt" w:eastAsia="lt-LT"/>
                  </w:rPr>
                  <w:t>1. Prijungimo prie gamtinių dujų (toliau – dujos) sistemų įmokų ir įkainių nustatymo metodika (toliau – Metodika) taikoma apskaičiuojant ir taikant:</w:t>
                </w:r>
              </w:p>
              <w:p>
                <w:pPr>
                  <w:ind w:firstLine="567"/>
                  <w:jc w:val="both"/>
                  <w:rPr>
                    <w:color w:val="000000"/>
                    <w:sz w:val="22"/>
                    <w:szCs w:val="22"/>
                    <w:lang w:val="lt" w:eastAsia="lt-LT"/>
                  </w:rPr>
                </w:pPr>
                <w:r>
                  <w:rPr>
                    <w:color w:val="000000"/>
                    <w:sz w:val="22"/>
                    <w:szCs w:val="22"/>
                    <w:lang w:val="lt" w:eastAsia="lt-LT"/>
                  </w:rPr>
                  <w:t>1.1. Prijungimo įmokas asmenims už naujų vartotojų dujų sistemų (toliau – vartotojo sistema), skirtų nebuitiniams dujų vartotojams (toliau – nebuitinis vartotojas), prijungimą prie dujų sistemos, naujų dujų sistemų prijungimą prie kitos dujų sistemos;</w:t>
                </w:r>
              </w:p>
              <w:p>
                <w:pPr>
                  <w:ind w:firstLine="567"/>
                  <w:jc w:val="both"/>
                  <w:rPr>
                    <w:color w:val="000000"/>
                    <w:sz w:val="22"/>
                    <w:szCs w:val="22"/>
                    <w:lang w:val="lt" w:eastAsia="lt-LT"/>
                  </w:rPr>
                </w:pPr>
                <w:r>
                  <w:rPr>
                    <w:color w:val="000000"/>
                    <w:sz w:val="22"/>
                    <w:szCs w:val="22"/>
                    <w:lang w:val="lt" w:eastAsia="lt-LT"/>
                  </w:rPr>
                  <w:t>1.2. Naujų vartotojų dujų sistemų, skirtų buitiniams dujų vartotojams (toliau – buitiniai vartotojai), prijungimo prie dujų sistemos įmokas (toliau – įmoka buitiniams vartotojams);</w:t>
                </w:r>
              </w:p>
              <w:p>
                <w:pPr>
                  <w:ind w:firstLine="567"/>
                  <w:jc w:val="both"/>
                  <w:rPr>
                    <w:color w:val="000000"/>
                    <w:sz w:val="22"/>
                    <w:szCs w:val="22"/>
                    <w:lang w:val="lt" w:eastAsia="lt-LT"/>
                  </w:rPr>
                </w:pPr>
                <w:r>
                  <w:rPr>
                    <w:color w:val="000000"/>
                    <w:sz w:val="22"/>
                    <w:szCs w:val="22"/>
                    <w:lang w:val="lt" w:eastAsia="lt-LT"/>
                  </w:rPr>
                  <w:t>1.3. Naujų vartotojų sistemų, skirtų buitiniams vartotojams, prijungimo prie dujų sistemos įkainius.</w:t>
                </w:r>
              </w:p>
              <w:p>
                <w:pPr>
                  <w:jc w:val="both"/>
                  <w:rPr>
                    <w:b/>
                    <w:bCs/>
                    <w:color w:val="000000"/>
                    <w:sz w:val="22"/>
                    <w:szCs w:val="22"/>
                    <w:lang w:val="lt" w:eastAsia="lt-LT"/>
                  </w:rPr>
                </w:pPr>
              </w:p>
              <w:p>
                <w:pPr>
                  <w:tabs>
                    <w:tab w:val="left" w:pos="567"/>
                  </w:tabs>
                  <w:jc w:val="both"/>
                  <w:rPr>
                    <w:b/>
                    <w:b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tabs>
                    <w:tab w:val="center" w:pos="4153"/>
                    <w:tab w:val="right" w:pos="8306"/>
                  </w:tabs>
                  <w:jc w:val="both"/>
                  <w:rPr>
                    <w:b/>
                    <w:bCs/>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ir vandenilio perdavimo tinklo operatorius neturi teisės atsisakyti prijungti naują gamtinių dujų arba vandenilio saugyklą, SGD įrenginį, vandenilio terminalą ar pramonės vartotoją motyvuodamas turimų tinklo pajėgumų galimais apribojimais ateityje arba papildomomis išlaidomis, susijusiomis su būtinu pajėgumų didinimu. Perdavimo sistemos operatorius ir vandenilio perdavimo tinklo operatorius užtikrina naujos jungties pakankamą įleidimo ir išleidimo pajėgumą.</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16. Vandenilio perdavimo tinklo operatorius neturi teisės atsisakyti prijungti naują vandenilio gamyklą, vandenilio įrenginius, vandenilio saugyklą, vandenilio laikymo įrenginius, vandenilio terminalą, kitų vandenilio tinklų ar nebuitinio vartotojo įrenginius, motyvuodamas turimų tinklo pajėgumų galimais apribojimais ateityje arba papildomomis išlaidomis, susijusiomis su būtinu pajėgumų didinimu, išskyrus 48 straipsnyje numatytais atvejais. Vandenilio perdavimo tinklo operatorius besikreipiančių asmenų lėšomis užtikrina naujo prijungimo taško pakankamą įleidimo ir išleidimo pajėgumą.</w:t>
                </w:r>
              </w:p>
              <w:p>
                <w:pPr>
                  <w:tabs>
                    <w:tab w:val="left" w:pos="567"/>
                  </w:tabs>
                  <w:jc w:val="both"/>
                  <w:rPr>
                    <w:strike/>
                    <w:color w:val="D13438"/>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Gamtinių dujų įstatymas</w:t>
                </w:r>
              </w:p>
              <w:p>
                <w:pPr>
                  <w:tabs>
                    <w:tab w:val="left" w:pos="567"/>
                  </w:tabs>
                  <w:ind w:firstLine="720"/>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prijungimas</w:t>
                </w:r>
              </w:p>
              <w:p>
                <w:pPr>
                  <w:tabs>
                    <w:tab w:val="left" w:pos="567"/>
                  </w:tabs>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8">
                  <w:r>
                    <w:rPr>
                      <w:i/>
                      <w:iCs/>
                      <w:sz w:val="22"/>
                      <w:szCs w:val="22"/>
                      <w:lang w:val="lt" w:eastAsia="lt-LT"/>
                    </w:rPr>
                    <w:t>XIII-707</w:t>
                  </w:r>
                </w:hyperlink>
                <w:r>
                  <w:rPr>
                    <w:i/>
                    <w:iCs/>
                    <w:color w:val="000000"/>
                    <w:sz w:val="22"/>
                    <w:szCs w:val="22"/>
                    <w:lang w:val="lt" w:eastAsia="lt-LT"/>
                  </w:rPr>
                  <w:t>, 2017-11-07, paskelbta TAR 2017-11-16, i. k. 2017-18141</w:t>
                </w:r>
              </w:p>
              <w:p>
                <w:pPr>
                  <w:tabs>
                    <w:tab w:val="left" w:pos="567"/>
                  </w:tabs>
                  <w:ind w:firstLine="720"/>
                  <w:jc w:val="both"/>
                  <w:rPr>
                    <w:b/>
                    <w:bCs/>
                    <w:color w:val="000000"/>
                    <w:sz w:val="22"/>
                    <w:szCs w:val="22"/>
                    <w:lang w:val="lt" w:eastAsia="lt-LT"/>
                  </w:rPr>
                </w:pPr>
              </w:p>
              <w:p>
                <w:pPr>
                  <w:tabs>
                    <w:tab w:val="left" w:pos="567"/>
                  </w:tabs>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VI SKYRIUS </w:t>
                </w:r>
              </w:p>
              <w:p>
                <w:pPr>
                  <w:shd w:val="clear" w:color="auto" w:fill="FFFFFF"/>
                  <w:jc w:val="both"/>
                  <w:rPr>
                    <w:b/>
                    <w:bCs/>
                    <w:color w:val="000000"/>
                    <w:sz w:val="22"/>
                    <w:szCs w:val="22"/>
                    <w:lang w:eastAsia="lt-LT"/>
                  </w:rPr>
                </w:pPr>
                <w:r>
                  <w:rPr>
                    <w:b/>
                    <w:bCs/>
                    <w:color w:val="000000"/>
                    <w:sz w:val="22"/>
                    <w:szCs w:val="22"/>
                    <w:lang w:eastAsia="lt-LT"/>
                  </w:rPr>
                  <w:t>GAMTINIŲ DUJŲ IR VANDENILIO SKIRSTYMO SISTEMOS EKSPLOATAVIMAS</w:t>
                </w:r>
              </w:p>
              <w:p>
                <w:pPr>
                  <w:shd w:val="clear" w:color="auto" w:fill="FFFFFF"/>
                  <w:jc w:val="both"/>
                  <w:rPr>
                    <w:i/>
                    <w:iCs/>
                    <w:color w:val="000000"/>
                    <w:sz w:val="22"/>
                    <w:szCs w:val="22"/>
                    <w:lang w:eastAsia="lt-LT"/>
                  </w:rPr>
                </w:pPr>
                <w:r>
                  <w:rPr>
                    <w:i/>
                    <w:iCs/>
                    <w:color w:val="000000"/>
                    <w:sz w:val="22"/>
                    <w:szCs w:val="22"/>
                    <w:lang w:eastAsia="lt-LT"/>
                  </w:rPr>
                  <w:t xml:space="preserve">43 straipsnis </w:t>
                </w:r>
              </w:p>
              <w:p>
                <w:pPr>
                  <w:shd w:val="clear" w:color="auto" w:fill="FFFFFF"/>
                  <w:jc w:val="both"/>
                  <w:rPr>
                    <w:color w:val="000000"/>
                    <w:sz w:val="22"/>
                    <w:szCs w:val="22"/>
                    <w:lang w:eastAsia="lt-LT"/>
                  </w:rPr>
                </w:pPr>
                <w:r>
                  <w:rPr>
                    <w:b/>
                    <w:bCs/>
                    <w:color w:val="000000"/>
                    <w:sz w:val="22"/>
                    <w:szCs w:val="22"/>
                    <w:lang w:eastAsia="lt-LT"/>
                  </w:rPr>
                  <w:t xml:space="preserve">Skirstymo sistemos operatorių ir </w:t>
                </w:r>
                <w:r>
                  <w:rPr>
                    <w:b/>
                    <w:bCs/>
                    <w:sz w:val="22"/>
                    <w:szCs w:val="22"/>
                    <w:lang w:eastAsia="lt-LT"/>
                  </w:rPr>
                  <w:t>vandenilio skirstymo tinklo operatorių paskyrimas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vykdydamos skaidrią procedūrą, valstybės narės, atsižvelgdamos į ekonominį veiksmingumą bei energijos vartojimo efektyvumą ir ekonominę pusiausvyrą, paskiria vieną ar daugiau skirstymo sistemos operatorių arba vandenilio skirstymo tinklo operatorių, arba reikalauja, kad tai padarytų įmonės, kurioms nuosavybės teise priklauso skirstymo sistemos ar vandenilio skirstymo tinklai arba kurios yra atsakingos už šias sistemas ar tinklus, ir užtikrina kad tie operatoriai laikytųsi 44, 46, 47 ir 50 straipsnių.</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29</w:t>
                </w:r>
                <w:r>
                  <w:rPr>
                    <w:b/>
                    <w:bCs/>
                    <w:color w:val="000000"/>
                    <w:sz w:val="22"/>
                    <w:szCs w:val="22"/>
                    <w:vertAlign w:val="superscript"/>
                    <w:lang w:eastAsia="lt-LT"/>
                  </w:rPr>
                  <w:t xml:space="preserve"> </w:t>
                </w:r>
                <w:r>
                  <w:rPr>
                    <w:b/>
                    <w:bCs/>
                    <w:color w:val="000000"/>
                    <w:sz w:val="22"/>
                    <w:szCs w:val="22"/>
                    <w:lang w:eastAsia="lt-LT"/>
                  </w:rPr>
                  <w:t>straipsnis. Vandenilio skirstymo tinklo operatoriaus paskyrimas</w:t>
                </w:r>
              </w:p>
              <w:p>
                <w:pPr>
                  <w:spacing w:line="276" w:lineRule="auto"/>
                  <w:ind w:firstLine="720"/>
                  <w:jc w:val="both"/>
                  <w:rPr>
                    <w:b/>
                    <w:bCs/>
                    <w:color w:val="000000"/>
                    <w:sz w:val="22"/>
                    <w:szCs w:val="22"/>
                    <w:lang w:eastAsia="lt-LT"/>
                  </w:rPr>
                </w:pPr>
                <w:r>
                  <w:rPr>
                    <w:b/>
                    <w:bCs/>
                    <w:color w:val="000000"/>
                    <w:sz w:val="22"/>
                    <w:szCs w:val="22"/>
                    <w:lang w:eastAsia="lt-LT"/>
                  </w:rPr>
                  <w:t>1. Vandenilio skirstymo tinklo operatorius paskiriamas Tarybos organizuojamos atviros, skaidrios ir nediskriminacinės procedūros būdu, kurios organizavimo tvarka ir sąlygos nustatomos Licencijavimo taisyklėse, išskyrus šio straipsnio 3 dalyje nustatyta tvarka.</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operatoriumi gali būti paskiriamas Lietuvos Respublikoje įsteigtas juridinis asmuo arba kitos valstybės narės juridinis asmuo ar kitos organizacijos padalinys, įsteigtas Lietuvos Respublikoje, ir atitinkantis 20 ir 41 straipsniuose nustatytus reikalavimus, išduodant jam vandenilio skirstymo veiklos licenciją.</w:t>
                </w:r>
              </w:p>
              <w:p>
                <w:pPr>
                  <w:spacing w:line="276" w:lineRule="auto"/>
                  <w:ind w:firstLine="720"/>
                  <w:jc w:val="both"/>
                  <w:rPr>
                    <w:b/>
                    <w:bCs/>
                    <w:color w:val="000000"/>
                    <w:sz w:val="22"/>
                    <w:szCs w:val="22"/>
                    <w:lang w:eastAsia="lt-LT"/>
                  </w:rPr>
                </w:pPr>
                <w:r>
                  <w:rPr>
                    <w:b/>
                    <w:bCs/>
                    <w:color w:val="000000"/>
                    <w:sz w:val="22"/>
                    <w:szCs w:val="22"/>
                    <w:lang w:eastAsia="lt-LT"/>
                  </w:rPr>
                  <w:t>3. Tais atvejais, kai atliekamas gamtinių dujų skirstymo sistemos paskirties keitimas į vandenilio skirstymo tinklą, vandenilio skirstymo tinklo operatorius paskiriamas Gamtinių dujų įstatymo nustatyta tvarka.</w:t>
                </w:r>
              </w:p>
              <w:p>
                <w:pPr>
                  <w:ind w:right="57" w:firstLine="720"/>
                  <w:jc w:val="both"/>
                  <w:rPr>
                    <w:b/>
                    <w:color w:val="000000"/>
                    <w:sz w:val="22"/>
                    <w:szCs w:val="22"/>
                    <w:lang w:eastAsia="lt-LT"/>
                  </w:rPr>
                </w:pPr>
              </w:p>
              <w:p>
                <w:pPr>
                  <w:shd w:val="clear" w:color="auto" w:fill="FFFFFF"/>
                  <w:jc w:val="both"/>
                  <w:rPr>
                    <w:i/>
                    <w:color w:val="000000"/>
                    <w:sz w:val="22"/>
                    <w:szCs w:val="22"/>
                    <w:lang w:eastAsia="lt-LT"/>
                  </w:rPr>
                </w:pPr>
                <w:r>
                  <w:rPr>
                    <w:color w:val="000000"/>
                    <w:sz w:val="22"/>
                    <w:szCs w:val="22"/>
                    <w:lang w:eastAsia="lt-LT"/>
                  </w:rPr>
                  <w:t>P</w:t>
                </w:r>
                <w:r>
                  <w:rPr>
                    <w:i/>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5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44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Skirstymo sistemos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Kiekvienas skirstymo sistemos operatorius yra atsakingas už tai, kad būtų užtikrintas ilgalaikis sistemos gebėjimas patenkinti pagrįstą gamtinių dujų skirstymo, įskaitant biometano įleidimą, pagal šios direktyvos 55 ir 57 straipsnius paklausą ir kad ekonomikos sąlygomis būtų eksploatuojama, prižiūrima, plėtojama saugi, patikima ir veiksminga sistema jo regione arba būtų nutrauktas jos eksploatavimas, deramai atsižvelgiant į aplinką, Reglamentu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ir energijos vartojimo efektyvumą. </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color w:val="000000"/>
                    <w:sz w:val="22"/>
                    <w:szCs w:val="22"/>
                    <w:lang w:val="lt" w:eastAsia="lt-LT"/>
                  </w:rPr>
                </w:pPr>
                <w:r>
                  <w:rPr>
                    <w:color w:val="000000"/>
                    <w:sz w:val="22"/>
                    <w:szCs w:val="22"/>
                    <w:lang w:val="lt" w:eastAsia="lt-LT"/>
                  </w:rPr>
                  <w:t>1. Kiekvienas skirstymo sistemos operatorius yra atsakingas už ilgalaikį sistemos pajėgumą vykdyti pagrįstus gamtinių dujų skirstymo poreikius, ekonomiškai eksploatuojant, prižiūrint ir plėtojant saugią, patikimą ir veiksmingą sistemą, atsižvelgiant į aplinkos apsaugos reikalavimus ir energijos vartojimo efektyvumą.</w:t>
                </w:r>
              </w:p>
              <w:p>
                <w:pPr>
                  <w:ind w:right="57" w:firstLine="720"/>
                  <w:jc w:val="both"/>
                  <w:rPr>
                    <w:color w:val="000000"/>
                    <w:sz w:val="22"/>
                    <w:szCs w:val="22"/>
                    <w:lang w:val="lt" w:eastAsia="lt-LT"/>
                  </w:rPr>
                </w:pPr>
                <w:r>
                  <w:rPr>
                    <w:color w:val="000000"/>
                    <w:sz w:val="22"/>
                    <w:szCs w:val="22"/>
                    <w:lang w:val="lt" w:eastAsia="lt-LT"/>
                  </w:rPr>
                  <w:t>2. Bet kuriuo atveju skirstymo sistemos operatorius nediskriminuoja sistemos naudotojų ar sistemos naudotojų kategorijų, ypač su juo susijusių įmonių naudai.</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9">
                  <w:r>
                    <w:rPr>
                      <w:i/>
                      <w:iCs/>
                      <w:sz w:val="22"/>
                      <w:szCs w:val="22"/>
                      <w:lang w:val="lt" w:eastAsia="lt-LT"/>
                    </w:rPr>
                    <w:t>XIII-1971</w:t>
                  </w:r>
                </w:hyperlink>
                <w:r>
                  <w:rPr>
                    <w:i/>
                    <w:iCs/>
                    <w:color w:val="000000"/>
                    <w:sz w:val="22"/>
                    <w:szCs w:val="22"/>
                    <w:lang w:val="lt" w:eastAsia="lt-LT"/>
                  </w:rPr>
                  <w:t>, 2019-02-14, paskelbta TAR 2019-02-26, i. k. 2019-03169</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Atsinaujinančių energijos išteklių įstatymas</w:t>
                </w:r>
              </w:p>
              <w:p>
                <w:pPr>
                  <w:jc w:val="both"/>
                  <w:rPr>
                    <w:i/>
                    <w:i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0">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1">
                  <w:r>
                    <w:rPr>
                      <w:i/>
                      <w:iCs/>
                      <w:sz w:val="22"/>
                      <w:szCs w:val="22"/>
                      <w:lang w:val="lt" w:eastAsia="lt-LT"/>
                    </w:rPr>
                    <w:t>XIV-1169</w:t>
                  </w:r>
                </w:hyperlink>
                <w:r>
                  <w:rPr>
                    <w:i/>
                    <w:iCs/>
                    <w:color w:val="000000"/>
                    <w:sz w:val="22"/>
                    <w:szCs w:val="22"/>
                    <w:lang w:val="lt" w:eastAsia="lt-LT"/>
                  </w:rPr>
                  <w:t>, 2022-06-23, paskelbta TAR 2022-07-07, i. k. 2022-14906</w:t>
                </w:r>
              </w:p>
              <w:p>
                <w:pPr>
                  <w:ind w:firstLine="57"/>
                  <w:jc w:val="both"/>
                  <w:rPr>
                    <w:color w:val="000000"/>
                    <w:sz w:val="22"/>
                    <w:szCs w:val="22"/>
                    <w:lang w:val="lt" w:eastAsia="lt-LT"/>
                  </w:rPr>
                </w:pPr>
              </w:p>
              <w:p>
                <w:pPr>
                  <w:ind w:firstLine="567"/>
                  <w:jc w:val="both"/>
                  <w:rPr>
                    <w:i/>
                    <w:iCs/>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taip nusprendžia reguliavimo institucijos, skirstymo sistemos operatoriams gali būti pavesta užtikrinti efektyvų dujų kokybės valdymą savo sistemose pagal taikytinus dujų kokybės standartus, jei dėl dujų iš atsinaujinančiųjų išteklių ir mažo anglies dioksido pėdsako dujų įleidimo tai būtina sistemos valdymo reikmėms.</w:t>
                </w:r>
              </w:p>
            </w:tc>
            <w:tc>
              <w:tcPr>
                <w:tcW w:w="9407" w:type="dxa"/>
                <w:gridSpan w:val="3"/>
                <w:vAlign w:val="center"/>
              </w:tcPr>
              <w:p>
                <w:pPr>
                  <w:spacing w:line="257" w:lineRule="auto"/>
                  <w:jc w:val="both"/>
                  <w:rPr>
                    <w:rFonts w:eastAsia="Times New Roman, Apto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pacing w:line="257" w:lineRule="auto"/>
                  <w:jc w:val="both"/>
                  <w:rPr>
                    <w:rFonts w:eastAsia="Times New Roman, Aptos"/>
                    <w:color w:val="000000"/>
                    <w:sz w:val="22"/>
                    <w:szCs w:val="22"/>
                    <w:lang w:eastAsia="lt-LT"/>
                  </w:rPr>
                </w:pPr>
                <w:r>
                  <w:rPr>
                    <w:rFonts w:eastAsia="Calibri"/>
                    <w:i/>
                    <w:color w:val="000000"/>
                    <w:sz w:val="22"/>
                    <w:szCs w:val="22"/>
                    <w:lang w:eastAsia="lt-LT"/>
                  </w:rPr>
                  <w:t>Ši nuostata integruojama į nacionalinius Gamtinių dujų kokybės reikalavimus, patvirtintus Lietuvos Respublikos energetikos ministro 2013 m. spalio 4 d. įsakymu Nr. 1-194 „Dėl Gamtinių dujų kokybės reikalavimų patvirtinimo", kurie nustato kokybės ir sudėties kriterijus dujoms, tiekiamoms į Lietuvos Respublikos gamtinių dujų perdavimo ir (ar) skirstymo sistemas bei galutiniams vartotojams, aiškiai reglamentuoja privalomas pareigas dujų įmonėms ir skirstymo sistemos operatoriams, o ribiniai dujų kokybės parametrai bei jų užtikrinimo tvarka reglamentuojami Lietuvos Respublikos teisės aktais</w:t>
                </w:r>
                <w:r>
                  <w:rPr>
                    <w:rFonts w:eastAsia="Calibri"/>
                    <w:color w:val="000000"/>
                    <w:sz w:val="22"/>
                    <w:szCs w:val="22"/>
                    <w:lang w:eastAsia="lt-LT"/>
                  </w:rPr>
                  <w:t>.</w:t>
                </w:r>
              </w:p>
              <w:p>
                <w:pPr>
                  <w:spacing w:line="257" w:lineRule="auto"/>
                  <w:jc w:val="both"/>
                  <w:rPr>
                    <w:rFonts w:eastAsia="Times New Roman, Aptos"/>
                    <w:i/>
                    <w:color w:val="000000"/>
                    <w:sz w:val="22"/>
                    <w:szCs w:val="22"/>
                    <w:lang w:eastAsia="lt-LT"/>
                  </w:rPr>
                </w:pPr>
              </w:p>
              <w:p>
                <w:pPr>
                  <w:spacing w:line="420" w:lineRule="auto"/>
                  <w:ind w:right="1740"/>
                  <w:jc w:val="both"/>
                  <w:rPr>
                    <w:i/>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Bet kuriuo atveju skirstymo sistemos operatorius nediskriminuoja sistemos naudotojų ar sistemos naudotojų kategorijų, ypač savo susijusių įmonių naudai. </w:t>
                </w:r>
              </w:p>
            </w:tc>
            <w:tc>
              <w:tcPr>
                <w:tcW w:w="9407" w:type="dxa"/>
                <w:gridSpan w:val="3"/>
                <w:vAlign w:val="center"/>
              </w:tcPr>
              <w:p>
                <w:pPr>
                  <w:ind w:firstLine="720"/>
                  <w:jc w:val="both"/>
                  <w:rPr>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Gamtinių dujų įstatymas</w:t>
                </w:r>
              </w:p>
              <w:p>
                <w:pPr>
                  <w:jc w:val="both"/>
                  <w:rPr>
                    <w:color w:val="000000"/>
                    <w:sz w:val="22"/>
                    <w:szCs w:val="22"/>
                    <w:lang w:val="lt" w:eastAsia="lt-LT"/>
                  </w:rPr>
                </w:pPr>
                <w:r>
                  <w:rPr>
                    <w:b/>
                    <w:bCs/>
                    <w:color w:val="000000"/>
                    <w:sz w:val="22"/>
                    <w:szCs w:val="22"/>
                    <w:lang w:val="lt" w:eastAsia="lt-LT"/>
                  </w:rPr>
                  <w:t>20 straipsnis. Licencijos, leidimai ir atestatai gamtinių dujų sektoriuje</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Asmenys, kurie vykdo šio straipsnio 1 ir 2 dalyse</w:t>
                </w:r>
                <w:r>
                  <w:rPr>
                    <w:b/>
                    <w:bCs/>
                    <w:color w:val="000000"/>
                    <w:sz w:val="22"/>
                    <w:szCs w:val="22"/>
                    <w:lang w:val="lt" w:eastAsia="lt-LT"/>
                  </w:rPr>
                  <w:t xml:space="preserve"> </w:t>
                </w:r>
                <w:r>
                  <w:rPr>
                    <w:color w:val="000000"/>
                    <w:sz w:val="22"/>
                    <w:szCs w:val="22"/>
                    <w:lang w:val="lt" w:eastAsia="lt-LT"/>
                  </w:rPr>
                  <w:t>nurodytą veiklą, išskyrus šio įstatymo 39</w:t>
                </w:r>
                <w:r>
                  <w:rPr>
                    <w:color w:val="000000"/>
                    <w:sz w:val="22"/>
                    <w:szCs w:val="22"/>
                    <w:vertAlign w:val="superscript"/>
                    <w:lang w:val="lt" w:eastAsia="lt-LT"/>
                  </w:rPr>
                  <w:t>1</w:t>
                </w:r>
                <w:r>
                  <w:rPr>
                    <w:color w:val="000000"/>
                    <w:sz w:val="22"/>
                    <w:szCs w:val="22"/>
                    <w:lang w:val="lt" w:eastAsia="lt-LT"/>
                  </w:rPr>
                  <w:t xml:space="preserve"> straipsnio 3 dalyje nurodytus atvejus, neturi teisės įgalioti kitų asmenų vykdyti licencijoje ar leidime nurodytą veiklą ir privalo laikytis šių bendrųjų veiklos sąlygų:</w:t>
                </w:r>
              </w:p>
              <w:p>
                <w:pPr>
                  <w:ind w:firstLine="720"/>
                  <w:jc w:val="both"/>
                  <w:rPr>
                    <w:color w:val="000000"/>
                    <w:sz w:val="22"/>
                    <w:szCs w:val="22"/>
                    <w:lang w:val="lt" w:eastAsia="lt-LT"/>
                  </w:rPr>
                </w:pPr>
                <w:r>
                  <w:rPr>
                    <w:color w:val="000000"/>
                    <w:sz w:val="22"/>
                    <w:szCs w:val="22"/>
                    <w:lang w:val="lt" w:eastAsia="lt-LT"/>
                  </w:rPr>
                  <w:t>1) efektyviai ir ekonomiškai vykdyti licencijuojamą ir leidimais reguliuojamą veiklą, užtikrinti tiekimo patikimumą, reguliarumą, kokybę, vartotojų apsaugą ir aplinkosaugos reikalavimus, nediskriminuoti vartotojų, kitų gamtinių dujų įmonių ir sistemų naudotojų, laikytis sąžiningos konkurencijos, veiklos viešumo ir informavimo principų;</w:t>
                </w:r>
              </w:p>
              <w:p>
                <w:pPr>
                  <w:ind w:firstLine="567"/>
                  <w:jc w:val="both"/>
                  <w:rPr>
                    <w:i/>
                    <w:iCs/>
                    <w:color w:val="000000"/>
                    <w:sz w:val="22"/>
                    <w:szCs w:val="22"/>
                    <w:lang w:val="lt" w:eastAsia="lt-LT"/>
                  </w:rPr>
                </w:pPr>
                <w:r>
                  <w:rPr>
                    <w:color w:val="000000"/>
                    <w:sz w:val="22"/>
                    <w:szCs w:val="22"/>
                    <w:lang w:val="lt" w:eastAsia="lt-LT"/>
                  </w:rPr>
                  <w:t>2)</w:t>
                </w:r>
                <w:r>
                  <w:rPr>
                    <w:i/>
                    <w:iCs/>
                    <w:color w:val="000000"/>
                    <w:sz w:val="22"/>
                    <w:szCs w:val="22"/>
                    <w:lang w:val="lt" w:eastAsia="lt-LT"/>
                  </w:rPr>
                  <w:t xml:space="preserve"> Neteko galios nuo 2019-05-01</w:t>
                </w:r>
              </w:p>
              <w:p>
                <w:pPr>
                  <w:jc w:val="both"/>
                  <w:rPr>
                    <w:i/>
                    <w:iCs/>
                    <w:color w:val="000000"/>
                    <w:sz w:val="22"/>
                    <w:szCs w:val="22"/>
                    <w:lang w:val="lt" w:eastAsia="lt-LT"/>
                  </w:rPr>
                </w:pPr>
                <w:r>
                  <w:rPr>
                    <w:i/>
                    <w:iCs/>
                    <w:color w:val="000000"/>
                    <w:sz w:val="22"/>
                    <w:szCs w:val="22"/>
                    <w:lang w:val="lt" w:eastAsia="lt-LT"/>
                  </w:rPr>
                  <w:t>Straipsnio punkto naikinimas:</w:t>
                </w:r>
              </w:p>
              <w:p>
                <w:pPr>
                  <w:jc w:val="both"/>
                  <w:rPr>
                    <w:i/>
                    <w:iCs/>
                    <w:color w:val="000000"/>
                    <w:sz w:val="22"/>
                    <w:szCs w:val="22"/>
                    <w:lang w:val="lt" w:eastAsia="lt-LT"/>
                  </w:rPr>
                </w:pPr>
                <w:r>
                  <w:rPr>
                    <w:i/>
                    <w:iCs/>
                    <w:color w:val="000000"/>
                    <w:sz w:val="22"/>
                    <w:szCs w:val="22"/>
                    <w:lang w:val="lt" w:eastAsia="lt-LT"/>
                  </w:rPr>
                  <w:t xml:space="preserve">Nr. </w:t>
                </w:r>
                <w:hyperlink r:id="rId112">
                  <w:r>
                    <w:rPr>
                      <w:i/>
                      <w:iCs/>
                      <w:sz w:val="22"/>
                      <w:szCs w:val="22"/>
                      <w:lang w:val="lt" w:eastAsia="lt-LT"/>
                    </w:rPr>
                    <w:t>XIII-1626</w:t>
                  </w:r>
                </w:hyperlink>
                <w:r>
                  <w:rPr>
                    <w:i/>
                    <w:iCs/>
                    <w:color w:val="000000"/>
                    <w:sz w:val="22"/>
                    <w:szCs w:val="22"/>
                    <w:lang w:val="lt" w:eastAsia="lt-LT"/>
                  </w:rPr>
                  <w:t>, 2018-11-15, paskelbta TAR 2018-11-22, i. k. 2018-18859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Licencijavimo taisyklėse nustatyta tvarka teikti Tarybai ir Energetikos ministerijai informaciją, reikalingą įstatymų ir kitų teisės aktų nustatytoms pareigoms vykdyti;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13">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užtikrinti nediskriminacines sąlygas visiems vartotojams, sistemų naudotojams ir kitiems rinkos dalyviams;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skirstymo sistemos operatorius bet kuriam kitam skirstymo, perdavimo, SGD arba gamtinių dujų laikymo sistemos operatoriui pateikia pakankamai informacijos, kad užtikrintų, jog gamtinių dujų transportavimą ir laikymą būtų galima atlikti laikantis saugaus ir veiksmingo jungtinės sistemos eksploatavimo reikalavimų.</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4">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Kiekvienas skirstymo sistemos operatorius teikia sistemos naudotojams informaciją, kurios jiems reikia norint veiksmingai prisijungti prie sistemos, įskaitant naudojimąsi ja.</w:t>
                </w:r>
              </w:p>
            </w:tc>
            <w:tc>
              <w:tcPr>
                <w:tcW w:w="9407" w:type="dxa"/>
                <w:gridSpan w:val="3"/>
                <w:vAlign w:val="center"/>
              </w:tcPr>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5">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skirstymo sistemos operatorius yra atsakingas už skirstymo sistemos subalansavimą, tuo tikslu jo priimtos taisyklės, įskaitant taisykles, pagal kurias iš sistemos naudotojų imamas mokestis už energijos disbalansą, turi būti objektyvios, skaidrios ir nediskriminacinės. Sąlygos, kuriomis skirstymo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r>
                  <w:rPr>
                    <w:b/>
                    <w:bCs/>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6">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Skirstymo sistemos operatoriai bendradarbiauja su perdavimo sistemos operatoriais, kad užtikrintų veiksmingą prie jų infrastruktūros prijungtų rinkos dalyvių dalyvavimą mažmeninėje, didmeninėje ir balansavimo rinkose įleidimo ir išleidimo sistemoje, kuriai priklauso arba su kuria yra prijungta skirstymo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72"/>
                  </w:tabs>
                  <w:jc w:val="both"/>
                  <w:rPr>
                    <w:color w:val="000000"/>
                    <w:sz w:val="22"/>
                    <w:szCs w:val="22"/>
                    <w:lang w:eastAsia="lt-LT"/>
                  </w:rPr>
                </w:pPr>
                <w:r>
                  <w:rPr>
                    <w:color w:val="000000"/>
                    <w:sz w:val="22"/>
                    <w:szCs w:val="22"/>
                    <w:lang w:eastAsia="lt-LT"/>
                  </w:rPr>
                  <w:t>8. Skirstymo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Atsinaujinančių energijos išteklių įstatymas</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45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skirstymo sistemos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reikalauja, kad skirstymo sistemos operatorius paskelbtų skaidrią ir efektyvią dujų iš atsinaujinančiųjų išteklių ir mažo anglies dioksido pėdsako dujų gamybos įrenginių nediskriminacinio prijungimo tvarką. Tą tvarką tvirtina reguliavimo institucijos. Valstybės narės gali suteikti prijungimo pirmenybę biometano gamybos įrenginiams.</w:t>
                </w:r>
              </w:p>
            </w:tc>
            <w:tc>
              <w:tcPr>
                <w:tcW w:w="9407" w:type="dxa"/>
                <w:gridSpan w:val="3"/>
                <w:vAlign w:val="center"/>
              </w:tcPr>
              <w:p>
                <w:pPr>
                  <w:ind w:firstLine="17"/>
                  <w:jc w:val="both"/>
                  <w:rPr>
                    <w:b/>
                    <w:bCs/>
                    <w:color w:val="000000"/>
                    <w:sz w:val="22"/>
                    <w:szCs w:val="22"/>
                    <w:lang w:val="lt" w:eastAsia="lt-LT"/>
                  </w:rPr>
                </w:pPr>
              </w:p>
              <w:p>
                <w:pPr>
                  <w:ind w:firstLine="17"/>
                  <w:jc w:val="both"/>
                  <w:rPr>
                    <w:color w:val="000000"/>
                    <w:sz w:val="22"/>
                    <w:szCs w:val="22"/>
                    <w:lang w:eastAsia="lt-LT"/>
                  </w:rPr>
                </w:pPr>
                <w:r>
                  <w:rPr>
                    <w:rFonts w:eastAsia="Tahoma"/>
                    <w:b/>
                    <w:bCs/>
                    <w:color w:val="333333"/>
                    <w:sz w:val="22"/>
                    <w:szCs w:val="22"/>
                    <w:lang w:val="lt" w:eastAsia="lt-LT"/>
                  </w:rPr>
                  <w:t>Lietuvos Respublikos atsinaujinančių išteklių energetikos įstatymas</w:t>
                </w:r>
                <w:r>
                  <w:rPr>
                    <w:color w:val="000000"/>
                    <w:sz w:val="22"/>
                    <w:szCs w:val="22"/>
                    <w:lang w:val="lt" w:eastAsia="lt-LT"/>
                  </w:rPr>
                  <w:t xml:space="preserve"> </w:t>
                </w:r>
              </w:p>
              <w:p>
                <w:pPr>
                  <w:ind w:firstLine="17"/>
                  <w:jc w:val="both"/>
                  <w:rPr>
                    <w:color w:val="000000"/>
                    <w:sz w:val="22"/>
                    <w:szCs w:val="22"/>
                    <w:lang w:eastAsia="lt-LT"/>
                  </w:rPr>
                </w:pPr>
                <w:r>
                  <w:rPr>
                    <w:b/>
                    <w:bCs/>
                    <w:color w:val="000000"/>
                    <w:sz w:val="22"/>
                    <w:szCs w:val="22"/>
                    <w:lang w:val="lt" w:eastAsia="lt-LT"/>
                  </w:rPr>
                  <w:t>11 straipsnis. Valstybinės energetikos reguliavimo tarybos kompetencija</w:t>
                </w:r>
              </w:p>
              <w:p>
                <w:pPr>
                  <w:ind w:firstLine="720"/>
                  <w:jc w:val="both"/>
                  <w:rPr>
                    <w:color w:val="000000"/>
                    <w:sz w:val="22"/>
                    <w:szCs w:val="22"/>
                    <w:lang w:val="lt" w:eastAsia="lt-LT"/>
                  </w:rPr>
                </w:pPr>
                <w:r>
                  <w:rPr>
                    <w:color w:val="000000"/>
                    <w:sz w:val="22"/>
                    <w:szCs w:val="22"/>
                    <w:lang w:val="lt" w:eastAsia="lt-LT"/>
                  </w:rPr>
                  <w:t>Valstybinė energetikos reguliavimo taryba: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11) prižiūri ir kontroliuoja, kaip biodujų gamintojams suteikiama teisė prijungti savo įrenginius prie gamtinių dujų sistemos, kaip taikomos prijungimo įmokos, taip pat biodujų supirkimo skaidrumą;</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7"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8" w:history="1">
                  <w:r>
                    <w:rPr>
                      <w:i/>
                      <w:iCs/>
                      <w:sz w:val="22"/>
                      <w:szCs w:val="22"/>
                      <w:lang w:val="lt" w:eastAsia="lt-LT"/>
                    </w:rPr>
                    <w:t>XIV-1169</w:t>
                  </w:r>
                </w:hyperlink>
                <w:r>
                  <w:rPr>
                    <w:i/>
                    <w:iCs/>
                    <w:sz w:val="22"/>
                    <w:szCs w:val="22"/>
                    <w:lang w:val="lt" w:eastAsia="lt-LT"/>
                  </w:rPr>
                  <w:t>, 2</w:t>
                </w:r>
                <w:r>
                  <w:rPr>
                    <w:i/>
                    <w:iCs/>
                    <w:color w:val="000000"/>
                    <w:sz w:val="22"/>
                    <w:szCs w:val="22"/>
                    <w:lang w:val="lt" w:eastAsia="lt-LT"/>
                  </w:rPr>
                  <w:t>022-06-23, paskelbta TAR 2022-07-07, i. k. 2022-14906</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b/>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Siekdamos greitai prijungti prie tinklo biometano gamybos įrenginius, valstybės narės stengiasi užtikrinti, kad skirstymo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ind w:firstLine="17"/>
                  <w:jc w:val="both"/>
                  <w:rPr>
                    <w:color w:val="000000"/>
                    <w:sz w:val="22"/>
                    <w:szCs w:val="22"/>
                    <w:lang w:val="lt" w:eastAsia="lt-LT"/>
                  </w:rPr>
                </w:pPr>
                <w:r>
                  <w:rPr>
                    <w:rFonts w:eastAsia="Tahoma"/>
                    <w:b/>
                    <w:color w:val="333333"/>
                    <w:sz w:val="22"/>
                    <w:szCs w:val="22"/>
                    <w:lang w:val="lt" w:eastAsia="lt-LT"/>
                  </w:rPr>
                  <w:t>Lietuvos Respublikos atsinaujinančių išteklių energetikos įstatymas</w:t>
                </w:r>
              </w:p>
              <w:p>
                <w:pPr>
                  <w:ind w:firstLine="720"/>
                  <w:jc w:val="both"/>
                  <w:rPr>
                    <w:b/>
                    <w:bCs/>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9"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20" w:history="1">
                  <w:r>
                    <w:rPr>
                      <w:i/>
                      <w:iCs/>
                      <w:sz w:val="22"/>
                      <w:szCs w:val="22"/>
                      <w:lang w:val="lt" w:eastAsia="lt-LT"/>
                    </w:rPr>
                    <w:t>XIV-1169</w:t>
                  </w:r>
                </w:hyperlink>
                <w:r>
                  <w:rPr>
                    <w:i/>
                    <w:iCs/>
                    <w:color w:val="000000"/>
                    <w:sz w:val="22"/>
                    <w:szCs w:val="22"/>
                    <w:lang w:val="lt" w:eastAsia="lt-LT"/>
                  </w:rPr>
                  <w:t>, 2022-06-23, paskelbta TAR 2022-07-07, i. k. 2022-14906</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rPr>
                    <w:i/>
                    <w:iCs/>
                    <w:color w:val="000000"/>
                    <w:sz w:val="22"/>
                    <w:szCs w:val="22"/>
                    <w:lang w:eastAsia="lt-LT"/>
                  </w:rPr>
                </w:pPr>
                <w:r>
                  <w:rPr>
                    <w:i/>
                    <w:iCs/>
                    <w:color w:val="000000"/>
                    <w:sz w:val="22"/>
                    <w:szCs w:val="22"/>
                    <w:lang w:eastAsia="lt-LT"/>
                  </w:rPr>
                  <w:t xml:space="preserve">46 straipsnis </w:t>
                </w:r>
              </w:p>
              <w:p>
                <w:pPr>
                  <w:shd w:val="clear" w:color="auto" w:fill="FFFFFF"/>
                  <w:jc w:val="both"/>
                  <w:rPr>
                    <w:i/>
                    <w:iCs/>
                    <w:color w:val="000000"/>
                    <w:sz w:val="22"/>
                    <w:szCs w:val="22"/>
                    <w:lang w:eastAsia="lt-LT"/>
                  </w:rPr>
                </w:pPr>
                <w:r>
                  <w:rPr>
                    <w:b/>
                    <w:bCs/>
                    <w:color w:val="000000"/>
                    <w:sz w:val="22"/>
                    <w:szCs w:val="22"/>
                    <w:lang w:eastAsia="lt-LT"/>
                  </w:rPr>
                  <w:t xml:space="preserve">Skirstymo sistemos operatorių ir vandenilio </w:t>
                </w:r>
                <w:r>
                  <w:rPr>
                    <w:b/>
                    <w:bCs/>
                    <w:sz w:val="22"/>
                    <w:szCs w:val="22"/>
                    <w:lang w:eastAsia="lt-LT"/>
                  </w:rPr>
                  <w:t xml:space="preserve">skirstymo tinklo </w:t>
                </w:r>
                <w:r>
                  <w:rPr>
                    <w:b/>
                    <w:bCs/>
                    <w:color w:val="000000"/>
                    <w:sz w:val="22"/>
                    <w:szCs w:val="22"/>
                    <w:lang w:eastAsia="lt-LT"/>
                  </w:rPr>
                  <w:t>operatorių veiklos rūšių atskyrimas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skirstymo sistemos operatorius arba vandenilio skirstymo tinklo operatorius yra vertikaliai integruotos įmonės padalinys, bent savo teisinės formos, organizacinės struktūros ir sprendimų priėmimo tvarkos požiūriu jis turi būti nepriklausomas nuo kitų veiklos rūšių, nesusijusių su skirstymu ar vandenilio skirstymu. Tomis taisyklėmis neturi būti nustatoma pareiga skirstymo sistemos arba vandenilio skirstymo tinklo turto nuosavybę atskirti nuo vertikaliai integruotos įmonės. Valstybės narės gali numatyti, kad vandenilio skirstymo tinklo operatoriai galėtų nuomotis arba išpirktinai nuomotis vandenilio tinklo turtą iš kitų skirstymo sistemos savininkų, skirstymo sistemos operatorių arba vandenilio skirstymo tinklo operatorių toje pačioje įmonėje. Tokia nuoma arba išperkamoji nuoma negali lemti kryžminių subsidijų tarp skirtingų operatorių.</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ind w:firstLine="17"/>
                  <w:jc w:val="both"/>
                  <w:rPr>
                    <w:color w:val="000000"/>
                    <w:sz w:val="22"/>
                    <w:szCs w:val="22"/>
                    <w:lang w:eastAsia="lt-LT"/>
                  </w:rPr>
                </w:pPr>
              </w:p>
              <w:p>
                <w:pPr>
                  <w:ind w:firstLine="17"/>
                  <w:jc w:val="both"/>
                  <w:rPr>
                    <w:color w:val="000000"/>
                    <w:sz w:val="22"/>
                    <w:szCs w:val="22"/>
                    <w:lang w:eastAsia="lt-LT"/>
                  </w:rPr>
                </w:pPr>
              </w:p>
              <w:p>
                <w:pPr>
                  <w:ind w:firstLine="74"/>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03" w:type="dxa"/>
                <w:gridSpan w:val="3"/>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skirstymo sistemos operatorius arba vandenilio skirstymo tinklo operatorius yra vertikaliai integruotos įmonės padalinys, be 1 dalyje nustatytų reikalavimų, savo organizacinės struktūros ir sprendimų priėmimo tvarkos požiūriu jis turi būti nepriklausomas nuo kitų veiklos rūšių, nesusijusių su skirstymu ar vandenilio skirstymu. Siekiant tai užtikrinti, taikomi šie būtiniausi kriterijai:</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59" w:lineRule="auto"/>
                  <w:ind w:left="709" w:firstLine="709"/>
                  <w:jc w:val="both"/>
                  <w:rPr>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spacing w:line="259" w:lineRule="auto"/>
                  <w:ind w:right="57" w:firstLine="720"/>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spacing w:line="259" w:lineRule="auto"/>
                  <w:ind w:right="57" w:firstLine="720"/>
                  <w:jc w:val="both"/>
                  <w:rPr>
                    <w:color w:val="000000"/>
                    <w:sz w:val="22"/>
                    <w:szCs w:val="22"/>
                    <w:lang w:val="lt" w:eastAsia="lt-LT"/>
                  </w:rPr>
                </w:pPr>
                <w:r>
                  <w:rPr>
                    <w:color w:val="000000"/>
                    <w:sz w:val="22"/>
                    <w:szCs w:val="22"/>
                    <w:lang w:val="lt" w:eastAsia="lt-LT"/>
                  </w:rPr>
                  <w:t xml:space="preserve">1. Kai skirstymo sistemos operatorius yra vertikaliai integruotos įmonės dalis (padalinys), jis savo teisine forma, organizacine struktūra ir priimdamas sprendimus turi būti nepriklausomas nuo kitų veiklos rūšių, nesusijusių su skirstymu. Ši nuostata nereiškia pareigos skirstymo sistemos turto nuosavybę atskirti nuo vertikaliai integruotos įmonės. </w:t>
                </w:r>
              </w:p>
              <w:p>
                <w:pPr>
                  <w:spacing w:line="259" w:lineRule="auto"/>
                  <w:ind w:right="57" w:firstLine="720"/>
                  <w:jc w:val="both"/>
                  <w:rPr>
                    <w:color w:val="000000"/>
                    <w:sz w:val="22"/>
                    <w:szCs w:val="22"/>
                    <w:lang w:val="lt" w:eastAsia="lt-LT"/>
                  </w:rPr>
                </w:pPr>
                <w:r>
                  <w:rPr>
                    <w:color w:val="000000"/>
                    <w:sz w:val="22"/>
                    <w:szCs w:val="22"/>
                    <w:lang w:val="lt" w:eastAsia="lt-LT"/>
                  </w:rPr>
                  <w:t>2. Užtikrinant skirstymo sistemos operatoriaus nepriklausomumą, taikomi šie reikalavimai:</w:t>
                </w:r>
              </w:p>
              <w:p>
                <w:pPr>
                  <w:spacing w:line="259" w:lineRule="auto"/>
                  <w:ind w:right="57" w:firstLine="720"/>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50"/>
                  </w:tabs>
                  <w:jc w:val="both"/>
                  <w:rPr>
                    <w:color w:val="000000"/>
                    <w:sz w:val="22"/>
                    <w:szCs w:val="22"/>
                    <w:lang w:eastAsia="lt-LT"/>
                  </w:rPr>
                </w:pPr>
                <w:r>
                  <w:rPr>
                    <w:color w:val="000000"/>
                    <w:sz w:val="22"/>
                    <w:szCs w:val="22"/>
                    <w:lang w:eastAsia="lt-LT"/>
                  </w:rPr>
                  <w:t>a) skirstymo sistemos operatoriaus arba vandenilio skirstymo tinklo operatoriaus vadovybė nedalyvauja integruotos gamtinių dujų įmonės arba vertikaliai integruotos įmonės, tiesiogiai ar netiesiogiai atsakingos už gamtinių dujų ir vandenilio gavybos, perdavimo ir tiekimo kasdienį organizavimą, valdymo struktūrose;</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spacing w:line="276" w:lineRule="auto"/>
                  <w:ind w:right="57"/>
                  <w:jc w:val="both"/>
                  <w:rPr>
                    <w:b/>
                    <w:bCs/>
                    <w:color w:val="000000"/>
                    <w:sz w:val="22"/>
                    <w:szCs w:val="22"/>
                    <w:lang w:eastAsia="lt-LT"/>
                  </w:rPr>
                </w:pPr>
                <w:r>
                  <w:rPr>
                    <w:b/>
                    <w:bCs/>
                    <w:color w:val="000000"/>
                    <w:sz w:val="22"/>
                    <w:szCs w:val="22"/>
                    <w:lang w:eastAsia="lt-LT"/>
                  </w:rPr>
                  <w:t>&lt;</w:t>
                </w:r>
                <w:r>
                  <w:rPr>
                    <w:color w:val="000000"/>
                    <w:sz w:val="22"/>
                    <w:szCs w:val="22"/>
                    <w:lang w:eastAsia="lt-LT"/>
                  </w:rPr>
                  <w:t>...&gt;</w:t>
                </w:r>
                <w:r>
                  <w:rPr>
                    <w:b/>
                    <w:bCs/>
                    <w:color w:val="000000"/>
                    <w:sz w:val="22"/>
                    <w:szCs w:val="22"/>
                    <w:lang w:eastAsia="lt-LT"/>
                  </w:rPr>
                  <w:t> </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1)</w:t>
                  <w:tab/>
                  <w:t>vandenilio skirstymo tinklo operatoriaus valdymo organų nariai ir padalinių vadovai negali dalyvauti integruotos gamtinių dujų įmonės ar vandenilio įmonės, tiesiogiai ar netiesiogiai atsakingos už vandenilio gavybos, perdavimo ir tiekimo kasdienį organizavimą, valdymo organuose;</w:t>
                </w:r>
              </w:p>
              <w:p>
                <w:pPr>
                  <w:shd w:val="clear" w:color="auto" w:fill="FFFFFF"/>
                  <w:spacing w:line="259" w:lineRule="auto"/>
                  <w:jc w:val="both"/>
                  <w:rPr>
                    <w:b/>
                    <w:bCs/>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b/>
                    <w:bCs/>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1) skirstymo sistemos operatoriaus valdymo organų nariai negali dalyvauti integruotos gamtinių dujų įmonės, tiesiogiai ar netiesiogiai atsakingos už gamtinių dujų gavybos, perdavimo ir tiekimo kasdienį organizavimą, valdymo organuose;</w:t>
                </w:r>
              </w:p>
              <w:p>
                <w:pPr>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asmenų, atsakingų už skirstymo sistemos operatoriaus arba vandenilio skirstymo tinklo operatoriaus valdymą, profesinius interesus būtų atsižvelgiama taip, kad jie galėtų veikti nepriklausomai;</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firstLine="720"/>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t>būtina imtis tinkamų priemonių siekiant užtikrinti, kad į vandenilio skirstymo tinklo operatoriaus valdymo organų narių ir padalinių vadovų profesinius interesus būtų atsižvelgiama taip, kad jie galėtų veikti nepriklausomai;</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ind w:right="57"/>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2) būtina imtis tinkamų priemonių siekiant užtikrinti, kad į skirstymo sistemos operatoriaus valdymo organų narių profesinius interesus būtų atsižvelgiama taip, kad jie galėtų veikti nepriklausomai;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operatorius arba vandenilio skirstymo tinklo operatorius turi faktines teises nepriklausomai nuo integruotos gamtinių dujų įmonės arba vertikaliai integruotos įmonės priimti sprendimus, susijusius su turtu, kuris reikalingas tinklui eksploatuoti, prižiūrėti ar plėtoti; toms užduotims atlikti skirstymo sistemos operatorius arba vandenilio skirstymo tinklo operatorius turi turėti būtinus išteklius, įskaitant žmogiškuosius, techninius, finansinius ir materialinius išteklius;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visų pirma patronuojančioji įmonė tokiu būdu galės patvirtinti skirstymo sistemos operatoriaus arba vandenilio skirstymo tinklo operatoriaus metinį finansinį planą ar bet kurį lygiavertį dokumentą ir nustatyti savo patronuojamosios įmonės bendras įsiskolinimų ribas; ši nuostata patronuojančiajai įmonei nesuteikia teisės duoti nurodymus dėl kasdienės veiklos ar dėl atskirų sprendimų, susijusių su skirstymo linijų statyba ar atnaujinimu, kurie neviršija patvirtinto finansinio plano ar bet kurio lygiaverčio dokumento sąlygų;</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spacing w:line="276" w:lineRule="auto"/>
                  <w:ind w:right="57"/>
                  <w:jc w:val="both"/>
                  <w:rPr>
                    <w:b/>
                    <w:color w:val="000000"/>
                    <w:sz w:val="22"/>
                    <w:szCs w:val="22"/>
                    <w:lang w:eastAsia="lt-LT"/>
                  </w:rPr>
                </w:pPr>
                <w:r>
                  <w:rPr>
                    <w:b/>
                    <w:bCs/>
                    <w:color w:val="000000"/>
                    <w:sz w:val="22"/>
                    <w:szCs w:val="22"/>
                    <w:lang w:eastAsia="lt-LT"/>
                  </w:rPr>
                  <w:t>41</w:t>
                </w:r>
                <w:r>
                  <w:rPr>
                    <w:b/>
                    <w:color w:val="000000"/>
                    <w:sz w:val="22"/>
                    <w:szCs w:val="22"/>
                    <w:lang w:eastAsia="lt-LT"/>
                  </w:rPr>
                  <w:t xml:space="preserve"> straipsnis. Vandenilio skirstymo tinklo operatoriaus veiklos rūšių atskyrimas</w:t>
                </w:r>
              </w:p>
              <w:p>
                <w:pPr>
                  <w:ind w:right="57" w:firstLine="720"/>
                  <w:jc w:val="both"/>
                  <w:rPr>
                    <w:color w:val="000000"/>
                    <w:sz w:val="22"/>
                    <w:szCs w:val="22"/>
                    <w:lang w:eastAsia="lt-LT"/>
                  </w:rPr>
                </w:pPr>
                <w:r>
                  <w:rPr>
                    <w:color w:val="000000"/>
                    <w:sz w:val="22"/>
                    <w:szCs w:val="22"/>
                    <w:lang w:eastAsia="lt-LT"/>
                  </w:rPr>
                  <w:t>&lt;...&gt;</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2. Užtikrinant vandenilio skirstymo tinklo operatoriaus nepriklausomumą, turi būti laikomasi šių reikalavimų:</w:t>
                </w:r>
              </w:p>
              <w:p>
                <w:pPr>
                  <w:ind w:firstLine="17"/>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81" w:firstLine="567"/>
                  <w:jc w:val="both"/>
                  <w:rPr>
                    <w:rFonts w:eastAsia="Aptos"/>
                    <w:b/>
                    <w:bCs/>
                    <w:color w:val="000000"/>
                    <w:sz w:val="22"/>
                    <w:szCs w:val="22"/>
                    <w:lang w:eastAsia="lt-LT"/>
                  </w:rPr>
                </w:pPr>
                <w:r>
                  <w:rPr>
                    <w:rFonts w:eastAsia="Aptos"/>
                    <w:b/>
                    <w:bCs/>
                    <w:color w:val="000000"/>
                    <w:sz w:val="22"/>
                    <w:szCs w:val="22"/>
                    <w:lang w:eastAsia="lt-LT"/>
                  </w:rPr>
                  <w:t>3)</w:t>
                  <w:tab/>
                  <w:t>vandenilio skirstymo tinklo operatorius turi turėti teisę efektyviai, nepriklausomai nuo integruotos gamtinių dujų įmonės ir (ar) vertikaliai integruotos gamtinių dujų ar vandenilio įmonės priimti sprendimus, susijusius su turtu, reikalingu tinklui eksploatuoti, prižiūrėti ar plėtoti. Šioms užduotims atlikti vandenilio skirstymo tinklo operatorius turi turėti būtinus išteklius, įskaitant technologinius, finansinius ir vadybinius pajėgumus. Nuostata, susijusi su vandenilio skirstymo tinklo operatoriaus teise nepriklausomai priimti sprendimus, neturi kliudyti taikyti tinkamų koordinavimo priemonių, siekiant užtikrinti, kad būtų saugomos patronuojančios įmonės ekonominės ir valdymo priežiūros teisės, kurios netiesiogiai reglamentuojamos šio įstatymo 7 straipsnio 6 dalyje, dėl dukterinės įmonės protingumo kriterijų atitinkančios investicijų grąžos. Patronuojanti įmonė turi teisę patvirtinti vandenilio skirstymo tinklo operatoriaus metinį finansinį planą ar bet kurį kitą lygiavertį dokumentą ir nustatyti savo dukterinės įmonės bendras įsiskolinimų ribas, kurie vandenilio skirstymo tinklo operatoriui yra privalomi ir kurių pagrindu jis veikia. Ši nuostata nesuteikia patronuojančiai įmonei teisės duoti nurodymus dėl kasdienės veiklos ar dėl atskirų su vandenilio skirstymo tinklo statyba ar atnaujinimu susijusių sprendimų, kurie neviršija patvirtinto finansinio plano ar bet kurio kito lygiaverčio dokumento sąlygų;</w:t>
                </w: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shd w:val="clear" w:color="auto" w:fill="FFFFFF"/>
                  <w:spacing w:line="259" w:lineRule="auto"/>
                  <w:jc w:val="both"/>
                  <w:rPr>
                    <w:color w:val="000000"/>
                    <w:sz w:val="22"/>
                    <w:szCs w:val="22"/>
                    <w:lang w:eastAsia="lt-LT"/>
                  </w:rPr>
                </w:pPr>
                <w:r>
                  <w:rPr>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val="lt" w:eastAsia="lt-LT"/>
                  </w:rPr>
                  <w:t>3) skirstymo sistemos operatorius turi turėti faktines teises nepriklausomai nuo integruotos gamtinių dujų įmonės priimti sprendimus, susijusius su turtu, reikalingu sistemai eksploatuoti, prižiūrėti ar plėtoti. Šioms užduotims atlikti skirstymo sistemos operatorius turi turėti būtinus išteklius, įskaitant technologinius, finansinius ir vadybinius pajėgumus. Nuostata, susijusi su skirstymo sistemos operatoriaus faktinėmis teisėmis, neturi kliudyti taikyti tinkamų koordinavimo priemonių siekiant užtikrinti, kad būtų saugomos patronuojančios įmonės ekonominės ir valdymo priežiūros teisės, kurios netiesiogiai reglamentuojamos šio įstatymo 7 straipsnio 2 dalies 6 punkte, dėl dukterinės įmonės protingumo kriterijų atitinkančios investicijų grąžos. Patronuojanti įmonė turi teisę patvirtinti skirstymo sistemos operatoriaus metinį finansinį planą ar bet kurį kitą lygiavertį dokumentą ir nustatyti savo dukterinės įmonės bendras įsiskolinimų ribas, kurie skirstymo sistemos operatoriui yra privalomi ir kurių pagrindu jis veikia. Ši nuostata nesuteikia patronuojančiai įmonei teisės duoti nurodymus dėl kasdienės veiklos ar dėl atskirų su skirstymo sistemų statyba ar atnaujinimu susijusių sprendimų, kurie neviršija patvirtinto finansinio plano ar bet kurio kito lygiaverčio dokumento sąlygų;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skirstymo sistemos operatorius arba vandenilio skirstymo tinklo operatorius parengia atitikties programą, kurioje nurodomos taikytos priemonės siekiant užtikrinti, kad būtų išvengta diskriminacinio elgesio, ir užtikrina tinkamą tos atitikties programos vykdymo stebėseną; atitikties programoje nustatomos konkrečios darbuotojų pareigos tam tikslui pasiekti; už atitikties programos stebėseną atsakingas asmuo ar organas – už skirstymo sistemos operatoriaus arba vandenilio skirstymo tinklo operatoriaus atitikties programos priežiūrą atsakingas pareigūnas –reguliavimo institucijai pateikia metinę ataskaitą, kurioje nurodo taikytas priemones, ir ši ataskaita paskelbiama; už skirstymo sistemos operatoriaus arba vandenilio skirstymo tinklo operatoriaus atitikties programos priežiūrą atsakingas pareigūnas turi būti visiškai nepriklausomas ir už atitikties programos priežiūrą atsakingo pareigūno užduočiai atlikti gali naudotis visa reikiama skirstymo sistemos operatoriaus arba vandenilio skirstymo tinklo operatoriaus ir visų susijusių įmonių informacija.</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4) vandenilio skirstymo tinklo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5) vandenilio skirstymo tinklo operatorius paskiria už atitikties programos priežiūrą atsakingą darbuotoją (atitikties pareigūną) ir imasi tinkamų priemonių, kad jis būtų visiškai nepriklausomas nuo vertikaliai integruotos įmonės ir savo funkcijoms atlikti galėtų naudotis visa reikiama vandenilio skirstymo tinklo operatoriaus ir visų susijusių įmonių informacija. Atitikties pareigūnas reguliariai teikia ataskaitas Tarybai apie atitikties programos įgyvendinimą ir turi teisę tiesiogiai kreiptis į Tarybą dėl bet kokių nustatytų pažeidimų.</w:t>
                </w:r>
              </w:p>
              <w:p>
                <w:pPr>
                  <w:tabs>
                    <w:tab w:val="left" w:pos="993"/>
                    <w:tab w:val="left" w:pos="10992"/>
                    <w:tab w:val="left" w:pos="11908"/>
                    <w:tab w:val="left" w:pos="12824"/>
                    <w:tab w:val="left" w:pos="13740"/>
                    <w:tab w:val="left" w:pos="14656"/>
                  </w:tabs>
                  <w:jc w:val="both"/>
                  <w:rPr>
                    <w:b/>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r>
                  <w:rPr>
                    <w:b/>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skirstymo sistemos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Jeigu skirstymo sistemos operatorius arba vandenilio skirstymo tinklo operatorius yra vertikaliai integruotos įmonės padalinys, valstybės narės užtikrina, kad skirstymo sistemos operatoriaus arba vandenilio skirstymo tinklo operatoriaus veiklą stebėtų reguliavimo institucijos arba kitos kompetentingos įstaigos, kad jis negalėtų pasinaudoti vertikalios integracijos pranašumu konkurencijai iškraipyti. Visų pirma vertikaliai integruoti skirstymo sistemos operatoriai arba vandenilio skirstymo tinklo operatoriai, teikdami informaciją ir kurdami prekių ženklą, neturi sukurti painiavos dėl vertikaliai integruotos įmonės tiekimo padalinio atskiros tapatybės.</w:t>
                </w:r>
              </w:p>
            </w:tc>
            <w:tc>
              <w:tcPr>
                <w:tcW w:w="9407" w:type="dxa"/>
                <w:gridSpan w:val="3"/>
                <w:vAlign w:val="center"/>
              </w:tcPr>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rFonts w:eastAsia="Aptos"/>
                    <w:b/>
                    <w:bCs/>
                    <w:color w:val="000000"/>
                    <w:sz w:val="22"/>
                    <w:szCs w:val="22"/>
                    <w:lang w:eastAsia="lt-LT"/>
                  </w:rPr>
                  <w:t>3</w:t>
                </w:r>
                <w:r>
                  <w:rPr>
                    <w:b/>
                    <w:bCs/>
                    <w:color w:val="000000"/>
                    <w:sz w:val="22"/>
                    <w:szCs w:val="22"/>
                    <w:lang w:eastAsia="lt-LT"/>
                  </w:rPr>
                  <w:t>. Taryba stebi ir prižiūri, kad vandenilio skirstymo tinklo operatorius, esantis vertikaliai integruotos gamtinių dujų ar vandenilio įmonės dalis (padalinys), negalėtų pasinaudoti vertikalios integracijos pranašumu konkurencijai iškraipyti</w:t>
                </w:r>
                <w:r>
                  <w:rPr>
                    <w:color w:val="000000"/>
                    <w:sz w:val="22"/>
                    <w:szCs w:val="22"/>
                    <w:lang w:eastAsia="lt-LT"/>
                  </w:rPr>
                  <w:t>.</w:t>
                </w:r>
              </w:p>
              <w:p>
                <w:pPr>
                  <w:ind w:firstLine="17"/>
                  <w:jc w:val="both"/>
                  <w:rPr>
                    <w:b/>
                    <w:color w:val="000000"/>
                    <w:sz w:val="22"/>
                    <w:szCs w:val="22"/>
                    <w:lang w:eastAsia="lt-LT"/>
                  </w:rPr>
                </w:pPr>
                <w:r>
                  <w:rPr>
                    <w:b/>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Taryba stebi ir kontroliuoja, kad skirstymo sistemos operatorius, esantis vertikaliai integruotos įmonės dalis (padalinys), negalėtų pasinaudoti vertikalios integracijos pranašumu konkurencijai iškraipyti. Vertikaliai integruoti skirstymo sistemos operatoriai, teikdami informaciją ir kurdami prekės ženklą, turi atskleisti, kad tiekimo veiklą vykdo vertikaliai integruotos įmonės dalis (padalinys).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gali priimti sprendimą netaikyti 1, 2 ir 3 dalių skirstymo sistemos operatoriams, kurie yra integruotųjų gamtinių dujų įmonės, aptarnaujančios mažiau kaip 100 000 prijungtų vartotojų, padaliniai. Jei 2024 m. rugpjūčio 4 d. skirstymo sistemos operatoriui pagal šią dalį taikoma nukrypti leidžianti nuostata, valstybės narės gali priimti sprendimą netaikyti 1, 2 ir 3 dalių vandenilio skirstymo tinklo operatoriui toje pačioje įmonėje, jei bendras skirstymo sistemos operatoriaus ir vandenilio skirstymo tinklo operatoriaus prijungtų vartotojų skaičius išlieka mažesnis nei 100 000.</w:t>
                </w:r>
              </w:p>
            </w:tc>
            <w:tc>
              <w:tcPr>
                <w:tcW w:w="9407" w:type="dxa"/>
                <w:gridSpan w:val="3"/>
                <w:vAlign w:val="center"/>
              </w:tcPr>
              <w:p>
                <w:pPr>
                  <w:ind w:right="57"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b/>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b/>
                    <w:color w:val="000000"/>
                    <w:sz w:val="22"/>
                    <w:szCs w:val="22"/>
                    <w:lang w:eastAsia="lt-LT"/>
                  </w:rPr>
                </w:pPr>
                <w:r>
                  <w:rPr>
                    <w:b/>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4. Vandenilio skirstymo tinklo operatorius, kuris yra vertikaliai integruotos gamtinių dujų ar vandenilio įmonės dalis (padalinys), teikdamas informaciją ir kurdamas savo prekių ar paslaugų ženklą, neturi sudaryti sąlygų panašumui su asmens, vykdančio vandenilio tiekimo veiklą, kuris yra vertikaliai integruotos gamtinių dujų ar vandenilio įmonės dalis (padalinys), tapatybe.</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5. Šio straipsnio 1 dalis nedraudžia vertikaliai integruotai gamtinių dujų ar vandenilio įmonei vykdyti gamtinių dujų perdavimo, suskystintų gamtinių dujų pakartotinio dujinimo, saugojimo ir gamtinių dujų skirstymo veiklą, jeigu laikomasi šio įstatymo 39 straipsnio 1 dalies reikalavimų.</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p>
              <w:p>
                <w:pPr>
                  <w:ind w:right="57"/>
                  <w:jc w:val="both"/>
                  <w:rPr>
                    <w:b/>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ind w:right="57" w:firstLine="720"/>
                  <w:jc w:val="both"/>
                  <w:rPr>
                    <w:color w:val="000000"/>
                    <w:sz w:val="22"/>
                    <w:szCs w:val="22"/>
                    <w:lang w:eastAsia="lt-LT"/>
                  </w:rPr>
                </w:pPr>
                <w:r>
                  <w:rPr>
                    <w:color w:val="000000"/>
                    <w:sz w:val="22"/>
                    <w:szCs w:val="22"/>
                    <w:lang w:val="lt" w:eastAsia="lt-LT"/>
                  </w:rPr>
                  <w:t>&lt;...&gt;</w:t>
                </w:r>
              </w:p>
              <w:p>
                <w:pPr>
                  <w:jc w:val="both"/>
                  <w:rPr>
                    <w:b/>
                    <w:color w:val="000000"/>
                    <w:sz w:val="22"/>
                    <w:szCs w:val="22"/>
                    <w:lang w:eastAsia="lt-LT"/>
                  </w:rPr>
                </w:pPr>
                <w:r>
                  <w:rPr>
                    <w:color w:val="000000"/>
                    <w:sz w:val="22"/>
                    <w:szCs w:val="22"/>
                    <w:lang w:val="lt" w:eastAsia="lt-LT"/>
                  </w:rPr>
                  <w:t>5. Šio straipsnio 1, 2 ir 3 dalių reikalavimai netaikomi integruotai gamtinių dujų įmonei, skirstančiai ir tiekiančiai gamtines dujas mažiau kaip 100 tūkst. vartotojų.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47 straipsnis </w:t>
                </w:r>
              </w:p>
              <w:p>
                <w:pPr>
                  <w:shd w:val="clear" w:color="auto" w:fill="FFFFFF"/>
                  <w:jc w:val="both"/>
                  <w:rPr>
                    <w:i/>
                    <w:iCs/>
                    <w:color w:val="000000"/>
                    <w:sz w:val="22"/>
                    <w:szCs w:val="22"/>
                    <w:lang w:eastAsia="lt-LT"/>
                  </w:rPr>
                </w:pPr>
                <w:r>
                  <w:rPr>
                    <w:b/>
                    <w:bCs/>
                    <w:color w:val="000000"/>
                    <w:sz w:val="22"/>
                    <w:szCs w:val="22"/>
                    <w:lang w:eastAsia="lt-LT"/>
                  </w:rPr>
                  <w:t>Skirstymo sistemos operatorių konfidencialumo pareigos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828"/>
                  </w:tabs>
                  <w:jc w:val="both"/>
                  <w:rPr>
                    <w:color w:val="000000"/>
                    <w:sz w:val="22"/>
                    <w:szCs w:val="22"/>
                    <w:lang w:eastAsia="lt-LT"/>
                  </w:rPr>
                </w:pPr>
                <w:r>
                  <w:rPr>
                    <w:color w:val="000000"/>
                    <w:sz w:val="22"/>
                    <w:szCs w:val="22"/>
                    <w:lang w:eastAsia="lt-LT"/>
                  </w:rPr>
                  <w:t xml:space="preserve">1. Nedarant poveikio 74 straipsniui ar bet kuriai kitai teisinei pareigai atskleisti informaciją, kiekvienas skirstymo sistemos operatorius išsaugo verslo veiklos metu gautos neskelbtinos komercinės informacijos konfidencialumą ir užtikrina, kad informacija apie jo veiklą, kuri gali suteikti komercinį pranašumą, nebūtų atskleista diskriminaciniu būdu. </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color w:val="000000"/>
                    <w:sz w:val="22"/>
                    <w:szCs w:val="22"/>
                    <w:lang w:eastAsia="lt-LT"/>
                  </w:rPr>
                  <w:t>1. Nepažeisdamas teisės aktų reikalavimų pateikti informaciją, kiekvienas skirstymo sistemos operatorius užtikrina verslo veiklos metu gautos informacijos, laikomos komercine (gamybine) ar profesine paslaptimi, konfidencialumą ir pasirūpina, kad komercinį pranašumą galinti suteikti informacija apie jo veiklą nebūtų atskleista diskriminaciniu būdu.</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gamtines dujas, skirstymo sistemos operatoriai nepiktnaudžiauja neskelbtina komercine informacija, kurią gauna iš trečiųjų šalių suteikdami prieigą prie sistemos arba derėdamiesi dėl tokios prieigos.</w:t>
                </w:r>
              </w:p>
            </w:tc>
            <w:tc>
              <w:tcPr>
                <w:tcW w:w="9407" w:type="dxa"/>
                <w:gridSpan w:val="3"/>
              </w:tcPr>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b/>
                    <w:color w:val="000000"/>
                    <w:sz w:val="22"/>
                    <w:szCs w:val="22"/>
                    <w:lang w:eastAsia="lt-LT"/>
                  </w:rPr>
                  <w:t>&lt;…&gt;</w:t>
                </w:r>
              </w:p>
              <w:p>
                <w:pPr>
                  <w:ind w:right="57" w:firstLine="720"/>
                  <w:jc w:val="both"/>
                  <w:rPr>
                    <w:color w:val="000000"/>
                    <w:sz w:val="22"/>
                    <w:szCs w:val="22"/>
                    <w:lang w:eastAsia="lt-LT"/>
                  </w:rPr>
                </w:pPr>
                <w:r>
                  <w:rPr>
                    <w:color w:val="000000"/>
                    <w:sz w:val="22"/>
                    <w:szCs w:val="22"/>
                    <w:lang w:eastAsia="lt-LT"/>
                  </w:rPr>
                  <w:t>2. Susijusioms įmonėms parduodant ar perkant gamtines dujas, skirstymo sistemos operatoriai nepiktnaudžiauja iš trečiųjų šalių gauta informacija, laikoma komercine (gamybine) ar profesine paslaptimi, šioms suteikiant teisę naudotis sistema arba derantis dėl šios teisės.</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21" w:tgtFrame="_parent" w:history="1">
                  <w:r>
                    <w:rPr>
                      <w:i/>
                      <w:iCs/>
                      <w:sz w:val="22"/>
                      <w:szCs w:val="22"/>
                      <w:lang w:eastAsia="lt-LT"/>
                    </w:rPr>
                    <w:t>XI-2054</w:t>
                  </w:r>
                </w:hyperlink>
                <w:r>
                  <w:rPr>
                    <w:i/>
                    <w:color w:val="000000"/>
                    <w:sz w:val="22"/>
                    <w:szCs w:val="22"/>
                    <w:lang w:eastAsia="lt-LT"/>
                  </w:rPr>
                  <w:t>,</w:t>
                </w:r>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Uždaros gamtinių dujų skirstymo sistemos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gali nustatyti, kad reguliavimo institucijos ar kitos kompetentingos institucijos sistemą, kurioje gamtinės dujos skirstomos geografiniu požiūriu ribotoje pramoninėje, komercinėje ar bendrų paslaugų teritorijoje ir, nedarant poveikio 4 daliai, netiekiamos namų ūkio vartotojoms, laikytų uždara skirstymo sistema, jei:</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 straipsnis. Pagrindinės šio įstatymo sąvokos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dėl tam tikrų techninių ar su sauga susijusių priežasčių tos sistemos naudotojų veikla ar gamybos procesas yra integruoti arba</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p>
              <w:p>
                <w:pPr>
                  <w:jc w:val="both"/>
                  <w:rPr>
                    <w:b/>
                    <w:bCs/>
                    <w:color w:val="000000"/>
                    <w:sz w:val="22"/>
                    <w:szCs w:val="22"/>
                    <w:lang w:eastAsia="lt-LT"/>
                  </w:rPr>
                </w:pPr>
                <w:r>
                  <w:rPr>
                    <w:b/>
                    <w:bCs/>
                    <w:color w:val="000000"/>
                    <w:sz w:val="22"/>
                    <w:szCs w:val="22"/>
                    <w:lang w:eastAsia="lt-LT"/>
                  </w:rPr>
                  <w:t>Vietinė bendrojo naudojimo sistema</w:t>
                </w:r>
              </w:p>
              <w:p>
                <w:pPr>
                  <w:jc w:val="both"/>
                  <w:rPr>
                    <w:color w:val="000000"/>
                    <w:sz w:val="22"/>
                    <w:szCs w:val="22"/>
                    <w:lang w:eastAsia="lt-LT"/>
                  </w:rPr>
                </w:pPr>
                <w:r>
                  <w:rPr>
                    <w:color w:val="000000"/>
                    <w:sz w:val="22"/>
                    <w:szCs w:val="22"/>
                    <w:lang w:eastAsia="lt-LT"/>
                  </w:rPr>
                  <w:t>1. Vietinė bendrojo naudojimo sistema yra skirstymo sistemos sudedamoji dalis ir jai taikomi tie patys reikalavimai kaip ir skirstymo sistemai, išskyrus šiame įstatyme nustatytas išimtis.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pagal tą sistemą gamtinės dujos visų pirma paskirstomos sistemos savininkui ar operatoriui arba jų susijusioms įmonėms.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color w:val="000000"/>
                    <w:sz w:val="22"/>
                    <w:szCs w:val="22"/>
                    <w:lang w:eastAsia="lt-LT"/>
                  </w:rPr>
                </w:pPr>
                <w:r>
                  <w:rPr>
                    <w:color w:val="000000"/>
                    <w:sz w:val="22"/>
                    <w:szCs w:val="22"/>
                    <w:lang w:eastAsia="lt-LT"/>
                  </w:rPr>
                  <w:t>&lt;...&gt;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66"/>
                  </w:tabs>
                  <w:jc w:val="both"/>
                  <w:rPr>
                    <w:color w:val="000000"/>
                    <w:sz w:val="22"/>
                    <w:szCs w:val="22"/>
                    <w:lang w:eastAsia="lt-LT"/>
                  </w:rPr>
                </w:pPr>
                <w:r>
                  <w:rPr>
                    <w:color w:val="000000"/>
                    <w:sz w:val="22"/>
                    <w:szCs w:val="22"/>
                    <w:lang w:eastAsia="lt-LT"/>
                  </w:rPr>
                  <w:t>2. Valstybės narės gali nurodyti reguliavimo institucijoms suteikti uždaros gamtinių dujų skirstymo sistemos operatoriui išimtį ir netaikyti jam 31 straipsnio 1 dalyje nustatyto reikalavimo, pagal kurį tarifai arba jų apskaičiavimo metodikos būtų patvirtinti iki jų įsigaliojimo pagal 78 straipsnį.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suteikiama išimtis pagal šio straipsnio 2 dalį, taikomi tarifai arba jų apskaičiavimo metodikos uždaros gamtinių dujų skirstymo sistemos naudotojo prašymu peržiūrimi ir tvirtinami laikantis 78 straipsnio.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Tai, kad sistema atsitiktinai naudojasi nedidelis skaičius namų ūkio vartotojų, kurie turi darbo ar panašių ryšių su skirstymo sistemos savininku ir kurie yra pagal uždarą skirstymo sistemą aptarnaujamoje teritorijoje, nekliudo suteikti išimties pagal 2 dalį.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p>
              <w:p>
                <w:pPr>
                  <w:tabs>
                    <w:tab w:val="left" w:pos="1704"/>
                  </w:tabs>
                  <w:jc w:val="both"/>
                  <w:rPr>
                    <w:color w:val="000000"/>
                    <w:sz w:val="22"/>
                    <w:szCs w:val="22"/>
                    <w:lang w:eastAsia="lt-LT"/>
                  </w:rPr>
                </w:pPr>
                <w:r>
                  <w:rPr>
                    <w:color w:val="000000"/>
                    <w:sz w:val="22"/>
                    <w:szCs w:val="22"/>
                    <w:lang w:eastAsia="lt-LT"/>
                  </w:rPr>
                  <w:t>3. &lt;...&gt; sistemos, kurioje gamtinės dujos netiekiamos buitiniams vartotojams, išskyrus buitinius vartotojus, turinčius darbo santykių su skirstymo sistemos savininku ar valdytoju ir esančius uždaros skirstymo sistemos aptarnaujamoje teritorijoje &lt;...&gt;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5. Šios direktyvos tikslais uždaros skirstymo sistemos laikomos skirstymo sistemomis.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720"/>
                  <w:jc w:val="both"/>
                  <w:rPr>
                    <w:b/>
                    <w:bCs/>
                    <w:color w:val="000000"/>
                    <w:sz w:val="22"/>
                    <w:szCs w:val="22"/>
                    <w:lang w:val="lt" w:eastAsia="lt-LT"/>
                  </w:rPr>
                </w:pPr>
                <w:r>
                  <w:rPr>
                    <w:b/>
                    <w:color w:val="000000"/>
                    <w:sz w:val="22"/>
                    <w:szCs w:val="22"/>
                    <w:lang w:val="lt" w:eastAsia="lt-LT"/>
                  </w:rPr>
                  <w:t>Gamtinių dujų įstatymas</w:t>
                </w:r>
              </w:p>
              <w:p>
                <w:pPr>
                  <w:ind w:firstLine="720"/>
                  <w:jc w:val="both"/>
                  <w:rPr>
                    <w:b/>
                    <w:color w:val="000000"/>
                    <w:sz w:val="22"/>
                    <w:szCs w:val="22"/>
                    <w:lang w:val="lt" w:eastAsia="lt-LT"/>
                  </w:rPr>
                </w:pPr>
                <w:r>
                  <w:rPr>
                    <w:b/>
                    <w:bCs/>
                    <w:color w:val="000000"/>
                    <w:sz w:val="22"/>
                    <w:szCs w:val="22"/>
                    <w:lang w:val="lt" w:eastAsia="lt-LT"/>
                  </w:rPr>
                  <w:t>2 straipsnis. Pagrindinės šio įstatymo sąvokos</w:t>
                </w:r>
              </w:p>
              <w:p>
                <w:pPr>
                  <w:jc w:val="both"/>
                  <w:rPr>
                    <w:color w:val="000000"/>
                    <w:sz w:val="22"/>
                    <w:szCs w:val="22"/>
                    <w:lang w:val="lt" w:eastAsia="lt-LT"/>
                  </w:rPr>
                </w:pPr>
                <w:r>
                  <w:rPr>
                    <w:color w:val="000000"/>
                    <w:sz w:val="22"/>
                    <w:szCs w:val="22"/>
                    <w:lang w:val="lt" w:eastAsia="lt-LT"/>
                  </w:rPr>
                  <w:t xml:space="preserve">29. </w:t>
                </w:r>
                <w:r>
                  <w:rPr>
                    <w:b/>
                    <w:color w:val="000000"/>
                    <w:sz w:val="22"/>
                    <w:szCs w:val="22"/>
                    <w:lang w:val="lt" w:eastAsia="lt-LT"/>
                  </w:rPr>
                  <w:t>Gamtinių dujų skirstymo sistema</w:t>
                </w:r>
                <w:r>
                  <w:rPr>
                    <w:color w:val="000000"/>
                    <w:sz w:val="22"/>
                    <w:szCs w:val="22"/>
                    <w:lang w:val="lt" w:eastAsia="lt-LT"/>
                  </w:rPr>
                  <w:t xml:space="preserve"> (toliau – skirstymo sistema) – vamzdynai gamtinėms dujoms iš magistralinio dujotiekio gamtinių dujų skirstymo stočių arba iš mažos apimties SGD pakartotinio dujinimo įrenginių pristatyti iki gamtinių dujų vartotojo sistemų, taip pat statiniai, įrenginiai, mažos apimties SGD pakartotinio dujinimo įrenginiai ir priemonės šiems vamzdynams veikti. Gamtinių dujų skirstymo sistema taip pat vadinama skirstomuoju dujotiekiu.</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Jungtinis operatorius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46 straipsnio 1 dalis neturi trukdyti gamtinių dujų perdavimo, laikymo ar SGD įrenginių jungtiniam operatoriui vykdyti veiklą, jei operatorius laikosi atitinkamų IX skyriaus nuostatų.</w:t>
                </w:r>
              </w:p>
            </w:tc>
            <w:tc>
              <w:tcPr>
                <w:tcW w:w="9407" w:type="dxa"/>
                <w:gridSpan w:val="3"/>
                <w:vAlign w:val="center"/>
              </w:tcPr>
              <w:p>
                <w:pPr>
                  <w:ind w:firstLine="17"/>
                  <w:jc w:val="both"/>
                  <w:rPr>
                    <w:b/>
                    <w:color w:val="000000"/>
                    <w:sz w:val="22"/>
                    <w:szCs w:val="22"/>
                    <w:lang w:val="pt-BR"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32 straipsnis. Sistemos operatoriams taikomi konfidencialumo reikalavimai</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firstLine="1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46 straipsnio 1 dalis neturi trukdyti vandenilio perdavimo tinklų, vandenilio terminalų, vandenilio saugyklų ar vandenilio skirstymo tinklų jungtiniam operatoriui vykdyti veiklą, jei operatorius laikosi 68 ir 69 straipsnių.</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spacing w:line="276" w:lineRule="auto"/>
                  <w:ind w:firstLine="709"/>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spacing w:line="276" w:lineRule="auto"/>
                  <w:ind w:firstLine="709"/>
                  <w:jc w:val="both"/>
                  <w:rPr>
                    <w:b/>
                    <w:bCs/>
                    <w:color w:val="000000"/>
                    <w:sz w:val="22"/>
                    <w:szCs w:val="22"/>
                    <w:lang w:eastAsia="lt-LT"/>
                  </w:rPr>
                </w:pPr>
                <w:r>
                  <w:rPr>
                    <w:b/>
                    <w:bCs/>
                    <w:color w:val="000000"/>
                    <w:sz w:val="22"/>
                    <w:szCs w:val="22"/>
                    <w:lang w:eastAsia="lt-LT"/>
                  </w:rPr>
                  <w:t>1) vandenilio perdavimo;</w:t>
                </w:r>
              </w:p>
              <w:p>
                <w:pPr>
                  <w:spacing w:line="276" w:lineRule="auto"/>
                  <w:ind w:firstLine="709"/>
                  <w:jc w:val="both"/>
                  <w:rPr>
                    <w:b/>
                    <w:bCs/>
                    <w:color w:val="000000"/>
                    <w:sz w:val="22"/>
                    <w:szCs w:val="22"/>
                    <w:lang w:eastAsia="lt-LT"/>
                  </w:rPr>
                </w:pPr>
                <w:r>
                  <w:rPr>
                    <w:b/>
                    <w:bCs/>
                    <w:color w:val="000000"/>
                    <w:sz w:val="22"/>
                    <w:szCs w:val="22"/>
                    <w:lang w:eastAsia="lt-LT"/>
                  </w:rPr>
                  <w:t>2) vandenilio skirstymo;</w:t>
                </w:r>
              </w:p>
              <w:p>
                <w:pPr>
                  <w:spacing w:line="276" w:lineRule="auto"/>
                  <w:ind w:firstLine="709"/>
                  <w:jc w:val="both"/>
                  <w:rPr>
                    <w:b/>
                    <w:bCs/>
                    <w:color w:val="000000"/>
                    <w:sz w:val="22"/>
                    <w:szCs w:val="22"/>
                    <w:lang w:eastAsia="lt-LT"/>
                  </w:rPr>
                </w:pPr>
                <w:r>
                  <w:rPr>
                    <w:b/>
                    <w:bCs/>
                    <w:color w:val="000000"/>
                    <w:sz w:val="22"/>
                    <w:szCs w:val="22"/>
                    <w:lang w:eastAsia="lt-LT"/>
                  </w:rPr>
                  <w:t>3) vandenilio saugyklos operatoriaus;</w:t>
                </w:r>
              </w:p>
              <w:p>
                <w:pPr>
                  <w:spacing w:line="276" w:lineRule="auto"/>
                  <w:ind w:firstLine="709"/>
                  <w:jc w:val="both"/>
                  <w:rPr>
                    <w:b/>
                    <w:bCs/>
                    <w:color w:val="000000"/>
                    <w:sz w:val="22"/>
                    <w:szCs w:val="22"/>
                    <w:lang w:eastAsia="lt-LT"/>
                  </w:rPr>
                </w:pPr>
                <w:r>
                  <w:rPr>
                    <w:b/>
                    <w:bCs/>
                    <w:color w:val="000000"/>
                    <w:sz w:val="22"/>
                    <w:szCs w:val="22"/>
                    <w:lang w:eastAsia="lt-LT"/>
                  </w:rPr>
                  <w:t>4) vandenilio terminalo operatoriaus;</w:t>
                </w:r>
              </w:p>
              <w:p>
                <w:pPr>
                  <w:spacing w:line="276" w:lineRule="auto"/>
                  <w:ind w:firstLine="709"/>
                  <w:jc w:val="both"/>
                  <w:rPr>
                    <w:b/>
                    <w:bCs/>
                    <w:color w:val="000000"/>
                    <w:sz w:val="22"/>
                    <w:szCs w:val="22"/>
                    <w:lang w:eastAsia="lt-LT"/>
                  </w:rPr>
                </w:pPr>
                <w:r>
                  <w:rPr>
                    <w:b/>
                    <w:bCs/>
                    <w:color w:val="000000"/>
                    <w:sz w:val="22"/>
                    <w:szCs w:val="22"/>
                    <w:lang w:eastAsia="lt-LT"/>
                  </w:rPr>
                  <w:t>5) biržos operatoriaus.</w:t>
                </w:r>
              </w:p>
              <w:p>
                <w:pPr>
                  <w:spacing w:line="276" w:lineRule="auto"/>
                  <w:ind w:firstLine="709"/>
                  <w:jc w:val="both"/>
                  <w:rPr>
                    <w:b/>
                    <w:bCs/>
                    <w:color w:val="000000"/>
                    <w:sz w:val="22"/>
                    <w:szCs w:val="22"/>
                    <w:lang w:eastAsia="lt-LT"/>
                  </w:rPr>
                </w:pPr>
                <w:r>
                  <w:rPr>
                    <w:b/>
                    <w:bCs/>
                    <w:color w:val="000000"/>
                    <w:sz w:val="22"/>
                    <w:szCs w:val="22"/>
                    <w:lang w:eastAsia="lt-LT"/>
                  </w:rPr>
                  <w:t>2. Asmeniui, siekiančiam verstis bent dvejomis iš šio straipsnio 1 dalies 1–4 punktuose numatytų veiklų, išduodama jungtinio operatoriaus licencija. Tokiu atveju, asmuo privalo atitikti kiekvienos licencijuojamos veiklos sąlygas ir reikalavimus, nustatytus šiame straipsnyje. Jeigu asmuo, gavęs licenciją vienai šio straipsnio 1 dalies 1-4 punktuose numatytai veiklai, po to siekia gauti licenciją ir kitai šio straipsnio 1 dalies 1-4 punktuose numatytai 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ind w:firstLine="720"/>
                  <w:jc w:val="both"/>
                  <w:rPr>
                    <w:b/>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43 straipsnis. Jungtinis vandenilio sistemų operatorius</w:t>
                </w:r>
              </w:p>
              <w:p>
                <w:pPr>
                  <w:spacing w:line="276" w:lineRule="auto"/>
                  <w:ind w:firstLine="720"/>
                  <w:jc w:val="both"/>
                  <w:rPr>
                    <w:b/>
                    <w:bCs/>
                    <w:color w:val="000000"/>
                    <w:sz w:val="22"/>
                    <w:szCs w:val="22"/>
                    <w:lang w:eastAsia="lt-LT"/>
                  </w:rPr>
                </w:pPr>
                <w:r>
                  <w:rPr>
                    <w:b/>
                    <w:bCs/>
                    <w:color w:val="000000"/>
                    <w:sz w:val="22"/>
                    <w:szCs w:val="22"/>
                    <w:lang w:eastAsia="lt-LT"/>
                  </w:rPr>
                  <w:t>1. Vandenilio tinklų operatorių veiklos atskyrimo ir nepriklausomumo reikalavimai, nustatyti šio įstatymo 39–42 straipsniuose, netrukdo juridiniam asmeniui veikti kaip jungtiniam operatoriui, jeigu jis tuo pačiu metu vykdo dvi ar daugiau veiklų, susijusių su vandenilio perdavimu, skirstymu, saugojimu ar terminalų eksploatavimu, ir laikosi šiame įstatyme nustatytų sąlygų.</w:t>
                </w:r>
              </w:p>
              <w:p>
                <w:pPr>
                  <w:spacing w:line="276" w:lineRule="auto"/>
                  <w:ind w:firstLine="720"/>
                  <w:jc w:val="both"/>
                  <w:rPr>
                    <w:b/>
                    <w:bCs/>
                    <w:color w:val="000000"/>
                    <w:sz w:val="22"/>
                    <w:szCs w:val="22"/>
                    <w:lang w:eastAsia="lt-LT"/>
                  </w:rPr>
                </w:pPr>
                <w:r>
                  <w:rPr>
                    <w:b/>
                    <w:bCs/>
                    <w:color w:val="000000"/>
                    <w:sz w:val="22"/>
                    <w:szCs w:val="22"/>
                    <w:lang w:eastAsia="lt-LT"/>
                  </w:rPr>
                  <w:t>2. Jungtinio operatoriaus veikla turi būti organizuojama taip, kad būtų užtikrintas kiekvienos vykdomos veiklos funkcinis ir sprendimų priėmimo nepriklausomumas, nediskriminacinė trečiųjų šalių teisė naudotis tinklais ir infrastruktūra bei išvengta interesų konflikto tarp skirtingų vykdomų veiklų.i3. Jungtinio operatoriaus veiklą prižiūri Taryba, kuri vertina atitiktį šiame įstatyme nustatytiems veiklos atskyrimo, nepriklausomumo ir nediskriminavimo principams.i4. Jungtinis operatorius privalo užtikrinti asmenims galimybę objektyviomis ir nediskriminacinėmis sąlygomis naudotis vandenilio sistema ir vandenilio tinklais.i5. Asmuo, siekiantis būti paskirtas jungtiniu operatoriumi, Tarybai pateikia prašymą ir dokumentus, pagrindžiančius jo atitiktį šio įstatymo 39–42 straipsniuose nustatytiems reikalavimams.i6. Taryba priima sprendimą dėl jungtinio operatoriaus paskyrimo per 100 darbo dienų nuo asmens prašymo pateikimo bei visų reikalingų ir tinkamai įformintų dokumentų gavimo dienos.i7. Tarybos sprendimas paskirti jungtinį operatorių skelbiamas viešai. Nuo paskyrimo momento jungtinis operatorius privalo vykdyti veiklą pagal šio įstatymo, kitų teisės aktų ir licencijų sąlygas.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 straipsnio 1 ir 2 dalys neturi trukdyti gamtinių dujų ir vandenilio sistemų jungtiniam operatoriui vykdyti veiklą, jei laikomasi 69 straipsnio reikalavimų.</w:t>
                </w:r>
              </w:p>
            </w:tc>
            <w:tc>
              <w:tcPr>
                <w:tcW w:w="3913" w:type="dxa"/>
                <w:gridSpan w:val="2"/>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taikymą.i2. Iki 2030 m. gruodžio 31 d. šio straipsnio 1 dalyje nustatyti reikalavimai vandenilio perdavimo tinklo operatoriaus veiklai nėra taikomi ir šiuo laikotarpiu</w:t>
                </w:r>
                <w:r>
                  <w:rPr>
                    <w:color w:val="000000"/>
                    <w:sz w:val="22"/>
                    <w:szCs w:val="22"/>
                    <w:lang w:eastAsia="lt-LT"/>
                  </w:rPr>
                  <w:t xml:space="preserve"> </w:t>
                </w:r>
                <w:r>
                  <w:rPr>
                    <w:b/>
                    <w:bCs/>
                    <w:color w:val="000000"/>
                    <w:sz w:val="22"/>
                    <w:szCs w:val="22"/>
                    <w:lang w:eastAsia="lt-LT"/>
                  </w:rPr>
                  <w:t>sąnaudų ir naudos analizė neatliekama. Apie tokios išimties taikymą Energetikos ministerija praneša Europos Komisijai.iii</w:t>
                </w:r>
                <w:r>
                  <w:rPr>
                    <w:i/>
                    <w:iCs/>
                    <w:color w:val="000000"/>
                    <w:sz w:val="22"/>
                    <w:szCs w:val="22"/>
                    <w:lang w:eastAsia="lt-LT"/>
                  </w:rPr>
                  <w:t>Pastaba. Atitinkamos nuostatos dėl gamtinių dujų bus perkeltos atskiru Gamtinių dujų įstatymo pakeitimo įstatymo projektu (planuojama LRS 2026 m. rudens sesijoje).</w:t>
                </w:r>
                <w:r>
                  <w:rPr>
                    <w:color w:val="000000"/>
                    <w:lang w:eastAsia="lt-LT"/>
                  </w:rPr>
                  <w:t>ii</w:t>
                </w:r>
              </w:p>
            </w:tc>
            <w:tc>
              <w:tcPr>
                <w:tcW w:w="1703" w:type="dxa"/>
                <w:gridSpan w:val="4"/>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 xml:space="preserve">VII SKYRIUS </w:t>
                </w:r>
              </w:p>
              <w:p>
                <w:pPr>
                  <w:shd w:val="clear" w:color="auto" w:fill="FFFFFF"/>
                  <w:jc w:val="both"/>
                  <w:rPr>
                    <w:b/>
                    <w:bCs/>
                    <w:color w:val="000000"/>
                    <w:sz w:val="22"/>
                    <w:szCs w:val="22"/>
                    <w:lang w:eastAsia="lt-LT"/>
                  </w:rPr>
                </w:pPr>
                <w:r>
                  <w:rPr>
                    <w:b/>
                    <w:bCs/>
                    <w:color w:val="000000"/>
                    <w:sz w:val="22"/>
                    <w:szCs w:val="22"/>
                    <w:lang w:eastAsia="lt-LT"/>
                  </w:rPr>
                  <w:t>VANDENILIO TINKLAMS TAIKOMOS TAISYKLĖS</w:t>
                </w:r>
              </w:p>
              <w:p>
                <w:pPr>
                  <w:shd w:val="clear" w:color="auto" w:fill="FFFFFF"/>
                  <w:jc w:val="both"/>
                  <w:rPr>
                    <w:i/>
                    <w:iCs/>
                    <w:color w:val="000000"/>
                    <w:sz w:val="22"/>
                    <w:szCs w:val="22"/>
                    <w:lang w:eastAsia="lt-LT"/>
                  </w:rPr>
                </w:pPr>
                <w:r>
                  <w:rPr>
                    <w:i/>
                    <w:iCs/>
                    <w:color w:val="000000"/>
                    <w:sz w:val="22"/>
                    <w:szCs w:val="22"/>
                    <w:lang w:eastAsia="lt-LT"/>
                  </w:rPr>
                  <w:t xml:space="preserve">50 straipsnis </w:t>
                </w:r>
              </w:p>
              <w:p>
                <w:pPr>
                  <w:shd w:val="clear" w:color="auto" w:fill="FFFFFF"/>
                  <w:jc w:val="both"/>
                  <w:rPr>
                    <w:color w:val="000000"/>
                    <w:sz w:val="22"/>
                    <w:szCs w:val="22"/>
                    <w:lang w:eastAsia="lt-LT"/>
                  </w:rPr>
                </w:pPr>
                <w:r>
                  <w:rPr>
                    <w:b/>
                    <w:bCs/>
                    <w:color w:val="000000"/>
                    <w:sz w:val="22"/>
                    <w:szCs w:val="22"/>
                    <w:lang w:eastAsia="lt-LT"/>
                  </w:rPr>
                  <w:t>Vandenilio tinklo, saugyklų ir terminalų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vandenilio tinklo, saugyklos ar terminalo operatorius:</w:t>
                </w:r>
              </w:p>
            </w:tc>
            <w:tc>
              <w:tcPr>
                <w:tcW w:w="9407" w:type="dxa"/>
                <w:gridSpan w:val="3"/>
                <w:vAlign w:val="center"/>
              </w:tcPr>
              <w:p>
                <w:pPr>
                  <w:ind w:right="57"/>
                  <w:rPr>
                    <w:b/>
                    <w:bCs/>
                    <w:sz w:val="22"/>
                    <w:szCs w:val="22"/>
                    <w:lang w:eastAsia="lt-LT"/>
                  </w:rPr>
                </w:pPr>
                <w:r>
                  <w:rPr>
                    <w:b/>
                    <w:bCs/>
                    <w:sz w:val="22"/>
                    <w:szCs w:val="22"/>
                    <w:lang w:eastAsia="lt-LT"/>
                  </w:rPr>
                  <w:t>Vandenilio įstatymo projektas</w:t>
                </w:r>
              </w:p>
              <w:p>
                <w:pPr>
                  <w:tabs>
                    <w:tab w:val="left" w:pos="567"/>
                  </w:tabs>
                  <w:spacing w:line="276" w:lineRule="auto"/>
                  <w:jc w:val="both"/>
                  <w:rPr>
                    <w:color w:val="000000"/>
                    <w:sz w:val="22"/>
                    <w:szCs w:val="22"/>
                    <w:lang w:eastAsia="lt-LT"/>
                  </w:rPr>
                </w:pPr>
                <w:r>
                  <w:rPr>
                    <w:b/>
                    <w:bCs/>
                    <w:color w:val="000000"/>
                    <w:sz w:val="22"/>
                    <w:szCs w:val="22"/>
                    <w:lang w:eastAsia="lt-LT"/>
                  </w:rPr>
                  <w:t>30</w:t>
                </w:r>
                <w:r>
                  <w:rPr>
                    <w:b/>
                    <w:color w:val="000000"/>
                    <w:sz w:val="22"/>
                    <w:szCs w:val="22"/>
                    <w:lang w:eastAsia="lt-LT"/>
                  </w:rPr>
                  <w:t xml:space="preserve"> straipsnis. Vandenilio tinklo, saugyklos ir terminalo operatorių užduotys</w:t>
                </w:r>
              </w:p>
              <w:p>
                <w:pPr>
                  <w:ind w:right="57" w:firstLine="720"/>
                  <w:rPr>
                    <w:b/>
                    <w:bCs/>
                    <w:color w:val="D13438"/>
                    <w:sz w:val="22"/>
                    <w:szCs w:val="22"/>
                    <w:u w:val="single"/>
                    <w:lang w:eastAsia="lt-LT"/>
                  </w:rPr>
                </w:pPr>
                <w:r>
                  <w:rPr>
                    <w:b/>
                    <w:color w:val="000000"/>
                    <w:sz w:val="22"/>
                    <w:szCs w:val="22"/>
                    <w:lang w:eastAsia="lt-LT"/>
                  </w:rPr>
                  <w:t>1. Vandenilio tinklo, saugyklos ir terminalo operatorius:</w:t>
                </w:r>
              </w:p>
              <w:p>
                <w:pPr>
                  <w:ind w:right="57" w:firstLine="720"/>
                  <w:jc w:val="center"/>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ekonominėmis sąlygomis eksploatuoja, prižiūri ir plėtoja, įskaitant paskirties keitimą, saugią ir patikimą vandenilio transportavimo ar laikymo infrastruktūrą, deramai atsižvelgdamas į aplinką, glaudžiai bendradarbiaudamas su sujungtų ir kaimyninių vandenilio tinklų operatoriais, kad būtų optimizuota vandenilio gamybos ir naudojimo kolokacija, remdamasis 55 straipsnyje nurodytu dešimties metų tinklo plėtros planu;</w:t>
                  <w:tab/>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saugyklos ir terminalo operatorius:</w:t>
                </w:r>
              </w:p>
              <w:p>
                <w:pPr>
                  <w:spacing w:line="276" w:lineRule="auto"/>
                  <w:ind w:firstLine="720"/>
                  <w:jc w:val="both"/>
                  <w:rPr>
                    <w:b/>
                    <w:bCs/>
                    <w:color w:val="000000"/>
                    <w:sz w:val="22"/>
                    <w:szCs w:val="22"/>
                    <w:lang w:eastAsia="lt-LT"/>
                  </w:rPr>
                </w:pPr>
                <w:r>
                  <w:rPr>
                    <w:b/>
                    <w:bCs/>
                    <w:color w:val="000000"/>
                    <w:sz w:val="22"/>
                    <w:szCs w:val="22"/>
                    <w:lang w:eastAsia="lt-LT"/>
                  </w:rPr>
                  <w:t>1) yra atsakingas už saugų ir patikimą vandenilio transportavimo ar saugojimo infrastruktūros įrengimą, eksploatavimą, priežiūrą ir plėtrą, atsižvelgiant į aplinką, įskaitant jos paskirties keitimą, bendradarbiauja su sujungtų ir kaimyninių vandenilio tinklų operatoriais, kad būtų įvertintos vandenilio gamybos ir naudojimo vietos, atsižvelgiant į šio įstatymo 36 straipsnio 1 dalyje nurodytus dešimties metų tinklų plėtros planus;</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ilgalaikį vandenilio sistemos gebėjimą patenkinti nustatytą pagrįstą vandenilio transportavimo ir laikymo paklausą pagal 55 straipsnyje nurodytą dešimties metų tinklo plėtros planą;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užtikrina tinkamas priemones, kurių reikia jo pareigoms vykdyti;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3) įgyvendina tinkamas priemones, kurių reikia operatoriaus pareigoms vykdyti;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pateikia kitų tinklų arba sistemų, su kuriomis sujungta jo sistema, operatoriui pakankamai informacijos, be kita ko, apie vandenilio kokybę, kad būtų užtikrinamas saugus ir efektyvus jungtinės sistemos eksploatavimas, koordinuota jos plėtra ir sąveikumas;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pateikia kitų tinklų arba sistemų, su kuriomis sujungta jo sistema, operatoriams informaciją apie vandenilio kokybę, kad būtų užtikrinamas saugus ir efektyvus jungtinės sistemos eksploatavimas, užtikrinama koordinuota jos plėtra ir sąveikumas;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e) nediskriminuoja vandenilio sistemos naudotojų ar sistemos naudotojų kategorijų, ypač savo susijusių įmonių naudai;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bCs/>
                    <w:color w:val="000000"/>
                    <w:sz w:val="22"/>
                    <w:szCs w:val="22"/>
                    <w:lang w:eastAsia="lt-LT"/>
                  </w:rPr>
                  <w:t>5) nediskriminuoja vandenilio sistemos naudotojų ar sistemos naudotojų kategorijų, įskaitant ir savo susijusių įmonių naudai;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f) teikia vandenilio sistemos naudotojams informaciją, kuri jiems reikalinga efektyviai prieigai prie infrastruktūros;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color w:val="000000"/>
                    <w:sz w:val="22"/>
                    <w:szCs w:val="22"/>
                    <w:lang w:eastAsia="lt-LT"/>
                  </w:rPr>
                  <w:t>6) teikia vandenilio sistemos naudotojams informaciją, kuri yra reikalinga, kad būtų užtikrinta teisė naudotis vandenilio infrastruktūra;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96"/>
            </w:trPr>
            <w:tc>
              <w:tcPr>
                <w:tcW w:w="3913" w:type="dxa"/>
              </w:tcPr>
              <w:p>
                <w:pPr>
                  <w:shd w:val="clear" w:color="auto" w:fill="FFFFFF"/>
                  <w:jc w:val="both"/>
                  <w:rPr>
                    <w:color w:val="000000"/>
                    <w:sz w:val="22"/>
                    <w:szCs w:val="22"/>
                    <w:lang w:eastAsia="lt-LT"/>
                  </w:rPr>
                </w:pPr>
                <w:r>
                  <w:rPr>
                    <w:color w:val="000000"/>
                    <w:sz w:val="22"/>
                    <w:szCs w:val="22"/>
                    <w:lang w:eastAsia="lt-LT"/>
                  </w:rPr>
                  <w:t>g) imasi visų turimų pagrįstų priemonių, kad vykdant veiklą būtų užkirstas kelias vandenilio išmetimui, o išmetamas jo kiekis būtų kuo labiau sumažintas, ir reguliariai atlieka visų atitinkamų komponentų, už kuriuos atsako operatorius, vandenilio nuotėkių aptikimo ir remonto poreikio tyrimą;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7) privalo imtis visų pagrįstų priemonių, kad vykdant veiklą būtų užkirstas kelias vandenilio nuotėkiui, o vandenilio nuotėkio kiekis būtų kuo labiau sumažintas, ir reguliariai atlieka visų atitinkamų komponentų, už kuriuos atsako operatorius, vandenilio nuotėkių aptikimo ir remonto poreikio tyrimą;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kompetentingoms institucijoms pateikia vandenilio nuotėkių aptikimo ataskaitą ir, jei reikia, remonto arba pakeitimo programą, taip pat kasmet paskelbia statistinę informaciją apie vandenilio nuotėkių aptikimą ir remonto poreikį.</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551"/>
                  <w:jc w:val="both"/>
                  <w:rPr>
                    <w:b/>
                    <w:bCs/>
                    <w:color w:val="D13438"/>
                    <w:sz w:val="22"/>
                    <w:szCs w:val="22"/>
                    <w:u w:val="single"/>
                    <w:lang w:eastAsia="lt-LT"/>
                  </w:rPr>
                </w:pPr>
                <w:r>
                  <w:rPr>
                    <w:b/>
                    <w:bCs/>
                    <w:color w:val="000000"/>
                    <w:sz w:val="22"/>
                    <w:szCs w:val="22"/>
                    <w:lang w:eastAsia="lt-LT"/>
                  </w:rPr>
                  <w:t>8) pateikia Tarybai jos nustatytu periodiškumu vandenilio nuotėkių aptikimo ataskaitą ir, Tarybos prašymu, pateikia remonto arba įrangos pakeitimo programą, taip pat, kasmet viešai savo interneto svetainėje skelbia statistinę informaciją apie vandenilio nuotėkių aptikimą ir remonto poreikį;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Vandenilio perdavimo tinklo operatoriai siekia užtikrinti pakankamą tarpvalstybinį pajėgumą Europos vandenilio infrastruktūrai integruoti, kad patenkintų visą ekonomiškai pagrįstą ir techniškai įmanomą pajėgumo paklausą, nustatytą šios direktyvos 55 straipsnyje nurodytame dešimties metų tinklo plėtros plane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nurodytame visos Sąjungos dešimties metų vandenilio tinklo plėtros plane, atsižvelgdami į vandenilio tiekimo saugumą. Atlikus jų sertifikavimą pagal šios direktyvos 71 straipsnį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valstybių narių kompetentingos institucijos gali nuspręsti pavesti vienam vandenilio perdavimo tinklo operatoriui ar ribotam jų skaičiui atsakomybę užtikrinti tarpvalstybinį pajėgumą.</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2. Vandenilio perdavimo tinklo operatorius yra atsakingas, kad būtų užtikrintas pakankamas tarpvalstybinis vandenilio perdavimo infrastruktūros pajėgumas Europos Sąjungos vandenilio infrastruktūrai integruoti, kad patenkintų visą ekonomiškai pagrįstą ir techniškai įmanomą pajėgumo paklausą, nustatytą šio įstatymo 36 straipsnio 1 dalyje nurodytame dešimties metų tinklo plėtros plane ir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nurodytame visos Europos Sąjungos dešimties metų vandenilio tinklo plėtros plane, atsižvelgdamas į vandenilio tiekimo saugumą. Vandenilio perdavimo tinklo operatorius yra atsakingas už pakankamo tarpvalstybinio pajėgumo užtikrinimą. Taryba, derindama vandenilio perdavimo tinklo operatoriaus investicijas į tokią infrastruktūrą, atsižvelgia į šioje dalyje nurodytą kriterijų dėl pakankamo tarpvalstybinio pajėgumo ir pajėgumų ilguoju laikotarpiu poreikio užtikrinimo.</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tai yra tinkama sistemos valdymo ir galutinių naudotojų atžvilgiu, reguliavimo institucija paveda vandenilio tinklo operatoriams atsakomybę užtikrinti veiksmingą vandenilio kokybės valdymą ir stabilią vandenilio kokybę jų tinkluose pagal taikytinus vandenilio kokybės standartus.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turi teisę pavesti vandenilio tinklų operatoriams užtikrinti vandenilio kokybės valdymą ir stabilią vandenilio kokybę jų tinkluose pagal taikytinus vandenilio kokybės standartus. Vandenilio perdavimo tinklo operatoriaus pagrįstos investicijos ir sąnaudos, susijusios su vandenilio kokybės valdymu, Tarybos nustatyta tvarka yra įtraukiamos į šio operatoriaus reguliuojamo turto bazę ir pajamų viršutinę ribą.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tinklo operatoriai yra atsakingi už balansavimą savo tinkluose nuo 2033 m. sausio 1 d. arba nuo ankstesnės datos, jei taip nustato reguliavimo institucija. Vandenilio tinklo operatorių priimtos taisyklės dėl vandenilio tinklo balansavimo, įskaitant taisykles, pagal kurias iš jų tinklų naudotojų imamas mokestis už energijos disbalansą, turi būti objektyvios, skaidrios ir nediskriminacinės.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Vandenilio perdavimo tinklo operatorius yra atsakingas už balansavimą savo tinkluose nuo 2033 m. sausio 1 d. </w:t>
                </w:r>
              </w:p>
              <w:p>
                <w:pPr>
                  <w:tabs>
                    <w:tab w:val="left" w:pos="567"/>
                  </w:tabs>
                  <w:spacing w:line="276" w:lineRule="auto"/>
                  <w:ind w:firstLine="720"/>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57 straipsnis. Įstatymo įsigaliojimas, įgyvendinimas ir taikymas </w:t>
                </w:r>
              </w:p>
              <w:p>
                <w:pPr>
                  <w:ind w:firstLine="17"/>
                  <w:jc w:val="both"/>
                  <w:rPr>
                    <w:b/>
                    <w:bCs/>
                    <w:color w:val="000000"/>
                    <w:sz w:val="22"/>
                    <w:szCs w:val="22"/>
                    <w:lang w:eastAsia="lt-LT"/>
                  </w:rPr>
                </w:pPr>
                <w:r>
                  <w:rPr>
                    <w:b/>
                    <w:bCs/>
                    <w:color w:val="000000"/>
                    <w:sz w:val="22"/>
                    <w:szCs w:val="22"/>
                    <w:lang w:eastAsia="lt-LT"/>
                  </w:rPr>
                  <w:t>&lt;...&gt;</w:t>
                </w:r>
              </w:p>
              <w:p>
                <w:pPr>
                  <w:tabs>
                    <w:tab w:val="left" w:pos="1134"/>
                  </w:tabs>
                  <w:spacing w:line="276" w:lineRule="auto"/>
                  <w:ind w:left="81"/>
                  <w:jc w:val="both"/>
                  <w:rPr>
                    <w:b/>
                    <w:bCs/>
                    <w:color w:val="000000"/>
                    <w:sz w:val="22"/>
                    <w:szCs w:val="22"/>
                    <w:lang w:eastAsia="lt-LT"/>
                  </w:rPr>
                </w:pPr>
                <w:r>
                  <w:rPr>
                    <w:b/>
                    <w:bCs/>
                    <w:color w:val="000000"/>
                    <w:sz w:val="22"/>
                    <w:szCs w:val="22"/>
                    <w:lang w:eastAsia="lt-LT"/>
                  </w:rPr>
                  <w:t>18.</w:t>
                  <w:tab/>
                  <w:t>Vandenilio perdavimo tinklo operatorius parengia ir iki 2032 m. sausio 1 d. pateikia derinti Tarybai vandenilio tinklų balansavimo taisykles.</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51 straipsnis </w:t>
                </w:r>
              </w:p>
              <w:p>
                <w:pPr>
                  <w:shd w:val="clear" w:color="auto" w:fill="FFFFFF"/>
                  <w:jc w:val="both"/>
                  <w:rPr>
                    <w:i/>
                    <w:iCs/>
                    <w:color w:val="000000"/>
                    <w:sz w:val="22"/>
                    <w:szCs w:val="22"/>
                    <w:lang w:eastAsia="lt-LT"/>
                  </w:rPr>
                </w:pPr>
                <w:r>
                  <w:rPr>
                    <w:b/>
                    <w:bCs/>
                    <w:color w:val="000000"/>
                    <w:sz w:val="22"/>
                    <w:szCs w:val="22"/>
                    <w:lang w:eastAsia="lt-LT"/>
                  </w:rPr>
                  <w:t>Esami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vieno ar daugiau šios direktyvos 35, 46, 68, 69, 70 ir 71 straipsnių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ir 65 straipsnių reikalavimų nukrypti leidžiančią nuostatą vandenilio tinklams, kurie 2024 m. rugpjūčio 4 d. priklausė vertikaliai integruotai įmonei.</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Bet kokia pagal 1 dalį suteikta nukrypti leidžianti nuostata nustoja galioti, jei: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vertikaliai integruotos įmonės prašymu reguliavimo institucija nusprendžia nutraukti nukrypti leidžiančios nuostatos taikymą;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vandenilio tinklas, kuriam taikoma nukrypti leidžianti nuostata, prijungiamas prie kito vandenilio tinklo;</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94"/>
                  </w:tabs>
                  <w:jc w:val="both"/>
                  <w:rPr>
                    <w:color w:val="000000"/>
                    <w:sz w:val="22"/>
                    <w:szCs w:val="22"/>
                    <w:lang w:eastAsia="lt-LT"/>
                  </w:rPr>
                </w:pPr>
                <w:r>
                  <w:rPr>
                    <w:color w:val="000000"/>
                    <w:sz w:val="22"/>
                    <w:szCs w:val="22"/>
                    <w:lang w:eastAsia="lt-LT"/>
                  </w:rPr>
                  <w:t>c) vandenilio tinklas, kuriam taikoma nukrypti leidžianti nuostata, arba jo pajėgumas, t. y. jo ilgis arba pajėgumas, išplečiamas daugiau kaip 5 %, palyginti su 2024 m. rugpjūčio 4 d., arba</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institucija sprendimu padaro išvadą, kad tolesnis nukrypti leidžiančios nuostatos taikymas keltų kliūčių konkurencijai sudarymo riziką arba neigiamai paveiktų veiksmingą vandenilio infrastruktūros diegimą arba vandenilio rinkos plėtrą ir veikimą Sąjungoje arba valstybėje narėje.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Kas septynerius metus nuo leidimo taikyti nukrypti leidžiančią nuostatą pagal 1 dalį suteikimo dienos reguliavimo institucija paskelbia nukrypti leidžiančios nuostatos poveikio konkurencijai, vandenilio infrastruktūrai ir vandenilio rinkos plėtrai bei veikimui valstybėje narėje arba Sąjungoje įvertinimą.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gali paprašyti esamų vandenilio tinklo operatorių pateikti joms visą informaciją, būtiną jų užduotims vykdyti.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52 straipsnis </w:t>
                </w:r>
              </w:p>
              <w:p>
                <w:pPr>
                  <w:shd w:val="clear" w:color="auto" w:fill="FFFFFF"/>
                  <w:jc w:val="both"/>
                  <w:rPr>
                    <w:i/>
                    <w:iCs/>
                    <w:color w:val="000000"/>
                    <w:sz w:val="22"/>
                    <w:szCs w:val="22"/>
                    <w:lang w:eastAsia="lt-LT"/>
                  </w:rPr>
                </w:pPr>
                <w:r>
                  <w:rPr>
                    <w:b/>
                    <w:bCs/>
                    <w:color w:val="000000"/>
                    <w:sz w:val="22"/>
                    <w:szCs w:val="22"/>
                    <w:lang w:eastAsia="lt-LT"/>
                  </w:rPr>
                  <w:t>Geografiškai riboti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68 ir 71 straipsnių arba nuo 46 straipsnio nukrypti leidžiančią nuostatą vandenilio tinklams, kuriais vandenilis transportuojamas geografiškai ribotoje, pramoninėje ar komercinėje vietovėje. Nukrypti leidžiančios nuostatos galiojimo laikotarpiu toks tinklas turi tenkinti visas šias sąlygas: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hd w:val="clear" w:color="auto" w:fill="FFFFFF"/>
                  <w:jc w:val="both"/>
                  <w:rPr>
                    <w:b/>
                    <w:bCs/>
                    <w:color w:val="D13438"/>
                    <w:sz w:val="22"/>
                    <w:szCs w:val="22"/>
                    <w:u w:val="single"/>
                    <w:lang w:eastAsia="lt-LT"/>
                  </w:rPr>
                </w:pP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jis neapima vandenilio jungčių;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pacing w:line="276" w:lineRule="auto"/>
                  <w:ind w:firstLine="720"/>
                  <w:jc w:val="both"/>
                  <w:rPr>
                    <w:b/>
                    <w:bCs/>
                    <w:color w:val="000000"/>
                    <w:sz w:val="22"/>
                    <w:szCs w:val="22"/>
                    <w:lang w:eastAsia="lt-LT"/>
                  </w:rPr>
                </w:pPr>
                <w:r>
                  <w:rPr>
                    <w:b/>
                    <w:bCs/>
                    <w:color w:val="000000"/>
                    <w:sz w:val="22"/>
                    <w:szCs w:val="22"/>
                    <w:lang w:eastAsia="lt-LT"/>
                  </w:rPr>
                  <w:t>1) jis neapima vandenilio jungčių;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378"/>
                  </w:tabs>
                  <w:jc w:val="both"/>
                  <w:rPr>
                    <w:color w:val="000000"/>
                    <w:sz w:val="22"/>
                    <w:szCs w:val="22"/>
                    <w:lang w:eastAsia="lt-LT"/>
                  </w:rPr>
                </w:pPr>
                <w:r>
                  <w:rPr>
                    <w:color w:val="000000"/>
                    <w:sz w:val="22"/>
                    <w:szCs w:val="22"/>
                    <w:lang w:eastAsia="lt-LT"/>
                  </w:rPr>
                  <w:t>b) jis neturi tiesioginių jungčių su vandenilio saugyklomis arba vandenilio terminalais, išskyrus atvejus, kai tokios saugyklos ar terminalai taip pat yra prijungti prie vandenilio tinklo, kuriam netaikoma pagal šį straipsnį arba pagal 51 straipsnį suteikta nukrypti leidžianti nuostata;</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2) jis neturi tiesioginių jungčių su vandenilio saugyklomis arba vandenilio terminalais, išskyrus atvejus, kai tokios saugyklos ar terminalai taip pat yra prijungti prie vandenilio tinklo, kuriam netaikoma pagal šį straipsnį suteikta nukrypti leidžianti nuostata;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 paskirtis yra visų pirma tiekti vandenilį vartotojams, tiesiogiai prijungtiems prie šio tinklo, ir</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jo paskirtis yra visų pirma tiekti vandenilį vartotojams, tiesiogiai prijungtiems prie šio tinklo;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jis nėra prijungtas prie jokio kito vandenilio tinklo, išskyrus tinklus, kuriems taip pat taikoma pagal šį straipsnį suteikta nukrypti leidžianti nuostata ir kuriuos eksploatuoja tas pats vandenilio tinklo operatorius.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tabs>
                    <w:tab w:val="left" w:pos="567"/>
                  </w:tabs>
                  <w:spacing w:line="276" w:lineRule="auto"/>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4) jis nėra prijungtas prie jokio kito vandenilio tinklo, išskyrus tinklus, kuriems taip pat taikoma pagal šį straipsnį suteikta nukrypti leidžianti nuostata ir kuriuos eksploatuoja tas pats vandenilio tinklo operatorius.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 priima sprendimą atšaukti nukrypti leidžiančios nuostatos taikymą pagal 1 dalį, jei ji padaro išvadą, kad tolesnis nukrypti leidžiančios nuostatos taikymas keltų kliūčių konkurencijai sudarymo riziką arba neigiamai paveiktų veiksmingą vandenilio infrastruktūros diegimą ar vandenilio rinkos plėtrą bei veikimą Sąjungoje arba valstybėje narėje, arba jei nebetenkinama bent viena iš 1 dalyje išvardytų sąlygų.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33 straipsnis. Geografiškai riboti vandenilio tinklai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2. Taryba priima sprendimą dėl išimties, nurodytos šio straipsnio 1 dalyje, panaikinimo, jeigu pagal Tarybai atliktą įvertinimą būtų nustatyta, kad tolesnis išimties taikymas ribotų konkurenciją arba neigiamai paveiktų veiksmingą vandenilio infrastruktūros diegimą ar vandenilio rinkos plėtrą, arba jei nebetenkinama bent viena iš šio straipsnio 1 dalyje išvardytų sąlygų.</w:t>
                </w: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Kas septynerius metus nuo leidimo taikyti nukrypti leidžiančią nuostatą pagal 1 dalį suteikimo dienos reguliavimo institucija paskelbia nukrypti leidžiančios nuostatos poveikio konkurencijai, vandenilio infrastruktūrai ir vandenilio rinkos plėtrai bei veikimui Sąjungoje arba valstybėje narėje įvertinimą.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33 straipsnis. Geografiškai riboti vandenilio tinklai </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&lt;...&gt;</w:t>
                </w:r>
              </w:p>
              <w:p>
                <w:pPr>
                  <w:ind w:firstLine="720"/>
                  <w:jc w:val="both"/>
                  <w:rPr>
                    <w:rFonts w:eastAsia="Aptos"/>
                    <w:b/>
                    <w:bCs/>
                    <w:color w:val="000000"/>
                    <w:sz w:val="22"/>
                    <w:szCs w:val="22"/>
                    <w:lang w:eastAsia="lt-LT"/>
                  </w:rPr>
                </w:pPr>
                <w:r>
                  <w:rPr>
                    <w:rFonts w:eastAsia="Aptos"/>
                    <w:b/>
                    <w:bCs/>
                    <w:color w:val="000000"/>
                    <w:sz w:val="22"/>
                    <w:szCs w:val="22"/>
                    <w:lang w:eastAsia="lt-LT"/>
                  </w:rPr>
                  <w:t>3. Taryba, kas septynerius metus nuo leidimo taikyti išimtį pagal šio straipsnio 1 dalį suteikimo dienos, paskelbia išimčių poveikio konkurencijai, vandenilio infrastruktūrai ir vandenilio rinkos plėtrai bei funkcionavimui Europos Sąjungoje arba Lietuvoje įvertinimą (ataskaitą).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Valstybės narės imasi būtinų priemonių siekdamos užtikrinti, kad apie vandenilio gamintojų prašymus dėl tinklo prieigos ir pramonės vartotojų prašymus dėl prijungimo būtų pranešama reguliavimo institucijai, jie būtų skelbiami viešai ir nagrinėjami pagal 42 straipsnį. Skelbiant prašymus dėl tinklo prieigos užtikrinamas neskelbtinos komercinės informacijos konfidencialumas.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44 straipsnis. Teisė naudotis vandenilio tinklais </w:t>
                </w:r>
              </w:p>
              <w:p>
                <w:pPr>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color w:val="000000"/>
                    <w:sz w:val="22"/>
                    <w:szCs w:val="22"/>
                    <w:lang w:eastAsia="lt-LT"/>
                  </w:rPr>
                </w:pPr>
                <w:r>
                  <w:rPr>
                    <w:b/>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tinklų operatorius užtikrina neskelbtinos komercinės informacijos konfidencialumą.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53 straipsnis </w:t>
                </w:r>
              </w:p>
              <w:p>
                <w:pPr>
                  <w:shd w:val="clear" w:color="auto" w:fill="FFFFFF"/>
                  <w:jc w:val="both"/>
                  <w:rPr>
                    <w:i/>
                    <w:iCs/>
                    <w:color w:val="000000"/>
                    <w:sz w:val="22"/>
                    <w:szCs w:val="22"/>
                    <w:lang w:eastAsia="lt-LT"/>
                  </w:rPr>
                </w:pPr>
                <w:r>
                  <w:rPr>
                    <w:b/>
                    <w:bCs/>
                    <w:color w:val="000000"/>
                    <w:sz w:val="22"/>
                    <w:szCs w:val="22"/>
                    <w:lang w:eastAsia="lt-LT"/>
                  </w:rPr>
                  <w:t>Vandenilio jungtys su trečiosiomis valstybėmis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Sąjunga, prieš pradedant eksploatuoti kiekvieną vandenilio jungtį tarp valstybių narių ir trečiųjų valstybių, sudaro tarptautinį susitarimą pagal SESV 218 straipsnį su atitinkamomis prijungtomis trečiosiomis valstybėmis; tame susitarime nustatomos atitinkamos vandenilio jungties eksploatavimo taisyklės, kai tai būtina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Laikoma, kad tarptautinis susitarimas nėra būtinas, jei valstybė narė, prijungta arba ketinanti būti prijungta vandenilio jungtimi, pagal šios direktyvos 89 straipsnį derasi su atitinkamomis prijungtomis trečiosiomis valstybėmis ir sudaro tarpvyriausybinį susitarimą, kuriame nustatomos atitinkamos vandenilio jungties eksploatavimo taisyklės,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dalis nedaro poveikio 85 straipsniui ir kompetencijos paskirstymui tarp Sąjungos ir valstybių narių.</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 </w:t>
                </w:r>
              </w:p>
              <w:p>
                <w:pPr>
                  <w:ind w:firstLine="720"/>
                  <w:jc w:val="both"/>
                  <w:rPr>
                    <w:b/>
                    <w:color w:val="000000"/>
                    <w:sz w:val="22"/>
                    <w:szCs w:val="22"/>
                    <w:lang w:eastAsia="lt-LT"/>
                  </w:rPr>
                </w:pPr>
                <w:r>
                  <w:rPr>
                    <w:b/>
                    <w:color w:val="000000"/>
                    <w:sz w:val="22"/>
                    <w:szCs w:val="22"/>
                    <w:lang w:eastAsia="lt-LT"/>
                  </w:rPr>
                  <w:t xml:space="preserve">2. Tarptautinis susitarimas, nurodytas šio straipsnio 1 dalyje, gali būti nesudaromas, jeigu Lietuvos Respublika, kaip valstybė narė, prijungta arba ketinanti būti prijungta prie vandenilio jungties, derasi ir sudaro tarpvyriausybinį susitarimą su atitinkama trečiąja valstybe. Tame tarpvyriausybiniame susitarime turi būti nustatytos vandenilio jungties eksploatavimo taisyklės, užtikrinančios jų nuoseklumą ir suderinamumą su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nustatytomis vandenilio tinklams taikomomis taisyklėmis. Draudžiama sudaryti tarpvyriausybinį susitarimą dėl prijungimo prie vandenilio jungties, esančios  trečiojoje valstybėje, kuri pagal Nacionalinio saugumo strategiją kelia grėsmę Lietuvos Respublikos nacionaliniam saugumui ir nacionalinio saugumo interesų užtikrinimui.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1 dalis taip pat nedaro poveikio Sąjungos ir valstybių narių galimybei pagal jų atitinkamą kompetenciją ir laikantis taikytinų procedūrų pradėti dialogus su prijungtomis trečiosiomis valstybėmis, be kita ko, siekiant užmegzti bendradarbiavimą vandenilio gamybai svarbiais klausimais, pavyzdžiui, socialiniais ir aplinkosaugos klausimais.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Šio straipsnio nuostatos nedraudžia Lietuvos Respublikai pagal savo kompetenciją ir laikantis Lietuvos Respublikos teisės aktų inicijuoti dialogą su prijungtomis trečiosiomis valstybėmis, įskaitant bendradarbiavimą su šiomis valstybėmis vandenilio gamybos srityje socialiniais ir aplinkosaugos klausimais, išskyrus šio straipsnio 2 dalyje nustatytą ribojimą.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54 straipsnis </w:t>
                </w:r>
              </w:p>
              <w:p>
                <w:pPr>
                  <w:shd w:val="clear" w:color="auto" w:fill="FFFFFF"/>
                  <w:jc w:val="both"/>
                  <w:rPr>
                    <w:i/>
                    <w:iCs/>
                    <w:color w:val="000000"/>
                    <w:sz w:val="22"/>
                    <w:szCs w:val="22"/>
                    <w:lang w:eastAsia="lt-LT"/>
                  </w:rPr>
                </w:pPr>
                <w:r>
                  <w:rPr>
                    <w:b/>
                    <w:bCs/>
                    <w:color w:val="000000"/>
                    <w:sz w:val="22"/>
                    <w:szCs w:val="22"/>
                    <w:lang w:eastAsia="lt-LT"/>
                  </w:rPr>
                  <w:t>Konfidencialumo reikalavimai vandenilio tinklų, vandenilio saugyklų ir vandenilio terminalų operatoriams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Nedarant poveikio teisinėms pareigoms atskleisti informaciją, kiekvienas vandenilio tinklo, vandenilio saugyklos ar vandenilio terminalo operatorius ir kiekvienas vandenilio tinklo savininkas išsaugo neskelbtinos komercinės informacijos, gautos vykdant jų veiklą, konfidencialumą ir užtikrina, kad informacija apie jų pačių veiklą, kuri gali suteikti komercinį pranašumą, nebūtų atskleista diskriminaciniu būdu. Visų pirma, jei vandenilio tinklo, vandenilio saugyklos ar vandenilio terminalo operatorius arba vandenilio tinklo savininkas priklauso vertikaliai integruotai įmonei, jis neatskleidžia jokios neskelbtinos komercinės informacijos kitiems vertikaliai integruotos įmonės padaliniams, kurie nėra perdavimo sistemos operatoriai, skirstymo sistemos operatoriai arba vandenilio tinklo operatoriai, nebent tai būtina verslo sandoriui atlikti.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spacing w:line="276" w:lineRule="auto"/>
                  <w:ind w:firstLine="720"/>
                  <w:jc w:val="both"/>
                  <w:rPr>
                    <w:b/>
                    <w:bCs/>
                    <w:color w:val="000000"/>
                    <w:sz w:val="22"/>
                    <w:szCs w:val="22"/>
                    <w:lang w:eastAsia="lt-LT"/>
                  </w:rPr>
                </w:pPr>
                <w:r>
                  <w:rPr>
                    <w:b/>
                    <w:bCs/>
                    <w:color w:val="000000"/>
                    <w:sz w:val="22"/>
                    <w:szCs w:val="22"/>
                    <w:lang w:eastAsia="lt-LT"/>
                  </w:rPr>
                  <w:t>1. Nedarant poveikio teisinėms pareigoms atskleisti informaciją, kiekvienas vandenilio tinklo, vandenilio saugyklos ar vandenilio terminalo operatorius ir kiekvienas vandenilio tinklo savininkas privalo saugoti neskelbtinos komercinės informacijos, gautos vykdant jų veiklą, konfidencialumą ir užtikrinti, kad informacija apie jų pačių veiklą, kuri gali suteikti komercinį pranašumą, nebūtų atskleista diskriminaciniu būdu. Jei vandenilio tinklo, vandenilio saugyklos ar vandenilio terminalo operatorius arba vandenilio tinklo savininkas priklauso vertikaliai integruotai gamtinių dujų ar vandenilio įmonei, jis neatskleidžia jokios neskelbtinos komercinės informacijos kitiems vertikaliai integruotos gamtinių dujų ar vandenilio įmonės padaliniams, kurie nėra gamtinių dujų perdavimo sistemos operatoriai, gamtinių dujų skirstymo sistemos operatoriai arba vandenilio tinklo operatoriai, nebent tai būtina verslo sandoriui atlikti.</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vandenilį, vandenilio tinklo, vandenilio saugyklos ar vandenilio terminalo operatoriai nenaudoja ne pagal paskirtį neskelbtinos komercinės informacijos, kurią gauna iš trečiųjų šalių suteikdami joms prieigą prie sistemos arba derėdamiesi dėl tokios prieigos.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Susijusioms įmonėms parduodant ar perkant vandenilį, vandenilio tinklo, vandenilio saugyklos ar vandenilio terminalo operatoriai negali suteikti neskelbtinos komercinės informacijos, kurią gauna iš trečiųjų šalių suteikdami joms prieigą prie sistemos, arba derėdamiesi dėl tokios prieigos.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ir vandenilio tinklo operatoriai privalo skelbti informaciją, kuri yra būtina veiksmingai konkurencijai ir veiksmingam rinkos veikimui užtikrinti, išskyrus informaciją, kuri yra laikoma neskelbtina komercine informacija.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771"/>
            </w:trPr>
            <w:tc>
              <w:tcPr>
                <w:tcW w:w="3913" w:type="dxa"/>
              </w:tcPr>
              <w:p>
                <w:pPr>
                  <w:shd w:val="clear" w:color="auto" w:fill="FFFFFF"/>
                  <w:jc w:val="both"/>
                  <w:rPr>
                    <w:color w:val="000000"/>
                    <w:sz w:val="22"/>
                    <w:szCs w:val="22"/>
                    <w:lang w:eastAsia="lt-LT"/>
                  </w:rPr>
                </w:pPr>
                <w:r>
                  <w:rPr>
                    <w:color w:val="000000"/>
                    <w:sz w:val="22"/>
                    <w:szCs w:val="22"/>
                    <w:lang w:eastAsia="lt-LT"/>
                  </w:rPr>
                  <w:t xml:space="preserve">VIII SKYRIUS </w:t>
                </w:r>
              </w:p>
              <w:p>
                <w:pPr>
                  <w:shd w:val="clear" w:color="auto" w:fill="FFFFFF"/>
                  <w:jc w:val="both"/>
                  <w:rPr>
                    <w:b/>
                    <w:bCs/>
                    <w:color w:val="000000"/>
                    <w:sz w:val="22"/>
                    <w:szCs w:val="22"/>
                    <w:lang w:eastAsia="lt-LT"/>
                  </w:rPr>
                </w:pPr>
                <w:r>
                  <w:rPr>
                    <w:b/>
                    <w:bCs/>
                    <w:color w:val="000000"/>
                    <w:sz w:val="22"/>
                    <w:szCs w:val="22"/>
                    <w:lang w:eastAsia="lt-LT"/>
                  </w:rPr>
                  <w:t>INTEGRUOTO TINKLO PLANAVIMAS</w:t>
                </w:r>
              </w:p>
              <w:p>
                <w:pPr>
                  <w:shd w:val="clear" w:color="auto" w:fill="FFFFFF"/>
                  <w:jc w:val="both"/>
                  <w:rPr>
                    <w:i/>
                    <w:iCs/>
                    <w:color w:val="000000"/>
                    <w:sz w:val="22"/>
                    <w:szCs w:val="22"/>
                    <w:lang w:eastAsia="lt-LT"/>
                  </w:rPr>
                </w:pPr>
                <w:r>
                  <w:rPr>
                    <w:i/>
                    <w:iCs/>
                    <w:color w:val="000000"/>
                    <w:sz w:val="22"/>
                    <w:szCs w:val="22"/>
                    <w:lang w:eastAsia="lt-LT"/>
                  </w:rPr>
                  <w:t xml:space="preserve">55 straipsnis </w:t>
                </w:r>
              </w:p>
              <w:p>
                <w:pPr>
                  <w:shd w:val="clear" w:color="auto" w:fill="FFFFFF"/>
                  <w:jc w:val="both"/>
                  <w:rPr>
                    <w:color w:val="000000"/>
                    <w:sz w:val="22"/>
                    <w:szCs w:val="22"/>
                    <w:lang w:eastAsia="lt-LT"/>
                  </w:rPr>
                </w:pPr>
                <w:r>
                  <w:rPr>
                    <w:b/>
                    <w:bCs/>
                    <w:color w:val="000000"/>
                    <w:sz w:val="22"/>
                    <w:szCs w:val="22"/>
                    <w:lang w:eastAsia="lt-LT"/>
                  </w:rPr>
                  <w:t>Gamtinių dujų ir vandenilio tinklo plėtra ir įgaliojimai priimti sprendimus dėl investavimo</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84"/>
                  </w:tabs>
                  <w:jc w:val="both"/>
                  <w:rPr>
                    <w:color w:val="000000"/>
                    <w:sz w:val="22"/>
                    <w:szCs w:val="22"/>
                    <w:lang w:eastAsia="lt-LT"/>
                  </w:rPr>
                </w:pPr>
                <w:r>
                  <w:rPr>
                    <w:color w:val="000000"/>
                    <w:sz w:val="22"/>
                    <w:szCs w:val="22"/>
                    <w:lang w:eastAsia="lt-LT"/>
                  </w:rPr>
                  <w:t>1. Bent kas dvejus metus visi perdavimo sistemos operatoriai ir vandenilio perdavimo tinklo operatoriai atitinkamai reguliavimo institucijai pateikia dešimties metų tinklo plėtros planą, grindžiamą esama ir numatoma pasiūla ir paklausa, pasikonsultavus su visais atitinkamais suinteresuotaisiais subjektais pagal 2 dalies f punktą. Kiekvienai valstybei narei parengiamas vienas bendras gamtinių dujų tinklo plėtros planas ir vienas bendras vandenilio tinklo plėtros planas arba vienas jungtinis gamtinių dujų ir vandenilio planas.</w:t>
                </w:r>
              </w:p>
            </w:tc>
            <w:tc>
              <w:tcPr>
                <w:tcW w:w="9407" w:type="dxa"/>
                <w:gridSpan w:val="3"/>
                <w:vAlign w:val="center"/>
              </w:tcPr>
              <w:p>
                <w:pPr>
                  <w:tabs>
                    <w:tab w:val="left" w:pos="1530"/>
                  </w:tabs>
                  <w:ind w:right="57" w:firstLine="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AŠTUNTASIS SKIRSNIS  </w:t>
                </w:r>
              </w:p>
              <w:p>
                <w:pPr>
                  <w:tabs>
                    <w:tab w:val="left" w:pos="1530"/>
                  </w:tabs>
                  <w:ind w:right="57"/>
                  <w:jc w:val="both"/>
                  <w:rPr>
                    <w:b/>
                    <w:bCs/>
                    <w:color w:val="000000"/>
                    <w:sz w:val="22"/>
                    <w:szCs w:val="22"/>
                    <w:lang w:eastAsia="lt-LT"/>
                  </w:rPr>
                </w:pPr>
                <w:r>
                  <w:rPr>
                    <w:b/>
                    <w:bCs/>
                    <w:color w:val="000000"/>
                    <w:sz w:val="22"/>
                    <w:szCs w:val="22"/>
                    <w:lang w:eastAsia="lt-LT"/>
                  </w:rPr>
                  <w:t>INTEGRUOTAS TINKLŲ PLANAVIMAS  </w:t>
                </w:r>
              </w:p>
              <w:p>
                <w:pPr>
                  <w:tabs>
                    <w:tab w:val="left" w:pos="1530"/>
                  </w:tabs>
                  <w:ind w:right="57" w:firstLine="57"/>
                  <w:jc w:val="both"/>
                  <w:rPr>
                    <w:b/>
                    <w:bCs/>
                    <w:color w:val="000000"/>
                    <w:sz w:val="22"/>
                    <w:szCs w:val="22"/>
                    <w:lang w:eastAsia="lt-LT"/>
                  </w:rPr>
                </w:pPr>
                <w:r>
                  <w:rPr>
                    <w:b/>
                    <w:bCs/>
                    <w:color w:val="000000"/>
                    <w:sz w:val="22"/>
                    <w:szCs w:val="22"/>
                    <w:lang w:eastAsia="lt-LT"/>
                  </w:rPr>
                  <w:t>36straipsnis. Vandenilio tinklų plėtra ir įgaliojimai priimti sprendimus dėl investavimo </w:t>
                </w:r>
              </w:p>
              <w:p>
                <w:pPr>
                  <w:widowControl w:val="0"/>
                  <w:shd w:val="clear" w:color="auto" w:fill="FFFFFF"/>
                  <w:ind w:firstLine="810"/>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rFonts w:eastAsia="Tahoma"/>
                    <w:b/>
                    <w:sz w:val="22"/>
                    <w:szCs w:val="22"/>
                    <w:lang w:eastAsia="lt-LT"/>
                  </w:rPr>
                </w:pPr>
              </w:p>
              <w:p>
                <w:pPr>
                  <w:widowControl w:val="0"/>
                  <w:shd w:val="clear" w:color="auto" w:fill="FFFFFF"/>
                  <w:jc w:val="both"/>
                  <w:rPr>
                    <w:sz w:val="22"/>
                    <w:szCs w:val="22"/>
                    <w:lang w:eastAsia="lt-LT"/>
                  </w:rPr>
                </w:pPr>
                <w:r>
                  <w:rPr>
                    <w:rFonts w:eastAsia="Tahoma"/>
                    <w:b/>
                    <w:sz w:val="22"/>
                    <w:szCs w:val="22"/>
                    <w:lang w:eastAsia="lt-LT"/>
                  </w:rPr>
                  <w:t>Gamtinių dujų įstatymo pakeitimo įstatymas XV-240</w:t>
                </w: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p>
                <w:pPr>
                  <w:ind w:firstLine="720"/>
                  <w:jc w:val="both"/>
                  <w:rPr>
                    <w:color w:val="000000"/>
                    <w:sz w:val="22"/>
                    <w:szCs w:val="22"/>
                    <w:lang w:val="lt" w:eastAsia="lt-LT"/>
                  </w:rPr>
                </w:pPr>
                <w:r>
                  <w:rPr>
                    <w:color w:val="000000"/>
                    <w:sz w:val="22"/>
                    <w:szCs w:val="22"/>
                    <w:lang w:val="lt" w:eastAsia="lt-LT"/>
                  </w:rPr>
                  <w:t>4. Taryba dėl dešimties metų tinklo plėtros plano viešai konsultuojasi su visais esamais ar potencialiais sistemos naudotojais ir paskelbia konsultavimosi rezultatus.</w:t>
                </w:r>
              </w:p>
              <w:p>
                <w:pPr>
                  <w:ind w:firstLine="720"/>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shd w:val="clear" w:color="auto" w:fill="FFFFFF"/>
                  <w:ind w:firstLine="720"/>
                  <w:jc w:val="both"/>
                  <w:rPr>
                    <w:color w:val="000000"/>
                    <w:sz w:val="22"/>
                    <w:szCs w:val="22"/>
                    <w:lang w:val="lt"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720"/>
                  <w:jc w:val="both"/>
                  <w:rPr>
                    <w:color w:val="000000"/>
                    <w:sz w:val="22"/>
                    <w:szCs w:val="22"/>
                    <w:lang w:val="lt"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leidžiančios parengti vieną </w:t>
                </w:r>
                <w:r>
                  <w:rPr>
                    <w:b/>
                    <w:color w:val="000000"/>
                    <w:sz w:val="22"/>
                    <w:szCs w:val="22"/>
                    <w:lang w:eastAsia="lt-LT"/>
                  </w:rPr>
                  <w:t>jungtinį planą,</w:t>
                </w:r>
                <w:r>
                  <w:rPr>
                    <w:color w:val="000000"/>
                    <w:sz w:val="22"/>
                    <w:szCs w:val="22"/>
                    <w:lang w:eastAsia="lt-LT"/>
                  </w:rPr>
                  <w:t xml:space="preserve"> užtikrina, kad toks planas būtų pakankamai skaidrus, jog reguliavimo institucija galėtų aiškiai nustatyti konkrečius į planą įtrauktus gamtinių dujų sektoriaus poreikius ir konkrečius vandenilio sektoriaus poreikius. Atliekamas atskiras kiekvieno energijos nešiklio modeliavimas ir įtraukiami atskiri skyriai, kuriuose pateikiami </w:t>
                </w:r>
                <w:r>
                  <w:rPr>
                    <w:b/>
                    <w:color w:val="000000"/>
                    <w:sz w:val="22"/>
                    <w:szCs w:val="22"/>
                    <w:lang w:eastAsia="lt-LT"/>
                  </w:rPr>
                  <w:t>gamtinių dujų tinklo žemėlapiai ir vandenilio tinklo žemėlapiai.</w:t>
                </w:r>
              </w:p>
            </w:tc>
            <w:tc>
              <w:tcPr>
                <w:tcW w:w="9407" w:type="dxa"/>
                <w:gridSpan w:val="3"/>
                <w:vAlign w:val="center"/>
              </w:tcPr>
              <w:p>
                <w:pPr>
                  <w:jc w:val="both"/>
                  <w:rPr>
                    <w:b/>
                    <w:bCs/>
                    <w:sz w:val="22"/>
                    <w:szCs w:val="22"/>
                    <w:lang w:eastAsia="lt-LT"/>
                  </w:rPr>
                </w:pPr>
                <w:r>
                  <w:rPr>
                    <w:b/>
                    <w:bCs/>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jc w:val="both"/>
                  <w:rPr>
                    <w:b/>
                    <w:bCs/>
                    <w:sz w:val="22"/>
                    <w:szCs w:val="22"/>
                    <w:lang w:eastAsia="lt-LT"/>
                  </w:rPr>
                </w:pPr>
              </w:p>
              <w:p>
                <w:pPr>
                  <w:ind w:firstLine="720"/>
                  <w:jc w:val="both"/>
                  <w:rPr>
                    <w:b/>
                    <w:bCs/>
                    <w:i/>
                    <w:i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720"/>
                  <w:jc w:val="both"/>
                  <w:rPr>
                    <w:b/>
                    <w:bCs/>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vandenilio planai, užtikrina, kad perdavimo sistemos operatoriai ir vandenilio perdavimo tinklo operatoriai </w:t>
                </w:r>
                <w:r>
                  <w:rPr>
                    <w:b/>
                    <w:color w:val="000000"/>
                    <w:sz w:val="22"/>
                    <w:szCs w:val="22"/>
                    <w:lang w:eastAsia="lt-LT"/>
                  </w:rPr>
                  <w:t>glaudžiai bendradarbiautų</w:t>
                </w:r>
                <w:r>
                  <w:rPr>
                    <w:color w:val="000000"/>
                    <w:sz w:val="22"/>
                    <w:szCs w:val="22"/>
                    <w:lang w:eastAsia="lt-LT"/>
                  </w:rPr>
                  <w:t xml:space="preserve"> tais atvejais, kai reikia priimti sprendimus siekiant užtikrinti </w:t>
                </w:r>
                <w:r>
                  <w:rPr>
                    <w:sz w:val="22"/>
                    <w:szCs w:val="22"/>
                    <w:lang w:eastAsia="lt-LT"/>
                  </w:rPr>
                  <w:t xml:space="preserve">sistemos efektyvumą, kaip apibrėžta Direktyvos </w:t>
                </w:r>
                <w:fldSimple w:instr="HYPERLINK http://eur-lex.europa.eu/legal-content/LIT/TXT/?uri=CELEX:32023L1791&amp;locale=lt \t _blank">
                  <w:r>
                    <w:rPr>
                      <w:sz w:val="22"/>
                      <w:szCs w:val="22"/>
                      <w:lang w:eastAsia="lt-LT"/>
                      <w:u w:val="single"/>
                      <w:color w:val="0000FF" w:themeColor="hyperlink"/>
                    </w:rPr>
                    <w:t>(ES) 2023/1791</w:t>
                  </w:r>
                </w:fldSimple>
                <w:r>
                  <w:rPr>
                    <w:sz w:val="22"/>
                    <w:szCs w:val="22"/>
                    <w:lang w:eastAsia="lt-LT"/>
                  </w:rPr>
                  <w:t xml:space="preserve"> 2 straipsnio 4 punkte, kai naudojami įvairūs energijos nešikliai, pavyzdžiui, dėl paskirties keitimo. </w:t>
                </w:r>
              </w:p>
            </w:tc>
            <w:tc>
              <w:tcPr>
                <w:tcW w:w="9407" w:type="dxa"/>
                <w:gridSpan w:val="3"/>
              </w:tcPr>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eastAsia="lt-LT"/>
                  </w:rPr>
                </w:pP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r>
                  <w:rPr>
                    <w:i/>
                    <w:iCs/>
                    <w:color w:val="000000"/>
                    <w:sz w:val="22"/>
                    <w:szCs w:val="22"/>
                    <w:lang w:eastAsia="lt-LT"/>
                  </w:rPr>
                  <w:t xml:space="preserve">Komentaras: Direktyvos </w:t>
                </w:r>
                <w:fldSimple w:instr="HYPERLINK http://eur-lex.europa.eu/legal-content/LIT/TXT/?uri=CELEX:32023L1791&amp;locale=lt \t _blank">
                  <w:r>
                    <w:rPr>
                      <w:i/>
                      <w:iCs/>
                      <w:color w:val="0000FF" w:themeColor="hyperlink"/>
                      <w:sz w:val="22"/>
                      <w:szCs w:val="22"/>
                      <w:lang w:eastAsia="lt-LT"/>
                      <w:u w:val="single"/>
                    </w:rPr>
                    <w:t>(ES) 2023/1791</w:t>
                  </w:r>
                </w:fldSimple>
                <w:r>
                  <w:rPr>
                    <w:i/>
                    <w:iCs/>
                    <w:color w:val="000000"/>
                    <w:sz w:val="22"/>
                    <w:szCs w:val="22"/>
                    <w:lang w:eastAsia="lt-LT"/>
                  </w:rPr>
                  <w:t xml:space="preserve"> 2 straipsnio sąvoka „sistemos efektyvumas“ nereikalauja atskiro jos perkėlimo – ši sąvoka vartojama vienoje direktyvos vietoje (tik 27 straipsnio 1 dalyje) apie reguliavimo institucijos įgaliojimus, kiek tai susiję pirmiausiai su direktyva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kurios 1 straipsnyje vienu iš jos tikslų yra nurodytas siekis užtikrinti sklandų perėjimą prie tvarios mažo anglies dioksido kiekio energetikos sistemos. Šios direktyvos 27 straipsnio 1 dalies nuostata ir direktyvos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atitinkamos nuostatos perkeltos Energetikos įstatymo 26 straipsnio 3 dalies 6 punkte, kuriame nurodyta, kad Valstybinė energetikos reguliavimo taryba, veikdama pagal šiame įstatyme ir kituose teisės aktuose jai suteiktus įgaliojimus, viena ar kartu su kompetentingomis Lietuvos Respublikos, kitų valstybių narių ar Europos Sąjungos institucijomis, įstaigomis ir organizacijomis siekia šių bendrųjų tikslų: &lt;...&gt;siekiant didinti sistemos, ypač energijos vartojimo, efektyvumą ir skatinti rinkos integraciją, užtikrinti, kad tinklų (sistemos) operatoriams ir tinklų (sistemos) naudotojams būtų suteiktos tinkamos paskatos trumpuoju ir ilgalaikiu laikotarpiais. Šioje nuostatoje sistemos efektyvumas suprantamas analogiškai, kaip šioje direktyvoje – formuluotė plati, visa apimanti, o svarbiausi jos aspektai pirmiausiai susiję su energijos vartojimo efektyvumu, kuris negali būti užtikrintas be dekarbonizacijos, lankstumo ir efektyvumo, taip pat su energetikos tinklų efektyvumo didinimu, kuris taip pat negali būti užtikrintas be lankstumo ir efektyvaus išteklių naudojimo (efektyvumo).</w:t>
                </w:r>
              </w:p>
            </w:tc>
            <w:tc>
              <w:tcPr>
                <w:tcW w:w="1703" w:type="dxa"/>
                <w:gridSpan w:val="3"/>
                <w:vAlign w:val="center"/>
              </w:tcPr>
              <w:p>
                <w:pPr>
                  <w:tabs>
                    <w:tab w:val="center" w:pos="4153"/>
                    <w:tab w:val="right" w:pos="8306"/>
                  </w:tabs>
                  <w:jc w:val="both"/>
                  <w:rPr>
                    <w:b/>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Vandenilio perdavimo tinklo operatoriai glaudžiai bendradarbiauja su elektros energijos perdavimo sistemos operatoriais ir, jei taikytina, elektros energijos skirstymo sistemos operatoriais, kad būtų koordinuojami bendri infrastruktūros reikalavimai, pavyzdžiui, dėl elektrolizerių įrengimo vietos ir atitinkamos perdavimo infrastruktūros, ir kuo labiau atsižvelgia į jų nuomonę.</w:t>
                </w:r>
              </w:p>
            </w:tc>
            <w:tc>
              <w:tcPr>
                <w:tcW w:w="9407" w:type="dxa"/>
                <w:gridSpan w:val="3"/>
                <w:vAlign w:val="center"/>
              </w:tcPr>
              <w:p>
                <w:pPr>
                  <w:tabs>
                    <w:tab w:val="left" w:pos="1530"/>
                  </w:tabs>
                  <w:ind w:right="57"/>
                  <w:jc w:val="both"/>
                  <w:rPr>
                    <w:color w:val="000000"/>
                    <w:sz w:val="22"/>
                    <w:szCs w:val="22"/>
                    <w:lang w:eastAsia="lt-LT"/>
                  </w:rPr>
                </w:pPr>
                <w:r>
                  <w:rPr>
                    <w:b/>
                    <w:bCs/>
                    <w:color w:val="000000"/>
                    <w:sz w:val="22"/>
                    <w:szCs w:val="22"/>
                    <w:lang w:eastAsia="lt-LT"/>
                  </w:rPr>
                  <w:t xml:space="preserve">Vandenilio įstatymo projektas </w:t>
                </w:r>
              </w:p>
              <w:p>
                <w:pPr>
                  <w:tabs>
                    <w:tab w:val="left" w:pos="1530"/>
                  </w:tabs>
                  <w:ind w:right="57"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tabs>
                    <w:tab w:val="left" w:pos="1530"/>
                  </w:tabs>
                  <w:ind w:right="57"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stengiasi užtikrinti suderintus atitinkamų dešimties metų gamtinių dujų, vandenilio ir elektros energijos tinklo plėtros planų rengimo veiksmus.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015"/>
            </w:trPr>
            <w:tc>
              <w:tcPr>
                <w:tcW w:w="3913" w:type="dxa"/>
              </w:tcPr>
              <w:p>
                <w:pPr>
                  <w:shd w:val="clear" w:color="auto" w:fill="FFFFFF"/>
                  <w:jc w:val="both"/>
                  <w:rPr>
                    <w:color w:val="000000"/>
                    <w:sz w:val="22"/>
                    <w:szCs w:val="22"/>
                    <w:lang w:eastAsia="lt-LT"/>
                  </w:rPr>
                </w:pPr>
                <w:r>
                  <w:rPr>
                    <w:color w:val="000000"/>
                    <w:sz w:val="22"/>
                    <w:szCs w:val="22"/>
                    <w:lang w:eastAsia="lt-LT"/>
                  </w:rPr>
                  <w:t xml:space="preserve">Reikalaujama, kad infrastruktūros operatoriai, įskaitant SGD terminalo operatorius, gamtinių dujų laikymo sistemos operatorius, vandenilio skirstymo tinklo operatorius, vandenilio terminalo operatorius, vandenilio saugyklos operatorius, skirstymo sistemos operatorius, centralizuoto šilumos tiekimo infrastruktūros ir elektros energijos operatorius, perdavimo sistemos operatoriams ir vandenilio perdavimo tinklo operatoriams pateiktų visą atitinkamam dešimties metų tinklo plėtros planui parengti aktualią informaciją ir ja keistųsi. Dešimties metų gamtinių dujų tinklo plėtros plane nurodomos efektyvios priemonės, skirtos gamtinių dujų sistemos pajėgumų pakankamumui ir tiekimo saugumui užtikrinti, visų pirma laikytis infrastruktūros standartų, nustatytų Reglamente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Dešimties metų tinklo plėtros planai viešai skelbiami svetainėje kartu su konsultacijų su suinteresuotaisiais subjektais rezultatais. Ta svetainė reguliariai atnaujinama siekiant užtikrinti, kad atitinkami suinteresuotieji subjektai būtų informuoti apie konsultacijų laiką, būdą ir aprėptį.</w:t>
                </w:r>
              </w:p>
            </w:tc>
            <w:tc>
              <w:tcPr>
                <w:tcW w:w="9407" w:type="dxa"/>
                <w:gridSpan w:val="3"/>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val="lt" w:eastAsia="lt-LT"/>
                  </w:rPr>
                </w:pPr>
              </w:p>
              <w:p>
                <w:pPr>
                  <w:widowControl w:val="0"/>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nurodytuose dešimties metų tinklo plėtros planuose, visų pirma:</w:t>
                </w:r>
              </w:p>
            </w:tc>
            <w:tc>
              <w:tcPr>
                <w:tcW w:w="9407" w:type="dxa"/>
                <w:gridSpan w:val="3"/>
                <w:vAlign w:val="center"/>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 </w:t>
                </w:r>
              </w:p>
              <w:p>
                <w:pPr>
                  <w:widowControl w:val="0"/>
                  <w:shd w:val="clear" w:color="auto" w:fill="FFFFFF"/>
                  <w:ind w:left="720"/>
                  <w:jc w:val="both"/>
                  <w:rPr>
                    <w:rFonts w:eastAsia="Tahoma"/>
                    <w:b/>
                    <w:color w:val="333333"/>
                    <w:sz w:val="22"/>
                    <w:szCs w:val="22"/>
                    <w:lang w:eastAsia="lt-LT"/>
                  </w:rPr>
                </w:pPr>
                <w:r>
                  <w:rPr>
                    <w:b/>
                    <w:color w:val="000000"/>
                    <w:sz w:val="22"/>
                    <w:szCs w:val="22"/>
                    <w:lang w:eastAsia="lt-LT"/>
                  </w:rPr>
                  <w:t>&lt;..&gt;</w:t>
                </w:r>
                <w:r>
                  <w:rPr>
                    <w:rFonts w:eastAsia="Tahoma"/>
                    <w:b/>
                    <w:color w:val="333333"/>
                    <w:sz w:val="22"/>
                    <w:szCs w:val="22"/>
                    <w:lang w:eastAsia="lt-LT"/>
                  </w:rPr>
                  <w:t xml:space="preserve"> </w:t>
                </w:r>
              </w:p>
              <w:p>
                <w:pPr>
                  <w:widowControl w:val="0"/>
                  <w:shd w:val="clear" w:color="auto" w:fill="FFFFFF"/>
                  <w:ind w:firstLine="810"/>
                  <w:jc w:val="both"/>
                  <w:rPr>
                    <w:color w:val="000000"/>
                    <w:sz w:val="22"/>
                    <w:szCs w:val="22"/>
                    <w:lang w:eastAsia="lt-LT"/>
                  </w:rPr>
                </w:pPr>
                <w:r>
                  <w:rPr>
                    <w:rFonts w:eastAsia="Tahoma"/>
                    <w:b/>
                    <w:color w:val="333333"/>
                    <w:sz w:val="22"/>
                    <w:szCs w:val="22"/>
                    <w:lang w:eastAsia="lt-LT"/>
                  </w:rPr>
                  <w:t>Lietuvos Respublikos gamtinių dujų įstatymo Nr. VIII-1973 2, 7, 9, 31, 37</w:t>
                </w:r>
                <w:r>
                  <w:rPr>
                    <w:rFonts w:eastAsia="Tahoma"/>
                    <w:b/>
                    <w:color w:val="333333"/>
                    <w:sz w:val="22"/>
                    <w:szCs w:val="22"/>
                    <w:vertAlign w:val="superscript"/>
                    <w:lang w:eastAsia="lt-LT"/>
                  </w:rPr>
                  <w:t>1</w:t>
                </w:r>
                <w:r>
                  <w:rPr>
                    <w:rFonts w:eastAsia="Tahoma"/>
                    <w:b/>
                    <w:color w:val="333333"/>
                    <w:sz w:val="22"/>
                    <w:szCs w:val="22"/>
                    <w:lang w:eastAsia="lt-LT"/>
                  </w:rPr>
                  <w:t xml:space="preserve"> straipsnių ir priedo pakeitimo įstatymas</w:t>
                </w:r>
              </w:p>
              <w:p>
                <w:pPr>
                  <w:widowControl w:val="0"/>
                  <w:shd w:val="clear" w:color="auto" w:fill="FFFFFF"/>
                  <w:ind w:firstLine="810"/>
                  <w:jc w:val="both"/>
                  <w:rPr>
                    <w:b/>
                    <w:bCs/>
                    <w:color w:val="000000"/>
                    <w:sz w:val="22"/>
                    <w:szCs w:val="22"/>
                    <w:lang w:val="lt" w:eastAsia="lt-LT"/>
                  </w:rPr>
                </w:pPr>
                <w:r>
                  <w:rPr>
                    <w:b/>
                    <w:color w:val="000000"/>
                    <w:sz w:val="22"/>
                    <w:szCs w:val="22"/>
                    <w:lang w:val="lt" w:eastAsia="lt-LT"/>
                  </w:rPr>
                  <w:t xml:space="preserve">4  straipsnis. 31 straipsnio pakeitimas</w:t>
                </w:r>
              </w:p>
              <w:p>
                <w:pPr>
                  <w:widowControl w:val="0"/>
                  <w:shd w:val="clear" w:color="auto" w:fill="FFFFFF"/>
                  <w:spacing w:line="360" w:lineRule="auto"/>
                  <w:ind w:firstLine="720"/>
                  <w:jc w:val="both"/>
                  <w:rPr>
                    <w:color w:val="000000"/>
                    <w:sz w:val="22"/>
                    <w:szCs w:val="22"/>
                    <w:lang w:val="lt" w:eastAsia="lt-LT"/>
                  </w:rPr>
                </w:pPr>
                <w:r>
                  <w:rPr>
                    <w:color w:val="000000"/>
                    <w:sz w:val="22"/>
                    <w:szCs w:val="22"/>
                    <w:lang w:val="lt" w:eastAsia="lt-LT"/>
                  </w:rPr>
                  <w:t>Pakeisti 31 straipsnį ir jį išdėstyti taip:</w:t>
                </w:r>
              </w:p>
              <w:p>
                <w:pPr>
                  <w:widowControl w:val="0"/>
                  <w:shd w:val="clear" w:color="auto" w:fill="FFFFFF"/>
                  <w:spacing w:line="360" w:lineRule="auto"/>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widowControl w:val="0"/>
                  <w:shd w:val="clear" w:color="auto" w:fill="FFFFFF"/>
                  <w:ind w:firstLine="810"/>
                  <w:jc w:val="both"/>
                  <w:rPr>
                    <w:color w:val="000000"/>
                    <w:sz w:val="22"/>
                    <w:szCs w:val="22"/>
                    <w:lang w:eastAsia="lt-LT"/>
                  </w:rPr>
                </w:pPr>
                <w:r>
                  <w:rPr>
                    <w:color w:val="000000"/>
                    <w:sz w:val="22"/>
                    <w:szCs w:val="22"/>
                    <w:lang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užtikrinti.l2. Dešimties metų tinklo plėtros plane:l1) rinkos dalyviams nurodoma svarbiausia perdavimo infrastruktūra, kurią reikia sukurti ar atnaujinti per artimiausius dešimt metų;l2) nurodomos visos investicijos, dėl kurių jau priimtas sprendimas, ir nustatomos naujos investicijos, kurias reikės atlikti per artimiausius trejus metus;</w:t>
                </w:r>
              </w:p>
              <w:p>
                <w:pPr>
                  <w:widowControl w:val="0"/>
                  <w:shd w:val="clear" w:color="auto" w:fill="FFFFFF"/>
                  <w:ind w:firstLine="810"/>
                  <w:jc w:val="both"/>
                  <w:rPr>
                    <w:color w:val="000000"/>
                    <w:sz w:val="22"/>
                    <w:szCs w:val="22"/>
                    <w:lang w:eastAsia="lt-LT"/>
                  </w:rPr>
                </w:pPr>
                <w:r>
                  <w:rPr>
                    <w:color w:val="000000"/>
                    <w:sz w:val="22"/>
                    <w:szCs w:val="22"/>
                    <w:lang w:eastAsia="lt-LT"/>
                  </w:rPr>
                  <w:t>3) nustatomas visų investicinių projektų terminas;</w:t>
                </w:r>
              </w:p>
              <w:p>
                <w:pPr>
                  <w:widowControl w:val="0"/>
                  <w:shd w:val="clear" w:color="auto" w:fill="FFFFFF"/>
                  <w:ind w:firstLine="810"/>
                  <w:jc w:val="both"/>
                  <w:rPr>
                    <w:color w:val="000000"/>
                    <w:sz w:val="22"/>
                    <w:szCs w:val="22"/>
                    <w:lang w:eastAsia="lt-LT"/>
                  </w:rPr>
                </w:pPr>
                <w:r>
                  <w:rPr>
                    <w:color w:val="000000"/>
                    <w:sz w:val="22"/>
                    <w:szCs w:val="22"/>
                    <w:lang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widowControl w:val="0"/>
                  <w:shd w:val="clear" w:color="auto" w:fill="FFFFFF"/>
                  <w:ind w:firstLine="810"/>
                  <w:jc w:val="both"/>
                  <w:rPr>
                    <w:color w:val="000000"/>
                    <w:sz w:val="22"/>
                    <w:szCs w:val="22"/>
                    <w:lang w:eastAsia="lt-LT"/>
                  </w:rPr>
                </w:pPr>
                <w:r>
                  <w:rPr>
                    <w:color w:val="000000"/>
                    <w:sz w:val="22"/>
                    <w:szCs w:val="22"/>
                    <w:lang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widowControl w:val="0"/>
                  <w:shd w:val="clear" w:color="auto" w:fill="FFFFFF"/>
                  <w:ind w:firstLine="810"/>
                  <w:jc w:val="both"/>
                  <w:rPr>
                    <w:color w:val="000000"/>
                    <w:sz w:val="22"/>
                    <w:szCs w:val="22"/>
                    <w:lang w:eastAsia="lt-LT"/>
                  </w:rPr>
                </w:pPr>
              </w:p>
              <w:p>
                <w:pPr>
                  <w:widowControl w:val="0"/>
                  <w:shd w:val="clear" w:color="auto" w:fill="FFFFFF"/>
                  <w:jc w:val="both"/>
                  <w:rPr>
                    <w:i/>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pateikiama visapusiška ir išsami informacija apie svarbiausią infrastruktūrą, kurią reikia sukurti ar atnaujinti per kitus dešimt metų, atsižvelgiant į bet kokius infrastruktūros patobulinimus, reikalingus dujų iš atsinaujinančiųjų išteklių ir mažo anglies dioksido pėdsako dujų įrenginiams prijungti, ir įskaitant infrastruktūrą, sukurtą siekiant sudaryti sąlygas srautams priešinga kryptimi – į perdavimo tinklą;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1) pateikiama visapusiška ir išsami informacija apie svarbiausią infrastruktūrą, kurią reikia sukurti ar atnaujinti per kitus dešimt metų (tuo atveju, kai rengiamas jungtinis planas su gamtinių dujų perdavimo sistemos operatoriumi, gamtinių dujų perdavimo sistemos operatorius skelbia ir informaciją pagal Gamtinių dujų įstatymą bei Tarybos teisės aktus); </w:t>
                </w:r>
              </w:p>
              <w:p>
                <w:pPr>
                  <w:ind w:firstLine="17"/>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jc w:val="both"/>
                  <w:rPr>
                    <w:b/>
                    <w:bCs/>
                    <w:color w:val="000000"/>
                    <w:sz w:val="22"/>
                    <w:szCs w:val="22"/>
                    <w:lang w:val="lt" w:eastAsia="lt-LT"/>
                  </w:rPr>
                </w:pP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nurodoma informacija apie visas investicijas, dėl kurių jau priimtas sprendimas, ir nustatomos naujos investicijos ir su paklausa susiję sprendimai, kuriems nereikia naujų investicijų į infrastruktūrą, kurias reikės padaryti per kitus trejus metus;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 xml:space="preserve">&lt;...&gt; </w:t>
                </w:r>
              </w:p>
              <w:p>
                <w:pPr>
                  <w:spacing w:line="276" w:lineRule="auto"/>
                  <w:ind w:firstLine="720"/>
                  <w:jc w:val="both"/>
                  <w:rPr>
                    <w:b/>
                    <w:bCs/>
                    <w:color w:val="000000"/>
                    <w:sz w:val="22"/>
                    <w:szCs w:val="22"/>
                    <w:lang w:eastAsia="lt-LT"/>
                  </w:rPr>
                </w:pPr>
                <w:r>
                  <w:rPr>
                    <w:b/>
                    <w:bCs/>
                    <w:color w:val="000000"/>
                    <w:sz w:val="22"/>
                    <w:szCs w:val="22"/>
                    <w:lang w:eastAsia="lt-LT"/>
                  </w:rPr>
                  <w:t xml:space="preserve">2) nurodoma informacija apie visas svarbiausias su vandenilio perdavimo tinklų vystymu susijusias investicijas, dėl kurių jau priimtas sprendimas, ir nurodoma, kokios naujos svarbiausios investicijos į vandenilio perdavimo tinklą, įskaitant investicijas, susijusias su </w:t>
                </w:r>
                <w:r>
                  <w:rPr>
                    <w:rFonts w:eastAsia="Tahoma"/>
                    <w:b/>
                    <w:bCs/>
                    <w:color w:val="000000"/>
                    <w:sz w:val="22"/>
                    <w:szCs w:val="22"/>
                    <w:lang w:eastAsia="lt-LT"/>
                  </w:rPr>
                  <w:t>tiekimo saugumu ir patikimumu, energijos vartojimo efektyvumu, kibernetinės ir fizinės saugos stiprinimu bei tvarumu, poveikio aplinkai mažinimo potencialu,</w:t>
                </w:r>
                <w:r>
                  <w:rPr>
                    <w:b/>
                    <w:bCs/>
                    <w:color w:val="000000"/>
                    <w:sz w:val="22"/>
                    <w:szCs w:val="22"/>
                    <w:lang w:eastAsia="lt-LT"/>
                  </w:rPr>
                  <w:t xml:space="preserve"> ir su paklausos valdymu susiję sprendimai, kuriems nereikia naujų investicijų į infrastruktūrą, planuojamą vystyti per kitus 3 metus;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ind w:firstLine="720"/>
                  <w:jc w:val="both"/>
                  <w:rPr>
                    <w:b/>
                    <w:bCs/>
                    <w:color w:val="000000"/>
                    <w:sz w:val="22"/>
                    <w:szCs w:val="22"/>
                    <w:lang w:eastAsia="lt-LT"/>
                  </w:rPr>
                </w:pPr>
              </w:p>
              <w:p>
                <w:pPr>
                  <w:ind w:firstLine="720"/>
                  <w:jc w:val="both"/>
                  <w:rPr>
                    <w:b/>
                    <w:bCs/>
                    <w:color w:val="000000"/>
                    <w:sz w:val="22"/>
                    <w:szCs w:val="22"/>
                    <w:lang w:eastAsia="lt-LT"/>
                  </w:rPr>
                </w:pPr>
              </w:p>
              <w:p>
                <w:pPr>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atveju pateikiama visapusiška ir išsami informacija apie infrastruktūrą, kurios eksploatavimą galima nutraukti arba kurios eksploatavimas bus nutrauktas;</w:t>
                </w:r>
              </w:p>
            </w:tc>
            <w:tc>
              <w:tcPr>
                <w:tcW w:w="9407" w:type="dxa"/>
                <w:gridSpan w:val="3"/>
                <w:vAlign w:val="center"/>
              </w:tcPr>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vandenilio atveju pateikiama visapusiška ir išsami informaciją apie infrastruktūrą, kurios paskirtis gali ar turi būti pakeista vandeniliui perduoti, visų pirma siekiant tiekti vandenilį galutiniams naudotojams sektoriuose, kurių priklausomybę nuo iškastinio kuro sunku sumažinti, atsižvelgiant į šiltnamio efektą sukeliančių dujų kiekio mažinimo potencialą ir energijos vartojimo bei ekonominį efektyvumą, palyginti su kitomis galimybėmis;</w:t>
                </w:r>
              </w:p>
            </w:tc>
            <w:tc>
              <w:tcPr>
                <w:tcW w:w="9407" w:type="dxa"/>
                <w:gridSpan w:val="3"/>
                <w:vAlign w:val="center"/>
              </w:tcPr>
              <w:p>
                <w:pPr>
                  <w:ind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left="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3) pateikiama išsami informacija apie esamą infrastruktūrą, kurios paskirtis gali ar turi būti pakeista vandeniliui perduoti, visų pirma, siekiant tiekti vandenilį galutiniams vandenilio vartotojams sektoriuose, kurių priklausomybę nuo iškastinio kuro sunku sumažinti, atsižvelgiant į šiltnamio efektą sukeliančių dujų kiekio mažinimo potencialą ir energijos vartojimo bei ekonominį efektyvumą, palyginti su kitomis galimybėmis; </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numatomi visų investicinių ir eksploatavimo nutraukimo projektų terminai;</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4) visų investicinių projektų terminai;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jc w:val="both"/>
                  <w:rPr>
                    <w:color w:val="000000"/>
                    <w:sz w:val="22"/>
                    <w:szCs w:val="22"/>
                    <w:lang w:eastAsia="lt-LT"/>
                  </w:rPr>
                </w:pPr>
              </w:p>
              <w:p>
                <w:pPr>
                  <w:ind w:firstLine="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remiamasi jungtiniu scenarijumi, kas dvejus metus rengiamu atitinkamų infrastruktūros operatorių, įskaitant atitinkamus bent gamtinių dujų, vandenilio, elektros energijos ir, kai taikytina, centralizuoto šilumos tiekimo skirstymo sistemos operatorius;</w:t>
                </w:r>
              </w:p>
            </w:tc>
            <w:tc>
              <w:tcPr>
                <w:tcW w:w="9407" w:type="dxa"/>
                <w:gridSpan w:val="3"/>
                <w:vAlign w:val="center"/>
              </w:tcPr>
              <w:p>
                <w:pPr>
                  <w:tabs>
                    <w:tab w:val="left" w:pos="1530"/>
                  </w:tabs>
                  <w:ind w:right="57"/>
                  <w:jc w:val="both"/>
                  <w:rPr>
                    <w:b/>
                    <w:color w:val="881798"/>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w:t>
                </w:r>
              </w:p>
              <w:p>
                <w:pPr>
                  <w:ind w:left="720"/>
                  <w:jc w:val="both"/>
                  <w:rPr>
                    <w:b/>
                    <w:bCs/>
                    <w:color w:val="000000"/>
                    <w:sz w:val="22"/>
                    <w:szCs w:val="22"/>
                    <w:lang w:eastAsia="lt-LT"/>
                  </w:rPr>
                </w:pPr>
                <w:r>
                  <w:rPr>
                    <w:b/>
                    <w:bCs/>
                    <w:color w:val="000000"/>
                    <w:sz w:val="22"/>
                    <w:szCs w:val="22"/>
                    <w:lang w:eastAsia="lt-LT"/>
                  </w:rPr>
                  <w:t xml:space="preserve">&lt;...&gt; </w:t>
                </w:r>
              </w:p>
              <w:p>
                <w:pPr>
                  <w:ind w:firstLine="693"/>
                  <w:jc w:val="both"/>
                  <w:rPr>
                    <w:b/>
                    <w:bCs/>
                    <w:color w:val="000000"/>
                    <w:sz w:val="22"/>
                    <w:szCs w:val="22"/>
                    <w:lang w:eastAsia="lt-LT"/>
                  </w:rPr>
                </w:pPr>
                <w:r>
                  <w:rPr>
                    <w:b/>
                    <w:bCs/>
                    <w:color w:val="000000"/>
                    <w:sz w:val="22"/>
                    <w:szCs w:val="22"/>
                    <w:lang w:eastAsia="lt-LT"/>
                  </w:rPr>
                  <w:t>8) remiamasi jungtiniais scenarijais, kuriuos kas dvejus metus rengia gamtinių dujų perdavimo sistemos, vandenilio perdavimo tinklo ir elektros energijos perdavimo sistemos operatoriai. </w:t>
                </w:r>
              </w:p>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gamtinių dujų atveju užtikrinamas nuoseklumas su bendru ir nacionaliniu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užtikrinamas nuoseklumas su integruotu nacionaliniu energetikos ir klimato srities veiksmų planu bei jo atnaujinimais, atsižvelgiama į dabartinę būklę, nurodytą integruotose nacionalinėse energetikos ir klimato srities pažangos ataskaitose, pateiktose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užtikrinamas nuoseklumas su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nustatytais tikslais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firstLine="810"/>
                  <w:jc w:val="both"/>
                  <w:rPr>
                    <w:b/>
                    <w:bCs/>
                    <w:color w:val="D13438"/>
                    <w:sz w:val="22"/>
                    <w:szCs w:val="22"/>
                    <w:u w:val="single"/>
                    <w:lang w:val="lt" w:eastAsia="lt-LT"/>
                  </w:rPr>
                </w:pPr>
                <w:r>
                  <w:rPr>
                    <w:b/>
                    <w:bCs/>
                    <w:color w:val="000000"/>
                    <w:sz w:val="22"/>
                    <w:szCs w:val="22"/>
                    <w:lang w:eastAsia="lt-LT"/>
                  </w:rPr>
                  <w:t>5) nurodomas suderinamumas su Nacionaliniu energetikos ir klimato srities veiksmų planu, Nacionaline energetinės nepriklausomybės strategija; </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rFonts w:eastAsia="Arial"/>
                    <w:b/>
                    <w:color w:val="474747"/>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nurodytam visos Sąjungos dešimties metų gamtinių dujų tinklo plėtros planui ir to reglamento 60 straipsnyje nurodytam visos Sąjungos dešimties metų vandenilio tinklo plėtros planui, priklausomai nuo to, kas taikytina;</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left="360"/>
                  <w:jc w:val="both"/>
                  <w:rPr>
                    <w:b/>
                    <w:bCs/>
                    <w:color w:val="000000"/>
                    <w:sz w:val="22"/>
                    <w:szCs w:val="22"/>
                    <w:lang w:eastAsia="lt-LT"/>
                  </w:rPr>
                </w:pPr>
                <w:r>
                  <w:rPr>
                    <w:b/>
                    <w:bCs/>
                    <w:color w:val="000000"/>
                    <w:sz w:val="22"/>
                    <w:szCs w:val="22"/>
                    <w:lang w:eastAsia="lt-LT"/>
                  </w:rPr>
                  <w:t xml:space="preserve">6) užtikrinama atitiktis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 Europos Sąjungos dešimties metų vandenilio tinklo plėtros planui; </w:t>
                </w:r>
              </w:p>
              <w:p>
                <w:pPr>
                  <w:ind w:left="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09"/>
                  </w:tabs>
                  <w:jc w:val="both"/>
                  <w:rPr>
                    <w:color w:val="000000"/>
                    <w:sz w:val="22"/>
                    <w:szCs w:val="22"/>
                    <w:lang w:eastAsia="lt-LT"/>
                  </w:rPr>
                </w:pPr>
                <w:r>
                  <w:rPr>
                    <w:color w:val="000000"/>
                    <w:sz w:val="22"/>
                    <w:szCs w:val="22"/>
                    <w:lang w:eastAsia="lt-LT"/>
                  </w:rPr>
                  <w:t>j) atsižvelgiama į 56 straipsnyje nurodytą vandenilio skirstymo tinklo plėtros planą ir 57 straipsnyje nurodytus gamtinių dujų tinklo eksploatavimo nutraukimo planus.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atsižvelgiama į vandenilio skirstymo tinklo plėtros planą ir eksploatavimo nutraukimo planus gamtinių dujų dalyje (jei tokie yra);</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f punkte nurodyti jungtiniai scenarijai grindžiami pagrįstomis prielaidomis dėl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paklausa susijusius sprendimus, kuriems nereikia naujų investicijų į infrastruktūrą. Juose taip pat atsižvelgiama į tarpvalstybinius mainus, be kita ko, su trečiosiomis valstybėmis, ir vandenilio saugyklų vaidmenį bei vandenilio terminalų integravimą. Infrastruktūros operatoriai vykdo išsamių konsultacijų dėl tokių scenarijų procesą, kuriame gali dalyvauti atitinkami suinteresuotieji subjektai, įskaitant gamtinių dujų ir elektros energijos skirstymo sistemos operatorius, vandenilio skirstymo tinklo operatorius, elektros energijos, gamtinių dujų ir vandenilio, šildymo ir vėsinimo rinkose veikiančias asociacijas, tiekimo ir gamybos įmones, nepriklausomus telkėjus, paklausos atsako operatorius, energijos vartojimo efektyvumo sprendimų srityje dirbančias organizacijas, energijos vartotojų asociacijas ir pilietinės visuomenės atstovus. Konsultacijos vyksta atvirai, įtraukiai ir skaidriai ankstyvame etape prieš parengiant dešimties metų tinklo plėtros planą. Visi dokumentai, kuriuos infrastruktūros operatoriai pateikė konsultacijoms palengvinti, taip pat konsultacijų su suinteresuotaisiais subjektais rezultatai skelbiami viešai. Kai tie dokumentai pateikiami, atitinkama svetainė laiku atnaujinama, kad atitinkami suinteresuotieji subjektai būtų pakankamai informuoti, kad galėtų veiksmingai dalyvauti konsultacijose.</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3. Šio straipsnio 2 dalies 8 punkte nurodyti jungtiniai scenarijai grindžiami pagrįstomis prielaidomis dėl vandenilio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paklausos valdymo susijusius sprendimus, kuriems nereikia naujų investicijų į infrastruktūrą. Juose taip pat atsižvelgiama į tarpvalstybinius mainus, įskaitant mainus su trečiosiomis valstybėmis, ir vandenilio saugyklų vaidmenį bei vandenilio terminalų integravimą.</w:t>
                </w:r>
              </w:p>
              <w:p>
                <w:pPr>
                  <w:spacing w:line="276" w:lineRule="auto"/>
                  <w:ind w:firstLine="720"/>
                  <w:jc w:val="both"/>
                  <w:rPr>
                    <w:b/>
                    <w:bCs/>
                    <w:color w:val="000000"/>
                    <w:sz w:val="22"/>
                    <w:szCs w:val="22"/>
                    <w:lang w:eastAsia="lt-LT"/>
                  </w:rPr>
                </w:pPr>
                <w:r>
                  <w:rPr>
                    <w:b/>
                    <w:bCs/>
                    <w:color w:val="000000"/>
                    <w:sz w:val="22"/>
                    <w:szCs w:val="22"/>
                    <w:lang w:eastAsia="lt-LT"/>
                  </w:rPr>
                  <w:t>4. Prieš teikdami dešimties metų tinklų plėtros planus Tarybai, gamtinių dujų perdavimo sistemos, elektros energijos perdavimo sistemos ir vandenilio perdavimo tinklų operatoriai su suinteresuotomis vandenilio sektoriaus veiklos valdymo srities institucijomis ir kitais suinteresuotais asmenimis vykdo viešąsias konsultacijas dėl jungtinių scenarijų. Vandenilio perdavimo tinklo, elektros energijos perdavimo sistemos ir gamtinių dujų perdavimo sistemos operatoriai į konsultacijas įtraukia gamtinių dujų ir elektros energijos skirstymo sistemų operatorius, vandenilio skirstymo tinklo operatorių, elektros energijos, gamtinių dujų ir vandenilio, šildymo ir (ar) vėsinimo rinkose veikiančias asociacijas bei centralizuoto šilumos tiekimo sistemoje veikiančius šilumos tiekėjus, energijos tiekimo ir gamybos įmones, nepriklausomus paklausos telkėjus, paklausos valdymo operatorius, energijos vartojimo efektyvumo sprendimų srityje dirbančias organizacijas, energijos vartotojų asociacijas ir pilietinės visuomenės atstovus. Šios konsultacijos vyksta atvirai, įtraukiai ir skaidriai. Konsultacijų su suinteresuotaisiais subjektais dėl jungtinių scenarijų rezultatai ir dokumentai, kuriuos infrastruktūros operatoriai pateikė konsultacijoms palengvinti, skelbiami viešai. Kai dokumentai pateikiami, atitinkama svetainė laiku atnaujinama, kad atitinkami suinteresuotieji subjektai būtų pakankamai informuoti, kad galėtų veiksmingai dalyvauti konsultacijose.</w:t>
                </w:r>
              </w:p>
              <w:p>
                <w:pPr>
                  <w:widowControl w:val="0"/>
                  <w:shd w:val="clear" w:color="auto" w:fill="FFFFFF"/>
                  <w:jc w:val="both"/>
                  <w:rPr>
                    <w:i/>
                    <w:color w:val="000000"/>
                    <w:sz w:val="22"/>
                    <w:szCs w:val="22"/>
                    <w:lang w:eastAsia="lt-LT"/>
                  </w:rPr>
                </w:pPr>
              </w:p>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Šios dalies pirmos pastraipos f punkte nurodytais jungtiniais scenarijais užtikrinamas nuoseklumas su visos Sąjungos scenarijais, parengtais pagal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12 straipsnį, ir integruotu nacionaliniu energetikos ir klimato srities veiksmų planu bei jo atnaujinimais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 Tokius jungtinius scenarijus tvirtina kompetentinga nacionalinė institucija. Pagal Reglamento </w:t>
                </w:r>
                <w:fldSimple w:instr="HYPERLINK http://eur-lex.europa.eu/legal-content/LIT/TXT/?uri=CELEX:32009R0401&amp;locale=lt \t _blank">
                  <w:r>
                    <w:rPr>
                      <w:color w:val="0000FF" w:themeColor="hyperlink"/>
                      <w:sz w:val="22"/>
                      <w:szCs w:val="22"/>
                      <w:lang w:eastAsia="lt-LT"/>
                      <w:u w:val="single"/>
                    </w:rPr>
                    <w:t>(EB) Nr. 401/2009</w:t>
                  </w:r>
                </w:fldSimple>
                <w:r>
                  <w:rPr>
                    <w:color w:val="000000"/>
                    <w:sz w:val="22"/>
                    <w:szCs w:val="22"/>
                    <w:lang w:eastAsia="lt-LT"/>
                  </w:rPr>
                  <w:t xml:space="preserve"> 10a straipsnį įsteigta Europos mokslo patariamoji taryba klimato kaitos klausimais gali savo iniciatyva pateikti nuomonę dėl jungtinių scenarijų suderinamumo su Sąjungos 2030 m. energetikos ir klimato srities tikslais ir jos 2050 m. poveikio klimatui neutralumo tikslu. Kompetentinga nacionalinė institucija atsižvelgia į tą nuomonę.</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Šio straipsnio 2 dalies 8 punkte nurodyti jungtiniai scenarijai turi būti suderinti su visos Europos Sąjungos scenarijais, parengtais pagal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12 straipsnį, ir Nacionaliniu energetikos ir klimato srities veiksmų planu ir įvertinamas 2021 m. birželio 30 d. Europos Parlamento ir Tarybos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kuriuo nustatoma poveikio klimatui neutralumo pasiekimo sistema ir iš dalies keičiami reglamentai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ir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(Europos klimato teisės aktas), su visais pakeitimais 2 straipsnio 1 dalyje ir 4 straipsnio 1 dalyje nustatytas poveikio klimatui neutralumo tikslas. Tokius jungtinius scenarijus tvirtina Taryba. Pagal 2009 m. balandžio 23 d. Europos Parlamento ir Tarybos reglamento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dėl Europos aplinkos agentūros bei Europos aplinkos informacijos ir stebėjimo tinklo su visais pakeitimais 10a straipsnį įsteigta Europos mokslo patariamoji taryba klimato kaitos klausimais gali savo iniciatyva pateikti nuomonę dėl jungtinių scenarijų suderinamumo su Europos Sąjungos 2030 m. energetikos ir klimato srities tikslais ir jos 2050 m. poveikio klimatui neutralumo tikslu. Taryba, vertindama jungtinius scenarijus, atsižvelgia į tą nuomonę.</w:t>
                </w:r>
              </w:p>
              <w:p>
                <w:pPr>
                  <w:widowControl w:val="0"/>
                  <w:shd w:val="clear" w:color="auto" w:fill="FFFFFF"/>
                  <w:ind w:left="720"/>
                  <w:jc w:val="both"/>
                  <w:rPr>
                    <w:b/>
                    <w:color w:val="000000"/>
                    <w:sz w:val="22"/>
                    <w:szCs w:val="22"/>
                    <w:lang w:val="lt" w:eastAsia="lt-LT"/>
                  </w:rPr>
                </w:pPr>
                <w:r>
                  <w:rPr>
                    <w:b/>
                    <w:bCs/>
                    <w:color w:val="000000"/>
                    <w:sz w:val="22"/>
                    <w:szCs w:val="22"/>
                    <w:lang w:val="lt" w:eastAsia="lt-LT"/>
                  </w:rPr>
                  <w:t>&lt;...&gt;</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Rengdamas dešimties metų tinklo plėtros planus perdavimo sistemos operatorius ir vandenilio perdavimo tinklo operatorius visapusiškai atsižvelgia į galimas sistemos plėtros alternatyvas, pavyzdžiui, paklausos atsako panaudojimą, taip pat į tikėtiną suvartojimą pritaikius principą „svarbiausia – energijos vartojimo efektyvumas“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27 straipsnį, prekybą su kitomis valstybėmis ir visos Sąjungos tinklo plėtros planus. Atsižvelgdamas į energetikos sistemos integraciją, perdavimo sistemos operatorius ir vandenilio perdavimo tinklo operatorius įvertina, kaip tenkinti, kai įmanoma, poreikį elektros energijos, šildymo, kai taikytina, ir gamtinių dujų bei vandenilio sistemose, įskaitant informaciją apie optimalią energijos kaupimo įrenginių vietą bei dydį ir elektros energijos naudojimo dujoms gaminti infrastruktūrą, taip pat vandenilio gamybos ir vartojimo kolokaciją. Vandenilio perdavimo tinklo operatorius pateikia informaciją apie galutinių naudotojų vietą sektoriuose, kurių priklausomybę nuo iškastinio kuro sunku sumažinti, siekiant, kad tuose sektoriuose būtų naudojamas vandenilis iš atsinaujinančiųjų išteklių ir mažo anglies dioksido pėdsako vandenilis.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Rengdami dešimties metų tinklo plėtros planus, vandenilio perdavimo tinklo ir gamtinių dujų sistemos operatoriai atsižvelgia į galimas sistemos plėtros alternatyvas, tokias kaip paklausos valdymo panaudojimą, taip pat į tikėtiną suvartojimą taikant principą „svarbiausia – energijos vartojimo efektyvumas“ pagal Lietuvos Respublikos energijos vartojimo efektyvumo įstatymo nuostatas, prekybą su kitomis valstybėmis ir visos Europos Sąjungos tinklo plėtros planus. Atsižvelgdami į energetikos sistemos integraciją, gamtinių dujų perdavimo sistemos ir vandenilio perdavimo tinklų operatoriai įvertina, kaip tenkinti poreikį elektros energijos, šildymo, kai taikytina, ir gamtinių dujų ir vandenilio sistemose, įskaitant optimalios energijos kaupimo įrenginių vietos bei dydžio ir elektros energijos naudojimo dujoms gaminti infrastruktūros vietos parinkimą, taip pat, įvertinant vandenilio gamybos ir vartojimo vietas. Vandenilio perdavimo tinklo operatorius pateikia informaciją apie galutinių vandenilio vartotojų vietą sektoriuose, kurių priklausomybę nuo iškastinio kuro sunku sumažinti, siekiant, kad tuose sektoriuose būtų naudojamas vandenilis iš atsinaujinančių išteklių ir mažo anglies dioksido pėdsako vandenilis.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44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dėl dešimties metų tinklo plėtros plano viešai ir skaidriai konsultuojasi su visais faktiniais ar potencialiais sistemos naudotojais. Asmenų ar įmonių, teigiančių, jog jie yra potencialūs sistemos naudotojai, gali būti paprašyta pagrįsti tokius teiginius. Reguliavimo institucija paskelbia konsultavimosi proceso rezultatus, įskaitant galimą investicijų poreikį, įrenginių eksploatavimo nutraukimą ir su paklausa susijusius sprendimus, kuriems nereikia naujų investicijų į infrastruktūrą.</w:t>
                </w:r>
              </w:p>
            </w:tc>
            <w:tc>
              <w:tcPr>
                <w:tcW w:w="9407" w:type="dxa"/>
                <w:gridSpan w:val="3"/>
                <w:tcBorders>
                  <w:bottom w:val="single" w:sz="4" w:space="0" w:color="auto"/>
                </w:tcBorders>
              </w:tcPr>
              <w:p>
                <w:pPr>
                  <w:tabs>
                    <w:tab w:val="left" w:pos="1530"/>
                  </w:tabs>
                  <w:ind w:right="57"/>
                  <w:jc w:val="both"/>
                  <w:rPr>
                    <w:b/>
                    <w:bCs/>
                    <w:sz w:val="22"/>
                    <w:szCs w:val="22"/>
                    <w:lang w:eastAsia="lt-LT"/>
                  </w:rPr>
                </w:pPr>
                <w:r>
                  <w:rPr>
                    <w:b/>
                    <w:bCs/>
                    <w:sz w:val="22"/>
                    <w:szCs w:val="22"/>
                    <w:lang w:eastAsia="lt-LT"/>
                  </w:rPr>
                  <w:t>Vandenilio įstatymo projektas</w:t>
                </w:r>
              </w:p>
              <w:p>
                <w:pPr>
                  <w:ind w:firstLine="720"/>
                  <w:jc w:val="both"/>
                  <w:rPr>
                    <w:b/>
                    <w:bCs/>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bCs/>
                    <w:sz w:val="22"/>
                    <w:szCs w:val="22"/>
                    <w:lang w:eastAsia="lt-LT"/>
                  </w:rPr>
                  <w:t>&lt;...&gt;</w:t>
                </w:r>
              </w:p>
              <w:p>
                <w:pPr>
                  <w:spacing w:line="276" w:lineRule="auto"/>
                  <w:ind w:firstLine="834"/>
                  <w:jc w:val="both"/>
                  <w:rPr>
                    <w:b/>
                    <w:bCs/>
                    <w:color w:val="000000"/>
                    <w:sz w:val="22"/>
                    <w:szCs w:val="22"/>
                    <w:lang w:eastAsia="lt-LT"/>
                  </w:rPr>
                </w:pPr>
                <w:r>
                  <w:rPr>
                    <w:b/>
                    <w:bCs/>
                    <w:color w:val="000000"/>
                    <w:sz w:val="22"/>
                    <w:szCs w:val="22"/>
                    <w:lang w:eastAsia="lt-LT"/>
                  </w:rPr>
                  <w:t>7. Taryba dėl dešimties metų tinklo plėtros plano turi viešai konsultuotis su esamais ir potencialiais (planuojančiais ar numatančiais tapti) vandenilio sistemos naudotojais. Taryba privalo paskelbti konsultavimosi proceso rezultatus, įskaitant galimą investicijų poreikį, įrenginių eksploatavimo nutraukimą ir su paklausos valdymu susijusius sprendimus, kuriems nereikia naujų investicijų į infrastruktūrą.</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shd w:val="clear" w:color="auto" w:fill="FFFFFF"/>
                  <w:jc w:val="both"/>
                  <w:rPr>
                    <w:color w:val="000000"/>
                    <w:sz w:val="22"/>
                    <w:szCs w:val="22"/>
                    <w:lang w:eastAsia="lt-LT"/>
                  </w:rPr>
                </w:pPr>
                <w:r>
                  <w:rPr>
                    <w:b/>
                    <w:bCs/>
                    <w:color w:val="000000"/>
                    <w:sz w:val="22"/>
                    <w:szCs w:val="22"/>
                    <w:lang w:eastAsia="lt-LT"/>
                  </w:rPr>
                  <w:t>4 straipsnis. 31 straipsnio pakeitimas</w:t>
                </w:r>
              </w:p>
              <w:p>
                <w:pPr>
                  <w:shd w:val="clear" w:color="auto" w:fill="FFFFFF"/>
                  <w:jc w:val="both"/>
                  <w:rPr>
                    <w:color w:val="000000"/>
                    <w:sz w:val="22"/>
                    <w:szCs w:val="22"/>
                    <w:lang w:eastAsia="lt-LT"/>
                  </w:rPr>
                </w:pPr>
                <w:r>
                  <w:rPr>
                    <w:color w:val="000000"/>
                    <w:sz w:val="22"/>
                    <w:szCs w:val="22"/>
                    <w:lang w:eastAsia="lt-LT"/>
                  </w:rPr>
                  <w:t>Pakeisti 31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31 straipsnis. Perdavimo sistemos operatoriaus vykdoma tinklo plėtra ir įgaliojimai priimti sprendimus dėl investavimo</w:t>
                </w:r>
              </w:p>
              <w:p>
                <w:pPr>
                  <w:tabs>
                    <w:tab w:val="left" w:pos="1530"/>
                  </w:tabs>
                  <w:ind w:right="57" w:firstLine="720"/>
                  <w:jc w:val="both"/>
                  <w:rPr>
                    <w:color w:val="000000"/>
                    <w:sz w:val="22"/>
                    <w:szCs w:val="22"/>
                    <w:lang w:eastAsia="lt-LT"/>
                  </w:rPr>
                </w:pPr>
                <w:r>
                  <w:rPr>
                    <w:color w:val="000000"/>
                    <w:sz w:val="22"/>
                    <w:szCs w:val="22"/>
                    <w:lang w:eastAsia="lt-LT"/>
                  </w:rPr>
                  <w:t>4. Taryba dėl dešimties metų tinklo plėtros plano viešai konsultuojasi su visais esamais ar potencialiais sistemos naudotojais ir paskelbia konsultavimosi rezultatus.t5.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reikalavimų.k6. Perdavimo sistemos operatorius privalo vykdyti dešimties metų tinklo plėtros plane numatytas priemones, įskaitant perdavimo sistemos optimizavimo ir perdavimo sistemos efektyvumo didinimo priemones.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tc>
            <w:tc>
              <w:tcPr>
                <w:tcW w:w="1701"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Borders>
                  <w:right w:val="single" w:sz="4" w:space="0" w:color="auto"/>
                </w:tcBorders>
              </w:tcPr>
              <w:p>
                <w:pPr>
                  <w:shd w:val="clear" w:color="auto" w:fill="FFFFFF"/>
                  <w:jc w:val="both"/>
                  <w:rPr>
                    <w:color w:val="000000"/>
                    <w:sz w:val="22"/>
                    <w:szCs w:val="22"/>
                    <w:lang w:eastAsia="lt-LT"/>
                  </w:rPr>
                </w:pPr>
                <w:r>
                  <w:rPr>
                    <w:color w:val="000000"/>
                    <w:sz w:val="22"/>
                    <w:szCs w:val="22"/>
                    <w:lang w:eastAsia="lt-LT"/>
                  </w:rPr>
                  <w:t xml:space="preserve">5. Reguliavimo institucija išnagrinėja, ar dešimties metų tinklo plėtros planas atitinka šio straipsnio 1, 2 ir 3 dalis, ar jame atsižvelgta į visus investavimo poreikius, kurie buvo nustatyti konsultavimosi procese, ir, kai tikslinga, ar jis suderinamas su naujausiu sutrikimo scenarijų imitavimo bandymu, kurį Sąjungos mastu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atliko Europos dujų perdavimo sistemos operatorių tinklas (ENTSO-G), su regioniniais ir nacionaliniais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ir su neprivalomais visos Sąjungos dešimties metų tinklo plėtros planais (toliau – visos Sąjungos tinklo plėtros planai), nurodytais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30 straipsnio 1 dalies b punkte, ir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straipsniais. Jei iškyla abejonių dėl suderinamumo su visos Sąjungos tinklo plėtros planais, reguliavimo institucija konsultuojasi su ACER. Reguliavimo institucija gali reikalauti, kad perdavimo sistemos operatorius iš dalies pakeistų savo dešimties metų tinklo plėtros planą.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tabs>
                    <w:tab w:val="left" w:pos="1530"/>
                  </w:tabs>
                  <w:ind w:right="57"/>
                  <w:jc w:val="both"/>
                  <w:rPr>
                    <w:b/>
                    <w:bCs/>
                    <w:sz w:val="22"/>
                    <w:szCs w:val="22"/>
                    <w:lang w:eastAsia="lt-LT"/>
                  </w:rPr>
                </w:pPr>
                <w:r>
                  <w:rPr>
                    <w:b/>
                    <w:bCs/>
                    <w:sz w:val="22"/>
                    <w:szCs w:val="22"/>
                    <w:lang w:eastAsia="lt-LT"/>
                  </w:rPr>
                  <w:t>Vandenilio įstatymo projektas</w:t>
                </w:r>
              </w:p>
              <w:p>
                <w:pPr>
                  <w:tabs>
                    <w:tab w:val="left" w:pos="1530"/>
                  </w:tabs>
                  <w:ind w:right="57" w:firstLine="720"/>
                  <w:jc w:val="both"/>
                  <w:rPr>
                    <w:b/>
                    <w:bCs/>
                    <w:sz w:val="22"/>
                    <w:szCs w:val="22"/>
                    <w:lang w:eastAsia="lt-LT"/>
                  </w:rPr>
                </w:pPr>
                <w:r>
                  <w:rPr>
                    <w:b/>
                    <w:bCs/>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w:t>
                </w:r>
              </w:p>
              <w:p>
                <w:pPr>
                  <w:ind w:firstLine="720"/>
                  <w:jc w:val="both"/>
                  <w:rPr>
                    <w:sz w:val="22"/>
                    <w:szCs w:val="22"/>
                    <w:lang w:eastAsia="lt-LT"/>
                  </w:rPr>
                </w:pPr>
                <w:r>
                  <w:rPr>
                    <w:b/>
                    <w:bCs/>
                    <w:sz w:val="22"/>
                    <w:szCs w:val="22"/>
                    <w:lang w:eastAsia="lt-LT"/>
                  </w:rPr>
                  <w:t>&lt;...&gt;</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r>
                  <w:rPr>
                    <w:b/>
                    <w:color w:val="000000"/>
                    <w:sz w:val="22"/>
                    <w:szCs w:val="22"/>
                    <w:lang w:eastAsia="lt-LT"/>
                  </w:rPr>
                  <w:t>&lt;...&gt;</w:t>
                </w:r>
              </w:p>
              <w:p>
                <w:pPr>
                  <w:tabs>
                    <w:tab w:val="left" w:pos="1530"/>
                  </w:tabs>
                  <w:ind w:right="57" w:firstLine="720"/>
                  <w:jc w:val="both"/>
                  <w:rPr>
                    <w:sz w:val="22"/>
                    <w:szCs w:val="22"/>
                    <w:lang w:eastAsia="lt-LT"/>
                  </w:rPr>
                </w:pPr>
                <w:r>
                  <w:rPr>
                    <w:sz w:val="22"/>
                    <w:szCs w:val="22"/>
                    <w:lang w:eastAsia="lt-LT"/>
                  </w:rPr>
                  <w:t>4. Taryba dėl dešimties metų tinklo plėtros plano viešai konsultuojasi su visais esamais ar potencialiais sistemos naudotojais ir paskelbia konsultavimosi rezultatus.</w:t>
                </w:r>
              </w:p>
              <w:p>
                <w:pPr>
                  <w:tabs>
                    <w:tab w:val="left" w:pos="1530"/>
                  </w:tabs>
                  <w:ind w:right="57" w:firstLine="720"/>
                  <w:jc w:val="both"/>
                  <w:rPr>
                    <w:sz w:val="22"/>
                    <w:szCs w:val="22"/>
                    <w:lang w:eastAsia="lt-LT"/>
                  </w:rPr>
                </w:pPr>
                <w:r>
                  <w:rPr>
                    <w:sz w:val="22"/>
                    <w:szCs w:val="22"/>
                    <w:lang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tabs>
                    <w:tab w:val="left" w:pos="1530"/>
                  </w:tabs>
                  <w:ind w:right="57" w:firstLine="720"/>
                  <w:jc w:val="both"/>
                  <w:rPr>
                    <w:sz w:val="22"/>
                    <w:szCs w:val="22"/>
                    <w:lang w:eastAsia="lt-LT"/>
                  </w:rPr>
                </w:pPr>
                <w:r>
                  <w:rPr>
                    <w:sz w:val="22"/>
                    <w:szCs w:val="22"/>
                    <w:lang w:eastAsia="lt-LT"/>
                  </w:rPr>
                  <w:t>6. Perdavimo sistemos operatorius privalo vykdyti dešimties metų tinklo plėtros plane numatytas priemones, įskaitant perdavimo sistemos optimizavimo ir perdavimo sistemos efektyvumo didinimo priemones.</w:t>
                </w:r>
              </w:p>
              <w:p>
                <w:pPr>
                  <w:tabs>
                    <w:tab w:val="left" w:pos="1530"/>
                  </w:tabs>
                  <w:ind w:right="57" w:firstLine="720"/>
                  <w:jc w:val="both"/>
                  <w:rPr>
                    <w:sz w:val="22"/>
                    <w:szCs w:val="22"/>
                    <w:lang w:eastAsia="lt-LT"/>
                  </w:rPr>
                </w:pPr>
                <w:r>
                  <w:rPr>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tabs>
                    <w:tab w:val="left" w:pos="1530"/>
                  </w:tabs>
                  <w:ind w:right="57" w:firstLine="720"/>
                  <w:jc w:val="both"/>
                  <w:rPr>
                    <w:b/>
                    <w:b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Kompetentingos nacionalinės institucijos išnagrinėja, ar dešimties metų tinklo plėtros planas yra suderinamas su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nustatytu poveikio klimatui neutralumo tikslu, nacionaliniu energetikos ir klimato srities veiksmų planu bei jo atnaujinimais ir integruotomis nacionalinėmis energetikos ir klimato srities pažangos ataskaitomis,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ir, jei jis nesuderinamas, gali pateikti reguliavimo institucijai pagrįstą nuomonę, kurioje išdėsto, kas yra nesuderinama; į tą nuomonę turi būti tinkamai atsižvelgta.</w:t>
                </w:r>
              </w:p>
            </w:tc>
            <w:tc>
              <w:tcPr>
                <w:tcW w:w="9407" w:type="dxa"/>
                <w:gridSpan w:val="3"/>
                <w:tcBorders>
                  <w:top w:val="single" w:sz="4" w:space="0" w:color="auto"/>
                </w:tcBorders>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r>
                  <w:rPr>
                    <w:b/>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ir, jei jis nesuderinamas, gali pateikti Tarybai pagrįstą nuomonę, kurioje išdėsto, kas yra nesuderinama – į tą nuomonę turi būti tinkamai atsižvelgta. </w:t>
                </w:r>
              </w:p>
              <w:p>
                <w:pPr>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Reguliavimo institucija vykdo dešimties metų tinklo plėtros plano įgyvendinimo stebėseną ir atlieka jo vertinimą.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w:t>
                </w:r>
                <w:r>
                  <w:rPr>
                    <w:b/>
                    <w:bCs/>
                    <w:color w:val="000000"/>
                    <w:sz w:val="22"/>
                    <w:szCs w:val="22"/>
                    <w:lang w:eastAsia="lt-LT"/>
                  </w:rPr>
                  <w:t>6</w:t>
                </w:r>
                <w:r>
                  <w:rPr>
                    <w:b/>
                    <w:bCs/>
                    <w:sz w:val="22"/>
                    <w:szCs w:val="22"/>
                    <w:lang w:eastAsia="lt-LT"/>
                  </w:rPr>
                  <w:t>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Tuo </w:t>
                </w:r>
                <w:r>
                  <w:rPr>
                    <w:sz w:val="22"/>
                    <w:szCs w:val="22"/>
                    <w:lang w:eastAsia="lt-LT"/>
                  </w:rPr>
                  <w:t xml:space="preserve">atveju, kai nepriklausomas sistemos operatorius ar nepriklausomas perdavimo operatorius arba integruotas vandenilio perdavimo tinklo operatorius ar nepriklausomas vandenilio perdavimo tinklo operatorius dėl kitų nei nuo jo priklausančių svarbių priežasčių nepadaro investicijos, kuri pagal dešimties metų tinklo plėtros planą turėjo būti padaryta per kitus trejus metus, valstybės narės užtikrina, kad </w:t>
                </w:r>
                <w:r>
                  <w:rPr>
                    <w:color w:val="000000"/>
                    <w:sz w:val="22"/>
                    <w:szCs w:val="22"/>
                    <w:lang w:eastAsia="lt-LT"/>
                  </w:rPr>
                  <w:t>reguliavimo institucija privalėtų imtis bent vienos iš toliau nurodytų priemonių tam, kad atitinkama investicija būtų padaryta, jei tokia investicija vis dar svarbi atsižvelgiant į naujausią dešimties metų tinklo plėtros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w:t>
                </w:r>
                <w:r>
                  <w:rPr>
                    <w:i/>
                    <w:color w:val="000000"/>
                    <w:sz w:val="22"/>
                    <w:szCs w:val="22"/>
                    <w:lang w:eastAsia="lt-LT"/>
                  </w:rPr>
                  <w:t>Lietuvoje pasirinktas perdavimo veiklos nuosavybės atskyrimo modelis, tad ši Direktyvos dalis nėra aktuali</w:t>
                </w:r>
                <w:r>
                  <w:rPr>
                    <w:i/>
                    <w:iCs/>
                    <w:color w:val="000000"/>
                    <w:sz w:val="22"/>
                    <w:szCs w:val="22"/>
                    <w:lang w:eastAsia="lt-LT"/>
                  </w:rPr>
                  <w:t>.</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reikalauti, kad perdavimo sistemos operatorius arba vandenilio perdavimo tinklo operatorius padarytų atitinkamą investiciją;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dėl atitinkamos investicijos organizuoti konkurso procedūrą, kurioje galėtų dalyvauti bet kurie investuotojai;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įpareigoti perdavimo sistemos operatorių arba vandenilio perdavimo tinklo operatorių sutikti padidinti kapitalą, siekiant finansuoti reikiamas investicijas ir sudaryti sąlygas nepriklausomiems investuotojams dalyvauti kapitale.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reguliavimo institucija pasinaudoja pirmos pastraipos b punkte nustatytais įgaliojimais, ji gali įpareigoti perdavimo sistemos operatorių arba vandenilio perdavimo tinklo operatorių sutikti su vienu ar daugiau iš šių reikalavimų:</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kad bet kuri trečioji šalis teiktų finansavimą;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kad bet kuri trečioji šalis vykdytų statybą, įgyvendintų paskirties keitimą arba eksploatavimo nutraukimą;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kad pats sukurtų atitinkamą naują turtą;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kad pats eksploatuotų atitinkamą naują turtą.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operatorius arba vandenilio perdavimo tinklo operatorius suteikia investuotojams visą investavimui reikalingą informaciją, prijungia naują turtą prie perdavimo tinklo arba vandenilio perdavimo tinklo ir apskritai deda visas pastangas sudaryti palankesnes sąlygas investicinio projekto įgyvendinimui.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Atitinkamas finansavimo priemones patvirtina reguliavimo institucija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widowControl w:val="0"/>
                  <w:shd w:val="clear" w:color="auto" w:fill="FFFFFF"/>
                  <w:jc w:val="both"/>
                  <w:rPr>
                    <w:color w:val="000000"/>
                    <w:sz w:val="22"/>
                    <w:szCs w:val="22"/>
                    <w:lang w:eastAsia="lt-LT"/>
                  </w:rPr>
                </w:pP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Kai reguliavimo institucija pasinaudoja savo įgaliojimais pagal 7 dalį, atitinkami prieigos prie tinklo tarifai, kaip nustatyta ar patvirtina reguliavimo institucijos, apima atitinkamų investicijų sąnaudas.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56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skirstymo tinklo plėtros planas</w:t>
                </w:r>
              </w:p>
            </w:tc>
            <w:tc>
              <w:tcPr>
                <w:tcW w:w="9407" w:type="dxa"/>
                <w:gridSpan w:val="3"/>
                <w:vAlign w:val="center"/>
              </w:tcPr>
              <w:p>
                <w:pPr>
                  <w:ind w:left="720"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eastAsia="lt-LT"/>
                  </w:rPr>
                  <w:t>Vandenilio įstatymo projektas</w:t>
                </w:r>
              </w:p>
              <w:p>
                <w:pPr>
                  <w:ind w:left="720" w:right="57"/>
                  <w:jc w:val="both"/>
                  <w:rPr>
                    <w:color w:val="000000"/>
                    <w:sz w:val="22"/>
                    <w:szCs w:val="22"/>
                    <w:lang w:eastAsia="lt-LT"/>
                  </w:rPr>
                </w:pPr>
                <w:r>
                  <w:rPr>
                    <w:b/>
                    <w:color w:val="000000"/>
                    <w:sz w:val="22"/>
                    <w:szCs w:val="22"/>
                    <w:lang w:eastAsia="lt-LT"/>
                  </w:rPr>
                  <w:t>3</w:t>
                </w:r>
                <w:r>
                  <w:rPr>
                    <w:b/>
                    <w:bCs/>
                    <w:color w:val="000000"/>
                    <w:sz w:val="22"/>
                    <w:szCs w:val="22"/>
                    <w:lang w:eastAsia="lt-LT"/>
                  </w:rPr>
                  <w:t>7</w:t>
                </w:r>
                <w:r>
                  <w:rPr>
                    <w:b/>
                    <w:color w:val="000000"/>
                    <w:sz w:val="22"/>
                    <w:szCs w:val="22"/>
                    <w:lang w:eastAsia="lt-LT"/>
                  </w:rPr>
                  <w:t xml:space="preserve"> straipsnis. Vandenilio skirstymo tinklo plėtros planas </w:t>
                </w:r>
              </w:p>
              <w:p>
                <w:pPr>
                  <w:ind w:left="720" w:right="57"/>
                  <w:jc w:val="both"/>
                  <w:rPr>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Vandenilio skirstymo tinklo operatoriai reguliavimo institucijai kas ketverius metus pateikia planą, kuriame pristatoma vandenilio tinklo infrastruktūra, kurią jie siekia sukurti. Planas rengiamas glaudžiai bendradarbiaujant su gamtinių dujų ir elektros energijos skirstymo sistemos operatoriais, taip pat, kai taikytina, su centralizuoto šilumos tiekimo ir vėsumos tiekimo operatoriais, užtikrinant veiksmingą energetikos sistemos integraciją ir kuo labiau atsižvelgiant į jų nuomonę. Valstybės narės gali leisti tame pačiame regione veikiantiems vandenilio skirstymo tinklo operatoriams pagal šį straipsnį ir skirstymo sistemos operatoriams pagal 57 straipsnį parengti jungtinį planą.</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37 straipsnis. Vandenilio skirstymo tinklo plėtros planas </w:t>
                </w:r>
              </w:p>
              <w:p>
                <w:pPr>
                  <w:spacing w:line="276" w:lineRule="auto"/>
                  <w:ind w:firstLine="777"/>
                  <w:jc w:val="both"/>
                  <w:rPr>
                    <w:b/>
                    <w:bCs/>
                    <w:color w:val="000000"/>
                    <w:sz w:val="22"/>
                    <w:szCs w:val="22"/>
                    <w:lang w:eastAsia="lt-LT"/>
                  </w:rPr>
                </w:pPr>
                <w:r>
                  <w:rPr>
                    <w:b/>
                    <w:bCs/>
                    <w:color w:val="000000"/>
                    <w:sz w:val="22"/>
                    <w:szCs w:val="22"/>
                    <w:lang w:eastAsia="lt-LT"/>
                  </w:rPr>
                  <w:t>1. Vandenilio skirstymo tinklo operatorius ne rečiau kaip kas ketverius metus rengia ir teikia Tarybai vandenilio skirstymo tinklo plėtros planą, kuriame nustatomi numatomi vandenilio skirstymo tinklo infrastruktūros plėtros poreikiai, kryptys ir su tuo susijusios planuojamos investicijos. Vandenilio skirstymo tinklo plėtros planas pirmą kartą parengiamas ne vėliau kaip po 2 metų, gavus vandenilio skirstymo tinklo operatoriaus licenciją.</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leidžiančios vykdyti vieną jungtinį planą, užtikrina, kad planas būtų pakankamai skaidrus, kad būtų galima aiškiai nustatyti konkrečius gamtinių dujų sektoriaus poreikius ir konkrečius vandenilio sektoriaus poreikius, kurie įtraukti į planą. Atliekamas atskiras kiekvieno energijos nešiklio modeliavimas ir įtraukiami atskiri skyriai, kuriuose pateikiami gamtinių dujų tinklo žemėlapiai ir vandenilio tinklo žemėlapiai.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Jungtiniuose plėtros planuose turi būti:</w:t>
                </w:r>
              </w:p>
              <w:p>
                <w:pPr>
                  <w:spacing w:line="276" w:lineRule="auto"/>
                  <w:ind w:firstLine="720"/>
                  <w:jc w:val="both"/>
                  <w:rPr>
                    <w:b/>
                    <w:bCs/>
                    <w:color w:val="000000"/>
                    <w:sz w:val="22"/>
                    <w:szCs w:val="22"/>
                    <w:lang w:eastAsia="lt-LT"/>
                  </w:rPr>
                </w:pPr>
                <w:r>
                  <w:rPr>
                    <w:b/>
                    <w:bCs/>
                    <w:color w:val="000000"/>
                    <w:sz w:val="22"/>
                    <w:szCs w:val="22"/>
                    <w:lang w:eastAsia="lt-LT"/>
                  </w:rPr>
                  <w:t>1) aiškiai identifikuoti ir atskirti gamtinių dujų sektoriaus ir vandenilio sektoriaus poreikiai;</w:t>
                </w:r>
              </w:p>
              <w:p>
                <w:pPr>
                  <w:spacing w:line="276" w:lineRule="auto"/>
                  <w:ind w:firstLine="720"/>
                  <w:jc w:val="both"/>
                  <w:rPr>
                    <w:b/>
                    <w:bCs/>
                    <w:color w:val="000000"/>
                    <w:sz w:val="22"/>
                    <w:szCs w:val="22"/>
                    <w:lang w:eastAsia="lt-LT"/>
                  </w:rPr>
                </w:pPr>
                <w:r>
                  <w:rPr>
                    <w:b/>
                    <w:bCs/>
                    <w:color w:val="000000"/>
                    <w:sz w:val="22"/>
                    <w:szCs w:val="22"/>
                    <w:lang w:eastAsia="lt-LT"/>
                  </w:rPr>
                  <w:t>2) pateiktas atskiras kiekvieno energijos nešiklio infrastruktūros plėtros modeliavimas ir atskiri gamtinių dujų tinklo ir vandenilio tinklo žemėlapiai.</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kuriose rengiami atskiri gamtinių dujų ir vandenilio planai, užtikrina, kad skirstymo sistemos operatoriai ir vandenilio skirstymo tinklo operatoriai glaudžiai bendradarbiautų tais atvejais, kai reikia priimti sprendimus siekiant užtikrinti sistemos efektyvumą, kai naudojami įvairūs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 </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Vandenilio skirstymo tinklo plėtros planas, visų pirma: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apima informaciją apie vandenilio skirstymo tinklo naudotojų ir vandenilio skirstymo tinklo operatorių suderėtos apimties ir trukmės pajėgumo poreikius, apie vandenilio pasiūlą ir apie esamų ir galimų būsimų galutinių naudotojų, kurių priklausomybę nuo iškastinio kuro sunku sumažinti, pajėgumo poreikių apimtį ir trukmę, atsižvelgiant į šiltnamio efektą sukeliančių dujų kiekio mažinimo potencialą ir energijos vartojimo bei ekonominį efektyvumą, palyginti su kitomis galimybėmis, ir tų galutinių naudotojų vietą siekiant, kad tuose sektoriuose būtų naudojamas vandenilis iš atsinaujinančiųjų išteklių ir mažo anglies dioksido pėdsako vandenilis;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plėtros plane turi būti:</w:t>
                </w:r>
              </w:p>
              <w:p>
                <w:pPr>
                  <w:spacing w:line="276" w:lineRule="auto"/>
                  <w:ind w:firstLine="720"/>
                  <w:jc w:val="both"/>
                  <w:rPr>
                    <w:b/>
                    <w:bCs/>
                    <w:color w:val="000000"/>
                    <w:sz w:val="22"/>
                    <w:szCs w:val="22"/>
                    <w:lang w:eastAsia="lt-LT"/>
                  </w:rPr>
                </w:pPr>
                <w:r>
                  <w:rPr>
                    <w:b/>
                    <w:bCs/>
                    <w:color w:val="000000"/>
                    <w:sz w:val="22"/>
                    <w:szCs w:val="22"/>
                    <w:lang w:eastAsia="lt-LT"/>
                  </w:rPr>
                  <w:t>1) informacija apie vandenilio skirstymo tinklo naudotojų ir operatorių suderintus pajėgumo poreikius, vandenilio tiekimo ir paklausos tendencijas, taip pat sunkiai dekarbonizuojamų sektorių galutinių vandenilio vartotojų vietą, poreikius, alternatyvų analizę ir su tuo susijusį šiltnamio efektą sukeliančių dujų kiekio mažinimo potencialą;</w:t>
                </w:r>
              </w:p>
              <w:p>
                <w:pPr>
                  <w:ind w:firstLine="720"/>
                  <w:jc w:val="both"/>
                  <w:rPr>
                    <w:b/>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atsižvelgia į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sektorių, kuriems netaikomi šildymo ir vėsinimo planai, poreikius, ir įvertina tai, kaip svarstant vandenilio skirstymo tinklo plėtrą sektoriuose, kuriuose yra efektyviau energiją vartojančių alternatyvų, laikomasi principo „svarbiausia – energijos vartojimo efektyvumas“ pagal tos direktyvos 27 straipsnį;</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3)</w:t>
                </w:r>
                <w:r>
                  <w:rPr>
                    <w:b/>
                    <w:bCs/>
                    <w:color w:val="000000"/>
                    <w:sz w:val="22"/>
                    <w:szCs w:val="22"/>
                    <w:lang w:eastAsia="lt-LT"/>
                  </w:rPr>
                  <w:t xml:space="preserve"> </w:t>
                </w:r>
                <w:r>
                  <w:rPr>
                    <w:b/>
                    <w:bCs/>
                    <w:sz w:val="22"/>
                    <w:szCs w:val="22"/>
                    <w:lang w:eastAsia="lt-LT"/>
                  </w:rPr>
                  <w:t>informacija, kaip atsižvelgta į šildymo ir vėsinimo planus, parengtus pagal</w:t>
                </w:r>
                <w:r>
                  <w:rPr>
                    <w:b/>
                    <w:bCs/>
                    <w:color w:val="000000"/>
                    <w:sz w:val="22"/>
                    <w:szCs w:val="22"/>
                    <w:lang w:eastAsia="lt-LT"/>
                  </w:rPr>
                  <w:t xml:space="preserve"> </w:t>
                </w:r>
                <w:r>
                  <w:rPr>
                    <w:b/>
                    <w:bCs/>
                    <w:color w:val="333333"/>
                    <w:sz w:val="22"/>
                    <w:szCs w:val="22"/>
                    <w:lang w:eastAsia="lt-LT"/>
                  </w:rPr>
                  <w:t>Energijos vartojimo efektyvumo didinimo įstatymą</w:t>
                </w:r>
                <w:r>
                  <w:rPr>
                    <w:b/>
                    <w:bCs/>
                    <w:sz w:val="22"/>
                    <w:szCs w:val="22"/>
                    <w:lang w:eastAsia="lt-LT"/>
                  </w:rPr>
                  <w:t>, ir nurodoma, kaip atsižvelgta į sektorių, kuriems netaikomi šildymo ir vėsinimo planai, poreikius, ir nurodoma, kaip, svarstant vandenilio skirstymo tinklo plėtrą, sektoriuose, kuriuose yra efektyviau energiją vartojančių alternatyvų, laikomasi principo „</w:t>
                </w:r>
                <w:r>
                  <w:rPr>
                    <w:b/>
                    <w:bCs/>
                    <w:color w:val="000000"/>
                    <w:sz w:val="22"/>
                    <w:szCs w:val="22"/>
                    <w:lang w:eastAsia="lt-LT"/>
                  </w:rPr>
                  <w:t>svarbiausia </w:t>
                </w:r>
                <w:r>
                  <w:rPr>
                    <w:b/>
                    <w:bCs/>
                    <w:sz w:val="22"/>
                    <w:szCs w:val="22"/>
                    <w:lang w:eastAsia="lt-LT"/>
                  </w:rPr>
                  <w:t>– energijos vartojimo efektyvumas“;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apima informaciją apie tai, kiek gamtinių dujų vamzdynų pakeitus jų paskirtį turi būti naudojama vandeniliui transportuoti, taip pat informaciją apie tai, kiek toks paskirties keitimas reikalingas, kad būtų patenkinti pagal a punktą nustatyti pajėgumo poreikiai;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left="720" w:hanging="360"/>
                  <w:jc w:val="both"/>
                  <w:rPr>
                    <w:b/>
                    <w:bCs/>
                    <w:color w:val="000000"/>
                    <w:sz w:val="22"/>
                    <w:szCs w:val="22"/>
                    <w:lang w:eastAsia="lt-LT"/>
                  </w:rPr>
                </w:pPr>
                <w:r>
                  <w:rPr>
                    <w:b/>
                    <w:bCs/>
                    <w:color w:val="000000"/>
                    <w:sz w:val="22"/>
                    <w:szCs w:val="22"/>
                    <w:lang w:eastAsia="lt-LT"/>
                  </w:rPr>
                  <w:t>1)</w:t>
                  <w:tab/>
                  <w:t>informacija apie gamtinių dujų infrastruktūros konversijos į vandenilio transportavimo infrastruktūrą galimybes ir būtinumą, įskaitant paskirties keitimo apimtis, reikalingas pajėgumų poreikiams patenkinti;</w:t>
                </w:r>
              </w:p>
              <w:p>
                <w:pPr>
                  <w:ind w:left="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grindžiamas konsultavimosi procesu, kuris yra atviras atitinkamiems suinteresuotiesiems subjektams, kad jie galėtų anksti ir veiksmingai dalyvauti plano rengimo procese, be kita ko, teikti ir keistis visa svarbia informacija;</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skelbiamas vandenilio skirstymo tinklo operatoriaus svetainėje kartu su konsultacijų su suinteresuotaisiais subjektais rezultatais ir pateikiamas reguliavimo institucijai kartu su konsultacijų su suinteresuotaisiais subjektais rezultatais; svetainė reguliariai atnaujinama, kad atitinkami suinteresuotieji subjektai būtų pakankamai informuoti, kad galėtų veiksmingai dalyvauti konsultacijose;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užtikrinamas nuoseklumas su integruotu nacionaliniu energetikos ir klimato srities veiksmų planu bei jo atnaujinimais ir integruotomis nacionalinėmis energetikos ir klimato srities pažangos ataskaitomis, kurie teikiami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išdėstytas poveikio klimatui neutralumo tikslas;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5. Vandenilio skirstymo tinklo plėtros plane turi būti:</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 visos Sąjungos vandenilio tinklo plėtros planui ir pagal šios direktyvos 55 straipsnį parengtiems nacionaliniams dešimties metų tinklo plėtros planams.</w:t>
                </w:r>
              </w:p>
            </w:tc>
            <w:tc>
              <w:tcPr>
                <w:tcW w:w="9407" w:type="dxa"/>
                <w:gridSpan w:val="3"/>
                <w:vAlign w:val="center"/>
              </w:tcPr>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 xml:space="preserve">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color w:val="000000"/>
                    <w:sz w:val="22"/>
                    <w:szCs w:val="22"/>
                    <w:lang w:eastAsia="lt-LT"/>
                  </w:rPr>
                  <w:t>5. Vandenilio skirstymo tinklo plėtros plane turi būti:</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4) suinteresuotųjų subjektų konsultavimo proceso rezultatai ir nuorodos į atitiktį</w:t>
                </w:r>
                <w:r>
                  <w:rPr>
                    <w:b/>
                    <w:bCs/>
                    <w:color w:val="000000"/>
                    <w:sz w:val="22"/>
                    <w:szCs w:val="22"/>
                    <w:lang w:eastAsia="lt-LT"/>
                  </w:rPr>
                  <w:t xml:space="preserve"> Nacionaliniam energetikos ir klimato srities veiksmų planui</w:t>
                </w:r>
                <w:r>
                  <w:rPr>
                    <w:b/>
                    <w:bCs/>
                    <w:sz w:val="22"/>
                    <w:szCs w:val="22"/>
                    <w:lang w:eastAsia="lt-LT"/>
                  </w:rPr>
                  <w:t xml:space="preserve">,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sz w:val="22"/>
                      <w:szCs w:val="22"/>
                      <w:lang w:eastAsia="lt-LT"/>
                      <w:u w:val="single"/>
                      <w:color w:val="0000FF" w:themeColor="hyperlink"/>
                    </w:rPr>
                    <w:t>(ES) 2021/1119</w:t>
                  </w:r>
                </w:fldSimple>
                <w:r>
                  <w:rPr>
                    <w:b/>
                    <w:bCs/>
                    <w:sz w:val="22"/>
                    <w:szCs w:val="22"/>
                    <w:lang w:eastAsia="lt-LT"/>
                  </w:rPr>
                  <w: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skirstymo tinklo operatoriai visa planui parengti aktualia informacija keičiasi su kitais vandenilio tinklo operatoriais, įskaitant vandenilio tinklo operatorius kaimyninėse valstybėse narėse, jei yra tiesioginė jungtis.</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8. Vandenilio skirstymo tinklo operatorius keičiasi planui parengti reikalinga informacija su kitais vandenilio tinklų operatoriais, įskaitant kaimyninėse valstybėse narėse veikiančius operatorius, jei yra ar planuojamos tiesioginės jungtys.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įvertina, ar vandenilio skirstymo tinklo plėtros planas atitinka šio straipsnio 1 dalį. Reguliavimo institucija išnagrinėja planą ir, atsižvelgdama į vertinimą, gali prašyti iš dalies pakeisti planą. Nagrinėdama tą planą ji atsižvelgia į bendrą vandenilio tinklo reikalingumą energetiniu ir ekonominiu požiūriu, taip pat į jungtinio scenarijaus sistemą, parengtą pagal 55 straipsnio 2 dalies f punktą. Kalbant apie planus, pateikiamus dėl vandenilio tinklų, kuriems taikoma nukrypti leidžianti nuostata pagal 51 arba 52 straipsnį, reguliavimo institucija gali nenagrinėti plano ir neteikti rekomendacijų dėl dalinių pakeitimų.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Taryba įvertina plėtros plano atitiktį šio straipsnio reikalavimams ir turi teisę reikalauti pataisyti ir (ar) papildyti planą, jeigu jis neatitinka šio straipsnio nuostatų ar nacionalinių bei Europos Sąjungos energetikos ir klimato politikos dokumentų.</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Reguliavimo institucija į vandenilio skirstymo tinklo plėtros plano nagrinėjimo rezultatus atsižvelgia tvirtindama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Iki 2032 m. gruodžio 31 d., nedarant poveikio reguliavimo institucijos įgaliojimams prižiūrėti prieigos prie tinklo taisykles, valstybės narės gali pavesti kitai kompetentingai institucijai išnagrinėti vandenilio skirstymo tinklo plėtros planą ir pateikti rekomendacijas dėl vandenilio skirstymo tinklo operatoriaus plano dalinių pakeitimų, kad būtų užtikrintas nuoseklumas su integruotais nacionaliniais energetikos ir klimato srities veiksmų planais bei jų atnaujinimais.</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iki 2032 gruodžio 31 d. dar nebus išvystytas vandenilio perdavimo tinklas, skirstymo tinklas gali būt vystomas tik esant vandenilio perdavimo infrastruktūrai.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Nukrypstant nuo šio straipsnio 1–5 dalių, valstybės narės gali nuspręsti 55 straipsnyje nustatytus reikalavimus vandenilio skirstymo tinklo operatoriams taikyti nuo 2024 m. rugpjūčio 4 d.</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Lietuvoje nėra išvystyti vandenilio tinklai.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Gamtinių dujų skirstymo sistemos operatorių tinklo eksploatavimo nutraukimo planai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73"/>
                  </w:tabs>
                  <w:jc w:val="both"/>
                  <w:rPr>
                    <w:color w:val="000000"/>
                    <w:sz w:val="22"/>
                    <w:szCs w:val="22"/>
                    <w:lang w:eastAsia="lt-LT"/>
                  </w:rPr>
                </w:pPr>
                <w:r>
                  <w:rPr>
                    <w:color w:val="000000"/>
                    <w:sz w:val="22"/>
                    <w:szCs w:val="22"/>
                    <w:lang w:eastAsia="lt-LT"/>
                  </w:rPr>
                  <w:t xml:space="preserve">1. Kai numatoma, kad gamtinių dujų poreikis sumažės ir dėl to gamtinių dujų skirstymo tinklų ar tokių tinklų dalių eksploatavimą reikės nutraukti, valstybės narės užtikrina, kad skirstymo sistemos operatoriai parengtų tinklo eksploatavimo nutraukimo planus. </w:t>
                </w:r>
                <w:r>
                  <w:rPr>
                    <w:sz w:val="22"/>
                    <w:szCs w:val="22"/>
                    <w:lang w:eastAsia="lt-LT"/>
                  </w:rPr>
                  <w:t>Tokie planai rengiami glaudžiai bendradarbiaujant su vandenilio skirstymo tinklo operatoriais, elektros</w:t>
                </w:r>
                <w:r>
                  <w:rPr>
                    <w:color w:val="000000"/>
                    <w:sz w:val="22"/>
                    <w:szCs w:val="22"/>
                    <w:lang w:eastAsia="lt-LT"/>
                  </w:rPr>
                  <w:t xml:space="preserve"> energijos skirstymo sistemos operatoriais ir centralizuoto šilumos tiekimo ir vėsumos tiekimo operatoriais, užtikrinant veiksmingą energetikos sistemos integraciją ir atsižvelgiant į mažesnį gamtinių dujų naudojimą pastatams, kuriuose yra energijos vartojimo požiūriu ekonomiškai efektyvesnių alternatyvų, šildyti ir vėsinti. Jei turi būti keičiama gamtinių dujų infrastruktūros dalių paskirtis, valstybės narės gali leisti tame pačiame regione veikiantiems skirstymo sistemos operatoriams pagal šį straipsnį ir vandenilio skirstymo tinklo operatoriams pagal 57 straipsnį parengti jungtinį planą. Valstybės narės, leidžiančios rengti vieną jungtinį planą, užtikrina, kad planas būtų pakankamai skaidrus, kad būtų galima aiškiai nustatyti konkrečius gamtinių dujų sektoriaus poreikius ir konkrečius vandenilio sektoriaus poreikius, kurie įtraukti į planą. Kai taikytina, atliekamas atskiras kiekvieno energijos nešiklio modeliavimas ir įtraukiami atskiri skyriai, kuriuose pateikiami gamtinių dujų tinklo žemėlapiai ir vandenilio tinklo žemėlapiai.</w:t>
                </w:r>
              </w:p>
            </w:tc>
            <w:tc>
              <w:tcPr>
                <w:tcW w:w="9407" w:type="dxa"/>
                <w:gridSpan w:val="3"/>
              </w:tcPr>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w:t>
                </w:r>
                <w:r>
                  <w:rPr>
                    <w:sz w:val="22"/>
                    <w:szCs w:val="22"/>
                    <w:lang w:eastAsia="lt-LT"/>
                  </w:rPr>
                  <w:t xml:space="preserve">vandenilio planai, užtikrina, kad skirstymo sistemos operatoriai ir vandenilio skirstymo tinklo operatoriai glaudžiai bendradarbiautų </w:t>
                </w:r>
                <w:r>
                  <w:rPr>
                    <w:color w:val="000000"/>
                    <w:sz w:val="22"/>
                    <w:szCs w:val="22"/>
                    <w:lang w:eastAsia="lt-LT"/>
                  </w:rPr>
                  <w:t>tais atvejais, kai reikia priimti sprendimus siekiant užtikrinti sistemos efektyvumą, kai naudojami skirtingi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spacing w:line="276" w:lineRule="auto"/>
                  <w:ind w:firstLine="720"/>
                  <w:jc w:val="both"/>
                  <w:rPr>
                    <w:b/>
                    <w:bCs/>
                    <w:color w:val="000000"/>
                    <w:sz w:val="22"/>
                    <w:szCs w:val="22"/>
                    <w:lang w:eastAsia="lt-LT"/>
                  </w:rPr>
                </w:pPr>
                <w:r>
                  <w:rPr>
                    <w:b/>
                    <w:bCs/>
                    <w:color w:val="000000"/>
                    <w:sz w:val="22"/>
                    <w:szCs w:val="22"/>
                    <w:lang w:eastAsia="lt-LT"/>
                  </w:rPr>
                  <w:t>3. Tuo atveju, kai yra poreikis koordinuoti gamtinių dujų infrastruktūros paskirties keitimą ir vandenilio skirstymo tinklo plėtrą, gamtinių dujų skirstymo sistemos operatorius ir vandenilio skirstymo tinklo operatorius gali rengti vandenilio skirstymo tinklo bendrą (jungtinį) plėtros planą kartu su gamtinių dujų skirstymo sistemos operatorių plėtros planu.</w:t>
                </w:r>
              </w:p>
              <w:p>
                <w:pPr>
                  <w:ind w:firstLine="17"/>
                  <w:jc w:val="both"/>
                  <w:rPr>
                    <w:color w:val="000000"/>
                    <w:sz w:val="22"/>
                    <w:szCs w:val="22"/>
                    <w:lang w:eastAsia="lt-LT"/>
                  </w:rPr>
                </w:pPr>
                <w:r>
                  <w:rPr>
                    <w:b/>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val="en-US"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Skirstymo tinklo eksploatavimo nutraukimo planai turi atitikti bent šiuos principus:</w:t>
                </w:r>
              </w:p>
            </w:tc>
            <w:tc>
              <w:tcPr>
                <w:tcW w:w="9407" w:type="dxa"/>
                <w:gridSpan w:val="3"/>
                <w:vAlign w:val="center"/>
              </w:tcPr>
              <w:p>
                <w:pPr>
                  <w:shd w:val="clear" w:color="auto" w:fill="FFFFFF"/>
                  <w:jc w:val="both"/>
                  <w:rPr>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color w:val="000000"/>
                    <w:sz w:val="22"/>
                    <w:szCs w:val="22"/>
                    <w:lang w:eastAsia="lt-LT"/>
                  </w:rPr>
                </w:pPr>
                <w:r>
                  <w:rPr>
                    <w:color w:val="000000"/>
                    <w:sz w:val="22"/>
                    <w:szCs w:val="22"/>
                    <w:lang w:eastAsia="lt-LT"/>
                  </w:rPr>
                  <w:t>„</w:t>
                </w:r>
                <w:r>
                  <w:rPr>
                    <w:b/>
                    <w:color w:val="000000"/>
                    <w:sz w:val="22"/>
                    <w:szCs w:val="22"/>
                    <w:lang w:eastAsia="lt-LT"/>
                  </w:rPr>
                  <w:t>37</w:t>
                </w:r>
                <w:r>
                  <w:rPr>
                    <w:b/>
                    <w:color w:val="000000"/>
                    <w:sz w:val="22"/>
                    <w:szCs w:val="22"/>
                    <w:vertAlign w:val="superscript"/>
                    <w:lang w:eastAsia="lt-LT"/>
                  </w:rPr>
                  <w:t>1</w:t>
                </w:r>
                <w:r>
                  <w:rPr>
                    <w:b/>
                    <w:color w:val="000000"/>
                    <w:sz w:val="22"/>
                    <w:szCs w:val="22"/>
                    <w:lang w:eastAsia="lt-LT"/>
                  </w:rPr>
                  <w:t> straipsnis. Skirstymo sistemos operatoriaus vykdoma tinklo plėtra</w:t>
                </w:r>
              </w:p>
              <w:p>
                <w:pPr>
                  <w:shd w:val="clear" w:color="auto" w:fill="FFFFFF"/>
                  <w:jc w:val="both"/>
                  <w:rPr>
                    <w:color w:val="000000"/>
                    <w:sz w:val="22"/>
                    <w:szCs w:val="22"/>
                    <w:lang w:eastAsia="lt-LT"/>
                  </w:rPr>
                </w:pPr>
                <w:r>
                  <w:rPr>
                    <w:color w:val="000000"/>
                    <w:sz w:val="22"/>
                    <w:szCs w:val="22"/>
                    <w:lang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shd w:val="clear" w:color="auto" w:fill="FFFFFF"/>
                  <w:jc w:val="both"/>
                  <w:rPr>
                    <w:color w:val="000000"/>
                    <w:sz w:val="22"/>
                    <w:szCs w:val="22"/>
                    <w:lang w:eastAsia="lt-LT"/>
                  </w:rPr>
                </w:pPr>
                <w:r>
                  <w:rPr>
                    <w:color w:val="000000"/>
                    <w:sz w:val="22"/>
                    <w:szCs w:val="22"/>
                    <w:lang w:eastAsia="lt-LT"/>
                  </w:rPr>
                  <w:t>1) skirstymo sistemų infrastruktūra, kurią planuojama įrengti ar atnaujinti per planuojamą dešimties metų laikotarpį;</w:t>
                </w:r>
              </w:p>
              <w:p>
                <w:pPr>
                  <w:shd w:val="clear" w:color="auto" w:fill="FFFFFF"/>
                  <w:jc w:val="both"/>
                  <w:rPr>
                    <w:color w:val="000000"/>
                    <w:sz w:val="22"/>
                    <w:szCs w:val="22"/>
                    <w:lang w:eastAsia="lt-LT"/>
                  </w:rPr>
                </w:pPr>
                <w:r>
                  <w:rPr>
                    <w:color w:val="000000"/>
                    <w:sz w:val="22"/>
                    <w:szCs w:val="22"/>
                    <w:lang w:eastAsia="lt-LT"/>
                  </w:rPr>
                  <w:t>2) metinė investicijų į skirstymo sistemų infrastruktūrą apimtis per planuojamą dešimties metų laikotarpį;</w:t>
                </w:r>
              </w:p>
              <w:p>
                <w:pPr>
                  <w:shd w:val="clear" w:color="auto" w:fill="FFFFFF"/>
                  <w:jc w:val="both"/>
                  <w:rPr>
                    <w:color w:val="000000"/>
                    <w:sz w:val="22"/>
                    <w:szCs w:val="22"/>
                    <w:lang w:eastAsia="lt-LT"/>
                  </w:rPr>
                </w:pPr>
                <w:r>
                  <w:rPr>
                    <w:color w:val="000000"/>
                    <w:sz w:val="22"/>
                    <w:szCs w:val="22"/>
                    <w:lang w:eastAsia="lt-LT"/>
                  </w:rPr>
                  <w:t>3) numatomi lėšų investicijoms per planuojamą dešimties metų laikotarpį finansuoti šaltiniai;</w:t>
                </w:r>
              </w:p>
              <w:p>
                <w:pPr>
                  <w:shd w:val="clear" w:color="auto" w:fill="FFFFFF"/>
                  <w:jc w:val="both"/>
                  <w:rPr>
                    <w:color w:val="000000"/>
                    <w:sz w:val="22"/>
                    <w:szCs w:val="22"/>
                    <w:lang w:eastAsia="lt-LT"/>
                  </w:rPr>
                </w:pPr>
                <w:r>
                  <w:rPr>
                    <w:color w:val="000000"/>
                    <w:sz w:val="22"/>
                    <w:szCs w:val="22"/>
                    <w:lang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shd w:val="clear" w:color="auto" w:fill="FFFFFF"/>
                  <w:jc w:val="both"/>
                  <w:rPr>
                    <w:color w:val="000000"/>
                    <w:sz w:val="22"/>
                    <w:szCs w:val="22"/>
                    <w:lang w:eastAsia="lt-LT"/>
                  </w:rPr>
                </w:pPr>
                <w:r>
                  <w:rPr>
                    <w:color w:val="000000"/>
                    <w:sz w:val="22"/>
                    <w:szCs w:val="22"/>
                    <w:lang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shd w:val="clear" w:color="auto" w:fill="FFFFFF"/>
                  <w:jc w:val="both"/>
                  <w:rPr>
                    <w:color w:val="000000"/>
                    <w:sz w:val="22"/>
                    <w:szCs w:val="22"/>
                    <w:lang w:eastAsia="lt-LT"/>
                  </w:rPr>
                </w:pPr>
                <w:r>
                  <w:rPr>
                    <w:color w:val="000000"/>
                    <w:sz w:val="22"/>
                    <w:szCs w:val="22"/>
                    <w:lang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shd w:val="clear" w:color="auto" w:fill="FFFFFF"/>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7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a) planai grindžiami šildymo ir vėsinimo planais, parengtais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juose tinkamai atsižvelgiama į sektorių, kurie neįtraukti į šildymo ir vėsinimo planus, poreikius; </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8. Taryba vertina, kaip skirstymo sistemos operatorius taiko energijos vartojimo efektyvumo didinimo pirmumo principą Energijos vartojimo efektyvumo didinimo įstatymo 4 straipsnyje nustatyta tvarka.“</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planai grindžiami pagrįstomis prielaidomis dėl gamtinių dujų, įskaitant biometaną, gamybos, įleidimo ir tiekimo raidos ir gamtinių dujų suvartojimo visuose sektoriuose skirstymo lygmeniu;</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ind w:firstLine="17"/>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operatoriai nustato būtinus infrastruktūros pritaikymus, o pirmenybė teikiama su paklausa susijusiems sprendimams, kuriems nereikia naujų investicijų į infrastruktūrą, ir planuose išvardijami infrastruktūros objektai, kurių eksploatavimas bus nutrauktas, be kita ko, siekiant užtikrinti skaidrumą, susijusį su galimu tokios infrastruktūros paskirties keitimu vandeniliui transportuoti;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rengdami planą skirstymo sistemos operatoriai vykdo konsultavimosi procesą, įskaitant visos svarbios informacijos teikimą ir keitimąsi ja, kuriame gali dalyvauti atitinkami suinteresuotieji subjektai, kad jie galėtų anksti ir veiksmingai dalyvauti plano rengimo procese; konsultacijų rezultatai ir tinklo eksploatavimo nutraukimo planas pateikiami atitinkamai nacionalinei institucijai;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planai ir konsultacijų su suinteresuotaisiais subjektais rezultatai skelbiami skirstymo sistemos operatorių svetainėse ir tos svetainės reguliariai atnaujinamos siekiant užtikrinti, jog atitinkami suinteresuotieji subjektai būtų pakankamai informuoti, kad galėtų veiksmingai dalyvauti konsultacijose;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jc w:val="both"/>
                  <w:rPr>
                    <w:color w:val="000000"/>
                    <w:sz w:val="22"/>
                    <w:szCs w:val="22"/>
                    <w:lang w:eastAsia="lt-LT"/>
                  </w:rPr>
                </w:pPr>
                <w:r>
                  <w:rPr>
                    <w:b/>
                    <w:color w:val="000000"/>
                    <w:sz w:val="22"/>
                    <w:szCs w:val="22"/>
                    <w:lang w:val="lt" w:eastAsia="lt-LT"/>
                  </w:rPr>
                  <w:t>37</w:t>
                </w:r>
                <w:r>
                  <w:rPr>
                    <w:b/>
                    <w:color w:val="000000"/>
                    <w:sz w:val="22"/>
                    <w:szCs w:val="22"/>
                    <w:vertAlign w:val="superscript"/>
                    <w:lang w:val="lt" w:eastAsia="lt-LT"/>
                  </w:rPr>
                  <w:t>1</w:t>
                </w:r>
                <w:r>
                  <w:rPr>
                    <w:b/>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20"/>
                  </w:tabs>
                  <w:jc w:val="both"/>
                  <w:rPr>
                    <w:color w:val="000000"/>
                    <w:sz w:val="22"/>
                    <w:szCs w:val="22"/>
                    <w:lang w:eastAsia="lt-LT"/>
                  </w:rPr>
                </w:pPr>
                <w:r>
                  <w:rPr>
                    <w:color w:val="000000"/>
                    <w:sz w:val="22"/>
                    <w:szCs w:val="22"/>
                    <w:lang w:eastAsia="lt-LT"/>
                  </w:rPr>
                  <w:t>f) planai atnaujinami bent kas ketverius metus, remiantis naujausiomis gamtinių dujų paklausos ir pasiūlos atitinkamame regione prognozėmis, ir apima dešimties metų laikotarpį;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shd w:val="clear" w:color="auto" w:fill="FFFFFF"/>
                  <w:jc w:val="both"/>
                  <w:rPr>
                    <w:b/>
                    <w:color w:val="000000"/>
                    <w:sz w:val="22"/>
                    <w:szCs w:val="22"/>
                    <w:lang w:val="lt" w:eastAsia="lt-LT"/>
                  </w:rPr>
                </w:pPr>
                <w:r>
                  <w:rPr>
                    <w:color w:val="000000"/>
                    <w:sz w:val="22"/>
                    <w:szCs w:val="22"/>
                    <w:lang w:val="lt" w:eastAsia="lt-LT"/>
                  </w:rPr>
                  <w:t>„</w:t>
                </w:r>
                <w:r>
                  <w:rPr>
                    <w:b/>
                    <w:color w:val="000000"/>
                    <w:sz w:val="22"/>
                    <w:szCs w:val="22"/>
                    <w:lang w:val="lt" w:eastAsia="lt-LT"/>
                  </w:rPr>
                  <w:t>31 straipsnis. Perdavimo sistemos operatoriaus vykdoma tinklo plėtra ir įgaliojimai priimti sprendimus dėl investavimo</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spacing w:line="360" w:lineRule="auto"/>
                  <w:ind w:firstLine="720"/>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val="lt" w:eastAsia="lt-LT"/>
                  </w:rPr>
                  <w:t>1) rinkos dalyviams nurodoma svarbiausia perdavimo infrastruktūra, kurią reikia sukurti ar atnaujinti per artimiausius dešimt metų;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skirstymo sistemos operatoriai, veikiantys toje pačioje regioninėje teritorijoje, gali pasirinkti parengti vieną bendrą jungtinį tinklo eksploatavimo nutraukimo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planuose užtikrinamas nuoseklumas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nurodytu visos Sąjungos gamtinių dujų tinklo plėtros planu ir pagal šios direktyvos 55 straipsnį parengtais nacionaliniais dešimties metų tinklo plėtros planais;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17"/>
                  <w:jc w:val="both"/>
                  <w:rPr>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ind w:firstLine="720"/>
                  <w:jc w:val="both"/>
                  <w:rPr>
                    <w:color w:val="000000"/>
                    <w:sz w:val="22"/>
                    <w:szCs w:val="22"/>
                    <w:lang w:val="lt" w:eastAsia="lt-LT"/>
                  </w:rPr>
                </w:pPr>
                <w:r>
                  <w:rPr>
                    <w:color w:val="000000"/>
                    <w:sz w:val="22"/>
                    <w:szCs w:val="22"/>
                    <w:lang w:val="lt" w:eastAsia="lt-LT"/>
                  </w:rPr>
                  <w:t>2) metinė investicijų į skirstymo sistemų infrastruktūrą apimtis per planuojamą dešimties metų laikotarpį;</w:t>
                </w:r>
              </w:p>
              <w:p>
                <w:pPr>
                  <w:ind w:firstLine="720"/>
                  <w:jc w:val="both"/>
                  <w:rPr>
                    <w:color w:val="000000"/>
                    <w:sz w:val="22"/>
                    <w:szCs w:val="22"/>
                    <w:lang w:val="lt" w:eastAsia="lt-LT"/>
                  </w:rPr>
                </w:pPr>
                <w:r>
                  <w:rPr>
                    <w:color w:val="000000"/>
                    <w:sz w:val="22"/>
                    <w:szCs w:val="22"/>
                    <w:lang w:val="lt" w:eastAsia="lt-LT"/>
                  </w:rPr>
                  <w:t>3) numatomi lėšų investicijoms per planuojamą dešimties metų laikotarpį finansuoti šaltiniai;</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ind w:firstLine="720"/>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720"/>
                  <w:jc w:val="both"/>
                  <w:rPr>
                    <w:color w:val="000000"/>
                    <w:sz w:val="22"/>
                    <w:szCs w:val="22"/>
                    <w:lang w:val="lt" w:eastAsia="lt-LT"/>
                  </w:rPr>
                </w:pPr>
                <w:r>
                  <w:rPr>
                    <w:color w:val="000000"/>
                    <w:sz w:val="22"/>
                    <w:szCs w:val="22"/>
                    <w:lang w:val="lt" w:eastAsia="lt-LT"/>
                  </w:rPr>
                  <w:t>5. Skirstymo sistemos operatorius privalo vykdyti dešimties metų tinklo plėtros, atnaujinimo, modernizavimo ir investicijų plane numatytas priemones, įskaitant skirstymo sistemos optimizavimo ir skirstymo sistemos efektyvumo didinimo priemones.</w:t>
                </w:r>
              </w:p>
              <w:p>
                <w:pPr>
                  <w:ind w:firstLine="720"/>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planuose užtikrinamas nuoseklumas su valstybės narės integruotu nacionaliniu energetikos ir klimato srities veiksmų planu, integruota nacionaline energetikos ir klimato srities pažangos ataskaita ir ilgalaike strategija,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jais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nustatytas poveikio klimatui neutralumo tikslas.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Atitinkamos nacionalinės institucijos įvertina, ar skirstymo tinklo eksploatavimo nutraukimo planai atitinka 2 dalyje nustatytus principus. Jos patvirtina arba atmeta skirstymo tinklo eksploatavimo nutraukimo planą ir gali reikalauti, kad tas planas būtų iš dalies pakeistas.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17"/>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Rengiant skirstymo tinklo eksploatavimo nutraukimo planus sudaromos palankesnės sąlygos galutinių vartotojų apsaugai pagal 13 straipsnį, taip pat atsižvelgiama į jų teises pagal 38 straipsnio 6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gali priimti sprendimą netaikyti 1–4 dalyse nustatytų pareigų skirstymo sistemos operatoriams, aptarnaujantiems mažiau kaip 45 000 prijungtų vartotojų ne vėliau kaip 2024 m. rugpjūčio 4 d. Jei skirstymo sistemos operatoriai atleidžiami nuo reikalavimo pateikti skirstymo tinklo eksploatavimo nutraukimo planą, jie informuoja reguliavimo instituciją apie skirstymo tinklų ar jų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Tais atvejais, kai gali prireikti gamtinių dujų skirstymo tinklo dalių eksploatavimą nutraukti iki jų iš pradžių numatyto gyvavimo ciklo pabaigos, reguliavimo institucija nustato struktūrinio požiūrio į tokio turto nusidėvėjimą ir tarifų nustatymą pagal 78 straipsnio 7 dalį gaires. Rengdamos tokias gaires, reguliavimo institucijos konsultuojasi su atitinkamais suinteresuotaisiais subjektais, visų pirma skirstymo sistemos operatoriais ir vartotojų įstaigoms.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Prijungimo mokesčiai ir išlaidos biometano gamybos įrenginiams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nustato palankią biometano gamybos įrenginių reguliavimo sistemą, susijusią su prijungimo mokesčiais ir išlaidomis, susijusiomis su jų prijungimu prie perdavimo ar skirstymo tinklų. Tokia reguliavimo sistema užtikrinama, kad: </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Lietuvos Respublikos atsinaujinančių išteklių energetikos įstatymo Nr. XI-1375 įstatymo pakeitimo įstatymas Nr. XV-330</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24 straipsnis. 30 straipsnio pakeitimas</w:t>
                </w:r>
              </w:p>
              <w:p>
                <w:pPr>
                  <w:shd w:val="clear" w:color="auto" w:fill="FFFFFF"/>
                  <w:jc w:val="both"/>
                  <w:rPr>
                    <w:color w:val="000000"/>
                    <w:sz w:val="22"/>
                    <w:szCs w:val="22"/>
                    <w:lang w:eastAsia="lt-LT"/>
                  </w:rPr>
                </w:pPr>
                <w:r>
                  <w:rPr>
                    <w:color w:val="000000"/>
                    <w:sz w:val="22"/>
                    <w:szCs w:val="22"/>
                    <w:lang w:eastAsia="lt-LT"/>
                  </w:rPr>
                  <w:t>Pakeisti 30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30 straipsnis. Biodujų gamybos skatinimas</w:t>
                </w:r>
              </w:p>
              <w:p>
                <w:pPr>
                  <w:shd w:val="clear" w:color="auto" w:fill="FFFFFF"/>
                  <w:jc w:val="both"/>
                  <w:rPr>
                    <w:color w:val="000000"/>
                    <w:sz w:val="22"/>
                    <w:szCs w:val="22"/>
                    <w:lang w:eastAsia="lt-LT"/>
                  </w:rPr>
                </w:pPr>
                <w:r>
                  <w:rPr>
                    <w:color w:val="000000"/>
                    <w:sz w:val="22"/>
                    <w:szCs w:val="22"/>
                    <w:lang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shd w:val="clear" w:color="auto" w:fill="FFFFFF"/>
                  <w:jc w:val="both"/>
                  <w:rPr>
                    <w:color w:val="000000"/>
                    <w:sz w:val="22"/>
                    <w:szCs w:val="22"/>
                    <w:lang w:eastAsia="lt-LT"/>
                  </w:rPr>
                </w:pPr>
                <w:r>
                  <w:rPr>
                    <w:color w:val="000000"/>
                    <w:sz w:val="22"/>
                    <w:szCs w:val="22"/>
                    <w:lang w:eastAsia="lt-LT"/>
                  </w:rPr>
                  <w:t>2. Dujų sistemų operatoriai privalo sudaryti sąlygas biodujas tiekti į dujų sistemas.“</w:t>
                </w:r>
              </w:p>
              <w:p>
                <w:pPr>
                  <w:shd w:val="clear" w:color="auto" w:fill="FFFFFF"/>
                  <w:jc w:val="both"/>
                  <w:rPr>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1 straipsnis. Įstatymo paskirtis</w:t>
                </w:r>
              </w:p>
              <w:p>
                <w:pPr>
                  <w:jc w:val="both"/>
                  <w:rPr>
                    <w:color w:val="000000"/>
                    <w:sz w:val="22"/>
                    <w:szCs w:val="22"/>
                    <w:lang w:val="lt" w:eastAsia="lt-LT"/>
                  </w:rPr>
                </w:pPr>
                <w:r>
                  <w:rPr>
                    <w:color w:val="000000"/>
                    <w:sz w:val="22"/>
                    <w:szCs w:val="22"/>
                    <w:lang w:val="lt" w:eastAsia="lt-LT"/>
                  </w:rPr>
                  <w:t>1. Šis įstatymas nustato su gamtinių dujų perdavimu, skirstymu, laikymu, skystinimu, tiekimu, suskystintų gamtinių dujų (toliau – SGD) pakartotiniu dujinimu ir SGD perkrova susijusius santykius. Šiame įstatyme įtvirtinamos taisyklės, susijusios su gamtinių dujų sektoriaus organizavimu ir funkcionavimu, gamtinių dujų patekimu į rinką, taip pat gamtinių dujų perdavimo, skirstymo, laikymo, SGD pakartotinio dujinimo ir tiekimo licencijų, licencijų verstis rinkos operatoriaus veikla išdavimo kriterijai ir tvarka. Šis įstatymas taip pat nustato priemones, skirtas tinkamam gamtinių dujų tiekimo patikimumo lygiui užtikrinti ir bendrajai Europos Sąjungos vidaus rinkai kurti. 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bCs/>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ind w:firstLine="17"/>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nustatant prijungimo mokesčius ir išlaidas būtų atsižvelgiama į principą „svarbiausia – energijos vartojimo efektyvumas“, taikytiną tinklo plėtrai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3 straipsnį ir 27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prijungimo mokesčiai ir išlaidos būtų skelbiami vykdant naujų dujų iš atsinaujinančiųjų išteklių ir mažo anglies dioksido pėdsako dujų gamybos įrenginių prijungimo prie perdavimo ir skirstymo sistemos procedūras, nustatytas šios direktyvos 41 ir 45 straipsniuose, ir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20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tikslinga, būtų atsižvelgiama į skaidrumo ir nediskriminavimo principus, stabilių finansinių programų poreikį esamoms investicijoms, dujų iš atsinaujinančiųjų išteklių ir mažo anglies dioksido pėdsako dujų diegimo atitinkamoje valstybėje narėje pažangą ir tai, ar yra alternatyvių paramos mechanizmų, skirtų dujų iš atsinaujinančiųjų išteklių arba mažo anglies dioksido pėdsako dujų naudojimui didinti.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Nustatydamos arba tvirtindamos tarifus arba metodikas, kuriuos turi naudoti perdavimo sistemos operatoriai ir skirstymo sistemos operatoriai, reguliavimo institucijos gali atsižvelgti į tų sistemos operatorių vykdant savo pareigas patirtas išlaidas ir padarytas investicijas, kurios nebuvo tiesiogiai atgautos iš prijungimo išlaidų ir mokesčių, jei tos išlaidos atitinka veiksmingai veikiančio ir struktūriškai palyginamo reguliuojamo operatoriaus išlaidas.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Lietuvos Respublikos atsinaujinančių išteklių energetikos įstatymas</w:t>
                </w:r>
              </w:p>
              <w:p>
                <w:pPr>
                  <w:ind w:firstLine="17"/>
                  <w:jc w:val="both"/>
                  <w:rPr>
                    <w:color w:val="000000"/>
                    <w:sz w:val="22"/>
                    <w:szCs w:val="22"/>
                    <w:lang w:eastAsia="lt-LT"/>
                  </w:rPr>
                </w:pPr>
                <w:r>
                  <w:rPr>
                    <w:b/>
                    <w:bCs/>
                    <w:color w:val="000000"/>
                    <w:sz w:val="22"/>
                    <w:szCs w:val="22"/>
                    <w:lang w:eastAsia="lt-LT"/>
                  </w:rPr>
                  <w:t>32 straipsnis. Biodujų gamybos įrenginių prijungimas prie dujų sistemų</w:t>
                </w:r>
              </w:p>
              <w:p>
                <w:pPr>
                  <w:ind w:firstLine="17"/>
                  <w:jc w:val="both"/>
                  <w:rPr>
                    <w:color w:val="000000"/>
                    <w:sz w:val="22"/>
                    <w:szCs w:val="22"/>
                    <w:lang w:eastAsia="lt-LT"/>
                  </w:rPr>
                </w:pPr>
                <w:r>
                  <w:rPr>
                    <w:color w:val="000000"/>
                    <w:sz w:val="22"/>
                    <w:szCs w:val="22"/>
                    <w:lang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2" w:tgtFrame="_parent" w:history="1">
                  <w:r>
                    <w:rPr>
                      <w:i/>
                      <w:iCs/>
                      <w:sz w:val="22"/>
                      <w:szCs w:val="22"/>
                      <w:lang w:eastAsia="lt-LT"/>
                    </w:rPr>
                    <w:t>XIV-197</w:t>
                  </w:r>
                </w:hyperlink>
                <w:r>
                  <w:rPr>
                    <w:i/>
                    <w:color w:val="000000"/>
                    <w:sz w:val="22"/>
                    <w:szCs w:val="22"/>
                    <w:lang w:eastAsia="lt-LT"/>
                  </w:rPr>
                  <w:t>, 2021-03-23, paskelbta TAR 2021-04-08, i. k. 2021-07414</w:t>
                </w:r>
              </w:p>
              <w:p>
                <w:pPr>
                  <w:ind w:firstLine="17"/>
                  <w:jc w:val="both"/>
                  <w:rPr>
                    <w:color w:val="000000"/>
                    <w:sz w:val="22"/>
                    <w:szCs w:val="22"/>
                    <w:lang w:eastAsia="lt-LT"/>
                  </w:rPr>
                </w:pPr>
                <w:r>
                  <w:rPr>
                    <w:i/>
                    <w:color w:val="000000"/>
                    <w:sz w:val="22"/>
                    <w:szCs w:val="22"/>
                    <w:lang w:eastAsia="lt-LT"/>
                  </w:rPr>
                  <w:t>Nr. </w:t>
                </w:r>
                <w:hyperlink r:id="rId123" w:tgtFrame="_parent" w:history="1">
                  <w:r>
                    <w:rPr>
                      <w:i/>
                      <w:iCs/>
                      <w:sz w:val="22"/>
                      <w:szCs w:val="22"/>
                      <w:lang w:eastAsia="lt-LT"/>
                    </w:rPr>
                    <w:t>XIV-1169</w:t>
                  </w:r>
                </w:hyperlink>
                <w:r>
                  <w:rPr>
                    <w:i/>
                    <w:iCs/>
                    <w:color w:val="000000"/>
                    <w:sz w:val="22"/>
                    <w:szCs w:val="22"/>
                    <w:lang w:eastAsia="lt-LT"/>
                  </w:rPr>
                  <w:t>, 2022-06-23, paskelbta TAR 2022-07-07, i. k. 2022-14906</w:t>
                </w:r>
              </w:p>
              <w:p>
                <w:pPr>
                  <w:ind w:firstLine="74"/>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Tarpvalstybinės vandenilio infrastruktūros finansavimas</w:t>
                </w:r>
              </w:p>
            </w:tc>
            <w:tc>
              <w:tcPr>
                <w:tcW w:w="9407" w:type="dxa"/>
                <w:gridSpan w:val="3"/>
                <w:vAlign w:val="center"/>
              </w:tcPr>
              <w:p>
                <w:pPr>
                  <w:ind w:firstLine="17"/>
                  <w:jc w:val="both"/>
                  <w:rPr>
                    <w:b/>
                    <w:bCs/>
                    <w:color w:val="751D20"/>
                    <w:sz w:val="22"/>
                    <w:szCs w:val="22"/>
                    <w:u w:val="single"/>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valstybės narės taiko reguliuojamos trečiųjų šalių prieigos prie vandenilio perdavimo tinklų sistemą pagal 35 straipsnio 1 dalį ir kai vandenilio jungties projektas nėra Europos Parlamento ir Tarybos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 </w:t>
                </w:r>
                <w:r>
                  <w:rPr>
                    <w:color w:val="000000"/>
                    <w:sz w:val="22"/>
                    <w:szCs w:val="22"/>
                    <w:vertAlign w:val="superscript"/>
                    <w:lang w:eastAsia="lt-LT"/>
                  </w:rPr>
                  <w:t>49</w:t>
                </w:r>
                <w:r>
                  <w:rPr>
                    <w:color w:val="000000"/>
                    <w:sz w:val="22"/>
                    <w:szCs w:val="22"/>
                    <w:lang w:eastAsia="lt-LT"/>
                  </w:rPr>
                  <w:t>) II skyriuje ir I priedo 3 punkte nurodytas bendro intereso projektas, gretimų ir paveiktų vandenilio perdavimo tinklų operatoriai padengia projekto išlaidas ir gali jas įtraukti į savo atitinkamas tarifų sistemas, jei tam pritaria reguliavimo institucija. Jei vandenilio perdavimo tinklo operatoriai nustato didelį naudos ir sąnaudų atotrūkį, jie gali parengti projekto planą, įskaitant prašymą dėl tarpvalstybinio sąnaudų paskirstymo, ir pateikti jį kartu atitinkamoms reguliavimo institucijoms, kad šios kartu jį patvirtintų.</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49</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ind w:right="57"/>
                  <w:jc w:val="both"/>
                  <w:rPr>
                    <w:b/>
                    <w:bCs/>
                    <w:sz w:val="22"/>
                    <w:szCs w:val="22"/>
                    <w:lang w:eastAsia="lt-LT"/>
                  </w:rPr>
                </w:pPr>
                <w:r>
                  <w:rPr>
                    <w:b/>
                    <w:bCs/>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38 straipsnis. Tarpvalstybinės vandenilio perdavimo tinklo infrastruktūros finansavimas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1. Tuo atveju, jei vandenilio jungties projektas nėra pripažintas bendro intereso projektu kaip numatyta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II skyriuje ir I priedo 3 punkte, paveiktų ir gretimų vandenilio perdavimo tinklų operatoriai padengia šio projekto įgyvendinimo išlaidas. Šios išlaidos turi būti įtrauktos į vandenilio perdavimo tarifus, jeigu tam pritaria Taryba. Jei vandenilio perdavimo tinklo operatorius kartu su gretimų šalių vandenilio perdavimo tinklo operatoriais nustato didelį naudos ir sąnaudų atotrūkį, jie gali parengti projekto planą, įskaitant prašymą dėl tarpvalstybinio sąnaudų paskirstymo, ir pateikti jį kartu atitinkamoms reguliavimo institucijoms, kad šios kartu jį patvirtintų.</w:t>
                </w:r>
              </w:p>
              <w:p>
                <w:pPr>
                  <w:ind w:right="57"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459"/>
                  </w:tabs>
                  <w:jc w:val="both"/>
                  <w:rPr>
                    <w:color w:val="000000"/>
                    <w:sz w:val="22"/>
                    <w:szCs w:val="22"/>
                    <w:lang w:eastAsia="lt-LT"/>
                  </w:rPr>
                </w:pPr>
                <w:r>
                  <w:rPr>
                    <w:color w:val="000000"/>
                    <w:sz w:val="22"/>
                    <w:szCs w:val="22"/>
                    <w:lang w:eastAsia="lt-LT"/>
                  </w:rPr>
                  <w:t>2. Jei vandenilio perdavimo tinklo operatoriai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tinklo operatoriai pritaria pagrįstam pasiūlymui dėl tarpvalstybinio sąnaudų paskirstymo.</w:t>
                </w:r>
              </w:p>
            </w:tc>
            <w:tc>
              <w:tcPr>
                <w:tcW w:w="9407" w:type="dxa"/>
                <w:gridSpan w:val="3"/>
                <w:vAlign w:val="center"/>
              </w:tcPr>
              <w:p>
                <w:pPr>
                  <w:tabs>
                    <w:tab w:val="left" w:pos="567"/>
                  </w:tabs>
                  <w:ind w:firstLine="720"/>
                  <w:jc w:val="both"/>
                  <w:rPr>
                    <w:b/>
                    <w:bCs/>
                    <w:color w:val="000000"/>
                    <w:sz w:val="22"/>
                    <w:szCs w:val="22"/>
                    <w:lang w:eastAsia="lt-LT"/>
                  </w:rPr>
                </w:pPr>
              </w:p>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ind w:right="57"/>
                  <w:jc w:val="both"/>
                  <w:rPr>
                    <w:b/>
                    <w:bCs/>
                    <w:sz w:val="22"/>
                    <w:szCs w:val="22"/>
                    <w:lang w:eastAsia="lt-LT"/>
                  </w:rPr>
                </w:pPr>
                <w:r>
                  <w:rPr>
                    <w:b/>
                    <w:bCs/>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Atitinkamos reguliavimo institucijos, pasikonsultavusios su vandenilio perdavimo tinklo operatoriais, priima bendrą sprendimą dėl investavimo sąnaudų paskirstymo kiekvienam projekte dalyvaujančiam vandenilio perdavimo tinklo operatoriui.</w:t>
                </w:r>
              </w:p>
            </w:tc>
            <w:tc>
              <w:tcPr>
                <w:tcW w:w="9407" w:type="dxa"/>
                <w:gridSpan w:val="3"/>
                <w:vAlign w:val="center"/>
              </w:tcPr>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spacing w:line="276" w:lineRule="auto"/>
                  <w:ind w:firstLine="720"/>
                  <w:jc w:val="both"/>
                  <w:rPr>
                    <w:rFonts w:eastAsia="Aptos"/>
                    <w:color w:val="000000"/>
                    <w:sz w:val="22"/>
                    <w:szCs w:val="22"/>
                    <w:lang w:eastAsia="lt-LT"/>
                  </w:rPr>
                </w:pPr>
                <w:r>
                  <w:rPr>
                    <w:color w:val="000000"/>
                    <w:sz w:val="22"/>
                    <w:szCs w:val="22"/>
                    <w:lang w:eastAsia="lt-LT"/>
                  </w:rPr>
                  <w:t>3. Tarpvalstybinės v</w:t>
                </w:r>
                <w:r>
                  <w:rPr>
                    <w:rFonts w:eastAsia="Aptos"/>
                    <w:color w:val="000000"/>
                    <w:sz w:val="22"/>
                    <w:szCs w:val="22"/>
                    <w:lang w:eastAsia="lt-LT"/>
                  </w:rPr>
                  <w:t xml:space="preserve">andenilio perdavimo tinklo infrastruktūros įrengimui ir vandenilio perdavimo tinklo operatoriaus išlaidų, kai yra taikomas išlaidų paskirstymo per tam tikrą laikotarpį mechanizmas, finansavimui gali būti taikomos finansavimo užtikrinimo priemonės pagal šio įstatymo 13 straipsnio </w:t>
                </w:r>
                <w:r>
                  <w:rPr>
                    <w:color w:val="000000"/>
                    <w:sz w:val="22"/>
                    <w:szCs w:val="22"/>
                    <w:lang w:eastAsia="lt-LT"/>
                  </w:rPr>
                  <w:t>9 dalį.</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Nuo 2033 m. sausio 1 d. visi atitinkami vandenilio perdavimo tinklų operatoriai susidera dėl finansinio kompensavimo sistemos tarpvalstybinės vandenilio infrastruktūros finansavimui užtikrinti tuo atveju, jei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straipsnio 8 dalį sujungimo taškuose tarp valstybių narių už prieigą prie vandenilio perdavimo tinklų netaikomi jokie tarifai. Rengdami tą sistemą, vandenilio perdavimo tinklo operatoriai vykdo išsamių konsultacijų procesą, kuriame dalyvauja visi atitinkami rinkos dalyviai.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17"/>
                  <w:jc w:val="both"/>
                  <w:rPr>
                    <w:b/>
                    <w:bCs/>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Atitinkami vandenilio perdavimo tinklų operatoriai dėl finansinio kompensavimo sistemos susitaria ne vėliau kaip 2035 m. gruodžio 31 d. ir pateikia ją atitinkamoms reguliavimo institucijoms, kad šios kartu ją patvirtintų. Jei per tą laikotarpį susitarimas nepasiekiamas, sprendimą per dvejus metus kartu priima atitinkamos reguliavimo institucijos. Jei atitinkamos reguliavimo institucijos negali pasiekti bendro susitarimo per dvejus metus, sprendimą priima ACER, vykdydama procedūrą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nepriima sprendimo, Taryba su kitomis nacionalinėmis energetikos reguliavimo institucijomis kreipiasi į Agentūrą dėl sprendimo priėmimo.</w:t>
                </w:r>
              </w:p>
              <w:p>
                <w:pPr>
                  <w:ind w:firstLine="17"/>
                  <w:jc w:val="both"/>
                  <w:rPr>
                    <w:color w:val="000000"/>
                    <w:sz w:val="22"/>
                    <w:szCs w:val="22"/>
                    <w:lang w:val="lt" w:eastAsia="lt-LT"/>
                  </w:rPr>
                </w:pPr>
              </w:p>
              <w:p>
                <w:pPr>
                  <w:ind w:firstLine="720"/>
                  <w:jc w:val="both"/>
                  <w:rPr>
                    <w:color w:val="D13438"/>
                    <w:sz w:val="22"/>
                    <w:szCs w:val="22"/>
                    <w:u w:val="single"/>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Finansinio kompensavimo sistema įgyvendinama laikantis 78 straipsnio 1 dalies c punkto nuostatų.</w:t>
                </w:r>
              </w:p>
            </w:tc>
            <w:tc>
              <w:tcPr>
                <w:tcW w:w="9407" w:type="dxa"/>
                <w:gridSpan w:val="3"/>
                <w:vAlign w:val="center"/>
              </w:tcPr>
              <w:p>
                <w:pPr>
                  <w:ind w:firstLine="17"/>
                  <w:jc w:val="both"/>
                  <w:rPr>
                    <w:b/>
                    <w:bCs/>
                    <w:color w:val="000000"/>
                    <w:sz w:val="22"/>
                    <w:szCs w:val="22"/>
                    <w:lang w:eastAsia="lt-LT"/>
                  </w:rPr>
                </w:pPr>
                <w:r>
                  <w:rPr>
                    <w:b/>
                    <w:bCs/>
                    <w:i/>
                    <w:color w:val="000000"/>
                    <w:sz w:val="22"/>
                    <w:szCs w:val="22"/>
                    <w:lang w:eastAsia="lt-LT"/>
                  </w:rPr>
                  <w:t>Direktyvos 78 str. 1 d. c): „c) vadovaujantis skaidrumo kriterijais nustatyti arba patvirtinti prieigos prie vandenilio tinklo tarifus ir (arba) jų metodikas, nedarant poveikio valstybių narių sprendimams pagal 35 straipsnio 4 dalį;</w:t>
                </w:r>
                <w:r>
                  <w:rPr>
                    <w:b/>
                    <w:bCs/>
                    <w:color w:val="000000"/>
                    <w:sz w:val="22"/>
                    <w:szCs w:val="22"/>
                    <w:lang w:eastAsia="lt-LT"/>
                  </w:rPr>
                  <w:t>“</w:t>
                </w:r>
              </w:p>
              <w:p>
                <w:pPr>
                  <w:ind w:firstLine="17"/>
                  <w:jc w:val="both"/>
                  <w:rPr>
                    <w:b/>
                    <w:bCs/>
                    <w:color w:val="000000"/>
                    <w:sz w:val="22"/>
                    <w:szCs w:val="22"/>
                    <w:lang w:eastAsia="lt-LT"/>
                  </w:rPr>
                </w:pPr>
              </w:p>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right="57"/>
                  <w:jc w:val="both"/>
                  <w:rPr>
                    <w:rFonts w:eastAsia="Segoe UI"/>
                    <w:b/>
                    <w:bCs/>
                    <w:sz w:val="22"/>
                    <w:szCs w:val="22"/>
                    <w:lang w:eastAsia="lt-LT"/>
                  </w:rPr>
                </w:pPr>
                <w:r>
                  <w:rPr>
                    <w:b/>
                    <w:bCs/>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3. Taryba, Vyriausybei pritarus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ir 17 straipsnio 4, 5 dalis. Tokiu atveju, Taryba sutarus kartu su kitomis nacionalinėmis reguliavimo institucijomis patvirtina bendrus įleidimo ir išleidimo tarifų nustatymo principus, netaikyti su tarifų panaikinimu vandenilio perdavimo tinklų sujungimo taškuose tarp integracijoje dalyvaujančių vandenilio perdavimo tinklų operatorių susijusioms išlaidoms perskirstyti tarp vandenilio perdavimo tinklų operatorių, esančių bendroje regioninėje rinkoje.4. Regioninės rinkos vandenilio perdavimo paslaugų kainodaros modelis, pagal kurį paskirstomos vandenilio perdavimo tinklo operatoriaus (operatorių) pajamos įleidimo ir išleidimo taškams, ir finansinio kompensavimo mechanizmas turi:4. Regioninės rinkos vandenilio perdavimo paslaugų kainodaros modelis, pagal kurį paskirstomos vandenilio perdavimo tinklo operatoriaus (operatorių) pajamos įleidimo ir išleidimo taškams, ir finansinio kompensavimo mechanizmas turi:</w:t>
                </w:r>
              </w:p>
              <w:p>
                <w:pPr>
                  <w:spacing w:line="276" w:lineRule="auto"/>
                  <w:ind w:firstLine="720"/>
                  <w:jc w:val="both"/>
                  <w:rPr>
                    <w:b/>
                    <w:bCs/>
                    <w:color w:val="000000"/>
                    <w:sz w:val="22"/>
                    <w:szCs w:val="22"/>
                    <w:lang w:eastAsia="lt-LT"/>
                  </w:rPr>
                </w:pPr>
                <w:r>
                  <w:rPr>
                    <w:b/>
                    <w:bCs/>
                    <w:color w:val="000000"/>
                    <w:sz w:val="22"/>
                    <w:szCs w:val="22"/>
                    <w:lang w:eastAsia="lt-LT"/>
                  </w:rPr>
                  <w:t>1) teikti ekonominę naudą šalies vandenilio sektoriaus dalyviams ir vandenilio sistemos vartotojams, skatinant didesnį vandenilio rinkos likvidumą ir konkurencingumą, efektyvesnį vandenilio sistemos panaudojimą, mažinant vandenilio sistemos išlaikymo kaštus šalies vandenilio vartotojams ir (ar) vandenilio sistemos naudotojams;</w:t>
                </w:r>
              </w:p>
              <w:p>
                <w:pPr>
                  <w:spacing w:line="276" w:lineRule="auto"/>
                  <w:ind w:firstLine="720"/>
                  <w:jc w:val="both"/>
                  <w:rPr>
                    <w:b/>
                    <w:bCs/>
                    <w:color w:val="000000"/>
                    <w:sz w:val="22"/>
                    <w:szCs w:val="22"/>
                    <w:lang w:eastAsia="lt-LT"/>
                  </w:rPr>
                </w:pPr>
                <w:r>
                  <w:rPr>
                    <w:b/>
                    <w:bCs/>
                    <w:color w:val="000000"/>
                    <w:sz w:val="22"/>
                    <w:szCs w:val="22"/>
                    <w:lang w:eastAsia="lt-LT"/>
                  </w:rPr>
                  <w:t>2) užtikrinti kiekvienam iš vandenilio perdavimo tinklų operatorių nacionalinių reguliavimo institucijų nustatytas pajamų viršutines ribas;</w:t>
                </w:r>
              </w:p>
              <w:p>
                <w:pPr>
                  <w:spacing w:line="276" w:lineRule="auto"/>
                  <w:ind w:firstLine="720"/>
                  <w:jc w:val="both"/>
                  <w:rPr>
                    <w:b/>
                    <w:bCs/>
                    <w:color w:val="000000"/>
                    <w:sz w:val="22"/>
                    <w:szCs w:val="22"/>
                    <w:lang w:eastAsia="lt-LT"/>
                  </w:rPr>
                </w:pPr>
                <w:r>
                  <w:rPr>
                    <w:b/>
                    <w:bCs/>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nustatytus tinklo kodekso principus;</w:t>
                </w:r>
              </w:p>
              <w:p>
                <w:pPr>
                  <w:spacing w:line="276" w:lineRule="auto"/>
                  <w:ind w:firstLine="720"/>
                  <w:jc w:val="both"/>
                  <w:rPr>
                    <w:b/>
                    <w:bCs/>
                    <w:color w:val="000000"/>
                    <w:sz w:val="22"/>
                    <w:szCs w:val="22"/>
                    <w:lang w:eastAsia="lt-LT"/>
                  </w:rPr>
                </w:pPr>
                <w:r>
                  <w:rPr>
                    <w:b/>
                    <w:bCs/>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Perėjimo prie finansinio kompensavimo sistemos laikotarpiu galiojančioms pajėgumų sutartims nustatytas finansinio kompensavimo mechanizmas poveikio neturi.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751D20"/>
                    <w:sz w:val="22"/>
                    <w:szCs w:val="22"/>
                    <w:u w:val="single"/>
                    <w:lang w:eastAsia="lt-LT"/>
                  </w:rPr>
                </w:pPr>
                <w:r>
                  <w:rPr>
                    <w:b/>
                    <w:color w:val="000000"/>
                    <w:sz w:val="22"/>
                    <w:szCs w:val="22"/>
                    <w:lang w:eastAsia="lt-LT"/>
                  </w:rPr>
                  <w:t>9. Iki finansinio kompensavimo mechanizmo įsigaliojimo taikomos galiojančios pajėgumų sutartys dėl pajėgumų rezervavimo perdavimo tinklų sujungimo taškuose tarp valstybių narių. </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Išsamesnės detalės, kurių reikia šiame straipsnyje nustatytam procesui įgyvendinti, įskaitant reikiamus procesus ir terminus, finansinio kompensavimo sistemos peržiūros ir prireikus dalinio pakeitimo procesą, užtikrinantį galimybę atsižvelgti į tarifų raidą ir vandenilio tinklų plėtrą, nustatomos tinklo kodekse, kuris nustatomas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72 straipsnį.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nustatytos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36"/>
            </w:trPr>
            <w:tc>
              <w:tcPr>
                <w:tcW w:w="3913" w:type="dxa"/>
              </w:tcPr>
              <w:p>
                <w:pPr>
                  <w:shd w:val="clear" w:color="auto" w:fill="FFFFFF"/>
                  <w:jc w:val="both"/>
                  <w:rPr>
                    <w:color w:val="000000"/>
                    <w:sz w:val="22"/>
                    <w:szCs w:val="22"/>
                    <w:lang w:eastAsia="lt-LT"/>
                  </w:rPr>
                </w:pPr>
                <w:r>
                  <w:rPr>
                    <w:color w:val="000000"/>
                    <w:sz w:val="22"/>
                    <w:szCs w:val="22"/>
                    <w:lang w:eastAsia="lt-LT"/>
                  </w:rPr>
                  <w:t xml:space="preserve">IX SKYRIUS </w:t>
                </w:r>
              </w:p>
              <w:p>
                <w:pPr>
                  <w:shd w:val="clear" w:color="auto" w:fill="FFFFFF"/>
                  <w:jc w:val="both"/>
                  <w:rPr>
                    <w:b/>
                    <w:bCs/>
                    <w:color w:val="000000"/>
                    <w:sz w:val="22"/>
                    <w:szCs w:val="22"/>
                    <w:lang w:eastAsia="lt-LT"/>
                  </w:rPr>
                </w:pPr>
                <w:r>
                  <w:rPr>
                    <w:b/>
                    <w:bCs/>
                    <w:color w:val="000000"/>
                    <w:sz w:val="22"/>
                    <w:szCs w:val="22"/>
                    <w:lang w:eastAsia="lt-LT"/>
                  </w:rPr>
                  <w:t xml:space="preserve">PERDAVIMO SISTEMOS OPERATORIŲ IR VANDENILIO PERDAVIMO TINKLŲ OPERATORIŲ VEIKLOS RŪŠIŲ ATSKYRIMAS </w:t>
                </w:r>
              </w:p>
              <w:p>
                <w:pPr>
                  <w:shd w:val="clear" w:color="auto" w:fill="FFFFFF"/>
                  <w:jc w:val="both"/>
                  <w:rPr>
                    <w:color w:val="000000"/>
                    <w:sz w:val="22"/>
                    <w:szCs w:val="22"/>
                    <w:lang w:eastAsia="lt-LT"/>
                  </w:rPr>
                </w:pPr>
                <w:r>
                  <w:rPr>
                    <w:color w:val="000000"/>
                    <w:sz w:val="22"/>
                    <w:szCs w:val="22"/>
                    <w:lang w:eastAsia="lt-LT"/>
                  </w:rPr>
                  <w:t xml:space="preserve">1 skirsnis </w:t>
                </w:r>
              </w:p>
              <w:p>
                <w:pPr>
                  <w:shd w:val="clear" w:color="auto" w:fill="FFFFFF"/>
                  <w:jc w:val="both"/>
                  <w:rPr>
                    <w:b/>
                    <w:bCs/>
                    <w:color w:val="000000"/>
                    <w:sz w:val="22"/>
                    <w:szCs w:val="22"/>
                    <w:lang w:eastAsia="lt-LT"/>
                  </w:rPr>
                </w:pPr>
                <w:r>
                  <w:rPr>
                    <w:b/>
                    <w:bCs/>
                    <w:color w:val="000000"/>
                    <w:sz w:val="22"/>
                    <w:szCs w:val="22"/>
                    <w:lang w:eastAsia="lt-LT"/>
                  </w:rPr>
                  <w:t>Nuosavybės atskyrimas</w:t>
                </w:r>
              </w:p>
              <w:p>
                <w:pPr>
                  <w:shd w:val="clear" w:color="auto" w:fill="FFFFFF"/>
                  <w:jc w:val="both"/>
                  <w:rPr>
                    <w:i/>
                    <w:iCs/>
                    <w:color w:val="000000"/>
                    <w:sz w:val="22"/>
                    <w:szCs w:val="22"/>
                    <w:lang w:eastAsia="lt-LT"/>
                  </w:rPr>
                </w:pPr>
                <w:r>
                  <w:rPr>
                    <w:i/>
                    <w:iCs/>
                    <w:color w:val="000000"/>
                    <w:sz w:val="22"/>
                    <w:szCs w:val="22"/>
                    <w:lang w:eastAsia="lt-LT"/>
                  </w:rPr>
                  <w:t xml:space="preserve">60 straipsnis </w:t>
                </w:r>
              </w:p>
              <w:p>
                <w:pPr>
                  <w:shd w:val="clear" w:color="auto" w:fill="FFFFFF"/>
                  <w:jc w:val="both"/>
                  <w:rPr>
                    <w:color w:val="000000"/>
                    <w:sz w:val="22"/>
                    <w:szCs w:val="22"/>
                    <w:lang w:eastAsia="lt-LT"/>
                  </w:rPr>
                </w:pPr>
                <w:r>
                  <w:rPr>
                    <w:b/>
                    <w:bCs/>
                    <w:color w:val="000000"/>
                    <w:sz w:val="22"/>
                    <w:szCs w:val="22"/>
                    <w:lang w:eastAsia="lt-LT"/>
                  </w:rPr>
                  <w:t>Perdavimo sistemų ir perdavimo sistemos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w:t>
                </w:r>
              </w:p>
            </w:tc>
            <w:tc>
              <w:tcPr>
                <w:tcW w:w="9407" w:type="dxa"/>
                <w:gridSpan w:val="3"/>
                <w:vAlign w:val="center"/>
              </w:tcPr>
              <w:p>
                <w:pPr>
                  <w:tabs>
                    <w:tab w:val="left" w:pos="567"/>
                  </w:tabs>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kiekviena įmonė, kuriai nuosavybės teise priklauso perdavimo sistema, veiktų kaip perdavimo sistemos operatorius;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tabs>
                    <w:tab w:val="left" w:pos="567"/>
                  </w:tabs>
                  <w:spacing w:line="259" w:lineRule="auto"/>
                  <w:jc w:val="both"/>
                  <w:rPr>
                    <w:b/>
                    <w:color w:val="000000"/>
                    <w:sz w:val="22"/>
                    <w:szCs w:val="22"/>
                    <w:lang w:eastAsia="lt-LT"/>
                  </w:rPr>
                </w:pPr>
                <w:r>
                  <w:rPr>
                    <w:b/>
                    <w:color w:val="000000"/>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 </w:t>
                </w:r>
              </w:p>
              <w:p>
                <w:pPr>
                  <w:tabs>
                    <w:tab w:val="left" w:pos="567"/>
                  </w:tabs>
                  <w:spacing w:line="259" w:lineRule="auto"/>
                  <w:ind w:left="720"/>
                  <w:jc w:val="both"/>
                  <w:rPr>
                    <w:b/>
                    <w:bCs/>
                    <w:color w:val="000000"/>
                    <w:sz w:val="22"/>
                    <w:szCs w:val="22"/>
                    <w:lang w:eastAsia="lt-LT"/>
                  </w:rPr>
                </w:pPr>
              </w:p>
              <w:p>
                <w:pPr>
                  <w:tabs>
                    <w:tab w:val="left" w:pos="567"/>
                  </w:tabs>
                  <w:spacing w:line="259" w:lineRule="auto"/>
                  <w:ind w:left="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40 straipsnis. Atskiriamos veiklos</w:t>
                </w:r>
              </w:p>
              <w:p>
                <w:pPr>
                  <w:ind w:right="57" w:firstLine="720"/>
                  <w:jc w:val="both"/>
                  <w:rPr>
                    <w:color w:val="000000"/>
                    <w:sz w:val="22"/>
                    <w:szCs w:val="22"/>
                    <w:lang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right="57" w:firstLine="720"/>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tas pats asmuo neturėtų teisės: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p>
              <w:p>
                <w:pPr>
                  <w:ind w:left="1069" w:right="57"/>
                  <w:jc w:val="both"/>
                  <w:rPr>
                    <w:b/>
                    <w:color w:val="000000"/>
                    <w:kern w:val="2"/>
                    <w:sz w:val="22"/>
                    <w:szCs w:val="22"/>
                    <w:lang w:eastAsia="lt-LT"/>
                  </w:rPr>
                </w:pPr>
                <w:r>
                  <w:rPr>
                    <w:b/>
                    <w:bCs/>
                    <w:color w:val="000000"/>
                    <w:kern w:val="2"/>
                    <w:sz w:val="22"/>
                    <w:szCs w:val="22"/>
                    <w:lang w:eastAsia="lt-LT"/>
                  </w:rPr>
                  <w:t>4.</w:t>
                </w:r>
                <w:r>
                  <w:rPr>
                    <w:b/>
                    <w:color w:val="000000"/>
                    <w:kern w:val="2"/>
                    <w:sz w:val="22"/>
                    <w:szCs w:val="22"/>
                    <w:lang w:eastAsia="lt-LT"/>
                  </w:rPr>
                  <w:t>Tas pats asmuo ar asmenys neturi teisės:</w:t>
                </w:r>
              </w:p>
              <w:p>
                <w:pPr>
                  <w:ind w:left="1069" w:right="57"/>
                  <w:jc w:val="both"/>
                  <w:rPr>
                    <w:b/>
                    <w:color w:val="000000"/>
                    <w:sz w:val="22"/>
                    <w:szCs w:val="22"/>
                    <w:lang w:eastAsia="lt-LT"/>
                  </w:rPr>
                </w:pPr>
                <w:r>
                  <w:rPr>
                    <w:b/>
                    <w:color w:val="000000"/>
                    <w:sz w:val="22"/>
                    <w:szCs w:val="22"/>
                    <w:lang w:eastAsia="lt-LT"/>
                  </w:rPr>
                  <w:t>&lt;...&gt;</w:t>
                </w:r>
              </w:p>
              <w:p>
                <w:pPr>
                  <w:ind w:left="1069" w:right="57"/>
                  <w:jc w:val="both"/>
                  <w:rPr>
                    <w:b/>
                    <w:bCs/>
                    <w:color w:val="000000"/>
                    <w:sz w:val="22"/>
                    <w:szCs w:val="22"/>
                    <w:lang w:eastAsia="lt-LT"/>
                  </w:rPr>
                </w:pPr>
              </w:p>
              <w:p>
                <w:pPr>
                  <w:ind w:left="1069" w:right="57"/>
                  <w:jc w:val="both"/>
                  <w:rPr>
                    <w:b/>
                    <w:color w:val="000000"/>
                    <w:sz w:val="22"/>
                    <w:szCs w:val="22"/>
                    <w:lang w:val="lt" w:eastAsia="lt-LT"/>
                  </w:rPr>
                </w:pPr>
                <w:r>
                  <w:rPr>
                    <w:b/>
                    <w:bCs/>
                    <w:color w:val="000000"/>
                    <w:sz w:val="22"/>
                    <w:szCs w:val="22"/>
                    <w:lang w:eastAsia="lt-LT"/>
                  </w:rPr>
                  <w:t>Gamtinių dujų įstatymas</w:t>
                </w:r>
              </w:p>
              <w:p>
                <w:pPr>
                  <w:ind w:left="1353" w:right="57"/>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ind w:right="57"/>
                  <w:jc w:val="both"/>
                  <w:rPr>
                    <w:color w:val="000000"/>
                    <w:sz w:val="22"/>
                    <w:szCs w:val="22"/>
                    <w:lang w:val="lt" w:eastAsia="lt-LT"/>
                  </w:rPr>
                </w:pPr>
                <w:r>
                  <w:rPr>
                    <w:color w:val="000000"/>
                    <w:sz w:val="22"/>
                    <w:szCs w:val="22"/>
                    <w:lang w:val="lt" w:eastAsia="lt-LT"/>
                  </w:rPr>
                  <w:t>&lt;...&gt;</w:t>
                </w:r>
              </w:p>
              <w:p>
                <w:pPr>
                  <w:ind w:right="57"/>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nei tiesiogiai ar netiesiogiai kontroliuoti įmonę, atliekančią kurią nors iš gavybos ar tiekimo funkcijų, ir tiesiogiai ar netiesiogiai kontroliuoti perdavimo sistemos operatorių ar perdavimo sistemą arba turėti kokių nors teisių perdavimo sistemos operatoriaus arba perdavimo sistemos atžvilgiu, nei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color w:val="000000"/>
                    <w:sz w:val="22"/>
                    <w:szCs w:val="22"/>
                    <w:lang w:eastAsia="lt-LT"/>
                  </w:rPr>
                  <w:t xml:space="preserve">39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tabs>
                    <w:tab w:val="left" w:pos="720"/>
                  </w:tabs>
                  <w:ind w:left="720" w:right="57" w:hanging="360"/>
                  <w:jc w:val="both"/>
                  <w:rPr>
                    <w:b/>
                    <w:bCs/>
                    <w:color w:val="000000"/>
                    <w:kern w:val="2"/>
                    <w:sz w:val="22"/>
                    <w:szCs w:val="22"/>
                    <w:lang w:eastAsia="lt-LT"/>
                  </w:rPr>
                </w:pPr>
                <w:r>
                  <w:rPr>
                    <w:b/>
                    <w:bCs/>
                    <w:color w:val="000000"/>
                    <w:kern w:val="2"/>
                    <w:sz w:val="22"/>
                    <w:szCs w:val="22"/>
                    <w:lang w:eastAsia="lt-LT"/>
                  </w:rPr>
                  <w:t>4.</w:t>
                  <w:tab/>
                  <w:t> Tas pats asmuo ar asmenys neturi teisės: </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 </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ind w:right="57" w:firstLine="720"/>
                  <w:jc w:val="both"/>
                  <w:rPr>
                    <w:color w:val="000000"/>
                    <w:sz w:val="22"/>
                    <w:szCs w:val="22"/>
                    <w:lang w:val="lt" w:eastAsia="lt-LT"/>
                  </w:rPr>
                </w:pPr>
                <w:r>
                  <w:rPr>
                    <w:color w:val="000000"/>
                    <w:sz w:val="22"/>
                    <w:szCs w:val="22"/>
                    <w:lang w:val="lt" w:eastAsia="lt-LT"/>
                  </w:rPr>
                  <w:t>1) tiesiogiai arba netiesiogiai kontroliuoti įmonės, vykdančios gavybos ar tiekimo veiklą, ir tiesiogiai arba netiesiogiai kontroliuoti perdavimo sistemos operatoriaus ar pačios perdavimo sistemos arba įgyvendinti kontrolės ar valdymo teises perdavimo sistemos operatoriaus arba perdavimo sistemos atžvilgiu;</w:t>
                </w:r>
              </w:p>
              <w:p>
                <w:pPr>
                  <w:ind w:right="5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tiesiogiai ar netiesiogiai kontroliuoti perdavimo sistemos operatorių ar perdavimo sistemą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2) tiesiogiai arba netiesiogiai kontroliuoti perdavimo sistemos operatoriaus ar perdavimo sistemos ir tiesiogiai arba netiesiogiai kontroliuoti įmonės, vykdančios gavybos ar tiekimo veiklą, arba įgyvendinti kontrolės ar valdymo teises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tas pats asmuo neturėtų teisės skirti perdavimo sistemos operatoriaus ar perdavimo sistemos stebėtojų tarybos, administracinės valdybos arba teisiškai įmonei atstovaujančių organų narius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 xml:space="preserve">atskyrimas </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color w:val="000000"/>
                    <w:sz w:val="22"/>
                    <w:szCs w:val="22"/>
                    <w:lang w:val="lt"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tas pats asmuo neturėtų teisės būti ir įmonės, atliekančios kurią nors iš gavybos ar tiekimo funkcijų, ir perdavimo sistemos operatoriaus ar perdavimo sistemos stebėtojų tarybos, administracinės valdybos arba teisiškai įmonei atstovaujančių organų nariu.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4) tas pats asmuo neturi teisės kartu būti ir įmonės, vykdančios vandenilio gamybos ir (ar) tiekimo veiklą, ir perdavimo tinklo operatoriaus priežiūros organų, valdymo organų arba teisiškai įmonei atstovaujančių organų nariu.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dalies b ir c punktuose nurodytos teisės, visų pirma, apima: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color w:val="000000"/>
                    <w:kern w:val="2"/>
                    <w:sz w:val="22"/>
                    <w:szCs w:val="22"/>
                    <w:lang w:eastAsia="lt-LT"/>
                  </w:rPr>
                </w:pPr>
                <w:r>
                  <w:rPr>
                    <w:b/>
                    <w:bCs/>
                    <w:color w:val="000000"/>
                    <w:kern w:val="2"/>
                    <w:sz w:val="22"/>
                    <w:szCs w:val="22"/>
                    <w:lang w:eastAsia="lt-LT"/>
                  </w:rPr>
                  <w:t>7. Šio straipsnio 4 ir 5 dalyse nurodytos teisės visų pirma apima:</w:t>
                </w:r>
              </w:p>
              <w:p>
                <w:pPr>
                  <w:ind w:right="57"/>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val="lt" w:eastAsia="lt-LT"/>
                  </w:rPr>
                  <w:t>4. Šio straipsnio 1 ir 2 dalyse nurodytos teisės visų pirma apima:</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įgaliojimus naudotis balsavimo teisėmis;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color w:val="000000"/>
                    <w:sz w:val="22"/>
                    <w:szCs w:val="22"/>
                    <w:lang w:eastAsia="lt-LT"/>
                  </w:rPr>
                </w:pPr>
              </w:p>
              <w:p>
                <w:pPr>
                  <w:ind w:left="377" w:hanging="360"/>
                  <w:jc w:val="both"/>
                  <w:rPr>
                    <w:b/>
                    <w:bCs/>
                    <w:color w:val="000000"/>
                    <w:sz w:val="22"/>
                    <w:szCs w:val="22"/>
                    <w:lang w:eastAsia="lt-LT"/>
                  </w:rPr>
                </w:pPr>
                <w:r>
                  <w:rPr>
                    <w:b/>
                    <w:bCs/>
                    <w:color w:val="000000"/>
                    <w:sz w:val="22"/>
                    <w:szCs w:val="22"/>
                    <w:lang w:eastAsia="lt-LT"/>
                  </w:rPr>
                  <w:t>1)</w:t>
                  <w:tab/>
                  <w:t>įgaliojimus naudotis balsavimo teisėmis;</w:t>
                </w:r>
              </w:p>
              <w:p>
                <w:pPr>
                  <w:ind w:left="37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1) įgaliojimus naudotis balsavimo teisėmis;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įgaliojimus skirti stebėtojų tarybos, administracinės valdybos arba teisiškai įmonei atstovaujančių organų narius arba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įgaliojimus skirti priežiūros organų, valdymo organų ir kito įmonei atstovaujančio organo narius;</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2) įgaliojimus skirti priežiūros organų, valdymo organų ir kito įmonei atstovaujančio organo narius;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kontrolinio akcijų paketo turėjimą.</w:t>
                </w:r>
              </w:p>
            </w:tc>
            <w:tc>
              <w:tcPr>
                <w:tcW w:w="9407" w:type="dxa"/>
                <w:gridSpan w:val="3"/>
                <w:vAlign w:val="center"/>
              </w:tcPr>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3) kontrolinio akcijų paketo valdymą ir disponavimą juo.</w:t>
                </w:r>
              </w:p>
              <w:p>
                <w:pPr>
                  <w:ind w:firstLine="1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3) kontrolinio akcijų paketo valdymą ir disponavimą juo.</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1 dalies b punkto tikslais terminas „įmonė, atliekanti kurią nors iš gavybos ar tiekimo funkcijų“ suprantamas kaip apimantis terminą „įmonė, atliekanti kurią nors iš gamybos ar tiekimo funkcijų“, kaip tai suprantama Direktyvoje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o terminai „perdavimo sistemos operatorius“ ir „perdavimo sistema“ suprantami kaip apimantys terminus „perdavimo sistemos operatorius“ ir „perdavimo sistema“, kaip tai suprantama toje direktyvoje.</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41 straipsnis. Neleistina kontrolė</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3. Šio straipsnio 1 dalies 1 ir 2 punktuose nurodytos įmonės, atliekančios kurią nors iš gavybos ar tiekimo funkcijų, apima įmones, atliekančias kurią nors iš gamtinių dujų gavybos ar tiekimo ir elektros gamybos ar tiekimo funkcijų. Atitinkamai šio straipsnio 1 dalies 1 ir 2 punktuose nurodyti perdavimo sistemos operatoriai ir pačios perdavimo sistemos apima tiek gamtinių dujų, tiek elektros perdavimo sistemos operatorius ir perdavimo sistemas.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71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4. Laikoma, kad šio straipsnio 1 dalies a punkte nustatyta pareiga yra įvykdyta tuo atveju, jeigu dvi ar daugiau įmonių, kurioms nuosavybės teise priklauso perdavimo sistemos, įsteigia bendrąją įmonę, atliekančią perdavimo sistemos operatoriaus funkcijas dviejose ar daugiau valstybių narių atitinkamų perdavimo sistemų atžvilgiu. Bendrajai įmonei gali priklausyti tik tos įmonės, kurios pagal 61 straipsnį patvirtinamos kaip nepriklausomi sistemos operatoriai arba kaip nepriklausomi perdavimo operatoriai 3 skirsnio tikslais.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29"/>
                  <w:jc w:val="both"/>
                  <w:rPr>
                    <w:b/>
                    <w:bCs/>
                    <w:color w:val="000000"/>
                    <w:sz w:val="22"/>
                    <w:szCs w:val="22"/>
                    <w:lang w:eastAsia="lt-LT"/>
                  </w:rPr>
                </w:pPr>
                <w:r>
                  <w:rPr>
                    <w:b/>
                    <w:color w:val="000000"/>
                    <w:sz w:val="22"/>
                    <w:szCs w:val="22"/>
                    <w:lang w:eastAsia="lt-LT"/>
                  </w:rPr>
                  <w:t>Gamtinių dujų įstatymas</w:t>
                </w:r>
              </w:p>
              <w:p>
                <w:pPr>
                  <w:ind w:firstLine="29"/>
                  <w:jc w:val="both"/>
                  <w:rPr>
                    <w:b/>
                    <w:bCs/>
                    <w:color w:val="000000"/>
                    <w:sz w:val="22"/>
                    <w:szCs w:val="22"/>
                    <w:lang w:eastAsia="lt-LT"/>
                  </w:rPr>
                </w:pPr>
                <w:r>
                  <w:rPr>
                    <w:b/>
                    <w:color w:val="000000"/>
                    <w:sz w:val="22"/>
                    <w:szCs w:val="22"/>
                    <w:lang w:eastAsia="lt-LT"/>
                  </w:rPr>
                  <w:t>27 straipsnis. Perdavimo sistemos operatorius</w:t>
                </w:r>
              </w:p>
              <w:p>
                <w:pPr>
                  <w:ind w:firstLine="29"/>
                  <w:jc w:val="both"/>
                  <w:rPr>
                    <w:color w:val="000000"/>
                    <w:sz w:val="22"/>
                    <w:szCs w:val="22"/>
                    <w:lang w:eastAsia="lt-LT"/>
                  </w:rPr>
                </w:pPr>
                <w:r>
                  <w:rPr>
                    <w:color w:val="000000"/>
                    <w:sz w:val="22"/>
                    <w:szCs w:val="22"/>
                    <w:lang w:eastAsia="lt-LT"/>
                  </w:rPr>
                  <w:t>&lt;...&gt;</w:t>
                </w:r>
              </w:p>
              <w:p>
                <w:pPr>
                  <w:ind w:firstLine="29"/>
                  <w:jc w:val="both"/>
                  <w:rPr>
                    <w:b/>
                    <w:bCs/>
                    <w:color w:val="000000"/>
                    <w:sz w:val="22"/>
                    <w:szCs w:val="22"/>
                    <w:lang w:eastAsia="lt-LT"/>
                  </w:rPr>
                </w:pPr>
                <w:r>
                  <w:rPr>
                    <w:color w:val="000000"/>
                    <w:sz w:val="22"/>
                    <w:szCs w:val="22"/>
                    <w:lang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Įgyvendinant šį straipsnį, jei 1 dalies b, c ir d punktuose nurodytas asmuo yra valstybė narė ar kitas viešasis subjektas, du atskiri viešieji subjektai, kontroliuojantys perdavimo sistemos operatorių ar perdavimo sistemą ir įmonę, atliekančią kurią nors iš gavybos ar tiekimo funkcijų, nėra laikomi tuo pačiu asmeniu.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39 straipsnis. Vandenilio perdavimo tinklo operatoriaus veiklos rūšių atskyrimas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kern w:val="2"/>
                    <w:sz w:val="22"/>
                    <w:szCs w:val="22"/>
                    <w:lang w:eastAsia="lt-LT"/>
                  </w:rPr>
                  <w:t>8.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 </w:t>
                </w:r>
              </w:p>
              <w:p>
                <w:pPr>
                  <w:tabs>
                    <w:tab w:val="left" w:pos="567"/>
                  </w:tabs>
                  <w:spacing w:line="259" w:lineRule="auto"/>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5. Tuo atveju, jeigu šio straipsnio 1 dalyje ir šio įstatymo 42 straipsnyje nurodytas asmuo yra valstybė narė ar kitas viešasis subjektas, du atskiri viešieji subjektai, kontroliuojantys perdavimo sistemos operatorių ar perdavimo sistemą ir įmonę, atliekančią kurią nors iš gavybos ar tiekimo funkcijų, nėra laikomi tuo pačiu asmeniu ar asmenimis.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nei perdavimo sistemos operatoriaus, kuris priklausė vertikaliai integruotai įmonei, turima 40 straipsnyje nurodyta neskelbtina komercinė informacija, nei tokio perdavimo sistemos operatoriaus darbuotojai nebūtų perduoti įmonėms, atliekančioms kurią nors iš gavybos ir tiekimo funkcijų.</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Pasiekus atitiktį Gamtinių dujų įstatymo aštuntojo skirsnio „Veiklų ir apskaitos atskyrimas“ reikalavimams, nei perdavimo sistemos operatoriaus, kuris priklausė vertikaliai integruotai įmonei, turima informacija, laikoma komercine (gamybine) ar profesine paslaptimi, nei tokio perdavimo sistemos operatoriaus darbuotojai negali būti perduoti gamtinių dujų įmonėms, atliekančioms kurias nors iš gavybos ir tiekimo funkcijų.</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Jeigu 2009 m. rugsėjo 3 d. perdavimo sistema priklausė vertikaliai integruotai įmonei, valstybė narė gali nuspręsti netaikyti 1 dalies. Perdavimo sistemos, jungiančios valstybę narę su trečiąja valstybe, dalies tarp tos valstybės narės sienos ir pirmo prijungimo taško prie tos valstybės narės tinklo atžvilgiu, jeigu 2019 m. gegužės 23 d. perdavimo sistema priklausė vertikaliai integruotai įmonei, valstybė narė gali nuspręsti netaikyti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Tokiu atveju atitinkama valstybė narė: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paskiria nepriklausomą sistemos operatorių pagal 61 straipsnį arba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laikosi 3 skirsnio nuostatų.</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Jeigu 2009 m. rugsėjo 3 d. perdavimo sistema priklausė vertikaliai integruotai įmonei ir yra nustatyta tvarka, kuria perdavimo sistemos operatoriui garantuojama daugiau faktinio nepriklausomumo nei 3 skirsnio nuostatomis, valstybė narė gali nuspręsti netaikyti šio straipsnio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83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ir yra nustatyta tvarka, kuria perdavimo sistemos operatoriui garantuojama daugiau faktinio nepriklausomumo nei 3 skirsnio nuostatomis, ta valstybė narė gali nuspręsti netaikyti šio straipsnio 1 dalies.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40 straipsnis. Atskiriamos veiklos</w:t>
                </w:r>
              </w:p>
              <w:p>
                <w:pPr>
                  <w:ind w:right="57"/>
                  <w:jc w:val="both"/>
                  <w:rPr>
                    <w:color w:val="000000"/>
                    <w:sz w:val="22"/>
                    <w:szCs w:val="22"/>
                    <w:lang w:val="lt"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firstLine="17"/>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Prieš įmonę patvirtinant ir paskiriant perdavimo sistemos operatoriumi pagal šio straipsnio 8 dalį, ji sertifikuojama pagal šios direktyvos 71 straipsnio 4, 5 ir 6 dalyse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nustatytas procedūras. Po to Komisija patikrina, ar esama tvarka perdavimo sistemos operatoriui aiškiai garantuojama daugiau faktinio nepriklausomumo nei 3 skirsnio nuostatomis.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28 straipsnis. Perdavimo sistemos operatoriaus paskyrimas</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10. Vertikaliai integruotoms įmonėms, kurioms nuosavybės teise priklauso perdavimo sistema, jokiu būdu netrukdoma imtis veiksmų, kad jos galėtų laikytis 1 dalies.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w:t>
                </w:r>
                <w:r>
                  <w:rPr>
                    <w:color w:val="000000"/>
                    <w:sz w:val="22"/>
                    <w:szCs w:val="22"/>
                    <w:lang w:eastAsia="lt-LT"/>
                  </w:rPr>
                  <w:t xml:space="preserve"> Gamtinių dujų įstatymo reikalavimų neatitinkančios gamtinių dujų įmonės privalo imtis visų būtinų veiksmų, kad būtų pasiekta atitiktis Gamtinių dujų įstatymo aštuntojo skirsnio „Veiklų ir apskaitos atskyrimas“ reikalavimams. Tol, kol Gamtinių dujų įstatymo reikalavimų neatitinkančios gamtinių dujų įmonės pasiekia atitiktį Gamtinių dujų įstatymo aštuntojo skirsnio „Veiklų ir apskaitos atskyrimas“ reikalavimams, joms yra taikomi iki Gamtinių dujų įstatymo pakeitimo įstatymo įsigaliojimo taikyti veiklų atskyrimo reikalavimai. &lt;...&gt;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Įmonės, atliekančios kurią nors iš gavybos ar tiekimo funkcijų, jokiu būdu negali turėti galimybės tiesiogiai ar netiesiogiai kontroliuoti atskirtų perdavimo sistemos operatorių ar turėti kokių nors teisių jų atžvilgiu valstybėse narėse, kurios taiko 1 dalį.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41 straipsnis. Neleistina kontrolė</w:t>
                </w:r>
              </w:p>
              <w:p>
                <w:pPr>
                  <w:ind w:right="57"/>
                  <w:jc w:val="both"/>
                  <w:rPr>
                    <w:color w:val="000000"/>
                    <w:sz w:val="22"/>
                    <w:szCs w:val="22"/>
                    <w:lang w:val="lt" w:eastAsia="lt-LT"/>
                  </w:rPr>
                </w:pPr>
                <w:r>
                  <w:rPr>
                    <w:b/>
                    <w:bCs/>
                    <w:color w:val="000000"/>
                    <w:sz w:val="22"/>
                    <w:szCs w:val="22"/>
                    <w:lang w:eastAsia="lt-LT"/>
                  </w:rPr>
                  <w:t>&lt;...&gt;</w:t>
                </w:r>
                <w:r>
                  <w:rPr>
                    <w:color w:val="000000"/>
                    <w:sz w:val="22"/>
                    <w:szCs w:val="22"/>
                    <w:lang w:val="lt" w:eastAsia="lt-LT"/>
                  </w:rPr>
                  <w:t>2. Įmonė, atliekanti kurią nors iš gamtinių dujų gavybos ar tiekimo funkcijų bet kurioje kitoje valstybėje, kurios gamtinių dujų perdavimo sistema yra sujungta su Lietuvos Respublikos gamtinių dujų perdavimo sistema, neturi teisės tiesiogiai ar netiesiogiai kontroliuoti perdavimo sistemos operatoriaus ar turėti kokių nors kitų teisių jo atžvilgiu.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skirsnis yra neaktualus.</w:t>
                </w: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straipsnis yra neaktualus.</w:t>
                </w:r>
              </w:p>
              <w:p>
                <w:pPr>
                  <w:ind w:firstLine="17"/>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2009 m. rugsėjo 3 d. perdavimo sistema priklausė vertikaliai integruotai įmonei,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ta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patvirtina nepriklausomo sistemos operatoriaus paskyrimą.</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nepriklausomą sistemos operatorių gali patvirtinti ir paskirti tik tuo atveju, jeigu:</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kandidatas į operatorius įrodo, kad atitinka 60 straipsnio 1 dalies b, c ir d punktų reikalavimus;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kandidatas į operatorius įrodo, kad jis turi reikiamų finansinių, techninių, materialinių ir žmogiškųjų išteklių savo užduotims pagal 39 straipsnį vykdyti;</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kandidatas į operatorius įsipareigoja laikytis dešimties metų tinklo plėtros plano, kurio stebėseną vykdo reguliavimo institucija;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perdavimo sistemos savininkas įrodo, kad jis geba vykdyti savo pareigas pagal 5 dalį; tuo tikslu jis pateikia visus sutarčių su įmone kandidate ir bet kuriuo kitu atitinkamu subjektu projektus;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kandidatas į operatorius įrodo, kad geba vykdyti savo pareigas pagal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įskaitant perdavimo sistemos operatorių bendradarbiavimą Europos ir regionų lygmenimis.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Įmones, kurioms reguliavimo institucija yra išdavusi sertifikatą, patvirtinantį, kad jos atitinka 72 straipsnio ir šio straipsnio 2 dalies reikalavimus, valstybės narės patvirtina ir paskiria nepriklausomais sistemos operatoriais. Taikoma arba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nepriklausomas sistemos operatorius yra atsakingas už prieigos suteikimą trečiajai šaliai ir už tokios prieigos valdymą, įskaitant prieigos mokesčių ir perkrovos valdymo mokesčių surinkimą, už perdavimo sistemos eksploatavimą, techninę priežiūrą ir plėtrą, taip pat už ilgalaikio sistemos gebėjimo tenkinti pagrįstą paklausą užtikrinimą planuojant investicijas. Plėtodamas perdavimo sistemą nepriklausomas sistemos operatorius yra atsakingas už planavimą, įskaitant leidimų išdavimo tvarką, naujos infrastruktūros statybą ir jos atidavimą eksploatuoti. Tuo tikslu nepriklausomas sistemos operatorius atlieka perdavimo sistemos operatoriaus funkcijas taip, kaip nustatyta šiame skyriuje. Perdavimo sistemos savininkas nėra atsakingas nei už prieigos suteikimą trečiajai šaliai ir tokios prieigos valdymą, nei už investavimo planavimą.</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40"/>
                  </w:tabs>
                  <w:jc w:val="both"/>
                  <w:rPr>
                    <w:color w:val="000000"/>
                    <w:sz w:val="22"/>
                    <w:szCs w:val="22"/>
                    <w:lang w:eastAsia="lt-LT"/>
                  </w:rPr>
                </w:pPr>
                <w:r>
                  <w:rPr>
                    <w:color w:val="000000"/>
                    <w:sz w:val="22"/>
                    <w:szCs w:val="22"/>
                    <w:lang w:eastAsia="lt-LT"/>
                  </w:rPr>
                  <w:t xml:space="preserve">5. Jeigu paskiriamas nepriklausomas sistemos operatorius, perdavimo sistemos savininkas: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visapusiškai bendradarbiauja su nepriklausomu sistemos operatoriumi ir teikia paramą jam vykdant savo užduotis, be kita ko, visų pirma teikia visą reikiamą informaciją;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finansuoja investicijas, dėl kurių sprendimą priima nepriklausomas sistemos operatorius ir kurias patvirtina reguliavimo institucija, arba sutinka, kad jas finansuotų bet kuri suinteresuotoji šalis, įskaitant nepriklausomą sistemos operatorių; atitinkamus susitarimus dėl finansavimo patvirtina reguliavimo institucija; prieš patvirtindama, reguliavimo institucija konsultuojasi su perdavimo sistemos savininku ir kitomis suinteresuotosiomis šalimis;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prisiima atsakomybę, susijusią su tinklo turtu, išskyrus atsakomybės dalį, susijusią su nepriklausomo sistemos operatoriaus užduotimis;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užtikrina, kad būtų sudarytos palankesnės sąlygos finansuoti bet kokią tinklo plėtrą, išskyrus investavimą tuo atveju, jeigu pagal b punktą jis sutiko, kad finansuotų bet kuri suinteresuotoji šalis, įskaitant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027"/>
                  </w:tabs>
                  <w:jc w:val="both"/>
                  <w:rPr>
                    <w:color w:val="000000"/>
                    <w:sz w:val="22"/>
                    <w:szCs w:val="22"/>
                    <w:lang w:eastAsia="lt-LT"/>
                  </w:rPr>
                </w:pPr>
                <w:r>
                  <w:rPr>
                    <w:color w:val="000000"/>
                    <w:sz w:val="22"/>
                    <w:szCs w:val="22"/>
                    <w:lang w:eastAsia="lt-LT"/>
                  </w:rPr>
                  <w:t xml:space="preserve">6. Glaudžiai bendradarbiaujant su reguliavimo institucija, atitinkamai nacionalinei konkurencijos institucijai suteikiami visi reikiami įgaliojimai veiksmingai stebėti, ar perdavimo sistemos savininkas laikosi 5 dalyje jam nustatytų pareigų.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62 straipsnis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jc w:val="both"/>
                  <w:rPr>
                    <w:b/>
                    <w:bCs/>
                    <w:color w:val="000000"/>
                    <w:sz w:val="22"/>
                    <w:szCs w:val="22"/>
                    <w:lang w:eastAsia="lt-LT"/>
                  </w:rPr>
                </w:pPr>
                <w:r>
                  <w:rPr>
                    <w:b/>
                    <w:bCs/>
                    <w:color w:val="000000"/>
                    <w:sz w:val="22"/>
                    <w:szCs w:val="22"/>
                    <w:lang w:eastAsia="lt-LT"/>
                  </w:rPr>
                  <w:t>Perdavimo sistemos savininkų, vandenilio perdavimo tinklo savininkų, gamtinių dujų laikymo sistemos operatorių ir vandenilio saugyklos operatorių veiklos rūšių atskyrimas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17"/>
                  <w:jc w:val="both"/>
                  <w:rPr>
                    <w:b/>
                    <w:bCs/>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Jeigu buvo paskirtas nepriklausomas sistemos operatorius arba nepriklausomas vandenilio perdavimo tinklo operatorius, perdavimo sistemos ir vandenilio perdavimo tinklo savininkai ir gamtinių dujų laikymo sistemos operatoriai arba vandenilio saugyklos operatoriai, kurie yra vertikaliai integruotos įmonės padalinys, bent teisinės formos, organizacinės struktūros ir sprendimų priėmimo tvarkos požiūriu turi būti nepriklausomi nuo kitų veiklos rūšių, nesusijusių su gamtinių dujų ir vandenilio perdavimu, skirstymu, transportavimu ir laikymu. </w:t>
                </w:r>
              </w:p>
            </w:tc>
            <w:tc>
              <w:tcPr>
                <w:tcW w:w="9407" w:type="dxa"/>
                <w:gridSpan w:val="3"/>
              </w:tcPr>
              <w:p>
                <w:pPr>
                  <w:ind w:firstLine="17"/>
                  <w:jc w:val="both"/>
                  <w:rPr>
                    <w:bCs/>
                    <w:color w:val="000000"/>
                    <w:sz w:val="22"/>
                    <w:szCs w:val="22"/>
                    <w:lang w:eastAsia="lt-LT"/>
                  </w:rPr>
                </w:pPr>
                <w:r>
                  <w:rPr>
                    <w:i/>
                    <w:iCs/>
                    <w:color w:val="000000"/>
                    <w:sz w:val="22"/>
                    <w:szCs w:val="22"/>
                    <w:lang w:eastAsia="lt-LT"/>
                  </w:rPr>
                  <w:t>P</w:t>
                </w:r>
                <w:r>
                  <w:rPr>
                    <w:i/>
                    <w:color w:val="000000"/>
                    <w:sz w:val="22"/>
                    <w:szCs w:val="22"/>
                  </w:rPr>
                  <w:t>astaba.</w:t>
                </w:r>
                <w:r>
                  <w:rPr>
                    <w:b/>
                    <w:i/>
                    <w:color w:val="000000"/>
                    <w:sz w:val="22"/>
                    <w:szCs w:val="22"/>
                  </w:rPr>
                  <w:t xml:space="preserve"> </w:t>
                </w:r>
                <w:r>
                  <w:rPr>
                    <w:bCs/>
                    <w:i/>
                    <w:color w:val="000000"/>
                    <w:sz w:val="22"/>
                    <w:szCs w:val="22"/>
                  </w:rPr>
                  <w:t xml:space="preserve">Vandenilio įstatymo projekte pasirinktas nuosavybės veiklų atskyrimo modelis, tad </w:t>
                </w:r>
                <w:r>
                  <w:rPr>
                    <w:bCs/>
                    <w:i/>
                    <w:iCs/>
                    <w:color w:val="000000"/>
                    <w:sz w:val="22"/>
                    <w:szCs w:val="22"/>
                  </w:rPr>
                  <w:t>ši</w:t>
                </w:r>
                <w:r>
                  <w:rPr>
                    <w:bCs/>
                    <w:i/>
                    <w:color w:val="000000"/>
                    <w:sz w:val="22"/>
                    <w:szCs w:val="22"/>
                  </w:rPr>
                  <w:t xml:space="preserve"> </w:t>
                </w:r>
                <w:r>
                  <w:rPr>
                    <w:bCs/>
                    <w:i/>
                    <w:iCs/>
                    <w:color w:val="000000"/>
                    <w:sz w:val="22"/>
                    <w:szCs w:val="22"/>
                  </w:rPr>
                  <w:t>dalis</w:t>
                </w:r>
                <w:r>
                  <w:rPr>
                    <w:bCs/>
                    <w:i/>
                    <w:color w:val="000000"/>
                    <w:sz w:val="22"/>
                    <w:szCs w:val="22"/>
                  </w:rPr>
                  <w:t xml:space="preserve"> yra </w:t>
                </w:r>
                <w:r>
                  <w:rPr>
                    <w:bCs/>
                    <w:i/>
                    <w:iCs/>
                    <w:color w:val="000000"/>
                    <w:sz w:val="22"/>
                    <w:szCs w:val="22"/>
                  </w:rPr>
                  <w:t>neaktuali.</w:t>
                </w:r>
              </w:p>
              <w:p>
                <w:pPr>
                  <w:ind w:firstLine="1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 Nr. XII-772</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straipsnis.</w:t>
                </w:r>
              </w:p>
              <w:p>
                <w:pPr>
                  <w:ind w:firstLine="17"/>
                  <w:jc w:val="both"/>
                  <w:rPr>
                    <w:color w:val="000000"/>
                    <w:sz w:val="22"/>
                    <w:szCs w:val="22"/>
                    <w:lang w:eastAsia="lt-LT"/>
                  </w:rPr>
                </w:pPr>
                <w:r>
                  <w:rPr>
                    <w:color w:val="000000"/>
                    <w:sz w:val="22"/>
                    <w:szCs w:val="22"/>
                    <w:lang w:eastAsia="lt-LT"/>
                  </w:rPr>
                  <w:t>1. Kai laikymo sistemos operatorius yra vertikaliai integruotos įmonės dalis (padalinys), jis savo teisine forma organizacine struktūra ir priimdamas sprendimus turi būti nepriklausomas nuo kitų veiklos rūšių, nesusijusių su perdavimu, skirstymu, gamtinių dujų laikymu.</w:t>
                </w:r>
              </w:p>
              <w:p>
                <w:pPr>
                  <w:ind w:firstLine="17"/>
                  <w:jc w:val="both"/>
                  <w:rPr>
                    <w:color w:val="000000"/>
                    <w:sz w:val="22"/>
                    <w:szCs w:val="22"/>
                    <w:lang w:eastAsia="lt-LT"/>
                  </w:rPr>
                </w:pPr>
                <w:r>
                  <w:rPr>
                    <w:color w:val="000000"/>
                    <w:sz w:val="22"/>
                    <w:szCs w:val="22"/>
                    <w:lang w:eastAsia="lt-LT"/>
                  </w:rPr>
                  <w:t>2. Užtikrinant laikymo sistemos operatoriaus nepriklausomumą, taikomi šie reikalavimai: &lt;...&gt;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Šis straipsnis taikomas tik toms gamtinių dujų saugykloms, kurios yra techniškai arba ekonomiškai būtinos, siekiant užtikrinti teisę veiksmingai naudotis tiekimo vartotojams sistema pagal 33 straipsnį.</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1 dalyje nurodytą perdavimo sistemos arba vandenilio perdavimo tinklo savininko ir gamtinių dujų laikymo sistemos operatoriaus arba vandenilio saugyklos operatoriaus nepriklausomumą, taikomi šie būtiniausi kriterijai: </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w:t>
                </w:r>
                <w:r>
                  <w:rPr>
                    <w:i/>
                    <w:iCs/>
                    <w:color w:val="000000"/>
                    <w:sz w:val="22"/>
                    <w:szCs w:val="22"/>
                  </w:rPr>
                  <w:t>astaba. Vandenilio įstatymo projekte pasirinktas nuosavybės veiklų atskyrimo modelis, tad ši dalis yra neaktuali.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asmenys, atsakingi už perdavimo sistemos arba vandenilio perdavimo tinklo savininko ir gamtinių dujų laikymo sistemos operatoriaus arba vandenilio saugyklos operatoriaus valdymą, neturi priklausyti integruotos gamtinių dujų įmonės, tiesiogiai ar netiesiogiai atsakingos už kasdienę gamtinių dujų ir vandenilio gavybos ir tiekimo veiklą, organizacinei struktūrai;</w:t>
                </w:r>
              </w:p>
            </w:tc>
            <w:tc>
              <w:tcPr>
                <w:tcW w:w="9407" w:type="dxa"/>
                <w:gridSpan w:val="3"/>
                <w:vAlign w:val="center"/>
              </w:tcPr>
              <w:p>
                <w:pPr>
                  <w:rPr>
                    <w:b/>
                    <w:bCs/>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2. Užtikrinant laikymo sistemos operatoriaus nepriklausomumą, taikomi šie reikalavimai:</w:t>
                </w:r>
              </w:p>
              <w:p>
                <w:pPr>
                  <w:jc w:val="both"/>
                  <w:rPr>
                    <w:b/>
                    <w:bCs/>
                    <w:color w:val="000000"/>
                    <w:sz w:val="22"/>
                    <w:szCs w:val="22"/>
                    <w:lang w:eastAsia="lt-LT"/>
                  </w:rPr>
                </w:pPr>
                <w:r>
                  <w:rPr>
                    <w:color w:val="000000"/>
                    <w:sz w:val="22"/>
                    <w:szCs w:val="22"/>
                    <w:lang w:eastAsia="lt-LT"/>
                  </w:rPr>
                  <w:t>1) asmenys, atsakingi už laikymo sistemos operatoriaus valdymą, neturi priklausyti integruotos gamtinių dujų įmonės, tiesiogiai ar netiesiogiai atsakingos už gamtinių dujų gavybos ir tiekimo kasdienį organizavimą, organizacinei struktūrai;</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atsakingų už perdavimo sistemos arba vandenilio perdavimo tinklo savininko ir gamtinių dujų laikymo sistemos operatoriaus arba vandenilio saugyklos operatoriaus valdymą asmenų profesinius interesus būtų atsižvelgiama taip, kad jie galėtų veikti savarankiškai;</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 xml:space="preserve">2. Užtikrinant laikymo sistemos operatoriaus nepriklausomumą, taikomi šie reikalavimai: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būtina imtis tinkamų priemonių siekiant užtikrinti, kad į laikymo sistemos operatoriaus valdymo organų narių profesinius interesus būtų atsižvelgiama taip, kad jie galėtų veikti nepriklausomai;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laikymo sistemos operatoriui arba vandenilio saugyklos operatoriui suteikiamos faktinės teisės nepriklausomai nuo integruotos gamtinių dujų įmonės priimti sprendimus, susijusius su turtu, kuris reikalingas saugykloms eksploatuoti, prižiūrėti ar plėtoti.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Taip visų pirma patronuojančiajai bendrovei sudaromos sąlygos patvirtinti gamtinių dujų laikymo sistemos operatoriaus arba vandenilio saugyklos operatoriaus metinį finansinį planą ar bet kurį lygiavertį dokumentą ir nustatyti savo pavaldžiosios įmonės bendras įsiskolinimų ribas. Ši nuostata patronuojančiajai bendrovei nesuteikia teisės duoti nurodymus dėl kasdienės veiklos ar dėl atskirų sprendimų, susijusių su saugyklų statyba ar atnaujinimu, kurie neviršija patvirtinto finansinio plano ar bet kurio lygiaverčio dokumento sąlygų;</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3) laikymo sistemos operatorius turi turėti faktines teises nepriklausomai nuo integruotos gamtinių dujų įmonės priimti sprendimus, susijusius su turtu, reikalingu sistemai eksploatuoti, prižiūrėti ar plėtoti. Ši nuostata neturi kliudyti taikyti tinkamų koordinavimo priemonių siekiant užtikrinti, kad būtų apsaugotos patronuojančios įmonės ekonominės ir valdymo priežiūros teisės, kurios netiesiogiai reglamentuojamos šio įstatymo 7 straipsnio 2 dalies 6 punkte, dėl dukterinės įmonės protingumo kriterijų atitinkančios investicijų grąžos. Patronuojančiai įmonei sudaromos sąlygos patvirtinti laikymo sistemos operatoriaus metinį finansinį planą ar bet kurį kitą lygiavertį dokumentą ir nustatyti savo dukterinės įmonės bendras įsiskolinimų ribas, kurie laikymo sistemos operatoriui yra privalomi ir kurių pagrindu jis veikia. Ši nuostata nesuteikia patronuojančiai įmonei teisės duoti nurodymų dėl kasdienės veiklos ar dėl atskirų su saugyklų statyba ar atnaujinimu susijusių sprendimų, kurie neviršija patvirtinto finansinio plano ar bet kurio kito lygiaverčio dokumento sąlygų;</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perdavimo sistemos arba vandenilio perdavimo tinklo savininkas ir gamtinių dujų laikymo sistemos operatorius arba vandenilio saugyklos operatorius parengia atitikties programą, kurioje nurodomos taikytos priemonės, kuriomis siekiama užtikrinti, kad būtų išvengta diskriminacinio elgesio, ir siekiama užtikrinti tinkamą jos vykdymo priežiūrą. Joje nustatomos ir konkrečios darbuotojų pareigos tiems tikslams pasiekti. Už atitikties programos priežiūrą atsakingas asmuo ar organas reguliavimo institucijai pateikia metinę ataskaitą, kurioje nurodo taikytas priemones ir kuri paskelbiama.</w:t>
                </w:r>
              </w:p>
            </w:tc>
            <w:tc>
              <w:tcPr>
                <w:tcW w:w="9407" w:type="dxa"/>
                <w:gridSpan w:val="3"/>
              </w:tcPr>
              <w:p>
                <w:pPr>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43</w:t>
                </w:r>
                <w:r>
                  <w:rPr>
                    <w:b/>
                    <w:bCs/>
                    <w:color w:val="000000"/>
                    <w:sz w:val="22"/>
                    <w:szCs w:val="22"/>
                    <w:vertAlign w:val="superscript"/>
                    <w:lang w:val="lt" w:eastAsia="lt-LT"/>
                  </w:rPr>
                  <w:t>1</w:t>
                </w:r>
                <w:r>
                  <w:rPr>
                    <w:b/>
                    <w:bCs/>
                    <w:color w:val="000000"/>
                    <w:sz w:val="22"/>
                    <w:szCs w:val="22"/>
                    <w:lang w:val="lt" w:eastAsia="lt-LT"/>
                  </w:rPr>
                  <w:t xml:space="preserve"> straipsnis. Laikymo sistemos operatorių veiklos rūšių atskyrimas</w:t>
                </w:r>
              </w:p>
              <w:p>
                <w:pPr>
                  <w:ind w:firstLine="17"/>
                  <w:jc w:val="both"/>
                  <w:rPr>
                    <w:color w:val="000000"/>
                    <w:sz w:val="22"/>
                    <w:szCs w:val="22"/>
                    <w:lang w:eastAsia="lt-LT"/>
                  </w:rPr>
                </w:pPr>
                <w:r>
                  <w:rPr>
                    <w:color w:val="000000"/>
                    <w:sz w:val="22"/>
                    <w:szCs w:val="22"/>
                    <w:lang w:val="lt" w:eastAsia="lt-LT"/>
                  </w:rPr>
                  <w:t>4) laikymo sistemos operatorius, vadovaudamasis Tarybos patvirtintais standartiniais reikalavimais, turi parengti atitikties programą, kurioje nurodomos taikytinos priemonės siekiant išvengti diskriminacinio elgesio, ir užtikrinti tinkamą jos priežiūrą. Atitikties programoje nustatomos konkrečios darbuotojų pareigos šiems tikslams pasiekti. Už atitikties programos priežiūrą atsakingas asmuo ar organas reguliavimo institucijai pateikia metinę ataskaitą, kurioje nurodo taikytas priemones. Laikymo sistemos operatorius šią ataskaitą paskelbia savo interneto svetainėje.</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Komisijai pagal 90 straipsnį suteikiami įgaliojimai priimti deleguotuosius aktus, kuriais papildoma ši direktyva nustatant gaires siekiant užtikrinti, kad perdavimo sistemos arba vandenilio perdavimo tinklo savininkas ir gamtinių dujų laikymo sistemos operatorius arba vandenilio saugyklos operatorius visiškai ir veiksmingai laikytųsi šio straipsnio 2 dalies.</w:t>
                </w:r>
              </w:p>
            </w:tc>
            <w:tc>
              <w:tcPr>
                <w:tcW w:w="9407" w:type="dxa"/>
                <w:gridSpan w:val="3"/>
                <w:vAlign w:val="center"/>
              </w:tcPr>
              <w:p>
                <w:pPr>
                  <w:ind w:firstLine="17"/>
                  <w:jc w:val="both"/>
                  <w:rPr>
                    <w:i/>
                    <w:color w:val="000000"/>
                    <w:sz w:val="22"/>
                    <w:szCs w:val="22"/>
                    <w:lang w:eastAsia="lt-LT"/>
                  </w:rPr>
                </w:pPr>
                <w:r>
                  <w:rPr>
                    <w:i/>
                    <w:color w:val="000000"/>
                    <w:sz w:val="22"/>
                    <w:szCs w:val="22"/>
                    <w:lang w:eastAsia="lt-LT"/>
                  </w:rPr>
                  <w:t xml:space="preserve">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perdavimo operatoriai</w:t>
                </w:r>
              </w:p>
            </w:tc>
            <w:tc>
              <w:tcPr>
                <w:tcW w:w="9407" w:type="dxa"/>
                <w:gridSpan w:val="3"/>
                <w:vAlign w:val="center"/>
              </w:tcPr>
              <w:p>
                <w:pPr>
                  <w:ind w:firstLine="17"/>
                  <w:jc w:val="both"/>
                  <w:rPr>
                    <w:b/>
                    <w:i/>
                    <w:color w:val="000000"/>
                    <w:sz w:val="22"/>
                    <w:szCs w:val="22"/>
                  </w:rPr>
                </w:pPr>
                <w:r>
                  <w:rPr>
                    <w:i/>
                    <w:color w:val="000000"/>
                    <w:sz w:val="22"/>
                    <w:szCs w:val="22"/>
                    <w:lang w:eastAsia="lt-LT"/>
                  </w:rPr>
                  <w:t>Pastaba.</w:t>
                </w:r>
                <w:r>
                  <w:rPr>
                    <w:b/>
                    <w:i/>
                    <w:color w:val="000000"/>
                    <w:sz w:val="22"/>
                    <w:szCs w:val="22"/>
                    <w:lang w:eastAsia="lt-LT"/>
                  </w:rPr>
                  <w:t xml:space="preserve"> </w:t>
                </w:r>
                <w:r>
                  <w:rPr>
                    <w:i/>
                    <w:color w:val="000000"/>
                    <w:sz w:val="22"/>
                    <w:szCs w:val="22"/>
                    <w:lang w:eastAsia="lt-LT"/>
                  </w:rPr>
                  <w:t>Vandenilio įstatymo projekte pasirinktas nuosavybės veiklų atskyrimo modelis, tad šis straipsnis yra neaktualus.</w:t>
                </w:r>
              </w:p>
              <w:p>
                <w:pPr>
                  <w:ind w:firstLine="17"/>
                  <w:jc w:val="both"/>
                  <w:rPr>
                    <w:b/>
                    <w:bCs/>
                    <w:i/>
                    <w:i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Gamtinių dujų įstatymas</w:t>
                </w:r>
              </w:p>
              <w:p>
                <w:pPr>
                  <w:ind w:right="57"/>
                  <w:jc w:val="both"/>
                  <w:rPr>
                    <w:color w:val="000000"/>
                    <w:sz w:val="22"/>
                    <w:szCs w:val="22"/>
                    <w:lang w:eastAsia="lt-LT"/>
                  </w:rPr>
                </w:pPr>
                <w:r>
                  <w:rPr>
                    <w:b/>
                    <w:bCs/>
                    <w:color w:val="000000"/>
                    <w:sz w:val="22"/>
                    <w:szCs w:val="22"/>
                    <w:lang w:val="lt" w:eastAsia="lt-LT"/>
                  </w:rPr>
                  <w:t>27 straipsnis. Perdavimo sistemos operatorius</w:t>
                </w:r>
              </w:p>
              <w:p>
                <w:pPr>
                  <w:ind w:right="57" w:firstLine="720"/>
                  <w:jc w:val="both"/>
                  <w:rPr>
                    <w:color w:val="000000"/>
                    <w:sz w:val="22"/>
                    <w:szCs w:val="22"/>
                    <w:lang w:eastAsia="lt-LT"/>
                  </w:rPr>
                </w:pPr>
                <w:r>
                  <w:rPr>
                    <w:color w:val="000000"/>
                    <w:sz w:val="22"/>
                    <w:szCs w:val="22"/>
                    <w:lang w:val="lt" w:eastAsia="lt-LT"/>
                  </w:rPr>
                  <w:t>1. Gamtinių dujų įmonė, kuriai nuosavybės teise priklauso perdavimo sistema ir kuri buvo paskirta perdavimo sistemos operatoriumi šio įstatymo 28 ir 29 straipsniuose nustatyta tvarka, veikia kaip perdavimo sistemos operatorius.</w:t>
                </w:r>
              </w:p>
              <w:p>
                <w:pPr>
                  <w:ind w:firstLine="17"/>
                  <w:jc w:val="both"/>
                  <w:rPr>
                    <w:b/>
                    <w:bCs/>
                    <w:i/>
                    <w:iCs/>
                    <w:color w:val="000000"/>
                    <w:sz w:val="22"/>
                    <w:szCs w:val="22"/>
                  </w:rPr>
                </w:pPr>
                <w:r>
                  <w:rPr>
                    <w:b/>
                    <w:bCs/>
                    <w:i/>
                    <w:iCs/>
                    <w:color w:val="000000"/>
                    <w:sz w:val="22"/>
                    <w:szCs w:val="22"/>
                  </w:rPr>
                  <w:t>&lt;..&gt;</w:t>
                </w:r>
              </w:p>
              <w:p>
                <w:pPr>
                  <w:ind w:firstLine="17"/>
                  <w:jc w:val="both"/>
                  <w:rPr>
                    <w:b/>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63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Turtas, įranga, personalas ir tapatybė</w:t>
                </w:r>
              </w:p>
            </w:tc>
            <w:tc>
              <w:tcPr>
                <w:tcW w:w="9407" w:type="dxa"/>
                <w:gridSpan w:val="3"/>
                <w:vAlign w:val="center"/>
              </w:tcPr>
              <w:p>
                <w:pPr>
                  <w:ind w:firstLine="17"/>
                  <w:jc w:val="both"/>
                  <w:rPr>
                    <w:b/>
                    <w:i/>
                    <w:color w:val="000000"/>
                    <w:sz w:val="22"/>
                    <w:szCs w:val="22"/>
                    <w:lang w:eastAsia="lt-LT"/>
                  </w:rPr>
                </w:pPr>
                <w:r>
                  <w:rPr>
                    <w:i/>
                    <w:color w:val="000000"/>
                    <w:sz w:val="22"/>
                    <w:szCs w:val="22"/>
                  </w:rPr>
                  <w:t>Pastaba.</w:t>
                </w:r>
                <w:r>
                  <w:rPr>
                    <w:b/>
                    <w:i/>
                    <w:color w:val="000000"/>
                    <w:sz w:val="22"/>
                    <w:szCs w:val="22"/>
                  </w:rPr>
                  <w:t xml:space="preserve"> </w:t>
                </w:r>
                <w:r>
                  <w:rPr>
                    <w:i/>
                    <w:color w:val="000000"/>
                    <w:sz w:val="22"/>
                    <w:szCs w:val="22"/>
                  </w:rPr>
                  <w:t>Vandenilio įstatymo projekte pasirinktas nuosavybės veiklų atskyrimo modelis, tad šis straipsnis yra neaktualus.</w:t>
                </w:r>
              </w:p>
              <w:p>
                <w:pPr>
                  <w:ind w:firstLine="17"/>
                  <w:jc w:val="both"/>
                  <w:rPr>
                    <w:b/>
                    <w:bCs/>
                    <w:i/>
                    <w:iCs/>
                    <w:color w:val="000000"/>
                    <w:sz w:val="22"/>
                    <w:szCs w:val="22"/>
                    <w:lang w:eastAsia="lt-LT"/>
                  </w:rPr>
                </w:pPr>
              </w:p>
              <w:p>
                <w:pPr>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operatoriai turi visus žmogiškuosius, techninius, materialinius ir finansinius išteklius, kurie reikalingi jų pareigoms pagal šią direktyvą įvykdyti ir gamtinių dujų perdavimo veiklai vykdyti, visų pirma: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gamtinių dujų perdavimo veiklai vykdyti reikalingas turtas, įskaitant perdavimo sistemą, nuosavybės teise priklauso perdavimo sistemos operatoriui;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perdavimo sistemos operatorius samdo gamtinių dujų perdavimo veiklai vykdyti, įskaitant visų bendrų užduočių atlikimą, reikalingą personalą;</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vertikaliai integruotos įmonės padaliniams draudžiama vienas kitam skolinti personalą ir teikti paslaugas, tačiau perdavimo sistemos operatorius gali teikti paslaugas vertikaliai integruotai įmonei, jei: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tų paslaugų teikimas nediskriminuoja sistemos naudotojų, visiems sistemos naudotojams yra prieinamas tomis pačiomis sąlygomis, ir neriboja ar neiškreipia konkurencijos gavybos ar tiekimo srityje arba netrukdo jai;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tų paslaugų teikimo sąlygas yra patvirtinusi reguliavimo institucija;</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nedarant poveikio pagal 66 straipsnį įsteigto priežiūros organo sprendimams, vertikaliai integruota įmonė, gavusi tinkamą perdavimo sistemos operatoriaus prašymą, perdavimo sistemos operatoriui laiku skiria atitinkamus finansinius išteklius būsimiems investiciniams projektams arba atitinkamus finansinius išteklius, skirtus esamam turtui pakeisti.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perdavimo veiklą, be 39 straipsnyje išvardytų užduočių, sudaro bent tokios užduotys: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atstovavimas perdavimo sistemos operatoriui ir ryšių su trečiosiomis šalimis bei reguliavimo institucijomis palaikymas;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atstovavimas perdavimo sistemos operatoriui ENTSO-G;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prieigos suteikimas trečiajai šaliai nediskriminuojant sistemos naudotojų ar tam tikrų sistemos naudotojų kategorijų ir tokios prieigos valdymas;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visų su perdavimo sistema susijusių mokesčių, įskaitant prieigos mokesčius, balansavimo mokesčius už papildomas paslaugas, pavyzdžiui, gamtinių dujų perdirbimą, paslaugų pirkimą (balansavimo išlaidos, energija nuostoliams padengti), surinkimas;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saugios, veiksmingos ir ekonomiškos perdavimo sistemos eksploatavimas, priežiūra ir plėtojimas;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investicijų planavimas užtikrinant ilgalaikį sistemos gebėjimą tenkinti pagrįstą paklausą ir garantuojant tiekimo saugumą;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tinkamų bendrų įmonių steigimas, be kita ko, su vienu ar keliais perdavimo sistemos operatoriais, gamtinių dujų biržomis ir kitais atitinkamais rinkos dalyviais, siekiant plėtoti regioninių rinkų kūrimą arba sudaryti palankesnes sąlygas liberalizavimo procesui;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visų bendrų paslaugų, įskaitant teisines paslaugas, apskaitos ir IT paslaugų teikimas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Perdavimo sistemos operatorių teisinė forma yra tokia, kaip nurodyta Europos Parlamento ir Tarybos direktyvos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 </w:t>
                </w:r>
                <w:r>
                  <w:rPr>
                    <w:color w:val="000000"/>
                    <w:sz w:val="22"/>
                    <w:szCs w:val="22"/>
                    <w:vertAlign w:val="superscript"/>
                    <w:lang w:eastAsia="lt-LT"/>
                  </w:rPr>
                  <w:t>50</w:t>
                </w:r>
                <w:r>
                  <w:rPr>
                    <w:color w:val="000000"/>
                    <w:sz w:val="22"/>
                    <w:szCs w:val="22"/>
                    <w:lang w:eastAsia="lt-LT"/>
                  </w:rPr>
                  <w:t xml:space="preserve">) II priede.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50</w:t>
                </w:r>
                <w:r>
                  <w:rPr>
                    <w:color w:val="000000"/>
                    <w:sz w:val="22"/>
                    <w:szCs w:val="22"/>
                    <w:lang w:eastAsia="lt-LT"/>
                  </w:rPr>
                  <w:t xml:space="preserve">) 2017 m. birželio 14 d. Europos Parlamento ir Tarybos direktyva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dėl tam tikrų bendrovių teisės aspektų (OL L 169, 2017 6 30, p. 46).</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Užtikrindamas bendrą tapatybę, teikdamas informaciją, kurdamas prekės ženklą ir vykdydamas veiklą savo patalpose perdavimo sistemos operatorius nesukuria painiavos dėl vertikaliai integruotos įmonės ar bet kurio jos padalinio atskiros tapatybės.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operatorius nesidalija IT sistemomis ar įranga, fizinėmis patalpomis ir prieigos apsaugos sistemomis nei su vienu vertikaliai integruotos įmonės padaliniu, taip pat nesinaudoja tų pačių konsultantų ar išorės rangovų paslaugomis, susijusiomis su IT sistemomis arba įranga ar prieigos apsaugos sistemomis.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Perdavimo sistemos operatorių sąskaitų auditą atlieka kitas auditorius nei vertikaliai integruotos įmonės arba bet kurio jos padalinio auditą atliekantis auditorius.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64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operatoriaus nepriklausomumas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Nedarant poveikio priežiūros organo sprendimams pagal 66 straipsnį, perdavimo sistemos operatorius turi: </w:t>
                </w:r>
              </w:p>
            </w:tc>
            <w:tc>
              <w:tcPr>
                <w:tcW w:w="9407" w:type="dxa"/>
                <w:gridSpan w:val="3"/>
                <w:vAlign w:val="center"/>
              </w:tcPr>
              <w:p>
                <w:pPr>
                  <w:ind w:right="57"/>
                  <w:jc w:val="both"/>
                  <w:rPr>
                    <w:b/>
                    <w:bCs/>
                    <w:color w:val="000000"/>
                    <w:sz w:val="22"/>
                    <w:szCs w:val="22"/>
                    <w:lang w:eastAsia="lt-LT"/>
                  </w:rPr>
                </w:pPr>
              </w:p>
              <w:p>
                <w:pPr>
                  <w:ind w:right="57"/>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40 straipsnis. Atskiriamos veiklos</w:t>
                </w:r>
              </w:p>
              <w:p>
                <w:pPr>
                  <w:ind w:right="57"/>
                  <w:jc w:val="both"/>
                  <w:rPr>
                    <w:b/>
                    <w:bCs/>
                    <w:color w:val="000000"/>
                    <w:sz w:val="22"/>
                    <w:szCs w:val="22"/>
                    <w:lang w:eastAsia="lt-LT"/>
                  </w:rPr>
                </w:pPr>
              </w:p>
              <w:p>
                <w:pPr>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faktines teises nepriklausomai nuo vertikaliai integruotos įmonės priimti sprendimus dėl perdavimo sistemos eksploatavimui, priežiūrai ar plėtojimai reikalingo turto;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ind w:right="57"/>
                  <w:jc w:val="both"/>
                  <w:rPr>
                    <w:b/>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įgaliojimą didinti lėšas kapitalo rinkoje, visų pirma skolinant lėšas ir didinant kapitalą.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visuomet veikia taip, kad užtikrintų pakankamai išteklių, kurių jam reikia perdavimo veiklai tinkamai bei veiksmingai vykdyti ir veiksmingai, saugiai bei ekonomiškai perdavimo sistemai plėtoti bei prižiūrėti.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Vertikaliai integruotos įmonės pavaldžiosios įmonės, vykdančios gavybos arba tiekimo funkcijas, negali būti tiesioginės arba netiesioginės perdavimo sistemos operatoriaus akcininkės. Perdavimo sistemos operatorius negali nei būti kurios nors vertikaliai integruotos įmonės pavaldžiosios įmonės, vykdančios gavybos arba tiekimo funkcijas, tiesioginis arba netiesioginis akcininkas, nei gauti iš tos pavaldžiosios įmonės dividendus arba bet kurią kitą finansinę naudą.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operatoriaus bendra valdymo struktūra ir įstatais turi būti užtikrinamas faktinis perdavimo sistemos operatoriaus nepriklausomumas pagal šio skirsnio nuostatas. Vertikaliai integruota įmonė negali tiesiogiai ar netiesiogiai nustatyti perdavimo sistemos operatoriaus konkurencinio elgesio, susijusio su perdavimo sistemos operatoriaus kasdiene veikla ir tinklo valdymu arba su veikla, būtina dešimties metų tinklo plėtros planui parengti pagal 55 straipsnį.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Vykdydami šios direktyvos 39 straipsnyje bei 63 straipsnio 2 dalyje nurodytas savo užduotis ir laikydamiesi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 straipsnio 1 dalies a punkto, 10 straipsnio 2, 3 ir 4 dalių, 13 straipsnio 1 dalies, 17 straipsnio 1 dalies ir 33 straipsnio 6 dalies, perdavimo sistemos operatoriai nediskriminuoja asmenų ar subjektų ir neriboja ar neiškreipia konkurencijos gavybos ar tiekimo srityje arba netrukdo jai.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Perdavimo sistemos operatorius teikia reguliavimo institucijai tvirtinti visus komercinius ir finansinius susitarimus su vertikaliai integruota įmone.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8. Perdavimo sistemos operatorius informuoja reguliavimo instituciją apie 63 straipsnio 1 dalies d punkte nurodytus finansinius išteklius, kurie gali būti skirti būsimiems investicijų projektams arba turimo turto pakeitimui.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Vertikaliai integruota įmonė susilaiko nuo visų veiksmų, kurie perdavimo sistemos operatoriui sukliudytų vykdyti šiame skirsnyje nustatytas jo pareigas ar turėtų jų vykdymui įtakos, ir nereikalauja, kad perdavimo sistemos operatorius, vykdydamas tas pareigas, prašytų vertikaliai integruotos įmonės leidimo.</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10. Įmonę, kuriai reguliavimo institucija yra išdavusi sertifikatą, patvirtinantį, kad ji atitinka šio skirsnio reikalavimus, atitinkama valstybė narė patvirtina ir paskiria perdavimo sistemos operatoriumi. Taikoma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Perdavimo sistemos operatorius, remdamasis Komisijos reglamento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xml:space="preserve"> ( </w:t>
                </w:r>
                <w:r>
                  <w:rPr>
                    <w:color w:val="000000"/>
                    <w:sz w:val="22"/>
                    <w:szCs w:val="22"/>
                    <w:vertAlign w:val="superscript"/>
                    <w:lang w:eastAsia="lt-LT"/>
                  </w:rPr>
                  <w:t>51</w:t>
                </w:r>
                <w:r>
                  <w:rPr>
                    <w:color w:val="000000"/>
                    <w:sz w:val="22"/>
                    <w:szCs w:val="22"/>
                    <w:lang w:eastAsia="lt-LT"/>
                  </w:rPr>
                  <w:t>) 16 ir 17 straipsniais, viešai skelbia išsamią informaciją apie jo tinklais transportuojamų gamtinių dujų kokybę.</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51</w:t>
                </w:r>
                <w:r>
                  <w:rPr>
                    <w:color w:val="000000"/>
                    <w:sz w:val="22"/>
                    <w:szCs w:val="22"/>
                    <w:lang w:eastAsia="lt-LT"/>
                  </w:rPr>
                  <w:t xml:space="preserve">) 2015 m. balandžio 30 d. Komisijos reglamentas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kuriuo nustatomas sistemų sąveikos ir duomenų mainų tinklo kodeksas (OL L 113, 2015 5 1, p. 13).</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65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Perdavimo sistemos operatoriaus personalo ir valdymo nepriklausomumas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Sprendimus dėl asmenų, atsakingų už perdavimo sistemos operatoriaus valdymą, arba jo administracinių organų narių skyrimo ir kadencijos pratęsimo, darbo sąlygų, įskaitant atlyginimą ir kadencijos pabaigą, priima pagal 66 straipsnį paskirtas perdavimo sistemos operatoriaus priežiūros organas.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institucijai pranešama asmenų, kuriuos priežiūros organas pasiūlė paskirti už perdavimo sistemos operatoriaus vykdomąjį valdymą atsakingais asmenimis ar jo administracinių organų nariais arba kurių įgaliojimų terminą pasiūlė pratęsti, vardai ir pavardės, kadencijos sąlygos, tarnybos trukmė ir pabaiga, taip pat siūlomų sprendimų nutraukti tokią kadenciją motyvai. Tos 1 dalyje nurodytos sąlygos ir sprendimai tampa privalomi tik tuo atveju, jei per trijų savaičių laikotarpį nuo jų pranešimo reguliavimo institucija nepareiškė prieštaravimų.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Reguliavimo institucija gali prieštarauti 1 dalyje nurodytiems sprendimams, jeigu: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430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Trejų metų laikotarpiu prieš už perdavimo sistemos operatoriaus valdymą atsakingų asmenų arba jo administracinių organų narių, kuriems taikoma ši dalis, paskyrimą jie tiesiogiai ar netiesiogiai neina profesinių pareigų vertikaliai integruotoje įmonėje arba neturi joje profesinės atsakomybės, interesų ar verslo ryšių su ja arba su bet kuriuo jos padaliniu, arba jos kontrolinį akcijų paketą turinčiais akcininkais, išskyrus perdavimo sistemos operatorių.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perdavimo sistemos operatoriaus valdymą atsakingi asmenys arba jo administracinių organų nariai bei darbuotojai tiesiogiai ar netiesiogiai neina profesinių pareigų jokiame kitame vertikaliai integruotos įmonės padalinyje arba neturi jame profesinės atsakomybės, interesų ar verslo ryšių su juo arba jo kontrolinį akcijų paketą turinčiais akcininkais.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Už perdavimo sistemos operatoriaus valdymą atsakingi asmenys arba jo administracinių organų nariai bei darbuotojai tiesiogiai ar netiesiogiai neturi jokių interesų jokiame vertikaliai integruotos įmonės padalinyje ar negauna iš jo finansinės naudos, išskyrus interesus ir finansinę naudą, susijusius su perdavimo sistemos operatoriumi. Jų atlyginimas nepriklauso nuo vertikaliai integruotos įmonės veiklos ar rezultatų, išskyrus perdavimo sistemos operatoriaus veiklą ar rezultatus.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perdavimo sistemos operatoriaus valdymą atsakingų asmenų arba jo administracinių organų narių skundų dėl pirmalaikio jų kadencijos nutraukimo atžvilgiu užtikrinamos faktinės teisės reguliavimo institucijai pateikti apeliaciją.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Pasibaigus už perdavimo sistemos operatoriaus valdymą atsakingų asmenų arba jo administracinių organų narių kadencijai, šie asmenys ne trumpesnį kaip ketverių metų laikotarpį negali eiti profesinių pareigų jokiame vertikaliai integruotos įmonės padalinyje, išskyrus perdavimo sistemos operatorių, arba turėti profesinę atsakomybę, interesų ar verslo santykių su ja arba jos kontrolinį akcijų paketą turinčiais akcininkais.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3 dalis taikoma už perdavimo sistemos operatoriaus valdymą atsakingų asmenų arba jo administracinių organų narių daugumai.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Už perdavimo sistemos operatoriaus valdymą atsakingi asmenys arba jo administracinių organų nariai, kuriems netaikoma 3 dalis, bent šešių mėnesių laikotarpiu prieš jų paskyrimą negali būti vykdę valdymo ar kitos susijusios veiklos vertikaliai integruotoje įmonėje.</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Šios dalies pirma pastraipa ir 4–7 dalys taikomos visiems asmenims, kurie dalyvauja vykdomajame valdyme, ir asmenims, kurie yra pastariesiems tiesiogiai atskaitingi su tinklo eksploatavimu, priežiūra ar plėtojimu susijusiais klausimais.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66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Priežiūros organas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operatorius turi priežiūros organą, kuris atsako už didelį poveikį perdavimo sistemos operatoriaus akcininkų turto vertei turinčių sprendimų priėmimą, visų pirma dėl metinių ir ilgesnio laikotarpio finansinių planų patvirtinimo, perdavimo sistemos operatoriaus įsiskolinimo lygio ir akcininkams paskirstomų dividendų kiekio. Priežiūros organo kompetencijai priklausantys sprendimai neapima sprendimų, susijusių su perdavimo sistemos operatoriaus kasdiene veikla ir tinklo valdymu ir su veikla, kuri yra būtina dešimties metų tinklo plėtros planui parengti pagal 55 straipsnį.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organą sudaro vertikaliai integruotai įmonei atstovaujantys nariai, trečiosios šalies akcininkams atstovaujantys nariai, ir, jei tai numatyta atitinkamoje nacionalinėje teisėje, kitoms suinteresuotoms šalims, pavyzdžiui, perdavimo sistemos operatoriaus darbuotojams, atstovaujantys nariai.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65 straipsnio 2 dalies pirma pastraipa ir 65 straipsnio 3–7 dalys taikomos bent pusei priežiūros organo narių atėmus vieną.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65 straipsnio 2 dalies antros pastraipos b punktas taikomas visiems priežiūros organo nariams.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67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Atitikties programa ir už atitikties programos priežiūrą atsakingas pareigūnas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perdavimo sistemos operatoriai nustatytų ir įgyvendintų atitikties programą, nustatančią priemones, kurios taikomos siekiant užkirsti kelią diskriminaciniam elgesiui, bei užtikrintų tinkamą atitikties šiai programai stebėseną. Atitikties programoje nustatomos konkrečios darbuotojų pareigos tiems tikslams pasiekti. Ją tvirtina reguliavimo institucija. Nedarant poveikio reguliavimo institucijos įgaliojimams, už atitikties programos priežiūrą atsakingas pareigūnas nepriklausomai stebi atitiktį programai.</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 xml:space="preserve">Šio straipsnio nuostatų perkelti nereikia, nes pasirinkta Direktyvos 60 straipsnio alternatyva. </w:t>
                </w:r>
              </w:p>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organas skiria už atitikties programos priežiūrą atsakingą pareigūną, kurį turi patvirtinti reguliavimo institucija. Reguliavimo institucija gali atsisakyti patvirtinti už atitikties programos priežiūrą atsakingą pareigūną tik dėl priežasčių, susijusių su nepriklausomumo ar profesinių gebėjimų stoka. Už atitikties programos priežiūrą atsakingu pareigūnu gali būti fizinis ar juridinis asmuo. Už atitikties programos priežiūrą atsakingam pareigūnui taikomos 65 straipsnio 2–8 dalys.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Už atitikties programos priežiūrą atsakingas pareigūnas atsako už: </w:t>
                </w:r>
              </w:p>
            </w:tc>
            <w:tc>
              <w:tcPr>
                <w:tcW w:w="9407" w:type="dxa"/>
                <w:gridSpan w:val="3"/>
                <w:vMerge w:val="restart"/>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Merge w:val="restart"/>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atitikties programos įgyvendinimo stebėseną;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metinės ataskaitos rengimą, priemonių, taikytų siekiant įgyvendinti atitikties programą, nustatymą ir jos pateikimą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ataskaitų teikimą priežiūros organui ir rekomendacijų dėl atitikties programos ir jos įgyvendinimo teikimą;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pranešimą reguliavimo institucijai apie visus svarbius atitikties programos įgyvendinimo pažeidimus;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ataskaitų dėl vertikaliai integruotos įmonės ir perdavimo sistemos operatoriaus visų komercinių ir finansinių ryšių 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atitikties programos priežiūrą atsakingas pareigūnas pateikia reguliavimo institucijai siūlomus sprendimus dėl investicijų plano arba dėl individualių investicijų į tinklą. Jis juos pateikia vėliausiai tada, kai šiuos siūlomus sprendimus perdavimo sistemos operatoriaus vadovybė arba kompetentingas administracinis organas perduoda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Kai vertikaliai integruota įmonė visuotinio susirinkimo metu ar jos paskirtiems priežiūros organo nariams balsuojant sutrukdė priimti sprendimą, ir dėl to buvo užkirstas kelias investicijoms, kurios pagal dešimties metų tinklo plėtros planą turėjo būti padarytos per ateinančius trejus metus, arba šios investicijos buvo vilkinamos, už atitikties programos priežiūrą atsakingas pareigūnas apie tai praneša reguliavimo institucijai, kuri tokiu atveju imasi veiksmų pagal 55 straipsnį.</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atitikties programos priežiūrą atsakingo pareigūno įgaliojimus ar įdarbinimą reglamentuojančias sąlygas, įskaitant jo kadencijos trukmę, tvirtina reguliavimo institucija. Tomis sąlygomis užtikrinamas už atitikties programos priežiūrą atsakingo pareigūno nepriklausomumas, įskaitant tai, kad jam suteikiami visi ištekliai, kurių reikia jo pareigoms atlikti. Už atitikties programos priežiūrą atsakingas pareigūnas savo kadencijos metu bet kuriame vertikaliai integruotos įmonės padalinyje ar pas kontrolinį akcijų paketą turinčius akcininkus tiesiogiai ar netiesiogiai negali eiti jokių profesinių ar atsakingų pareigų arba su jais turėti interesų.</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Už atitikties programos priežiūrą atsakingas pareigūnas žodžiu arba raštu reguliariai teikia ataskaitas reguliavimo institucijai ir turi teisę žodžiu arba raštu reguliariai teikti ataskaitas perdavimo sistemos operatoriaus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Už atitikties programos priežiūrą atsakingas pareigūnas gali dalyvauti visuose perdavimo sistemos operatoriaus vadovybės ar administracinių organų posėdžiuose, taip pat priežiūros organo posėdžiuose bei visuotiniame susirinkime. Už atitikties programos priežiūrą atsakingas pareigūnas dalyvauja visuose posėdžiuose, kuriuose sprendžiami šie klausimai: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prieigos prie tinklo sąlygos, kaip nustatyta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visų pirma susijusios su tarifais, trečiosios šalies prieigos paslaugomis, pajėgumų paskirstymu ir perkrovos valdymu, skaidrumu, subalansavimu bei antrinėmis rinkomis;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projektai, kurių imtasi siekiant eksploatuoti, prižiūrėti ir plėtoti perdavimo sistemą, įskaitant investicijas į naujas transporto jungtis, pajėgumų plėtimą ir esamų pajėgumų optimizavimą;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perdavimo sistemos eksploatacijai būtinas energijos pirkimas ar pardavimas.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Už atitikties programos priežiūrą atsakingas pareigūnas stebi, ar perdavimo sistemos operatorius laikosi 40 straipsnio reikalavimų.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Už atitikties programos priežiūrą atsakingas pareigūnas gali naudotis visais atitinkamais duomenimis ir patekti į perdavimo sistemos operatoriaus biurus bei naudotis visa reikiama informacija už atitikties programos priežiūrą atsakingo pareigūno užduotims atlikti.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Gavęs išankstinį reguliavimo institucijos pritarimą, priežiūros organas gali atleisti už atitikties programos priežiūrą atsakingą pareigūną. Pareikalavus reguliavimo institucijai, jis atleidžia už atitikties programos priežiūrą atsakingą pareigūną dėl priežasčių, susijusių su nepriklausomumo ar profesinių gebėjimų stoka.</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Už atitikties programos priežiūrą atsakingas pareigūnas turi teisę patekti į perdavimo sistemos operatoriaus biurus be išankstinio pranešimo.</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4 skirsnis</w:t>
                </w:r>
              </w:p>
              <w:p>
                <w:pPr>
                  <w:shd w:val="clear" w:color="auto" w:fill="FFFFFF"/>
                  <w:jc w:val="both"/>
                  <w:rPr>
                    <w:b/>
                    <w:bCs/>
                    <w:color w:val="000000"/>
                    <w:sz w:val="22"/>
                    <w:szCs w:val="22"/>
                    <w:lang w:eastAsia="lt-LT"/>
                  </w:rPr>
                </w:pPr>
                <w:r>
                  <w:rPr>
                    <w:b/>
                    <w:bCs/>
                    <w:color w:val="000000"/>
                    <w:sz w:val="22"/>
                    <w:szCs w:val="22"/>
                    <w:lang w:eastAsia="lt-LT"/>
                  </w:rPr>
                  <w:t>Vandenilio tinklų operatorių veiklos rūšių atskyrimas</w:t>
                </w:r>
              </w:p>
              <w:p>
                <w:pPr>
                  <w:shd w:val="clear" w:color="auto" w:fill="FFFFFF"/>
                  <w:jc w:val="both"/>
                  <w:rPr>
                    <w:i/>
                    <w:iCs/>
                    <w:color w:val="000000"/>
                    <w:sz w:val="22"/>
                    <w:szCs w:val="22"/>
                    <w:lang w:eastAsia="lt-LT"/>
                  </w:rPr>
                </w:pPr>
                <w:r>
                  <w:rPr>
                    <w:i/>
                    <w:iCs/>
                    <w:color w:val="000000"/>
                    <w:sz w:val="22"/>
                    <w:szCs w:val="22"/>
                    <w:lang w:eastAsia="lt-LT"/>
                  </w:rPr>
                  <w:t xml:space="preserve">68 straipsnis </w:t>
                </w:r>
              </w:p>
              <w:p>
                <w:pPr>
                  <w:shd w:val="clear" w:color="auto" w:fill="FFFFFF"/>
                  <w:jc w:val="both"/>
                  <w:rPr>
                    <w:color w:val="000000"/>
                    <w:sz w:val="22"/>
                    <w:szCs w:val="22"/>
                    <w:lang w:eastAsia="lt-LT"/>
                  </w:rPr>
                </w:pPr>
                <w:r>
                  <w:rPr>
                    <w:b/>
                    <w:bCs/>
                    <w:color w:val="000000"/>
                    <w:sz w:val="22"/>
                    <w:szCs w:val="22"/>
                    <w:lang w:eastAsia="lt-LT"/>
                  </w:rPr>
                  <w:t>Vandenilio perdavimo tinklų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nuo 2026 m. rugpjūčio 5 d. vandenilio perdavimo tinklų operatorių veikla būtų atskirta pagal gamtinių dujų perdavimo sistemos operatoriams taikomas taisykles, nustatytas 60 straipsnyje.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8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ind w:left="720"/>
                  <w:jc w:val="both"/>
                  <w:rPr>
                    <w:b/>
                    <w:bCs/>
                    <w:color w:val="000000"/>
                    <w:kern w:val="2"/>
                    <w:sz w:val="22"/>
                    <w:szCs w:val="22"/>
                    <w:lang w:eastAsia="lt-LT"/>
                  </w:rPr>
                </w:pPr>
                <w:r>
                  <w:rPr>
                    <w:b/>
                    <w:bCs/>
                    <w:color w:val="000000"/>
                    <w:kern w:val="2"/>
                    <w:sz w:val="22"/>
                    <w:szCs w:val="22"/>
                    <w:lang w:eastAsia="lt-LT"/>
                  </w:rPr>
                  <w:t>&lt;...&gt;</w:t>
                </w:r>
              </w:p>
              <w:p>
                <w:pPr>
                  <w:tabs>
                    <w:tab w:val="left" w:pos="567"/>
                  </w:tabs>
                  <w:spacing w:line="259" w:lineRule="auto"/>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Taikant šį straipsnį, šios direktyvos 46 ir 60 straipsnius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35 ir 43 straipsnius, terminas „gavyba ar tiekimas“ apima vandenilio gamybą ir tiekimą, o terminas „perdavimas“ – vandenilio transportavimą.</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ind w:firstLine="80"/>
                  <w:jc w:val="both"/>
                  <w:rPr>
                    <w:b/>
                    <w:bCs/>
                    <w:color w:val="000000"/>
                    <w:sz w:val="22"/>
                    <w:szCs w:val="22"/>
                    <w:lang w:eastAsia="lt-LT"/>
                  </w:rPr>
                </w:pPr>
                <w:r>
                  <w:rPr>
                    <w:b/>
                    <w:bCs/>
                    <w:color w:val="000000"/>
                    <w:sz w:val="22"/>
                    <w:szCs w:val="22"/>
                    <w:lang w:eastAsia="lt-LT"/>
                  </w:rPr>
                  <w:t xml:space="preserve">54.  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Vandenilio tiekimu nelaikomas vandenilio naudojimas savoms reikmėms.</w:t>
                </w:r>
              </w:p>
              <w:p>
                <w:pPr>
                  <w:tabs>
                    <w:tab w:val="left" w:pos="10076"/>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1.</w:t>
                  <w:tab/>
                </w:r>
              </w:p>
              <w:p>
                <w:pPr>
                  <w:tabs>
                    <w:tab w:val="left" w:pos="10076"/>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62. Vandenilio transportavimas – vandenilio perdavimas ar skirstymas vandenilio tinklais, siekiant pristatyti jį vartotojams, išskyrus vandenilio tiekimą.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 narė gali nuspręsti netaikyti šio straipsnio 1 dalies vandenilio perdavimo tinklams, priklausantiems vertikaliai integruotai įmonei. Tokiu atveju atitinkama valstybė narė paskiria nepriklausomą vandenilio perdavimo tinklo operatorių, kurio veikla atskirta pagal nepriklausomiems gamtinių dujų sistemos operatoriams taikomas taisykles, nustatytas 61 straipsnyje. Vandenilio perdavimo tinklo operatoriai ir gamtinių dujų perdavimo sistemos operatoriai, kurių veikla atskirta pagal 60 straipsnio 1 dalį, gali veikti kaip nepriklausomi vandenilio perdavimo tinklo operatoriai, jei įvykdyti 69 straipsnio reikalavimai.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2.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jc w:val="both"/>
                  <w:rPr>
                    <w:b/>
                    <w:bCs/>
                    <w:color w:val="000000"/>
                    <w:kern w:val="2"/>
                    <w:sz w:val="22"/>
                    <w:szCs w:val="22"/>
                    <w:lang w:eastAsia="lt-LT"/>
                  </w:rPr>
                </w:pPr>
                <w:r>
                  <w:rPr>
                    <w:b/>
                    <w:bCs/>
                    <w:color w:val="000000"/>
                    <w:kern w:val="2"/>
                    <w:sz w:val="22"/>
                    <w:szCs w:val="22"/>
                    <w:lang w:eastAsia="lt-LT"/>
                  </w:rPr>
                  <w:t>3. Sprendimus dėl turto, kuris reikalingas vandenilio perdavimo tinklui eksploatuoti, prižiūrėti ir (ar) plėtoti, panaudojimo savarankiškai priima vandenilio perdavimo tinklo operatorius.</w:t>
                </w:r>
              </w:p>
              <w:p>
                <w:pPr>
                  <w:tabs>
                    <w:tab w:val="left" w:pos="567"/>
                  </w:tabs>
                  <w:jc w:val="both"/>
                  <w:rPr>
                    <w:b/>
                    <w:bCs/>
                    <w:color w:val="000000"/>
                    <w:kern w:val="2"/>
                    <w:sz w:val="22"/>
                    <w:szCs w:val="22"/>
                    <w:lang w:eastAsia="lt-LT"/>
                  </w:rPr>
                </w:pPr>
                <w:r>
                  <w:rPr>
                    <w:b/>
                    <w:bCs/>
                    <w:color w:val="000000"/>
                    <w:kern w:val="2"/>
                    <w:sz w:val="22"/>
                    <w:szCs w:val="22"/>
                    <w:lang w:eastAsia="lt-LT"/>
                  </w:rPr>
                  <w:t>4. 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ind w:right="57"/>
                  <w:jc w:val="both"/>
                  <w:rPr>
                    <w:b/>
                    <w:bCs/>
                    <w:color w:val="000000"/>
                    <w:kern w:val="2"/>
                    <w:sz w:val="22"/>
                    <w:szCs w:val="22"/>
                    <w:lang w:eastAsia="lt-LT"/>
                  </w:rPr>
                </w:pPr>
                <w:r>
                  <w:rPr>
                    <w:b/>
                    <w:bCs/>
                    <w:color w:val="000000"/>
                    <w:kern w:val="2"/>
                    <w:sz w:val="22"/>
                    <w:szCs w:val="22"/>
                    <w:lang w:eastAsia="lt-LT"/>
                  </w:rPr>
                  <w:t xml:space="preserve">5.  Tas pats asmuo ar asmenys neturi teisės:</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w:t>
                </w:r>
                <w:r>
                  <w:rPr>
                    <w:b/>
                    <w:bCs/>
                    <w:color w:val="000000"/>
                    <w:lang w:eastAsia="lt-LT"/>
                  </w:rPr>
                  <w:t>o</w:t>
                </w: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w:t>
                </w:r>
                <w:r>
                  <w:rPr>
                    <w:b/>
                    <w:bCs/>
                    <w:color w:val="000000"/>
                    <w:lang w:eastAsia="lt-LT"/>
                  </w:rPr>
                  <w:t>o</w:t>
                </w:r>
                <w:r>
                  <w:rPr>
                    <w:b/>
                    <w:bCs/>
                    <w:color w:val="000000"/>
                    <w:sz w:val="22"/>
                    <w:szCs w:val="22"/>
                    <w:lang w:eastAsia="lt-LT"/>
                  </w:rPr>
                  <w:t xml:space="preserve">4) tas pats asmuo neturi teisės kartu būti ir įmonės, vykdančios vandenilio gamybos ir (ar) tiekimo veiklą, ir perdavimo tinklo operatoriaus priežiūros organų, valdymo organų arba teisiškai įmonei atstovaujančių organų </w:t>
                </w:r>
                <w:r>
                  <w:rPr>
                    <w:b/>
                    <w:bCs/>
                    <w:color w:val="000000"/>
                    <w:kern w:val="2"/>
                    <w:sz w:val="22"/>
                    <w:szCs w:val="22"/>
                    <w:lang w:eastAsia="lt-LT"/>
                  </w:rPr>
                  <w:t>nariu.</w:t>
                </w:r>
                <w:r>
                  <w:rPr>
                    <w:b/>
                    <w:bCs/>
                    <w:color w:val="000000"/>
                    <w:sz w:val="22"/>
                    <w:szCs w:val="22"/>
                    <w:lang w:eastAsia="lt-LT"/>
                  </w:rPr>
                  <w:t>oĮmonė</w:t>
                </w:r>
                <w:r>
                  <w:rPr>
                    <w:b/>
                    <w:bCs/>
                    <w:color w:val="000000"/>
                    <w:kern w:val="2"/>
                    <w:sz w:val="22"/>
                    <w:szCs w:val="22"/>
                    <w:lang w:eastAsia="lt-LT"/>
                  </w:rPr>
                  <w:t>, atliekanti kurią nors iš vandenilio gamybos ar tiekimo funkcijų bet kurioje kitoje valstybėje, kurios vandenilio perdavimo tinklas yra sujungtas su Lietuvos Respublikos vandenilio perdavimo tinklu, neturi teisės tiesiogiai ar netiesiogiai kontroliuoti vandenilio perdavimo tinklo</w:t>
                </w:r>
                <w:r>
                  <w:rPr>
                    <w:b/>
                    <w:bCs/>
                    <w:color w:val="000000"/>
                    <w:sz w:val="22"/>
                    <w:szCs w:val="22"/>
                    <w:lang w:eastAsia="lt-LT"/>
                  </w:rPr>
                  <w:t xml:space="preserve"> operatoriaus ar paties vandenilio perdavimo tinklo, ar turėti kokių nors kitų teisių jo </w:t>
                </w:r>
                <w:r>
                  <w:rPr>
                    <w:b/>
                    <w:bCs/>
                    <w:color w:val="000000"/>
                    <w:kern w:val="2"/>
                    <w:sz w:val="22"/>
                    <w:szCs w:val="22"/>
                    <w:lang w:eastAsia="lt-LT"/>
                  </w:rPr>
                  <w:t>atžvilgiu.</w:t>
                </w:r>
                <w:r>
                  <w:rPr>
                    <w:color w:val="000000"/>
                    <w:lang w:eastAsia="lt-LT"/>
                  </w:rPr>
                  <w:t>o</w:t>
                </w:r>
                <w:r>
                  <w:rPr>
                    <w:b/>
                    <w:bCs/>
                    <w:color w:val="000000"/>
                    <w:sz w:val="22"/>
                    <w:szCs w:val="22"/>
                    <w:lang w:eastAsia="lt-LT"/>
                  </w:rPr>
                  <w:t>Šio</w:t>
                </w:r>
                <w:r>
                  <w:rPr>
                    <w:b/>
                    <w:bCs/>
                    <w:color w:val="000000"/>
                    <w:kern w:val="2"/>
                    <w:sz w:val="22"/>
                    <w:szCs w:val="22"/>
                    <w:lang w:eastAsia="lt-LT"/>
                  </w:rPr>
                  <w:t xml:space="preserve">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right="57"/>
                  <w:jc w:val="both"/>
                  <w:rPr>
                    <w:b/>
                    <w:bCs/>
                    <w:color w:val="000000"/>
                    <w:kern w:val="2"/>
                    <w:sz w:val="22"/>
                    <w:szCs w:val="22"/>
                    <w:lang w:eastAsia="lt-LT"/>
                  </w:rPr>
                </w:pPr>
                <w:r>
                  <w:rPr>
                    <w:b/>
                    <w:bCs/>
                    <w:color w:val="000000"/>
                    <w:kern w:val="2"/>
                    <w:sz w:val="22"/>
                    <w:szCs w:val="22"/>
                    <w:lang w:eastAsia="lt-LT"/>
                  </w:rPr>
                  <w:t>6. Šio straipsnio 4 ir 5 dalyse nurodytos teisės apima:</w:t>
                </w:r>
              </w:p>
              <w:p>
                <w:pPr>
                  <w:ind w:right="57"/>
                  <w:jc w:val="both"/>
                  <w:rPr>
                    <w:b/>
                    <w:bCs/>
                    <w:color w:val="000000"/>
                    <w:kern w:val="2"/>
                    <w:sz w:val="22"/>
                    <w:szCs w:val="22"/>
                    <w:lang w:eastAsia="lt-LT"/>
                  </w:rPr>
                </w:pPr>
                <w:r>
                  <w:rPr>
                    <w:b/>
                    <w:bCs/>
                    <w:color w:val="000000"/>
                    <w:kern w:val="2"/>
                    <w:sz w:val="22"/>
                    <w:szCs w:val="22"/>
                    <w:lang w:eastAsia="lt-LT"/>
                  </w:rPr>
                  <w:t>1) įgaliojimus naudotis balsavimo teisėmis;</w:t>
                </w:r>
              </w:p>
              <w:p>
                <w:pPr>
                  <w:ind w:right="57"/>
                  <w:jc w:val="both"/>
                  <w:rPr>
                    <w:b/>
                    <w:bCs/>
                    <w:color w:val="000000"/>
                    <w:kern w:val="2"/>
                    <w:sz w:val="22"/>
                    <w:szCs w:val="22"/>
                    <w:lang w:eastAsia="lt-LT"/>
                  </w:rPr>
                </w:pPr>
                <w:r>
                  <w:rPr>
                    <w:b/>
                    <w:bCs/>
                    <w:color w:val="000000"/>
                    <w:kern w:val="2"/>
                    <w:sz w:val="22"/>
                    <w:szCs w:val="22"/>
                    <w:lang w:eastAsia="lt-LT"/>
                  </w:rPr>
                  <w:t>2) įgaliojimus skirti priežiūros organų, valdymo organų ir kito įmonei atstovaujančio organo narius;</w:t>
                </w:r>
              </w:p>
              <w:p>
                <w:pPr>
                  <w:ind w:right="57"/>
                  <w:jc w:val="both"/>
                  <w:rPr>
                    <w:b/>
                    <w:bCs/>
                    <w:color w:val="000000"/>
                    <w:kern w:val="2"/>
                    <w:sz w:val="22"/>
                    <w:szCs w:val="22"/>
                    <w:lang w:eastAsia="lt-LT"/>
                  </w:rPr>
                </w:pPr>
                <w:r>
                  <w:rPr>
                    <w:b/>
                    <w:bCs/>
                    <w:color w:val="000000"/>
                    <w:kern w:val="2"/>
                    <w:sz w:val="22"/>
                    <w:szCs w:val="22"/>
                    <w:lang w:eastAsia="lt-LT"/>
                  </w:rPr>
                  <w:t>3) kontrolinio akcijų paketo valdymą ir disponavimą juo.</w:t>
                </w:r>
              </w:p>
              <w:p>
                <w:pPr>
                  <w:ind w:right="57"/>
                  <w:jc w:val="both"/>
                  <w:rPr>
                    <w:b/>
                    <w:bCs/>
                    <w:color w:val="000000"/>
                    <w:kern w:val="2"/>
                    <w:sz w:val="22"/>
                    <w:szCs w:val="22"/>
                    <w:lang w:eastAsia="lt-LT"/>
                  </w:rPr>
                </w:pPr>
                <w:r>
                  <w:rPr>
                    <w:b/>
                    <w:bCs/>
                    <w:color w:val="000000"/>
                    <w:kern w:val="2"/>
                    <w:sz w:val="22"/>
                    <w:szCs w:val="22"/>
                    <w:lang w:eastAsia="lt-LT"/>
                  </w:rPr>
                  <w:t>7.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w:t>
                </w:r>
              </w:p>
              <w:p>
                <w:pPr>
                  <w:tabs>
                    <w:tab w:val="left" w:pos="567"/>
                  </w:tabs>
                  <w:ind w:left="709"/>
                  <w:jc w:val="both"/>
                  <w:rPr>
                    <w:b/>
                    <w:bCs/>
                    <w:color w:val="000000"/>
                    <w:kern w:val="2"/>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vandenilio perdavimo tinklas priklauso vienam ar daugiau sertifikuotų gamtinių dujų perdavimo sistemos operatorių arba jeigu 2024 m. rugpjūčio 4 d. vandenilio perdavimo tinklas priklauso vertikaliai integruotai įmonei, vykdančiai vandenilio gamybos arba tiekimo veiklą, valstybės narės gali nuspręsti netaikyti šio straipsnio 1 dalies ir subjektą, kurį kontroliuoja tik perdavimo sistemos operatorius arba bendrai kontroliuoja du ar daugiau perdavimo sistemos operatoriai arba kurį kontroliuoja tik vertikaliai integruota įmonė, vykdanti vandenilio gamybos ar tiekimo veiklą, paskirti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Nepaisant šios dalies pirmos pastraipos, jei valstybė narė leido taikyti nuo 69 straipsnio reikalavimų nukrypti leidžiančią nuostatą pagal to straipsnio 2 dalį, o vandenilio perdavimo tinklas priklauso vienam ar daugiau sertifikuotų gamtinių dujų perdavimo sistemos operatorių, kurių veikla atskirta pagal nepriklausomiems gamtinių dujų perdavimo sistemos operatoriams taikomas taisykles, nustatytas šio skyriaus 3 skirsnyje, valstybės narės gali nuspręsti netaikyti šio straipsnio 1 dalies ir paskirti tą subjektą arba subjektą, kurį bendrai kontroliuoja du ar daugiau perdavimo sistemos operatorių,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įmonė apima perdavimo sistemos operatorių, kurio veikla atskirta pagal 60 straipsnio 1 dalį ir integruotą vandenilio perdavimo tinklo operatorių, ta įmonė gali vykdyti vandenilio gamybos arba tiekimo veiklą, tačiau ne gamtinių dujų ar elektros energijos gamybos ar tiekimo veiklą. Jei tokia įmonė dalyvauja vandenilio gamybos ar tiekimo veikloje, gamtinių dujų perdavimo sistemos operatorius turi laikytis šio skyriaus 3 skirsnyje nustatytų reikalavimų, o įmonė ir visi jos padaliniai neužsako teisių naudotis pajėgumu ir jomis nesinaudoja vandeniliui įleisti į gamtinių dujų perdavimo ar skirstymo sistemą, kurią eksploatuoja įmonė.</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kern w:val="2"/>
                    <w:sz w:val="22"/>
                    <w:szCs w:val="22"/>
                    <w:lang w:eastAsia="lt-LT"/>
                  </w:rPr>
                </w:pPr>
              </w:p>
              <w:p>
                <w:pPr>
                  <w:ind w:left="17"/>
                  <w:jc w:val="both"/>
                  <w:rPr>
                    <w:b/>
                    <w:bCs/>
                    <w:color w:val="000000"/>
                    <w:sz w:val="22"/>
                    <w:szCs w:val="22"/>
                    <w:lang w:eastAsia="lt-LT"/>
                  </w:rPr>
                </w:pPr>
                <w:r>
                  <w:rPr>
                    <w:b/>
                    <w:bCs/>
                    <w:color w:val="000000"/>
                    <w:sz w:val="22"/>
                    <w:szCs w:val="22"/>
                    <w:lang w:eastAsia="lt-LT"/>
                  </w:rPr>
                  <w:t>6. Šio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firstLine="17"/>
                  <w:jc w:val="both"/>
                  <w:rPr>
                    <w:b/>
                    <w:bCs/>
                    <w:color w:val="000000"/>
                    <w:sz w:val="22"/>
                    <w:szCs w:val="22"/>
                    <w:lang w:eastAsia="lt-LT"/>
                  </w:rPr>
                </w:pPr>
                <w:r>
                  <w:rPr>
                    <w:b/>
                    <w:bCs/>
                    <w:color w:val="000000"/>
                    <w:sz w:val="22"/>
                    <w:szCs w:val="22"/>
                    <w:lang w:eastAsia="lt-LT"/>
                  </w:rPr>
                  <w:t xml:space="preserve">&lt;...&gt;. </w:t>
                </w:r>
              </w:p>
            </w:tc>
            <w:tc>
              <w:tcPr>
                <w:tcW w:w="1703" w:type="dxa"/>
                <w:gridSpan w:val="3"/>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operatoriams taikomos 72 straipsnyje nustatytos taisyklės galioja ir vandenilio perdavimo tinklo operatoriams.</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spacing w:line="276" w:lineRule="auto"/>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Horizontalus vandenilio perdavimo tinklo operatorių veiklos rūšių atskyrimas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vandenilio perdavimo tinklo operatorius yra įmonės, kuri užsiima gamtinių dujų arba elektros energijos perdavimo arba skirstymo veikla, dalis, jis turi būti nepriklausomas bent jau teisinės formos atžvilgiu.</w:t>
                </w:r>
              </w:p>
            </w:tc>
            <w:tc>
              <w:tcPr>
                <w:tcW w:w="9407" w:type="dxa"/>
                <w:gridSpan w:val="3"/>
                <w:tcBorders>
                  <w:bottom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72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2. Valstybės narės, remdamosi viešai skelbiama teigiama sąnaudų ir naudos analize, gali leisti vandenilio perdavimo tinklo operatoriams taikyti nuo 1 dalies reikalavimų nukrypti leidžiančią nuostatą, jei reguliavimo institucija pagal 4 dalį pateikia teigiamą įvertinimą.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spacing w:line="276" w:lineRule="auto"/>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3. Pagal 2 dalį leistos taikyti nukrypti leidžiančios nuostatos skelbiamos ir apie jas pranešama Komisijai, kartu pateikiant atitinkamą 4 dalyje nurodytą vertinimą, tuo pat metu išsaugant neskelbtinos komercinės informacijos konfidencialumą.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Vandenilio įstatymo projektas</w:t>
                </w:r>
              </w:p>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right="57"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4. Leisdama taikyti nukrypti leidžiančią nuostatą pagal 2 dalį ir bent kas septynerius metus po to arba gavusi pagrįstą Komisijos prašymą, valstybės narės, leidžiančios taikyti nukrypti leidžiančią nuostatą, reguliavimo institucija paskelbia nukrypti leidžiančios nuostatos poveikio skaidrumui, kryžminėms subsidijoms, tinklo tarifams ir tarpvalstybinei prekybai vertinimą. Tokiame vertinime pateikiamas bent numatomo turto perkėlimo iš gamtinių dujų sektoriaus į vandenilio sektorių kalendorius.</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firstLine="1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17"/>
                  <w:jc w:val="both"/>
                  <w:rPr>
                    <w:color w:val="000000"/>
                    <w:sz w:val="22"/>
                    <w:szCs w:val="22"/>
                    <w:lang w:eastAsia="lt-LT"/>
                  </w:rPr>
                </w:pPr>
              </w:p>
              <w:p>
                <w:pPr>
                  <w:ind w:right="57" w:firstLine="720"/>
                  <w:jc w:val="both"/>
                  <w:rPr>
                    <w:b/>
                    <w:color w:val="000000"/>
                    <w:sz w:val="22"/>
                    <w:szCs w:val="22"/>
                    <w:lang w:eastAsia="lt-LT"/>
                  </w:rPr>
                </w:pPr>
              </w:p>
              <w:p>
                <w:pPr>
                  <w:ind w:right="57" w:firstLine="72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Jei reguliavimo institucija, remdamasi vertinimu, padaro išvadą, kad tolesnis nukrypti leidžiančios nuostatos taikymas turėtų neigiamą poveikį skaidrumui, kryžminėms subsidijoms, tinklo tarifams ir tarpvalstybinei prekybai, arba jei turto perkėlimas iš gamtinių dujų sektoriaus į vandenilio sektorių atliktas, valstybė narė atšaukia leidžiančios nukrypti nuostatos taikymą.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720"/>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Nukrypdamos nuo 2, 3 ir 4 dalių, Estija, Latvija ir Lietuva gali leisti taikyti nuo 1 dalies reikalavimų nukrypti leidžiančias nuostatas vandenilio perdavimo tinklų operatoriams. Apie visus tokius nukrypimus pranešama Komisijai ir jos nustoja galioti ne vėliau kaip 2030 m. gruodžio 31 d. Pasibaigus pagal šią dalį leistos taikyti nukrypti leidžiančios nuostatos galiojimui, Estija, Latvija ir Lietuva gali leisti taikyti nukrypti leidžiančias nuostatas pagal 2, 3 ir 4 dalis.</w:t>
                </w:r>
              </w:p>
            </w:tc>
            <w:tc>
              <w:tcPr>
                <w:tcW w:w="9407" w:type="dxa"/>
                <w:gridSpan w:val="3"/>
                <w:tcBorders>
                  <w:top w:val="single" w:sz="4" w:space="0" w:color="auto"/>
                </w:tcBorders>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tinklų operatorių apskaitos atskyrimas</w:t>
                </w:r>
              </w:p>
            </w:tc>
            <w:tc>
              <w:tcPr>
                <w:tcW w:w="9407" w:type="dxa"/>
                <w:gridSpan w:val="3"/>
                <w:vAlign w:val="center"/>
              </w:tcPr>
              <w:p>
                <w:pPr>
                  <w:ind w:right="57"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vandenilio tinklų operatoriai apskaitą tvarkytų pagal 75 straipsnį.</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p>
              <w:p>
                <w:pPr>
                  <w:tabs>
                    <w:tab w:val="left" w:pos="10076"/>
                    <w:tab w:val="left" w:pos="10992"/>
                    <w:tab w:val="left" w:pos="11908"/>
                    <w:tab w:val="left" w:pos="12824"/>
                    <w:tab w:val="left" w:pos="13740"/>
                    <w:tab w:val="left" w:pos="14656"/>
                  </w:tabs>
                  <w:spacing w:line="276" w:lineRule="auto"/>
                  <w:ind w:firstLine="124"/>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ind w:firstLine="124"/>
                  <w:jc w:val="both"/>
                  <w:rPr>
                    <w:b/>
                    <w:bCs/>
                    <w:color w:val="000000"/>
                    <w:sz w:val="22"/>
                    <w:szCs w:val="22"/>
                    <w:lang w:eastAsia="ar-SA"/>
                  </w:rPr>
                </w:pPr>
                <w:r>
                  <w:rPr>
                    <w:b/>
                    <w:bCs/>
                    <w:color w:val="000000"/>
                    <w:sz w:val="22"/>
                    <w:szCs w:val="22"/>
                    <w:lang w:eastAsia="ar-SA"/>
                  </w:rPr>
                  <w:t>5. Taryba prižiūri:</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5) reguliuojamų ūkio subjektų apskaitų atskyrimą, siekiant išvengti veiklų kryžminio subsidijavimo;</w:t>
                </w:r>
              </w:p>
              <w:p>
                <w:pPr>
                  <w:ind w:right="57"/>
                  <w:jc w:val="both"/>
                  <w:rPr>
                    <w:b/>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720"/>
                  <w:jc w:val="both"/>
                  <w:rPr>
                    <w:b/>
                    <w:bCs/>
                    <w:color w:val="000000"/>
                    <w:sz w:val="22"/>
                    <w:szCs w:val="22"/>
                    <w:lang w:eastAsia="lt-LT"/>
                  </w:rPr>
                </w:pPr>
                <w:r>
                  <w:rPr>
                    <w:b/>
                    <w:bCs/>
                    <w:color w:val="000000"/>
                    <w:sz w:val="22"/>
                    <w:szCs w:val="22"/>
                    <w:lang w:eastAsia="lt-LT"/>
                  </w:rPr>
                  <w:t>&lt;...&gt;</w:t>
                </w:r>
              </w:p>
              <w:p>
                <w:pPr>
                  <w:ind w:right="57"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Prieš įmonę patvirtinant ir paskiriant perdavimo sistemos operatoriumi ar vandenilio perdavimo tinklo operatoriumi, ji sertifikuojama pagal šio straipsnio 4, 5 ir 6 dalis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firstLine="720"/>
                  <w:jc w:val="both"/>
                  <w:rPr>
                    <w:b/>
                    <w:color w:val="000000"/>
                    <w:sz w:val="22"/>
                    <w:szCs w:val="22"/>
                    <w:lang w:eastAsia="lt-LT"/>
                  </w:rPr>
                </w:pP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p>
              <w:p>
                <w:pPr>
                  <w:jc w:val="both"/>
                  <w:rPr>
                    <w:b/>
                    <w:sz w:val="22"/>
                    <w:szCs w:val="22"/>
                    <w:lang w:eastAsia="lt-LT"/>
                  </w:rPr>
                </w:pPr>
                <w:r>
                  <w:rPr>
                    <w:b/>
                    <w:sz w:val="22"/>
                    <w:szCs w:val="22"/>
                    <w:lang w:eastAsia="lt-LT"/>
                  </w:rPr>
                  <w:t>Gamtinių dujų įstatymas</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D13438"/>
                    <w:sz w:val="22"/>
                    <w:szCs w:val="22"/>
                    <w:lang w:eastAsia="lt-LT"/>
                  </w:rPr>
                </w:pP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p>
                <w:pPr>
                  <w:jc w:val="both"/>
                  <w:rPr>
                    <w:color w:val="000000"/>
                    <w:sz w:val="22"/>
                    <w:szCs w:val="22"/>
                    <w:lang w:eastAsia="lt-LT"/>
                  </w:rPr>
                </w:pP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Įmones, kurioms reguliavimo institucija, taikydama sertifikavimo procedūrą, išdavė sertifikatą, patvirtinantį, kad tos įmonės atitinka 60 arba 68 straipsnio reikalavimus, valstybės narės patvirtina ir paskiria perdavimo sistemos operatoriais arba vandenilio perdavimo tinklo operatoriais. Apie perdavimo sistemos operatorių ir vandenilio perdavimo tinklo operatorių paskyrimą pranešama Komisijai ir paskelbiama Europos Sąjungos oficialiajame leidinyje.</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w:t>
                </w:r>
                <w:r>
                  <w:rPr>
                    <w:color w:val="000000"/>
                    <w:sz w:val="22"/>
                    <w:szCs w:val="22"/>
                    <w:lang w:eastAsia="lt-LT"/>
                  </w:rPr>
                  <w:t xml:space="preserve"> </w:t>
                </w:r>
                <w:r>
                  <w:rPr>
                    <w:b/>
                    <w:bCs/>
                    <w:color w:val="000000"/>
                    <w:sz w:val="22"/>
                    <w:szCs w:val="22"/>
                    <w:lang w:eastAsia="lt-LT"/>
                  </w:rPr>
                  <w:t>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b/>
                    <w:bCs/>
                    <w:sz w:val="22"/>
                    <w:szCs w:val="22"/>
                    <w:lang w:eastAsia="lt-LT"/>
                  </w:rPr>
                </w:pPr>
                <w:r>
                  <w:rPr>
                    <w:b/>
                    <w:bCs/>
                    <w:color w:val="000000"/>
                    <w:sz w:val="22"/>
                    <w:szCs w:val="22"/>
                    <w:lang w:eastAsia="lt-LT"/>
                  </w:rPr>
                  <w:t>&lt;...&gt;</w:t>
                </w:r>
              </w:p>
              <w:p>
                <w:pPr>
                  <w:jc w:val="both"/>
                  <w:rPr>
                    <w:sz w:val="22"/>
                    <w:szCs w:val="22"/>
                    <w:lang w:eastAsia="lt-LT"/>
                  </w:rPr>
                </w:pPr>
              </w:p>
              <w:p>
                <w:pPr>
                  <w:jc w:val="both"/>
                  <w:rPr>
                    <w:sz w:val="22"/>
                    <w:szCs w:val="22"/>
                    <w:lang w:eastAsia="lt-LT"/>
                  </w:rPr>
                </w:pPr>
              </w:p>
              <w:p>
                <w:pPr>
                  <w:jc w:val="both"/>
                  <w:rPr>
                    <w:b/>
                    <w:sz w:val="22"/>
                    <w:szCs w:val="22"/>
                    <w:lang w:eastAsia="lt-LT"/>
                  </w:rPr>
                </w:pPr>
                <w:r>
                  <w:rPr>
                    <w:b/>
                    <w:sz w:val="22"/>
                    <w:szCs w:val="22"/>
                    <w:lang w:eastAsia="lt-LT"/>
                  </w:rPr>
                  <w:t>Gamtinių dujų įstatymas</w:t>
                </w:r>
              </w:p>
              <w:p>
                <w:pPr>
                  <w:jc w:val="both"/>
                  <w:rPr>
                    <w:b/>
                    <w:sz w:val="22"/>
                    <w:szCs w:val="22"/>
                    <w:lang w:val="lt" w:eastAsia="lt-LT"/>
                  </w:rPr>
                </w:pPr>
                <w:r>
                  <w:rPr>
                    <w:b/>
                    <w:sz w:val="22"/>
                    <w:szCs w:val="22"/>
                    <w:lang w:val="lt" w:eastAsia="lt-LT"/>
                  </w:rPr>
                  <w:t>28 straipsnis. Perdavimo sistemos operatoriaus paskyrimas</w:t>
                </w:r>
              </w:p>
              <w:p>
                <w:pPr>
                  <w:jc w:val="both"/>
                  <w:rPr>
                    <w:color w:val="000000"/>
                    <w:sz w:val="22"/>
                    <w:szCs w:val="22"/>
                    <w:lang w:eastAsia="lt-LT"/>
                  </w:rPr>
                </w:pPr>
                <w:r>
                  <w:rPr>
                    <w:color w:val="000000"/>
                    <w:sz w:val="22"/>
                    <w:szCs w:val="22"/>
                    <w:lang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eastAsia="lt-LT"/>
                  </w:rPr>
                </w:pPr>
                <w:r>
                  <w:rPr>
                    <w:color w:val="000000"/>
                    <w:sz w:val="22"/>
                    <w:szCs w:val="22"/>
                    <w:lang w:eastAsia="lt-LT"/>
                  </w:rPr>
                  <w:t>2. Sprendimas dėl perdavimo sistemos operatoriaus paskyrimo ir licencijos išdavimo yra priimamas per keturių mėnesių laikotarpį nuo visų dokumentų, reikalingų licencijai išduoti, gavimo dienos. Jeigu Taryba nepriima jokio sprendimo iki šio laikotarpio pabaigos, laikoma, kad licencija yra išduota ir gamtinių dujų įmonė paskiriama perdavimo sistemos operatoriumi.</w:t>
                </w:r>
              </w:p>
              <w:p>
                <w:pPr>
                  <w:jc w:val="both"/>
                  <w:rPr>
                    <w:color w:val="000000"/>
                    <w:sz w:val="22"/>
                    <w:szCs w:val="22"/>
                    <w:lang w:eastAsia="lt-LT"/>
                  </w:rPr>
                </w:pPr>
                <w:r>
                  <w:rPr>
                    <w:color w:val="000000"/>
                    <w:sz w:val="22"/>
                    <w:szCs w:val="22"/>
                    <w:lang w:eastAsia="lt-LT"/>
                  </w:rPr>
                  <w:t>3. Priimdama sprendimą, Taryba atsižvelgia į Europos Komisijos poziciją, jeigu Europos Komisija ją pateikia. Jeigu Europos Komisija nepateikia nuomonės perdavimo sistemos operatoriaus paskyrimo klausimu, laikoma, kad ji neprieštarauja Tarybos sprendimui.</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Sertifikuotos įmonės reguliavimo institucijai praneša apie visus planuojamus sandorius, kuriuos gali reikėti iš naujo įvertinti, siekiant nustatyti, ar jie atitinka 60 arba 68 straipsnio reikalavimus. </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firstLine="17"/>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2. Sertifikuotos įmonės Tarybai praneša apie visus planuojamus sandorius, kuriuos Tarybai gali reikėti iš naujo įvertinti, siekiant nustatyti, ar jos atitinka vandenilio perdavimo tinklo operatoriaus nepriklausomumo ir veiklos rūšių atskyrimo reikalavimus, taip pat kitas aplinkybes, dėl kurių gali reikėti iš naujo įvertinti, ar jos atitinka 39 straipsnyje nustatytus reikalavimus.</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Kiekvienas perdavimo sistemos operatorius Tarybai praneša apie visus planuojamus sandorius, kuriuos Tarybai gali reikėti įvertinti, siekiant nustatyti, ar perdavimo sistemos operatorius atitinka šio įstatymo ketvirtojo skirsnio reikalavimus.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stebi, ar sertifikuotos įmonės nuolat laikosi 60 arba 68 straipsnio reikalavimų. Jos pradeda sertifikavimo procedūrą siekdamos užtikrinti tokią atitiktį:</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color w:val="000000"/>
                    <w:sz w:val="22"/>
                    <w:szCs w:val="22"/>
                    <w:lang w:eastAsia="lt-LT"/>
                  </w:rPr>
                  <w:t>Straipsnio pakeitimai:</w:t>
                </w:r>
              </w:p>
              <w:p>
                <w:pPr>
                  <w:jc w:val="both"/>
                  <w:rPr>
                    <w:sz w:val="22"/>
                    <w:szCs w:val="22"/>
                    <w:lang w:eastAsia="lt-LT"/>
                  </w:rPr>
                </w:pPr>
                <w:r>
                  <w:rPr>
                    <w:i/>
                    <w:color w:val="000000"/>
                    <w:sz w:val="22"/>
                    <w:szCs w:val="22"/>
                    <w:lang w:eastAsia="lt-LT"/>
                  </w:rPr>
                  <w:t>Nr. </w:t>
                </w:r>
                <w:hyperlink r:id="rId124" w:tgtFrame="_parent" w:history="1">
                  <w:r>
                    <w:rPr>
                      <w:i/>
                      <w:sz w:val="22"/>
                      <w:szCs w:val="22"/>
                      <w:lang w:eastAsia="lt-LT"/>
                    </w:rPr>
                    <w:t>XI-2054</w:t>
                  </w:r>
                </w:hyperlink>
                <w:r>
                  <w:rPr>
                    <w:i/>
                    <w:color w:val="000000"/>
                    <w:sz w:val="22"/>
                    <w:szCs w:val="22"/>
                    <w:lang w:eastAsia="lt-LT"/>
                  </w:rPr>
                  <w:t xml:space="preserve">, 2012-06-12, Žin., 2012, Nr. </w:t>
                </w:r>
                <w:fldSimple w:instr="HYPERLINK https://www.e-tar.lt/portal/legalAct.html?documentId=TAIS.427222 \t _blank">
                  <w:r>
                    <w:rPr>
                      <w:i/>
                      <w:color w:val="0000FF" w:themeColor="hyperlink"/>
                      <w:sz w:val="22"/>
                      <w:szCs w:val="22"/>
                      <w:lang w:eastAsia="lt-LT"/>
                      <w:u w:val="single"/>
                    </w:rPr>
                    <w:t>68-3467</w:t>
                  </w:r>
                </w:fldSimple>
                <w:r>
                  <w:rPr>
                    <w:i/>
                    <w:color w:val="000000"/>
                    <w:sz w:val="22"/>
                    <w:szCs w:val="22"/>
                    <w:lang w:eastAsia="lt-LT"/>
                  </w:rPr>
                  <w:t xml:space="preserve"> (2012-06-19)</w:t>
                </w:r>
              </w:p>
              <w:p>
                <w:pPr>
                  <w:jc w:val="both"/>
                  <w:rPr>
                    <w:sz w:val="22"/>
                    <w:szCs w:val="22"/>
                    <w:lang w:eastAsia="lt-LT"/>
                  </w:rPr>
                </w:pPr>
                <w:r>
                  <w:rPr>
                    <w:i/>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25" w:tgtFrame="_parent" w:history="1">
                  <w:r>
                    <w:rPr>
                      <w:i/>
                      <w:sz w:val="22"/>
                      <w:szCs w:val="22"/>
                      <w:lang w:eastAsia="lt-LT"/>
                    </w:rPr>
                    <w:t>XIII-1971</w:t>
                  </w:r>
                </w:hyperlink>
                <w:r>
                  <w:rPr>
                    <w:i/>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gavusios sertifikuotos įmonės pranešimą pagal 3 dalį;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1296"/>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ind w:firstLine="17"/>
                  <w:jc w:val="both"/>
                  <w:rPr>
                    <w:color w:val="000000"/>
                    <w:sz w:val="22"/>
                    <w:szCs w:val="22"/>
                    <w:lang w:eastAsia="lt-LT"/>
                  </w:rPr>
                </w:pPr>
                <w:r>
                  <w:rPr>
                    <w:color w:val="000000"/>
                    <w:sz w:val="22"/>
                    <w:szCs w:val="22"/>
                    <w:lang w:eastAsia="lt-LT"/>
                  </w:rPr>
                  <w:t>1) gaunamas perdavimo sistemos operatoriaus pranešimas pagal šio straipsnio 5 dalį;</w:t>
                </w:r>
              </w:p>
              <w:p>
                <w:pPr>
                  <w:ind w:firstLine="17"/>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ind w:firstLine="17"/>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ind w:firstLine="17"/>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6"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sz w:val="22"/>
                    <w:szCs w:val="22"/>
                    <w:lang w:eastAsia="lt-LT"/>
                  </w:rPr>
                </w:pPr>
                <w:r>
                  <w:rPr>
                    <w:i/>
                    <w:iCs/>
                    <w:color w:val="000000"/>
                    <w:sz w:val="22"/>
                    <w:szCs w:val="22"/>
                    <w:lang w:eastAsia="lt-LT"/>
                  </w:rPr>
                  <w:t>Straipsnio pakeitimai:</w:t>
                </w:r>
              </w:p>
              <w:p>
                <w:pPr>
                  <w:ind w:firstLine="17"/>
                  <w:jc w:val="both"/>
                  <w:rPr>
                    <w:color w:val="000000"/>
                    <w:sz w:val="22"/>
                    <w:szCs w:val="22"/>
                    <w:lang w:eastAsia="lt-LT"/>
                  </w:rPr>
                </w:pPr>
                <w:r>
                  <w:rPr>
                    <w:i/>
                    <w:iCs/>
                    <w:color w:val="000000"/>
                    <w:sz w:val="22"/>
                    <w:szCs w:val="22"/>
                    <w:lang w:eastAsia="lt-LT"/>
                  </w:rPr>
                  <w:t>Nr. </w:t>
                </w:r>
                <w:hyperlink r:id="rId127"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savo iniciatyva, jeigu jos sužino, kad dėl numatyto teisių pakeitimo ar poveikio sertifikuotoms įmonėms arba perdavimo sistemos savininkams gali būti pažeistas 60 arba 68 straipsnis, arba jeigu jos turi pagrindo manyti, jog toks pažeidimas jau galėjo būti padarytas, arba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color w:val="000000"/>
                    <w:sz w:val="22"/>
                    <w:szCs w:val="22"/>
                    <w:lang w:eastAsia="lt-LT"/>
                  </w:rPr>
                </w:pPr>
                <w:r>
                  <w:rPr>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28"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29"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gavusios pagrįstą Komisijos prašymą.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color w:val="000000"/>
                    <w:sz w:val="22"/>
                    <w:szCs w:val="22"/>
                    <w:lang w:eastAsia="lt-LT"/>
                  </w:rPr>
                </w:pPr>
                <w:r>
                  <w:rPr>
                    <w:b/>
                    <w:bCs/>
                    <w:color w:val="000000"/>
                    <w:sz w:val="22"/>
                    <w:szCs w:val="22"/>
                    <w:lang w:eastAsia="lt-LT"/>
                  </w:rPr>
                  <w:t>3) gavusi pagrįstą Europos Komisijos prašymą</w:t>
                </w:r>
                <w:r>
                  <w:rPr>
                    <w:color w:val="000000"/>
                    <w:sz w:val="22"/>
                    <w:szCs w:val="22"/>
                    <w:lang w:eastAsia="lt-LT"/>
                  </w:rPr>
                  <w:t>.</w:t>
                </w:r>
              </w:p>
              <w:p>
                <w:pPr>
                  <w:spacing w:line="276" w:lineRule="auto"/>
                  <w:ind w:right="57" w:hanging="18"/>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30"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31"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Reguliavimo institucijos priima sprendimą dėl perdavimo sistemos operatoriaus arba vandenilio perdavimo tinklo operatoriaus sertifikavimo per 100 darbo dienų nuo perdavimo sistemos operatoriaus arba vandenilio perdavimo tinklo operatoriaus pranešimo arba Komisijos prašymo pateikimo dienos. Pasibaigus tam laikotarpiui laikoma, kad sertifikatas išduotas. Oficialus arba numanomas reguliavimo institucijos sprendimas įsigalioja tik užbaigus 6 dalyje nustatytą procedūrą.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įstatymo pakeitimo įstatymas Nr. XV-240</w:t>
                </w:r>
              </w:p>
              <w:p>
                <w:pPr>
                  <w:jc w:val="both"/>
                  <w:rPr>
                    <w:b/>
                    <w:bCs/>
                    <w:color w:val="000000"/>
                    <w:sz w:val="22"/>
                    <w:szCs w:val="22"/>
                    <w:lang w:eastAsia="lt-LT"/>
                  </w:rPr>
                </w:pPr>
                <w:r>
                  <w:rPr>
                    <w:b/>
                    <w:bCs/>
                    <w:color w:val="000000"/>
                    <w:sz w:val="22"/>
                    <w:szCs w:val="22"/>
                    <w:lang w:eastAsia="lt-LT"/>
                  </w:rPr>
                  <w:t xml:space="preserve">9 straipsnis. 28 straipsnio 2 dalies pakeitimas </w:t>
                </w:r>
              </w:p>
              <w:p>
                <w:pPr>
                  <w:ind w:firstLine="720"/>
                  <w:jc w:val="both"/>
                  <w:rPr>
                    <w:b/>
                    <w:bCs/>
                    <w:color w:val="000000"/>
                    <w:sz w:val="22"/>
                    <w:szCs w:val="22"/>
                    <w:lang w:eastAsia="lt-LT"/>
                  </w:rPr>
                </w:pPr>
                <w:r>
                  <w:rPr>
                    <w:b/>
                    <w:bCs/>
                    <w:color w:val="000000"/>
                    <w:sz w:val="22"/>
                    <w:szCs w:val="22"/>
                    <w:lang w:eastAsia="lt-LT"/>
                  </w:rPr>
                  <w:t>Pakeisti 28 straipsnio 2 dalį ir ją išdėstyti taip:</w:t>
                </w:r>
              </w:p>
              <w:p>
                <w:pPr>
                  <w:ind w:firstLine="720"/>
                  <w:jc w:val="both"/>
                  <w:rPr>
                    <w:color w:val="000000"/>
                    <w:sz w:val="22"/>
                    <w:szCs w:val="22"/>
                    <w:lang w:eastAsia="lt-LT"/>
                  </w:rPr>
                </w:pPr>
                <w:r>
                  <w:rPr>
                    <w:color w:val="000000"/>
                    <w:sz w:val="22"/>
                    <w:szCs w:val="22"/>
                    <w:lang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eastAsia="lt-LT"/>
                      <w:u w:val="single"/>
                    </w:rPr>
                    <w:t>(EB) Nr. 1775/2005</w:t>
                  </w:r>
                </w:fldSimple>
                <w:r>
                  <w:rPr>
                    <w:color w:val="000000"/>
                    <w:sz w:val="22"/>
                    <w:szCs w:val="22"/>
                    <w:lang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(Žin., 2011, Nr. </w:t>
                </w:r>
                <w:fldSimple w:instr="HYPERLINK https://www.e-tar.lt/portal/legalAct.html?documentId=TAIS.403381 \t _blank">
                  <w:r>
                    <w:rPr>
                      <w:color w:val="0000FF" w:themeColor="hyperlink"/>
                      <w:sz w:val="22"/>
                      <w:szCs w:val="22"/>
                      <w:lang w:eastAsia="lt-LT"/>
                      <w:u w:val="single"/>
                    </w:rPr>
                    <w:t>87-4187</w:t>
                  </w:r>
                </w:fldSimple>
                <w:r>
                  <w:rPr>
                    <w:color w:val="000000"/>
                    <w:sz w:val="22"/>
                    <w:szCs w:val="22"/>
                    <w:lang w:eastAsia="lt-LT"/>
                  </w:rPr>
                  <w:t>) nustatytas procedūras ir bus paskirtas gamtinių dujų perdavimo sistemos operatorius, atitinkantis šio įstatymo ketvirtajame ir aštuntajame skirsniuose nustatytus reikalavimus.“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ind w:firstLine="720"/>
                  <w:jc w:val="both"/>
                  <w:rPr>
                    <w:b/>
                    <w:bCs/>
                    <w:color w:val="000000"/>
                    <w:sz w:val="22"/>
                    <w:szCs w:val="22"/>
                    <w:lang w:eastAsia="lt-LT"/>
                  </w:rPr>
                </w:pPr>
                <w:r>
                  <w:rPr>
                    <w:b/>
                    <w:bCs/>
                    <w:color w:val="000000"/>
                    <w:sz w:val="22"/>
                    <w:szCs w:val="22"/>
                    <w:lang w:eastAsia="lt-LT"/>
                  </w:rPr>
                  <w:t>IV. DOKUMENTŲ NAGRINĖJIMO TVARKA IR TERMINAI</w:t>
                </w:r>
              </w:p>
              <w:p>
                <w:pPr>
                  <w:ind w:firstLine="50"/>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ind w:firstLine="777"/>
                  <w:jc w:val="both"/>
                  <w:rPr>
                    <w:b/>
                    <w:bCs/>
                    <w:color w:val="000000"/>
                    <w:sz w:val="22"/>
                    <w:szCs w:val="22"/>
                    <w:lang w:eastAsia="lt-LT"/>
                  </w:rPr>
                </w:pPr>
              </w:p>
              <w:p>
                <w:pPr>
                  <w:ind w:firstLine="720"/>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Atitinkamos nuostatos bus perkeltos atskiru Gamtinių dujų įstatymo pakeitimo įstatymo projektu (planuojama LRS 2026 m. rudens sesijoje).</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Apie oficialų arba numanomą sprendimą dėl sertifikavimo reguliavimo institucija nedelsdama praneša Komisijai kartu pateikdama visą svarbią su tuo sprendimu susijusią informaciją. Komisija imasi veiksmų, laikydamasi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nustatytos tvarkos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w:t>
                </w:r>
              </w:p>
              <w:p>
                <w:pPr>
                  <w:spacing w:line="276" w:lineRule="auto"/>
                  <w:ind w:right="57" w:firstLine="720"/>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27 straipsnis. Perdavimo sistemos operatorius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Licencijavimo taisyklių pakeitimas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w:t>
                </w:r>
              </w:p>
              <w:p>
                <w:pPr>
                  <w:ind w:firstLine="17"/>
                  <w:jc w:val="both"/>
                  <w:rPr>
                    <w:b/>
                    <w:bCs/>
                    <w:color w:val="000000"/>
                    <w:sz w:val="22"/>
                    <w:szCs w:val="22"/>
                    <w:lang w:eastAsia="lt-LT"/>
                  </w:rPr>
                </w:pPr>
                <w:r>
                  <w:rPr>
                    <w:b/>
                    <w:bCs/>
                    <w:color w:val="000000"/>
                    <w:sz w:val="22"/>
                    <w:szCs w:val="22"/>
                    <w:lang w:eastAsia="lt-LT"/>
                  </w:rPr>
                  <w:t>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4"/>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17"/>
                  <w:jc w:val="both"/>
                  <w:rPr>
                    <w:color w:val="000000"/>
                    <w:sz w:val="22"/>
                    <w:szCs w:val="22"/>
                    <w:lang w:eastAsia="lt-LT"/>
                  </w:rPr>
                </w:pPr>
                <w:r>
                  <w:rPr>
                    <w:color w:val="000000"/>
                    <w:sz w:val="22"/>
                    <w:szCs w:val="22"/>
                    <w:lang w:eastAsia="lt-LT"/>
                  </w:rPr>
                  <w:t xml:space="preserve">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 </w:t>
                </w:r>
              </w:p>
              <w:p>
                <w:pPr>
                  <w:ind w:firstLine="17"/>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Reguliavimo institucijos ir Komisija perdavimo sistemos operatorių, vandenilio perdavimo tinklų operatorių ir įmonių, atliekančių kurią nors iš gavybos ar tiekimo funkcijų, gali prašyti pateikti visą informaciją, kuri reikalinga šiame straipsnyje nustatytoms jų užduotims atlikti.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27 straipsnis. Vandenilio perdavimo tinklo operatoriaus paskyrimas ir sertifikavimas</w:t>
                </w:r>
              </w:p>
              <w:p>
                <w:pPr>
                  <w:ind w:firstLine="17"/>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5. Taryba ir Europos Komisija turi teisę vandenilio perdavimo tinklo operatoriaus ir įmonių, atliekančių kurią nors iš vandenilio gamybos ar vandenilio tiekimo funkcijų, prašyti pateikti visą informaciją, kuri reikalinga šiame straipsnyje nustatytoms jos užduotims atlikti.</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8 straipsnis. Tarybos teisės ir įgaliojimai gamtinių dujų sektoriuje</w:t>
                </w:r>
              </w:p>
              <w:p>
                <w:pPr>
                  <w:ind w:firstLine="720"/>
                  <w:jc w:val="both"/>
                  <w:rPr>
                    <w:color w:val="000000"/>
                    <w:sz w:val="22"/>
                    <w:szCs w:val="22"/>
                    <w:lang w:eastAsia="lt-LT"/>
                  </w:rPr>
                </w:pPr>
                <w:r>
                  <w:rPr>
                    <w:color w:val="000000"/>
                    <w:sz w:val="22"/>
                    <w:szCs w:val="22"/>
                    <w:lang w:eastAsia="lt-LT"/>
                  </w:rPr>
                  <w:t>Taryba, siekdama šio įstatymo tikslų ir atlikdama šiame įstatyme jai nustatytas funkcijas, turi teisę:</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ir Europos Komisija bet kuriuo procedūros metu gali prašyti, kad asmuo, siekiantis tapti perdavimo sistemos operatoriumi, pateiktų visą informaciją, svarbią sprendimui dėl perdavimo sistemos operatoriaus paskyrimo priimti.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institucijos ir Komisija išsaugo komerciniu požiūriu neskelbtinos komercinės informacijos konfidencialumą.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 xml:space="preserve">27 straipsnis. Vandenilio perdavimo tinklo operatoriaus paskyrimas ir sertifikavimas  </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6. Taryba užtikrina vandenilio perdavimo tinklo operatoriaus ar kitų asmenų pateiktos informacijos, laikomos komercine (gamybine) ar profesine paslaptimi, konfidencialumą.</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ind w:firstLine="17"/>
                  <w:jc w:val="both"/>
                  <w:rPr>
                    <w:b/>
                    <w:bCs/>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Su trečiosiomis valstybėmis susijęs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perdavimo sistemos savininkas, perdavimo sistemos operatorius, vandenilio perdavimo tinklo operatorius arba vandenilio perdavimo tinklo savininkas, kuriuos kontroliuoja asmuo iš trečiosios valstybės, prašo atlikti sertifikavimą, reguliavimo institucija apie tai praneša Komisijai.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Jeigu perdavimo sistemos operatorius, kurį kontroliuoja asmuo ar asmenys iš trečiosios valstybės ar valstybių, prašo išduoti licenciją, Taryba apie tai praneša Europos Komisijai. Taryba informuoja Europos Komisiją ir apie visas kitas aplinkybes, kurių rezultatas būtų tas, kad asmuo ar asmenys iš trečiosios valstybės ar valstybių įgytų perdavimo sistemos ar perdavimo sistemos operatoriaus kontrolę.</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institucija taip pat nedelsdama praneša Komisijai apie visas aplinkybes, kurių rezultatas būtų tas, kad asmuo iš trečiosios valstybės įgytų perdavimo sistemos, perdavimo sistemos operatoriaus, vandenilio perdavimo tinklo arba vandenilio perdavimo tinklo operatoriaus kontrolę.</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&lt;...&gt; Taryba informuoja Europos Komisiją ir apie visas kitas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arba vandenilio perdavimo tinklo operatorius praneša reguliavimo institucijai apie visas aplinkybes, kurių rezultatas būtų tas, kad asmuo iš trečiosios valstybės įgytų perdavimo sistemos, perdavimo sistemos operatoriaus, vandenilio perdavimo tinklo ar vandenilio perdavimo tinklo operatoriaus kontrolę.</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Reguliavimo institucija priima sprendimo dėl perdavimo sistemos operatoriaus arba vandenilio perdavimo tinklo operatoriaus sertifikavimo projektą per 100 darbo dienų nuo perdavimo sistemos operatoriaus arba vandenilio tinklo operatoriaus pranešimo pateikimo dienos. Ji atsisako išduoti sertifikatą, jeigu:</w:t>
                </w:r>
              </w:p>
            </w:tc>
            <w:tc>
              <w:tcPr>
                <w:tcW w:w="9407" w:type="dxa"/>
                <w:gridSpan w:val="3"/>
                <w:vMerge w:val="restart"/>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tabs>
                    <w:tab w:val="left" w:pos="567"/>
                  </w:tabs>
                  <w:jc w:val="both"/>
                  <w:rPr>
                    <w:color w:val="000000"/>
                    <w:sz w:val="22"/>
                    <w:szCs w:val="22"/>
                    <w:lang w:eastAsia="lt-LT"/>
                  </w:rPr>
                </w:pPr>
                <w:r>
                  <w:rPr>
                    <w:color w:val="000000"/>
                    <w:sz w:val="22"/>
                    <w:szCs w:val="22"/>
                    <w:lang w:eastAsia="lt-LT"/>
                  </w:rPr>
                  <w:t>3. Numanomas sprendimas dėl perdavimo sistemos operatoriaus paskyrimo ir licencijos išdavimo yra priimamas per keturių mėnesių laikotarpį (šio įstatymo 28 straipsnio 2 dalyje nurodytos išimties atveju perdavimo licencija išduodama pagal šio įstatymo 21 straipsnio 2 dalį) nuo visų pareiškėjo pateiktų dokumentų, reikalingų licencijai išduoti, gavimo dienos. Numanomas sprendimas notifikuojamas Europos Komisijai. Taryba, prieš priimdama galutinį sprendimą dėl perdavimo sistemos operatoriaus paskyrimo ir licencijos išdavimo, kreipiasi į Europos Komisiją dėl nuomonės, patvirtinančios, kad:</w:t>
                </w:r>
              </w:p>
              <w:p>
                <w:pPr>
                  <w:ind w:firstLine="720"/>
                  <w:jc w:val="both"/>
                  <w:rPr>
                    <w:color w:val="000000"/>
                    <w:sz w:val="22"/>
                    <w:szCs w:val="22"/>
                    <w:lang w:eastAsia="lt-LT"/>
                  </w:rPr>
                </w:pPr>
                <w:r>
                  <w:rPr>
                    <w:color w:val="000000"/>
                    <w:sz w:val="22"/>
                    <w:szCs w:val="22"/>
                    <w:lang w:eastAsia="lt-LT"/>
                  </w:rPr>
                  <w:t>1) tenkinami Europos Sąjungos teisės aktų reikalavimai dėl veiklų atskyrimo;</w:t>
                </w:r>
              </w:p>
              <w:p>
                <w:pPr>
                  <w:ind w:firstLine="720"/>
                  <w:jc w:val="both"/>
                  <w:rPr>
                    <w:color w:val="000000"/>
                    <w:sz w:val="22"/>
                    <w:szCs w:val="22"/>
                    <w:lang w:eastAsia="lt-LT"/>
                  </w:rPr>
                </w:pPr>
                <w:r>
                  <w:rPr>
                    <w:color w:val="000000"/>
                    <w:sz w:val="22"/>
                    <w:szCs w:val="22"/>
                    <w:lang w:eastAsia="lt-LT"/>
                  </w:rPr>
                  <w:t>2) išdavus licenciją, nekils pavojus Europos Sąjungoje vykstančiam energijos tiekimui.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neįrodoma, kad atitinkamas subjektas laikosi 60 arba 68 straipsnio reikalavimų, ir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institucijai arba kitai valstybės narės paskirtai kompetentingai institucijai neįrodoma, kad sertifikato išdavimas nesukels pavojaus energijos tiekimo valstybei narei ir Sąjungai saugumui arba valstybės narės ir Sąjungos esminiams saugumo interesams; svarstydama tą klausimą reguliavimo institucija arba kita taip paskirta kompetentinga institucija atsižvelgia į:</w:t>
                </w:r>
              </w:p>
            </w:tc>
            <w:tc>
              <w:tcPr>
                <w:tcW w:w="9407" w:type="dxa"/>
                <w:gridSpan w:val="3"/>
                <w:vMerge/>
              </w:tcPr>
              <w:p>
                <w:pPr>
                  <w:ind w:firstLine="17"/>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 </w:t>
                </w:r>
              </w:p>
            </w:tc>
            <w:tc>
              <w:tcPr>
                <w:tcW w:w="9407" w:type="dxa"/>
                <w:gridSpan w:val="3"/>
                <w:vMerge w:val="restart"/>
              </w:tcPr>
              <w:p>
                <w:pPr>
                  <w:tabs>
                    <w:tab w:val="left" w:pos="567"/>
                  </w:tabs>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per du mėnesius nuo dienos, kai buvo gauta ar turėjo būti gauta, tačiau nebuvo pateikta, Europos Komisijos nuomonė, atsižvelgdama į Europos Komisijos poziciją, jeigu tokia buvo pateikta, priima galutinį sprendimą dėl perdavimo sistemos operatoriaus paskyrimo. Taryba paskiria operatorių, jeigu operatorius įrodo, kad:</w:t>
                </w:r>
              </w:p>
              <w:p>
                <w:pPr>
                  <w:ind w:firstLine="720"/>
                  <w:jc w:val="both"/>
                  <w:rPr>
                    <w:color w:val="000000"/>
                    <w:sz w:val="22"/>
                    <w:szCs w:val="22"/>
                    <w:lang w:eastAsia="lt-LT"/>
                  </w:rPr>
                </w:pPr>
                <w:r>
                  <w:rPr>
                    <w:color w:val="000000"/>
                    <w:sz w:val="22"/>
                    <w:szCs w:val="22"/>
                    <w:lang w:eastAsia="lt-LT"/>
                  </w:rPr>
                  <w:t>1) jis atitinka šio įstatymo ketvirtojo skirsnio reikalavimus;</w:t>
                </w:r>
              </w:p>
              <w:p>
                <w:pPr>
                  <w:ind w:firstLine="720"/>
                  <w:jc w:val="both"/>
                  <w:rPr>
                    <w:color w:val="000000"/>
                    <w:sz w:val="22"/>
                    <w:szCs w:val="22"/>
                    <w:lang w:eastAsia="lt-LT"/>
                  </w:rPr>
                </w:pPr>
                <w:r>
                  <w:rPr>
                    <w:color w:val="000000"/>
                    <w:sz w:val="22"/>
                    <w:szCs w:val="22"/>
                    <w:lang w:eastAsia="lt-LT"/>
                  </w:rPr>
                  <w:t>2) jo paskyrimas nesukelia pavojaus Lietuvos Respublikos, kitos valstybės narės arba Europos Sąjungos energijos tiekimui ir šio tiekimo saugumui. Taryba numanomo sprendimo dėl perdavimo sistemos operatoriaus paskyrimo ir licencijos išdavimo priėmimo metu vertindama, ar perdavimo sistemos operatoriaus paskyrimas nesukelia pavojaus Lietuvos Respublikos, kitos valstybės narės arba Europos Sąjungos energijos tiekimui ir šio tiekimo saugumui, atsižvelgia į Europos Sąjungos teises ir pareigas, numatytas pagal tarptautinę teisę, tos trečiosios valstybės atžvilgiu, įskaitant visus susitarimus, sudarytus su viena ar daugiau trečiųjų valstybių, kurių viena susitariančioji šalis yra Europos Sąjunga, ir kuriuose nagrinėjami energijos tiekimo saugumo klausimai, taip pat į Lietuvos Respublikos teises ir pareigas, numatytas pagal su ja sudarytus susitarimus, jeigu jie atitinka Europos Sąjungos teisę, tos trečiosios valstybės atžvilgiu, ir kitus konkrečius faktus bei aplinkybes, dėl kurių perdavimo sistemos operatoriaus paskyrimas sukeltų pavojų Lietuvos Respublikos, kitos valstybės narės arba Europos Sąjungos energijos tiekimui ir šio tiekimo saugumui ir į atitinkamą trečiąją valstybę;</w:t>
                </w:r>
              </w:p>
              <w:p>
                <w:pPr>
                  <w:ind w:firstLine="720"/>
                  <w:jc w:val="both"/>
                  <w:rPr>
                    <w:color w:val="000000"/>
                    <w:sz w:val="22"/>
                    <w:szCs w:val="22"/>
                    <w:lang w:eastAsia="lt-LT"/>
                  </w:rPr>
                </w:pPr>
                <w:r>
                  <w:rPr>
                    <w:color w:val="000000"/>
                    <w:sz w:val="22"/>
                    <w:szCs w:val="22"/>
                    <w:lang w:eastAsia="lt-LT"/>
                  </w:rPr>
                  <w:t>3) nepažeidžiami teisėti visuomenės saugumo interesai.</w:t>
                </w:r>
              </w:p>
              <w:p>
                <w:pPr>
                  <w:tabs>
                    <w:tab w:val="left" w:pos="567"/>
                  </w:tabs>
                  <w:jc w:val="both"/>
                  <w:rPr>
                    <w:b/>
                    <w:bCs/>
                    <w:color w:val="000000"/>
                    <w:sz w:val="22"/>
                    <w:szCs w:val="22"/>
                    <w:lang w:eastAsia="lt-LT"/>
                  </w:rPr>
                </w:pPr>
              </w:p>
              <w:p>
                <w:pPr>
                  <w:ind w:firstLine="720"/>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valstybės narės teises ir pareigas tos trečiosios valstybės atžvilgiu, kurios numatytos pagal su ja sudarytus susitarimus, jei jie atitinka Sąjungos teisę;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nuosavybės, tiekimo arba kitus komercinius santykius, kurie galėtų neigiamai paveikti paskatas perdavimo sistemos savininkui, perdavimo sistemos operatoriui, vandenilio perdavimo tinklo savininkui ar vandenilio perdavimo tinklo operatoriui ir jų gebėjimą tiekti gamtines dujas arba vandenilį valstybei narei arba Sąjungai;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iv) kitus konkrečius to atvejo faktus bei aplinkybes ir atitinkamą trečiąją valstybę.</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Reguliavimo institucija nedelsdama pateikia Komisijai sprendimo projektą ir kartu pateikia visą svarbią su tuo sprendimu susijusią informaciją.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numato, kad reguliavimo institucija arba paskirta kompetentinga institucija, nurodyta šio straipsnio 3 dalies b punkte, prieš reguliavimo institucijai priimant sprendimą dėl sertifikavimo turi prašyti Komisijos nuomonės dėl to:</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ar atitinkamas subjektas laikosi 60 arba 68 straipsnio reikalavimų ir </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ar išdavus sertifikatą kils pavojus energijos tiekimo Sąjungai saugumui.</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920"/>
            </w:trPr>
            <w:tc>
              <w:tcPr>
                <w:tcW w:w="3913" w:type="dxa"/>
              </w:tcPr>
              <w:p>
                <w:pPr>
                  <w:shd w:val="clear" w:color="auto" w:fill="FFFFFF"/>
                  <w:jc w:val="both"/>
                  <w:rPr>
                    <w:color w:val="000000"/>
                    <w:sz w:val="22"/>
                    <w:szCs w:val="22"/>
                    <w:lang w:eastAsia="lt-LT"/>
                  </w:rPr>
                </w:pPr>
                <w:r>
                  <w:rPr>
                    <w:color w:val="000000"/>
                    <w:sz w:val="22"/>
                    <w:szCs w:val="22"/>
                    <w:lang w:eastAsia="lt-LT"/>
                  </w:rPr>
                  <w:t>6. Komisija 5 dalyje nurodytą prašymą nagrinėja iš karto, kai tik jį gauna. Per 50 darbo dienų nuo prašymo gavimo dienos ji pateikia savo nuomonę reguliavimo institucijai arba, jei prašymą pateikė paskirta kompetentinga institucija, – tai institucijai.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Rengdama savo nuomonę, Komisija gali prašyti, kad ACER, atitinkama valstybė narė ir suinteresuotosios šalys pateiktų savo nuomones. Jeigu Komisija pateikia tokį prašymą, 50 darbo dienų laikotarpis pratęsiamas dar 50 darbo dienų.</w:t>
                </w:r>
              </w:p>
            </w:tc>
            <w:tc>
              <w:tcPr>
                <w:tcW w:w="9407" w:type="dxa"/>
                <w:gridSpan w:val="3"/>
              </w:tcPr>
              <w:p>
                <w:pPr>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per pirmoje ir antroje pastraipose nurodytą laikotarpį Komisija nepateikia nuomonės, laikoma, kad ji neprieštarauja reguliavimo institucijos sprendimui.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ind w:firstLine="720"/>
                  <w:jc w:val="both"/>
                  <w:rPr>
                    <w:b/>
                    <w:bCs/>
                    <w:color w:val="000000"/>
                    <w:sz w:val="22"/>
                    <w:szCs w:val="22"/>
                    <w:lang w:eastAsia="lt-LT"/>
                  </w:rPr>
                </w:pPr>
                <w:r>
                  <w:rPr>
                    <w:b/>
                    <w:bCs/>
                    <w:color w:val="000000"/>
                    <w:sz w:val="22"/>
                    <w:szCs w:val="22"/>
                    <w:lang w:eastAsia="lt-LT"/>
                  </w:rPr>
                  <w:t>IV. DOKUMENTŲ NAGRINĖJIMO TVARKA IR TERMINAI 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jc w:val="both"/>
                  <w:rPr>
                    <w:b/>
                    <w:bCs/>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Vertindama, ar dėl asmens iš trečiosios valstybės vykdomos kontrolės kils energijos tiekimo valstybei narei ir Sąjungai saugumui arba valstybės narės ir Sąjungos esminiams saugumo interesams, Komisija atsižvelgia į:</w:t>
                </w:r>
              </w:p>
            </w:tc>
            <w:tc>
              <w:tcPr>
                <w:tcW w:w="9407" w:type="dxa"/>
                <w:gridSpan w:val="3"/>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Merge w:val="restart"/>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konkrečius to atvejo faktus ir į atitinkamą trečiąją valstybę, įskaitant atitinkamos trečiosios valstybės įtakos 3 dalies b punkto iii papunktyje apibūdintoje situacijoje įrodymus, ir</w:t>
                </w:r>
              </w:p>
            </w:tc>
            <w:tc>
              <w:tcPr>
                <w:tcW w:w="9407" w:type="dxa"/>
                <w:gridSpan w:val="3"/>
                <w:vMerge/>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institucija per 50 darbo dienų nuo 6 dalyje nurodyto laikotarpio pabaigos priima galutinį sprendimą dėl sertifikavimo. Priimdama galutinį sprendimą, reguliavimo institucija kuo labiau atsižvelgia į Komisijos nuomonę. Bet kuriuo atveju valstybė narė turi teisę atsisakyti išduoti sertifikatą, jei jį išdavus kiltų pavojus valstybės narės energijos tiekimo saugumui arba kitos valstybės narės energijos tiekimo saugumui. Jei valstybė narė yra paskyrusi kitą kompetentingą instituciją pagal 3 dalies b punktą, ji gali reikalauti, kad reguliavimo institucija priimtų galutinį savo sprendimą laikydamasi tos kompetentingos institucijos įvertinimo. Reguliavimo institucijos galutinis sprendimas ir Komisijos nuomonė skelbiami kartu. Kai galutinis sprendimas skiriasi nuo Komisijos nuomonės, atitinkama valstybė narė kartu su tuo sprendimu pateikia ir paskelbia to sprendimo pagrindimą.</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5. Kartu su priimtu Tarybos sprendimu paskelbiama Europos Komisijos nuomonė, jeigu ji buvo pateikta. Jeigu Tarybos sprendimas skiriasi nuo Europos Komisijos nuomonės, Tarybos sprendime turi būti nurodomi tokio skirtumo motyvai.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Jokia šio straipsnio nuostata neturi įtakos valstybių narių teisei pagal Sąjungos teisę vykdyti nacionalinę teisinę kontrolę, kad būtų apsaugoti teisėti visuomenės saugumo interesai. </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Deklaratyvi nuostata, kuri nereikalauja perkėlimo.</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Komisijai pagal 90 straipsnį suteikiami įgaliojimai priimti deleguotuosius aktus siekiant papildyti šią direktyvą, nustatant gaires, kuriose išsamiai išdėstoma procedūra, kurios turi būti laikomasi taikant šį straipsnį.</w:t>
                </w:r>
              </w:p>
            </w:tc>
            <w:tc>
              <w:tcPr>
                <w:tcW w:w="9407" w:type="dxa"/>
                <w:gridSpan w:val="3"/>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73 straipsnis </w:t>
                </w:r>
              </w:p>
              <w:p>
                <w:pPr>
                  <w:shd w:val="clear" w:color="auto" w:fill="FFFFFF"/>
                  <w:jc w:val="both"/>
                  <w:rPr>
                    <w:i/>
                    <w:iCs/>
                    <w:color w:val="000000"/>
                    <w:sz w:val="22"/>
                    <w:szCs w:val="22"/>
                    <w:lang w:eastAsia="lt-LT"/>
                  </w:rPr>
                </w:pPr>
                <w:r>
                  <w:rPr>
                    <w:b/>
                    <w:bCs/>
                    <w:color w:val="000000"/>
                    <w:sz w:val="22"/>
                    <w:szCs w:val="22"/>
                    <w:lang w:eastAsia="lt-LT"/>
                  </w:rPr>
                  <w:t>Gamtinių dujų saugyklų, vandenilio saugyklų, SGD įrenginių ir vandenilio terminalų operatorių paskyrimas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valstybės narės, atsižvelgdamos į efektyvumo ir ekonominės pusiausvyros aspektus, paskiria vieną ar kelis tokios infrastruktūros operatorius arba reikalauja, kad tai padarytų įmonės, kurioms nuosavybės teise priklauso gamtinių dujų saugyklos, vandenilio saugyklos, SGD įrenginiai ir vandenilio terminalai.</w:t>
                </w:r>
              </w:p>
            </w:tc>
            <w:tc>
              <w:tcPr>
                <w:tcW w:w="9407" w:type="dxa"/>
                <w:gridSpan w:val="3"/>
              </w:tcPr>
              <w:p>
                <w:pPr>
                  <w:tabs>
                    <w:tab w:val="left" w:pos="567"/>
                  </w:tabs>
                  <w:jc w:val="both"/>
                  <w:rPr>
                    <w:b/>
                    <w:color w:val="000000"/>
                    <w:sz w:val="22"/>
                    <w:szCs w:val="22"/>
                    <w:lang w:eastAsia="lt-LT"/>
                  </w:rPr>
                </w:pPr>
              </w:p>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28 straipsnis. Vandenilio saugyklų ir vandenilio terminalo operatorių paskyrimas</w:t>
                </w:r>
              </w:p>
              <w:p>
                <w:pPr>
                  <w:tabs>
                    <w:tab w:val="left" w:pos="567"/>
                  </w:tabs>
                  <w:jc w:val="both"/>
                  <w:rPr>
                    <w:b/>
                    <w:bCs/>
                    <w:color w:val="000000"/>
                    <w:sz w:val="22"/>
                    <w:szCs w:val="22"/>
                    <w:lang w:eastAsia="lt-LT"/>
                  </w:rPr>
                </w:pPr>
                <w:r>
                  <w:rPr>
                    <w:b/>
                    <w:bCs/>
                    <w:color w:val="000000"/>
                    <w:sz w:val="22"/>
                    <w:szCs w:val="22"/>
                    <w:lang w:eastAsia="lt-LT"/>
                  </w:rPr>
                  <w:t>1. Vandenilio terminalo operatoriumi paskiriama įmonė, nuosavybės teise ar kitais teisėtais pagrindais valdanti vandenilio terminalo infrastruktūrą ir atitinkanti šio įstatymo 20 straipsnyje nustatytus reikalavimus, išduodant jai vandenilio terminalo operatoriaus licenciją.</w:t>
                </w:r>
              </w:p>
              <w:p>
                <w:pPr>
                  <w:ind w:hanging="18"/>
                  <w:jc w:val="both"/>
                  <w:rPr>
                    <w:b/>
                    <w:bCs/>
                    <w:color w:val="000000"/>
                    <w:sz w:val="22"/>
                    <w:szCs w:val="22"/>
                    <w:lang w:eastAsia="lt-LT"/>
                  </w:rPr>
                </w:pPr>
                <w:r>
                  <w:rPr>
                    <w:b/>
                    <w:bCs/>
                    <w:color w:val="000000"/>
                    <w:sz w:val="22"/>
                    <w:szCs w:val="22"/>
                    <w:lang w:eastAsia="lt-LT"/>
                  </w:rPr>
                  <w:t>2. Vandenilio saugyklos operatoriumi paskiriama įmonė, kuri nuosavybės teise ar kitais teisėtais pagrindais valdo vandenilio saugyklą ir atitinkanti šio įstatymo 20 ir 42 straipsniuose nustatytus reikalavimus, išduodant jai vandenilio saugyklos operatoriaus veiklos licenciją.</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25. Sistemų operatoriai</w:t>
                </w:r>
              </w:p>
              <w:p>
                <w:pPr>
                  <w:jc w:val="both"/>
                  <w:rPr>
                    <w:color w:val="000000"/>
                    <w:sz w:val="22"/>
                    <w:szCs w:val="22"/>
                    <w:lang w:val="lt" w:eastAsia="lt-LT"/>
                  </w:rPr>
                </w:pPr>
                <w:r>
                  <w:rPr>
                    <w:color w:val="000000"/>
                    <w:sz w:val="22"/>
                    <w:szCs w:val="22"/>
                    <w:lang w:val="lt" w:eastAsia="lt-LT"/>
                  </w:rPr>
                  <w:t>1. Lietuvos Respublikoje yra paskiriami perdavimo, skirstymo, laikymo, SGD sistemų ir biržos operatoriai. Šiuos operatorius šio įstatymo nustatyta tvarka paskiria ir vėliau kontroliuoja, ir prižiūri Taryba.</w:t>
                </w: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color w:val="000000"/>
                    <w:sz w:val="22"/>
                    <w:szCs w:val="22"/>
                    <w:lang w:eastAsia="lt-LT"/>
                  </w:rPr>
                </w:pPr>
                <w:r>
                  <w:rPr>
                    <w:color w:val="000000"/>
                    <w:sz w:val="22"/>
                    <w:szCs w:val="22"/>
                    <w:lang w:eastAsia="lt-LT"/>
                  </w:rPr>
                  <w:t xml:space="preserve">6 skirsnis </w:t>
                </w:r>
              </w:p>
              <w:p>
                <w:pPr>
                  <w:shd w:val="clear" w:color="auto" w:fill="FFFFFF"/>
                  <w:jc w:val="both"/>
                  <w:rPr>
                    <w:color w:val="000000"/>
                    <w:sz w:val="22"/>
                    <w:szCs w:val="22"/>
                    <w:lang w:eastAsia="lt-LT"/>
                  </w:rPr>
                </w:pPr>
                <w:r>
                  <w:rPr>
                    <w:b/>
                    <w:bCs/>
                    <w:color w:val="000000"/>
                    <w:sz w:val="22"/>
                    <w:szCs w:val="22"/>
                    <w:lang w:eastAsia="lt-LT"/>
                  </w:rPr>
                  <w:t>Apskaitos atskyrimas ir skaidrumas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74 straipsnis </w:t>
                </w:r>
              </w:p>
              <w:p>
                <w:pPr>
                  <w:shd w:val="clear" w:color="auto" w:fill="FFFFFF"/>
                  <w:jc w:val="both"/>
                  <w:rPr>
                    <w:i/>
                    <w:iCs/>
                    <w:color w:val="000000"/>
                    <w:sz w:val="22"/>
                    <w:szCs w:val="22"/>
                    <w:lang w:eastAsia="lt-LT"/>
                  </w:rPr>
                </w:pPr>
                <w:r>
                  <w:rPr>
                    <w:b/>
                    <w:bCs/>
                    <w:color w:val="000000"/>
                    <w:sz w:val="22"/>
                    <w:szCs w:val="22"/>
                    <w:lang w:eastAsia="lt-LT"/>
                  </w:rPr>
                  <w:t>Teisė susipažinti su finansinėmis ataskaitomis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 bet kuri jų paskirta kompetentinga institucija, įskaitant reguliavimo institucijas ir 32 straipsnio 3 dalyje nurodytas ginčų sprendimo institucijas, kiek tai yra būtina jų funkcijoms atlikti, turi teisę 75 straipsnyje nustatyta tvarka susipažinti su gamtinių dujų ir vandenilio įmonių finansinėmis ataskaitomis. </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įstatymo pakeitimo įstatymas Nr. XV-51</w:t>
                </w:r>
              </w:p>
              <w:p>
                <w:pPr>
                  <w:ind w:firstLine="17"/>
                  <w:jc w:val="both"/>
                  <w:rPr>
                    <w:b/>
                    <w:bCs/>
                    <w:color w:val="000000"/>
                    <w:sz w:val="22"/>
                    <w:szCs w:val="22"/>
                    <w:lang w:eastAsia="lt-LT"/>
                  </w:rPr>
                </w:pPr>
                <w:r>
                  <w:rPr>
                    <w:b/>
                    <w:bCs/>
                    <w:color w:val="000000"/>
                    <w:sz w:val="22"/>
                    <w:szCs w:val="22"/>
                    <w:lang w:eastAsia="lt-LT"/>
                  </w:rPr>
                  <w:t>31 straipsnis. 16</w:t>
                </w:r>
                <w:r>
                  <w:rPr>
                    <w:b/>
                    <w:bCs/>
                    <w:color w:val="000000"/>
                    <w:sz w:val="22"/>
                    <w:szCs w:val="22"/>
                    <w:vertAlign w:val="superscript"/>
                    <w:lang w:eastAsia="lt-LT"/>
                  </w:rPr>
                  <w:t>1</w:t>
                </w:r>
                <w:r>
                  <w:rPr>
                    <w:color w:val="000000"/>
                    <w:sz w:val="22"/>
                    <w:szCs w:val="22"/>
                    <w:lang w:eastAsia="lt-LT"/>
                  </w:rPr>
                  <w:t> </w:t>
                </w:r>
                <w:r>
                  <w:rPr>
                    <w:b/>
                    <w:bCs/>
                    <w:color w:val="000000"/>
                    <w:sz w:val="22"/>
                    <w:szCs w:val="22"/>
                    <w:lang w:eastAsia="lt-LT"/>
                  </w:rPr>
                  <w:t>straipsnio pakeitimas</w:t>
                </w:r>
              </w:p>
              <w:p>
                <w:pPr>
                  <w:ind w:firstLine="17"/>
                  <w:jc w:val="both"/>
                  <w:rPr>
                    <w:b/>
                    <w:bCs/>
                    <w:color w:val="000000"/>
                    <w:sz w:val="22"/>
                    <w:szCs w:val="22"/>
                    <w:lang w:eastAsia="lt-LT"/>
                  </w:rPr>
                </w:pPr>
                <w:r>
                  <w:rPr>
                    <w:color w:val="000000"/>
                    <w:sz w:val="22"/>
                    <w:szCs w:val="22"/>
                    <w:lang w:eastAsia="lt-LT"/>
                  </w:rPr>
                  <w:t>Pakeisti 16</w:t>
                </w:r>
                <w:r>
                  <w:rPr>
                    <w:color w:val="000000"/>
                    <w:sz w:val="22"/>
                    <w:szCs w:val="22"/>
                    <w:vertAlign w:val="superscript"/>
                    <w:lang w:eastAsia="lt-LT"/>
                  </w:rPr>
                  <w:t>1</w:t>
                </w:r>
                <w:r>
                  <w:rPr>
                    <w:color w:val="000000"/>
                    <w:sz w:val="22"/>
                    <w:szCs w:val="22"/>
                    <w:lang w:eastAsia="lt-LT"/>
                  </w:rPr>
                  <w:t> straipsnio 1 dalį ir ją išdėstyti taip:„1. Energetikos įmonės, kurių teikiamų paslaugų kainos yra valstybės reguliuojamos ir (ar) kurioms Lietuvos Respublikos elektros energetikos įstatymo 67 straipsnio 1 dalies arba Lietuvos Respublikos gamtinių dujų įstatymo 9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jc w:val="both"/>
                  <w:rPr>
                    <w:color w:val="000000"/>
                    <w:sz w:val="22"/>
                    <w:szCs w:val="22"/>
                    <w:lang w:eastAsia="lt-LT"/>
                  </w:rPr>
                </w:pPr>
                <w:r>
                  <w:rPr>
                    <w:color w:val="000000"/>
                    <w:sz w:val="22"/>
                    <w:szCs w:val="22"/>
                    <w:lang w:eastAsia="lt-LT"/>
                  </w:rPr>
                  <w:t xml:space="preserve">1. Energetikos įmonės, kurių teikiamų paslaugų kainos yra valstybės reguliuojamos ir (ar) kurioms Lietuvos Respublikos elektros energetikos įstatymo 67 straipsnio 1 dalies arba Lietuvos Respublikos </w:t>
                </w:r>
                <w:r>
                  <w:rPr>
                    <w:i/>
                    <w:iCs/>
                    <w:color w:val="000000"/>
                    <w:sz w:val="22"/>
                    <w:szCs w:val="22"/>
                    <w:lang w:eastAsia="lt-LT"/>
                  </w:rPr>
                  <w:t>gamtinių dujų įstatymo</w:t>
                </w:r>
                <w:r>
                  <w:rPr>
                    <w:color w:val="000000"/>
                    <w:sz w:val="22"/>
                    <w:szCs w:val="22"/>
                    <w:lang w:eastAsia="lt-LT"/>
                  </w:rPr>
                  <w:t xml:space="preserve"> </w:t>
                </w:r>
                <w:r>
                  <w:rPr>
                    <w:i/>
                    <w:iCs/>
                    <w:color w:val="000000"/>
                    <w:sz w:val="22"/>
                    <w:szCs w:val="22"/>
                    <w:lang w:eastAsia="lt-LT"/>
                  </w:rPr>
                  <w:t>9</w:t>
                </w:r>
                <w:r>
                  <w:rPr>
                    <w:color w:val="000000"/>
                    <w:sz w:val="22"/>
                    <w:szCs w:val="22"/>
                    <w:lang w:eastAsia="lt-LT"/>
                  </w:rPr>
                  <w:t xml:space="preserve">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3.Valstybės institucijos, įstatymų nustatyta tvarka atlikdamos joms pavestas įmonių veiklos priežiūros funkcijas, turi teisę susipažinti su šio straipsnio 1 dalyje nurodytų vandenilio įmonių apskaitos dokumentais, tačiau privalo užtikrinti vandenilio įmonių pateiktą neskelbtinos komercinės informacijos konfidencialumą.</w:t>
                </w:r>
              </w:p>
              <w:p>
                <w:pPr>
                  <w:ind w:firstLine="720"/>
                  <w:jc w:val="both"/>
                  <w:rPr>
                    <w:b/>
                    <w:bCs/>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ir bet kuri paskirta kompetentinga institucija, įskaitant reguliavimo institucijas ir ginčų sprendimo institucijas, užtikrina neskelbtinos komercinės informacijos konfidencialumą. Valstybės narės gali numatyti, kad tokia informacija gali būti atskleidžiama, kai tai būtina kompetentingoms institucijoms atlikti savo funkcijas.</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15 straipsnis. Teisė susipažinti su finansinėmis ataskaitomis</w:t>
                </w:r>
              </w:p>
              <w:p>
                <w:pPr>
                  <w:tabs>
                    <w:tab w:val="left" w:pos="567"/>
                  </w:tabs>
                  <w:jc w:val="both"/>
                  <w:rPr>
                    <w:b/>
                    <w:bCs/>
                    <w:color w:val="000000"/>
                    <w:sz w:val="22"/>
                    <w:szCs w:val="22"/>
                    <w:lang w:eastAsia="lt-LT"/>
                  </w:rPr>
                </w:pPr>
                <w:r>
                  <w:rPr>
                    <w:b/>
                    <w:bCs/>
                    <w:color w:val="000000"/>
                    <w:sz w:val="22"/>
                    <w:szCs w:val="22"/>
                    <w:lang w:eastAsia="lt-LT"/>
                  </w:rPr>
                  <w:t>1. Valstybės institucijos, tarp jų Taryba ir kitos kompetentingos institucijos, tiek sprendžiant ginčus, tiek vykdant funkcijas, numatytas Energetikos ir Vandenilio įstatymuose, turi teisę susipažinti su vandenilio sektoriuje veikiančių įmonių finansinėmis ataskaitomis ir kitais dokumentais, jei tai būtina jų įstatymuose nustatytoms funkcijoms vykdyti.</w:t>
                </w:r>
              </w:p>
              <w:p>
                <w:pPr>
                  <w:ind w:right="57"/>
                  <w:jc w:val="both"/>
                  <w:rPr>
                    <w:b/>
                    <w:bCs/>
                    <w:color w:val="000000"/>
                    <w:sz w:val="22"/>
                    <w:szCs w:val="22"/>
                    <w:lang w:eastAsia="lt-LT"/>
                  </w:rPr>
                </w:pPr>
                <w:r>
                  <w:rPr>
                    <w:b/>
                    <w:bCs/>
                    <w:color w:val="000000"/>
                    <w:sz w:val="22"/>
                    <w:szCs w:val="22"/>
                    <w:lang w:eastAsia="lt-LT"/>
                  </w:rPr>
                  <w:t>2. Šio straipsnio 1 dalyje nurodytos institucijos užtikrina gautos neskelbtinos komercinės informacijos konfidencialumą. Tokia informacija gali būti atskleidžiama tik tiek, kiek tai būtina siekiant užtikrinti institucijų veiklos teisėtumą ir efektyvumą.</w:t>
                </w:r>
              </w:p>
              <w:p>
                <w:pPr>
                  <w:ind w:right="57" w:firstLine="720"/>
                  <w:jc w:val="both"/>
                  <w:rPr>
                    <w:color w:val="000000"/>
                    <w:sz w:val="22"/>
                    <w:szCs w:val="22"/>
                    <w:lang w:eastAsia="lt-LT"/>
                  </w:rPr>
                </w:pPr>
              </w:p>
              <w:p>
                <w:pPr>
                  <w:tabs>
                    <w:tab w:val="left" w:pos="567"/>
                  </w:tabs>
                  <w:ind w:firstLine="720"/>
                  <w:jc w:val="both"/>
                  <w:rPr>
                    <w:b/>
                    <w:bCs/>
                    <w:color w:val="000000"/>
                    <w:sz w:val="22"/>
                    <w:szCs w:val="22"/>
                    <w:lang w:eastAsia="lt-LT"/>
                  </w:rPr>
                </w:pPr>
              </w:p>
              <w:p>
                <w:pPr>
                  <w:tabs>
                    <w:tab w:val="left" w:pos="567"/>
                  </w:tabs>
                  <w:jc w:val="both"/>
                  <w:rPr>
                    <w:b/>
                    <w:bCs/>
                    <w:color w:val="000000"/>
                    <w:sz w:val="22"/>
                    <w:szCs w:val="22"/>
                    <w:lang w:eastAsia="lt-LT"/>
                  </w:rPr>
                </w:pPr>
                <w:r>
                  <w:rPr>
                    <w:b/>
                    <w:color w:val="000000"/>
                    <w:sz w:val="22"/>
                    <w:szCs w:val="22"/>
                    <w:lang w:eastAsia="lt-LT"/>
                  </w:rPr>
                  <w:t>Gamtinių dujų įstatymas</w:t>
                </w:r>
              </w:p>
              <w:p>
                <w:pPr>
                  <w:tabs>
                    <w:tab w:val="left" w:pos="567"/>
                  </w:tabs>
                  <w:jc w:val="both"/>
                  <w:rPr>
                    <w:b/>
                    <w:bCs/>
                    <w:color w:val="000000"/>
                    <w:sz w:val="22"/>
                    <w:szCs w:val="22"/>
                    <w:lang w:eastAsia="lt-LT"/>
                  </w:rPr>
                </w:pPr>
                <w:r>
                  <w:rPr>
                    <w:b/>
                    <w:bCs/>
                    <w:color w:val="000000"/>
                    <w:sz w:val="22"/>
                    <w:szCs w:val="22"/>
                    <w:lang w:eastAsia="lt-LT"/>
                  </w:rPr>
                  <w:t xml:space="preserve">44 straipsnis. </w:t>
                </w:r>
              </w:p>
              <w:p>
                <w:pPr>
                  <w:tabs>
                    <w:tab w:val="left" w:pos="567"/>
                  </w:tabs>
                  <w:ind w:firstLine="720"/>
                  <w:jc w:val="both"/>
                  <w:rPr>
                    <w:b/>
                    <w:bCs/>
                    <w:color w:val="000000"/>
                    <w:sz w:val="22"/>
                    <w:szCs w:val="22"/>
                    <w:lang w:eastAsia="lt-LT"/>
                  </w:rPr>
                </w:pPr>
                <w:r>
                  <w:rPr>
                    <w:b/>
                    <w:bCs/>
                    <w:color w:val="000000"/>
                    <w:sz w:val="22"/>
                    <w:szCs w:val="22"/>
                    <w:lang w:eastAsia="lt-LT"/>
                  </w:rPr>
                  <w:t>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44 straipsnis. 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75 straipsnis </w:t>
                </w:r>
              </w:p>
              <w:p>
                <w:pPr>
                  <w:shd w:val="clear" w:color="auto" w:fill="FFFFFF"/>
                  <w:jc w:val="both"/>
                  <w:rPr>
                    <w:i/>
                    <w:iCs/>
                    <w:color w:val="000000"/>
                    <w:sz w:val="22"/>
                    <w:szCs w:val="22"/>
                    <w:lang w:eastAsia="lt-LT"/>
                  </w:rPr>
                </w:pPr>
                <w:r>
                  <w:rPr>
                    <w:b/>
                    <w:bCs/>
                    <w:color w:val="000000"/>
                    <w:sz w:val="22"/>
                    <w:szCs w:val="22"/>
                    <w:lang w:eastAsia="lt-LT"/>
                  </w:rPr>
                  <w:t xml:space="preserve">Apskaitos atskyrimas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kuriomis užtikrina, kad gamtinių dujų ir vandenilio įmonių apskaita būtų tvarkoma 2–5 dalyse nustatyta tvarka.</w:t>
                </w:r>
              </w:p>
            </w:tc>
            <w:tc>
              <w:tcPr>
                <w:tcW w:w="9407" w:type="dxa"/>
                <w:gridSpan w:val="3"/>
                <w:vAlign w:val="center"/>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right="57" w:hanging="18"/>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hanging="18"/>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13) kad nebūtų perdavimo, skirstymo, laikymo, SGD pakartotinio dujinimo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ir vandenilio įmonės, neatsižvelgiant į jų nuosavybės sistemą ar teisinę formą, savo metines finansines ataskaitas parengia, pateikia auditui ir viešai paskelbia pagal ribotos atsakomybės bendrovių metines finansines ataskaitas reglamentuojančias nacionalinės teisės taisykles, priimtas pagal Direktyvą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color w:val="000000"/>
                    <w:sz w:val="22"/>
                    <w:szCs w:val="22"/>
                    <w:lang w:eastAsia="lt-LT"/>
                  </w:rPr>
                </w:pPr>
                <w:r>
                  <w:rPr>
                    <w:color w:val="000000"/>
                    <w:sz w:val="22"/>
                    <w:szCs w:val="22"/>
                    <w:lang w:eastAsia="lt-LT"/>
                  </w:rPr>
                  <w:t>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left="720" w:right="57" w:hanging="360"/>
                  <w:jc w:val="both"/>
                  <w:rPr>
                    <w:b/>
                    <w:bCs/>
                    <w:color w:val="000000"/>
                    <w:sz w:val="22"/>
                    <w:szCs w:val="22"/>
                    <w:lang w:eastAsia="lt-LT"/>
                  </w:rPr>
                </w:pPr>
                <w:r>
                  <w:rPr>
                    <w:b/>
                    <w:bCs/>
                    <w:color w:val="000000"/>
                    <w:sz w:val="22"/>
                    <w:szCs w:val="22"/>
                    <w:lang w:eastAsia="lt-LT"/>
                  </w:rPr>
                  <w:t>14</w:t>
                  <w:tab/>
                  <w:t>straipsnis. Apskaitos ir reguliuojamo turto bazės atskyrimas</w:t>
                </w:r>
              </w:p>
              <w:p>
                <w:pPr>
                  <w:ind w:right="5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b/>
                    <w:bCs/>
                    <w:color w:val="000000"/>
                    <w:sz w:val="22"/>
                    <w:szCs w:val="22"/>
                    <w:lang w:eastAsia="lt-LT"/>
                  </w:rPr>
                  <w:t>5. Šio straipsnio 1 dalyje nurodytos vandenilio įmonės, neatsižvelgiant į jų nuosavybės struktūrą ar teisinę formą, metines finansines ataskaitas parengia ir šias ataskaitas pateikia auditui ir viešai paskelbia pagal Lietuvos Respublikos įmonių ir įmonių grupių atskaitomybės įstatyme nustatytą tvarką.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Įmonės, kurios teisiškai nėra įpareigotos viešai skelbti savo metinės atskaitomybės, jos kopijas laiko savo pagrindinėje buveinėje, kur su jomis gali susipažinti visuomenė.</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right="57" w:firstLine="1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firstLine="1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17"/>
                  <w:jc w:val="both"/>
                  <w:rPr>
                    <w:b/>
                    <w:bCs/>
                    <w:color w:val="000000"/>
                    <w:sz w:val="22"/>
                    <w:szCs w:val="22"/>
                    <w:lang w:eastAsia="lt-LT"/>
                  </w:rPr>
                </w:pPr>
                <w:r>
                  <w:rPr>
                    <w:b/>
                    <w:bCs/>
                    <w:color w:val="000000"/>
                    <w:sz w:val="22"/>
                    <w:szCs w:val="22"/>
                    <w:lang w:eastAsia="lt-LT"/>
                  </w:rPr>
                  <w:t>2. Šio straipsnio 1 dalyje nurodytos vandenilio įmonės, kurių Energetikos įstatymo 16 straipsnio 8 dalis neįpareigoja skelbti metinių finansinių ataskaitų interneto svetainėse, pasibaigus kiekvieniems finansiniams metams per 5 mėnesius praėjusių finansinių metų metines finansines ataskaitas ir auditoriaus išvadas, kai jos privalomos pagal Lietuvos Respublikos įmonių finansinės atskaitomybės įstatymo reikalavimus, paskelbia savo interneto svetainėje. Jeigu šios vandenilio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right="57" w:firstLine="17"/>
                  <w:jc w:val="both"/>
                  <w:rPr>
                    <w:color w:val="000000"/>
                    <w:sz w:val="22"/>
                    <w:szCs w:val="22"/>
                    <w:lang w:eastAsia="lt-LT"/>
                  </w:rPr>
                </w:pPr>
              </w:p>
              <w:p>
                <w:pPr>
                  <w:ind w:right="57"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rFonts w:eastAsia="Aptos"/>
                    <w:i/>
                    <w:iCs/>
                    <w:color w:val="000000"/>
                    <w:sz w:val="22"/>
                    <w:szCs w:val="22"/>
                    <w:lang w:eastAsia="lt-LT"/>
                  </w:rPr>
                  <w:t xml:space="preserve">Pastaba. Pagal Įmonių finansinės atskaitomybės įstatymą finansinės ataskaitos ir metinis pranešimas kartu su auditoriaus išvada (tais atvejais, kai auditas atliktas) skelbiami viešai Juridinių asmenų registre įstatymų ir kitų teisės aktų nustatytais atvejais ir tvarka.  Juridinių asmenų registro nuostatuose nustatoma, jog  metinį finansinių ataskaitų rinkinį, &lt;..&gt;, Registro tvarkytojui pateikia (neatsižvelgiant į teisinį statusą): akcinės bendrovės, uždarosios akcinės bendrovės. Šiuo atveju visos gamtinių dujų įmonės yra teisiškai įpareigojamos viešai skelbti savo metinę atskaitomybę.</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Tvarkydamos savo vidaus apskaitą, įmonės atskirai tvarko perdavimo, skirstymo, SGD, vandenilio terminalų, gamtinių dujų ir vandenilio laikymo ir vandenilio transportavimo veiklos apskaitą, kaip turėtų šią apskaitą tvarkyti, jei išvardytosiomis veiklos rūšimis verstųsi atskiros įmonės; taip siekiama išvengti diskriminavimo, kryžminio subsidijavimo ir konkurencijos iškraipymo. Įmonių infrastruktūros turtas įtraukiamas į atitinkamą apskaitą ir atskiras gamtinių dujų, elektros energijos ar vandenilio veikloje naudojamo reguliuojamo turto bazes, ir toks įtraukimas pateikiamas skaidriai. Įmonės taip pat tvarko kitų veiklos rūšių, nesusijusių su perdavimu, skirstymu, SGD, vandenilio terminalais, gamtinių dujų arba vandenilio laikymu ar vandenilio transportavimo veikla, apskaitą, kuri gali būti konsoliduota. Apskaitoje nurodomos pajamos, gautos naudojantis perdavimo, skirstymo arba vandenilio tinklo nuosavybės teisėmis. Tam tikrais atvejais įmonės tvarko kitų, su gamtinėmis dujomis ir vandeniliu nesusijusių, veiklos rūšių konsoliduotąją apskaitą. Tvarkant vidaus apskaitą, sudaromas kiekvienos veiklos rūšies balansas ir pelno (nuostolių) ataskaita. Apskaitos atskyrimo auditas atliekamas pagal 2 dalyje nustatytas taisykles ir apie jį pranešama atitinkamai reguliavimo institucijai.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6. Šio straipsnio 1 dalyje nurodytų vandenilio įmonių infrastruktūros turtas įtraukiamas į atitinkamą apskaitą ir atskiras vandenilio veikloje naudojamo reguliuojamo turto bazes. Apskaitoje nurodomos pajamos, gautos naudojantis vandenilio perdavimo, skirstymo arba vandenilio tinklo nuosavybės teisėmis. Tvarkant vidaus apskaitą, sudaromas kiekvienos veiklos rūšies balansas ir pelno (nuostolių) ataskaita. Apskaitos atskyrimo auditas atliekamas vadovaujantis Įmonių ir įmonių grupių atskaitomybės įstatymu ir apie tokį auditą pranešama Tarybai.</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 xml:space="preserve">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 </w:t>
                </w:r>
                <w:r>
                  <w:rPr>
                    <w:i/>
                    <w:iCs/>
                    <w:color w:val="000000"/>
                    <w:sz w:val="22"/>
                    <w:szCs w:val="22"/>
                    <w:lang w:eastAsia="lt-LT"/>
                  </w:rPr>
                  <w:t>Straipsnio dalies pakeitimai:</w:t>
                </w:r>
              </w:p>
              <w:p>
                <w:pPr>
                  <w:ind w:firstLine="720"/>
                  <w:jc w:val="both"/>
                  <w:rPr>
                    <w:b/>
                    <w:bCs/>
                    <w:color w:val="000000"/>
                    <w:sz w:val="22"/>
                    <w:szCs w:val="22"/>
                    <w:lang w:eastAsia="lt-LT"/>
                  </w:rPr>
                </w:pPr>
                <w:r>
                  <w:rPr>
                    <w:b/>
                    <w:bCs/>
                    <w:i/>
                    <w:iCs/>
                    <w:color w:val="000000"/>
                    <w:sz w:val="22"/>
                    <w:szCs w:val="22"/>
                    <w:lang w:eastAsia="lt-LT"/>
                  </w:rPr>
                  <w:t>Nr. </w:t>
                </w:r>
                <w:hyperlink r:id="rId13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ind w:firstLine="777"/>
                  <w:jc w:val="both"/>
                  <w:rPr>
                    <w:b/>
                    <w:bCs/>
                    <w:color w:val="000000"/>
                    <w:sz w:val="22"/>
                    <w:szCs w:val="22"/>
                    <w:lang w:eastAsia="lt-LT"/>
                  </w:rPr>
                </w:pPr>
              </w:p>
              <w:p>
                <w:pPr>
                  <w:ind w:hanging="18"/>
                  <w:jc w:val="both"/>
                  <w:rPr>
                    <w:color w:val="000000"/>
                    <w:sz w:val="22"/>
                    <w:szCs w:val="22"/>
                    <w:lang w:eastAsia="lt-LT"/>
                  </w:rPr>
                </w:pPr>
                <w:r>
                  <w:rPr>
                    <w:color w:val="000000"/>
                    <w:sz w:val="22"/>
                    <w:szCs w:val="22"/>
                    <w:lang w:eastAsia="lt-LT"/>
                  </w:rPr>
                  <w:t>2. Atskirų veiklos rūšių apskaita tvarkoma taip, kaip ji turėtų būti tvarkoma, jeigu šių rūšių veikla verstųsi atskiros įmonės su joms priskirtu turtu.</w:t>
                </w:r>
              </w:p>
              <w:p>
                <w:pPr>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Šio straipsnio 2 dalyje nurodyto audito metu visų pirma siekiama nustatyti, ar laikomasi šio straipsnio 3 dalyje nurodytos pareigos vengti diskriminavimo ir kryžminių subsidijų.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straipsniui, gamtinių dujų sistemos naudotojų ir vandenilio tinklo naudotojų kryžminis subsidijavimas nevykdomas.</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 xml:space="preserve">&lt;...&gt; </w:t>
                </w:r>
              </w:p>
              <w:p>
                <w:pPr>
                  <w:ind w:firstLine="720"/>
                  <w:jc w:val="both"/>
                  <w:rPr>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5. Gamtinių dujų įmonių metinės finansinės ataskaitos turi būti patikrintos nepriklausomo audito. &lt;...&gt;</w:t>
                </w:r>
              </w:p>
              <w:p>
                <w:pPr>
                  <w:jc w:val="both"/>
                  <w:rPr>
                    <w:b/>
                    <w:bCs/>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ind w:hanging="91"/>
                  <w:jc w:val="both"/>
                  <w:rPr>
                    <w:color w:val="000000"/>
                    <w:sz w:val="22"/>
                    <w:szCs w:val="22"/>
                    <w:lang w:eastAsia="lt-LT"/>
                  </w:rPr>
                </w:pPr>
                <w:r>
                  <w:rPr>
                    <w:color w:val="000000"/>
                    <w:sz w:val="22"/>
                    <w:szCs w:val="22"/>
                    <w:lang w:eastAsia="lt-LT"/>
                  </w:rPr>
                  <w:t>13) kad nebūtų perdavimo, skirstymo, laikymo, skystinimo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Tvarkydamos vidaus apskaitą, įmonės nustato turto ir įsipareigojimų, išlaidų ir pajamų paskirstymo bei nusidėvėjimo taisykles, nepažeisdamos taikytinų nacionalinių apskaitos taisyklių, ir kurių jos laikosi tvarkydamos 3 dalyje nurodytą atskirą apskaitą. Tos vidaus taisyklės gali būti iš dalies keičiamos tik ypatingais atvejais. Apie tokius dalinius pakeitimus pranešama reguliavimo institucijai ir jie turi būti tinkamai pagrįsti.</w:t>
                </w:r>
              </w:p>
            </w:tc>
            <w:tc>
              <w:tcPr>
                <w:tcW w:w="9407" w:type="dxa"/>
                <w:gridSpan w:val="3"/>
              </w:tcPr>
              <w:p>
                <w:pPr>
                  <w:ind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 xml:space="preserve">14 straipsnis. Apskaitos ir reguliuojamo turto bazės atskyrimas </w:t>
                </w:r>
              </w:p>
              <w:p>
                <w:pPr>
                  <w:ind w:right="57" w:firstLine="709"/>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8. Tvarkydamos vidaus apskaitą, šio straipsnio 1 dalyje nurodytos vandenilio įmonės nustato turto ir įsipareigojimų, išlaidų ir pajamų paskirstymo bei nusidėvėjimo taisykles, nepažeisdamos taikytinų nacionalinių apskaitos taisyklių, tarp jų Tarybos patvirtinto apskaitos atskyrimo ir sąnaudų paskirstymo reikalavimų aprašo, ir kurių jos laikosi tvarkydamos šio straipsnio 6 dalyje nurodytą atskirą apskaitą. Apie šioje dalyje minimų vandenilio įmonių taisyklių pakeitimus pranešama Tarybai, juos tinkamai pagrindžiant.</w:t>
                </w:r>
              </w:p>
              <w:p>
                <w:pPr>
                  <w:spacing w:line="276" w:lineRule="auto"/>
                  <w:ind w:firstLine="720"/>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7. straipsnis. Kainų reguliavimas</w:t>
                </w:r>
              </w:p>
              <w:p>
                <w:pPr>
                  <w:ind w:left="720"/>
                  <w:jc w:val="both"/>
                  <w:rPr>
                    <w:b/>
                    <w:bCs/>
                    <w:color w:val="000000"/>
                    <w:sz w:val="22"/>
                    <w:szCs w:val="22"/>
                    <w:lang w:eastAsia="lt-LT"/>
                  </w:rPr>
                </w:pPr>
                <w:r>
                  <w:rPr>
                    <w:b/>
                    <w:bCs/>
                    <w:color w:val="000000"/>
                    <w:sz w:val="22"/>
                    <w:szCs w:val="22"/>
                    <w:lang w:eastAsia="lt-LT"/>
                  </w:rPr>
                  <w:t>&lt;...&gt;</w:t>
                </w:r>
              </w:p>
              <w:p>
                <w:pPr>
                  <w:ind w:left="199" w:hanging="7"/>
                  <w:jc w:val="both"/>
                  <w:rPr>
                    <w:color w:val="000000"/>
                    <w:sz w:val="22"/>
                    <w:szCs w:val="22"/>
                    <w:lang w:eastAsia="lt-LT"/>
                  </w:rPr>
                </w:pPr>
                <w:r>
                  <w:rPr>
                    <w:color w:val="000000"/>
                    <w:sz w:val="22"/>
                    <w:szCs w:val="22"/>
                    <w:lang w:eastAsia="lt-LT"/>
                  </w:rPr>
                  <w:t>10. Gamtinių dujų įmonės, vykdydamos Tarybos joms nustatytą šio straipsnio 4 dalies 2 punkte nurodytą reikalavimą, privalo Tarybos patvirtintomis sąlygomis, tvarka ir terminais parengti sąnaudų apskaitos sistemą, jos aprašymą pateikti Tarybai ir laikytis šios sąnaudų apskaitos sistemos. Sąnaudų apskaitos sistema ir jos skelbimo būdas turi atitikti Tarybos nustatytas sąnaudų apskaitos taisykles.</w:t>
                </w:r>
              </w:p>
              <w:p>
                <w:pPr>
                  <w:ind w:left="199" w:hanging="7"/>
                  <w:jc w:val="both"/>
                  <w:rPr>
                    <w:color w:val="000000"/>
                    <w:sz w:val="22"/>
                    <w:szCs w:val="22"/>
                    <w:lang w:eastAsia="lt-LT"/>
                  </w:rPr>
                </w:pPr>
                <w:r>
                  <w:rPr>
                    <w:color w:val="000000"/>
                    <w:sz w:val="22"/>
                    <w:szCs w:val="22"/>
                    <w:lang w:eastAsia="lt-LT"/>
                  </w:rPr>
                  <w:t>11. Gamtinių dujų įmonės, kurių teikiamų paslaugų kainos yra valstybės reguliuojamos ir (ar) kurioms šio įstatymo 9 straipsnio 7 dalies pagrindu nustatyti Tarybos įpareigojimai, susiję su reguliavimo apskaitos sistema, privalo rengti reguliuojamosios veiklos ataskaitas ir užtikrinti, kad būtų atlikta reguliuojamosios veiklos ataskaitų patikra ir reguliavimo apskaitos sistemos patikra vadovaujantis Energetikos įstatymo 16</w:t>
                </w:r>
                <w:r>
                  <w:rPr>
                    <w:color w:val="000000"/>
                    <w:sz w:val="22"/>
                    <w:szCs w:val="22"/>
                    <w:vertAlign w:val="superscript"/>
                    <w:lang w:eastAsia="lt-LT"/>
                  </w:rPr>
                  <w:t>1</w:t>
                </w:r>
                <w:r>
                  <w:rPr>
                    <w:color w:val="000000"/>
                    <w:sz w:val="22"/>
                    <w:szCs w:val="22"/>
                    <w:lang w:eastAsia="lt-LT"/>
                  </w:rPr>
                  <w:t> straipsnio nuostatomis.</w:t>
                </w:r>
              </w:p>
              <w:p>
                <w:pPr>
                  <w:ind w:left="199"/>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Metinėje atskaitomybėje turi būti pateikta informacija apie tam tikros apimties sandorius, sudarytus su susijusiomis įmonėmis.</w:t>
                </w:r>
              </w:p>
            </w:tc>
            <w:tc>
              <w:tcPr>
                <w:tcW w:w="9407" w:type="dxa"/>
                <w:gridSpan w:val="3"/>
                <w:vAlign w:val="center"/>
              </w:tcPr>
              <w:p>
                <w:pPr>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bCs/>
                    <w:color w:val="000000"/>
                    <w:sz w:val="22"/>
                    <w:szCs w:val="22"/>
                    <w:lang w:eastAsia="lt-LT"/>
                  </w:rPr>
                </w:pPr>
                <w:r>
                  <w:rPr>
                    <w:b/>
                    <w:bCs/>
                    <w:color w:val="000000"/>
                    <w:sz w:val="22"/>
                    <w:szCs w:val="22"/>
                    <w:lang w:eastAsia="lt-LT"/>
                  </w:rPr>
                  <w:t xml:space="preserve">&lt;...&gt; </w:t>
                </w:r>
              </w:p>
              <w:p>
                <w:pPr>
                  <w:ind w:hanging="34"/>
                  <w:jc w:val="both"/>
                  <w:rPr>
                    <w:b/>
                    <w:bCs/>
                    <w:color w:val="000000"/>
                    <w:sz w:val="22"/>
                    <w:szCs w:val="22"/>
                    <w:lang w:eastAsia="lt-LT"/>
                  </w:rPr>
                </w:pPr>
                <w:r>
                  <w:rPr>
                    <w:color w:val="000000"/>
                    <w:sz w:val="22"/>
                    <w:szCs w:val="22"/>
                    <w:lang w:eastAsia="lt-LT"/>
                  </w:rPr>
                  <w:t>4</w:t>
                </w:r>
                <w:r>
                  <w:rPr>
                    <w:b/>
                    <w:bCs/>
                    <w:color w:val="000000"/>
                    <w:sz w:val="22"/>
                    <w:szCs w:val="22"/>
                    <w:lang w:eastAsia="lt-LT"/>
                  </w:rPr>
                  <w:t>. Šio straipsnio 1 dalyje nurodytos vandenilio įmonės metinėse finansinėse ataskaitose turi atskleisti sandorius, sudarytus su susijusiomis įmonėmis, pagal apskaitos standartus.</w:t>
                </w:r>
              </w:p>
              <w:p>
                <w:pPr>
                  <w:ind w:firstLine="720"/>
                  <w:jc w:val="both"/>
                  <w:rPr>
                    <w:color w:val="000000"/>
                    <w:sz w:val="22"/>
                    <w:szCs w:val="22"/>
                    <w:lang w:eastAsia="lt-LT"/>
                  </w:rPr>
                </w:pPr>
              </w:p>
              <w:p>
                <w:pPr>
                  <w:ind w:firstLine="720"/>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Gamtinių dujų įmonės metinėse finansinėse ataskaitose turi pateikti informaciją apie 289 620 (dviejų šimtų aštuoniasdešimt devynių tūkstančių šešių šimtų dvidešimt) eurų ir didesnės vertės sandorius, sudarytus su susijusiomis įmonėmis.</w:t>
                </w:r>
              </w:p>
              <w:p>
                <w:pPr>
                  <w:ind w:firstLine="720"/>
                  <w:jc w:val="both"/>
                  <w:rPr>
                    <w:color w:val="000000"/>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34" w:tgtFrame="_parent" w:history="1">
                  <w:r>
                    <w:rPr>
                      <w:i/>
                      <w:color w:val="467886"/>
                      <w:sz w:val="22"/>
                      <w:szCs w:val="22"/>
                      <w:u w:val="single"/>
                      <w:lang w:eastAsia="lt-LT"/>
                    </w:rPr>
                    <w:t>XIII-1626</w:t>
                  </w:r>
                </w:hyperlink>
                <w:r>
                  <w:rPr>
                    <w:i/>
                    <w:color w:val="000000"/>
                    <w:sz w:val="22"/>
                    <w:szCs w:val="22"/>
                    <w:lang w:eastAsia="lt-LT"/>
                  </w:rPr>
                  <w:t>, 2018-11-15, paskelbta TAR 2018-11-22, i. k. 2018-18859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X SKYRIUS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tabs>
                    <w:tab w:val="left" w:pos="2190"/>
                  </w:tabs>
                  <w:jc w:val="both"/>
                  <w:rPr>
                    <w:i/>
                    <w:iCs/>
                    <w:color w:val="000000"/>
                    <w:sz w:val="22"/>
                    <w:szCs w:val="22"/>
                    <w:lang w:eastAsia="lt-LT"/>
                  </w:rPr>
                </w:pPr>
                <w:r>
                  <w:rPr>
                    <w:i/>
                    <w:iCs/>
                    <w:color w:val="000000"/>
                    <w:sz w:val="22"/>
                    <w:szCs w:val="22"/>
                    <w:lang w:eastAsia="lt-LT"/>
                  </w:rPr>
                  <w:t>76 straipsnis</w:t>
                </w:r>
              </w:p>
              <w:p>
                <w:pPr>
                  <w:shd w:val="clear" w:color="auto" w:fill="FFFFFF"/>
                  <w:jc w:val="both"/>
                  <w:rPr>
                    <w:i/>
                    <w:iCs/>
                    <w:color w:val="000000"/>
                    <w:sz w:val="22"/>
                    <w:szCs w:val="22"/>
                    <w:lang w:eastAsia="lt-LT"/>
                  </w:rPr>
                </w:pPr>
                <w:r>
                  <w:rPr>
                    <w:b/>
                    <w:bCs/>
                    <w:color w:val="000000"/>
                    <w:sz w:val="22"/>
                    <w:szCs w:val="22"/>
                    <w:lang w:eastAsia="lt-LT"/>
                  </w:rPr>
                  <w:t>Reguliavimo institucijų paskyrimas ir nepriklausomumas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 valstybė narė paskiria vieną reguliavimo instituciją nacionaliniu lygmeniu. </w:t>
                </w:r>
              </w:p>
            </w:tc>
            <w:tc>
              <w:tcPr>
                <w:tcW w:w="9407" w:type="dxa"/>
                <w:gridSpan w:val="3"/>
                <w:vAlign w:val="center"/>
              </w:tcPr>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 straipsnis.</w:t>
                </w:r>
                <w:r>
                  <w:rPr>
                    <w:color w:val="000000"/>
                    <w:sz w:val="22"/>
                    <w:szCs w:val="22"/>
                    <w:lang w:eastAsia="lt-LT"/>
                  </w:rPr>
                  <w:t xml:space="preserve"> </w:t>
                </w:r>
                <w:r>
                  <w:rPr>
                    <w:b/>
                    <w:bCs/>
                    <w:color w:val="000000"/>
                    <w:sz w:val="22"/>
                    <w:szCs w:val="22"/>
                    <w:lang w:eastAsia="lt-LT"/>
                  </w:rPr>
                  <w:t>Vandenilio sektoriaus veiklos valdymo ir priežiūros institucijos</w:t>
                </w:r>
              </w:p>
              <w:p>
                <w:pPr>
                  <w:tabs>
                    <w:tab w:val="left" w:pos="567"/>
                  </w:tabs>
                  <w:jc w:val="both"/>
                  <w:rPr>
                    <w:b/>
                    <w:bCs/>
                    <w:color w:val="000000"/>
                    <w:sz w:val="22"/>
                    <w:szCs w:val="22"/>
                    <w:lang w:eastAsia="lt-LT"/>
                  </w:rPr>
                </w:pPr>
                <w:r>
                  <w:rPr>
                    <w:b/>
                    <w:bCs/>
                    <w:color w:val="000000"/>
                    <w:sz w:val="22"/>
                    <w:szCs w:val="22"/>
                    <w:lang w:eastAsia="lt-LT"/>
                  </w:rPr>
                  <w:t>1. Vandenilio sektoriaus veiklos valdymą, reguliavimą ir priežiūrą Lietuvos Respublikoje pagal kompetenciją atlieka:</w:t>
                </w:r>
              </w:p>
              <w:p>
                <w:pPr>
                  <w:tabs>
                    <w:tab w:val="left" w:pos="567"/>
                  </w:tabs>
                  <w:jc w:val="both"/>
                  <w:rPr>
                    <w:b/>
                    <w:bCs/>
                    <w:color w:val="000000"/>
                    <w:sz w:val="22"/>
                    <w:szCs w:val="22"/>
                    <w:lang w:eastAsia="lt-LT"/>
                  </w:rPr>
                </w:pPr>
                <w:r>
                  <w:rPr>
                    <w:b/>
                    <w:bCs/>
                    <w:color w:val="000000"/>
                    <w:sz w:val="22"/>
                    <w:szCs w:val="22"/>
                    <w:lang w:eastAsia="lt-LT"/>
                  </w:rPr>
                  <w:t>1) Lietuvos Respublikos Vyriausybė ar jos įgaliota institucija;</w:t>
                </w:r>
              </w:p>
              <w:p>
                <w:pPr>
                  <w:tabs>
                    <w:tab w:val="left" w:pos="567"/>
                  </w:tabs>
                  <w:jc w:val="both"/>
                  <w:rPr>
                    <w:b/>
                    <w:bCs/>
                    <w:color w:val="000000"/>
                    <w:sz w:val="22"/>
                    <w:szCs w:val="22"/>
                    <w:lang w:eastAsia="lt-LT"/>
                  </w:rPr>
                </w:pPr>
                <w:r>
                  <w:rPr>
                    <w:b/>
                    <w:bCs/>
                    <w:color w:val="000000"/>
                    <w:sz w:val="22"/>
                    <w:szCs w:val="22"/>
                    <w:lang w:eastAsia="lt-LT"/>
                  </w:rPr>
                  <w:t>2) Lietuvos Respublikos energetikos ministerija;</w:t>
                </w:r>
              </w:p>
              <w:p>
                <w:pPr>
                  <w:tabs>
                    <w:tab w:val="left" w:pos="567"/>
                  </w:tabs>
                  <w:jc w:val="both"/>
                  <w:rPr>
                    <w:b/>
                    <w:bCs/>
                    <w:color w:val="000000"/>
                    <w:sz w:val="22"/>
                    <w:szCs w:val="22"/>
                    <w:lang w:eastAsia="lt-LT"/>
                  </w:rPr>
                </w:pPr>
                <w:r>
                  <w:rPr>
                    <w:b/>
                    <w:bCs/>
                    <w:color w:val="000000"/>
                    <w:sz w:val="22"/>
                    <w:szCs w:val="22"/>
                    <w:lang w:eastAsia="lt-LT"/>
                  </w:rPr>
                  <w:t>3) Valstybinė energetikos reguliavimo taryba (toliau –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firstLine="720"/>
                  <w:jc w:val="both"/>
                  <w:rPr>
                    <w:b/>
                    <w:bCs/>
                    <w:color w:val="000000"/>
                    <w:sz w:val="22"/>
                    <w:szCs w:val="22"/>
                    <w:lang w:eastAsia="ar-SA"/>
                  </w:rPr>
                </w:pPr>
              </w:p>
              <w:p>
                <w:pPr>
                  <w:tabs>
                    <w:tab w:val="left" w:pos="10076"/>
                    <w:tab w:val="left" w:pos="10992"/>
                    <w:tab w:val="left" w:pos="11908"/>
                    <w:tab w:val="left" w:pos="12824"/>
                    <w:tab w:val="left" w:pos="13740"/>
                    <w:tab w:val="left" w:pos="14656"/>
                  </w:tabs>
                  <w:ind w:hanging="18"/>
                  <w:jc w:val="both"/>
                  <w:rPr>
                    <w:b/>
                    <w:bCs/>
                    <w:color w:val="000000"/>
                    <w:sz w:val="22"/>
                    <w:szCs w:val="22"/>
                    <w:lang w:eastAsia="lt-LT"/>
                  </w:rPr>
                </w:pPr>
                <w:r>
                  <w:rPr>
                    <w:b/>
                    <w:bCs/>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Tarybos funkcijas, uždavinius, teises ir pareigas vandenilio sektoriuje nustato Energetikos įstatymas, šis ir kiti įstatymai bei Tarybos nuostatai.</w:t>
                </w:r>
              </w:p>
              <w:p>
                <w:pPr>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Energetikos įstatymas</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ind w:firstLine="720"/>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ind w:firstLine="720"/>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tabs>
                    <w:tab w:val="left" w:pos="10076"/>
                    <w:tab w:val="left" w:pos="10992"/>
                    <w:tab w:val="left" w:pos="11908"/>
                    <w:tab w:val="left" w:pos="12824"/>
                    <w:tab w:val="left" w:pos="13740"/>
                    <w:tab w:val="left" w:pos="14656"/>
                  </w:tabs>
                  <w:ind w:firstLine="720"/>
                  <w:jc w:val="both"/>
                  <w:rPr>
                    <w:b/>
                    <w:bCs/>
                    <w:caps/>
                    <w:color w:val="000000"/>
                    <w:sz w:val="22"/>
                    <w:szCs w:val="22"/>
                    <w:vertAlign w:val="superscript"/>
                    <w:lang w:eastAsia="lt-LT"/>
                  </w:rPr>
                </w:pPr>
              </w:p>
              <w:p>
                <w:pPr>
                  <w:tabs>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Šio straipsnio 1 dalis nedaro poveikio valstybėse narėse kitų reguliavimo institucijų paskyrimui regionų lygmeniu, jeigu ACER Reguliavimo valdyboje yra vienas vyresnysis atstovas atstovavimo ir ryšių palaikymo Sąjungos lygmeniu tikslais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i/>
                    <w:iCs/>
                    <w:sz w:val="22"/>
                    <w:szCs w:val="22"/>
                    <w:lang w:eastAsia="lt-LT"/>
                  </w:rPr>
                </w:pPr>
                <w:r>
                  <w:rPr>
                    <w:i/>
                    <w:iCs/>
                    <w:sz w:val="22"/>
                    <w:szCs w:val="22"/>
                    <w:lang w:eastAsia="lt-LT"/>
                  </w:rPr>
                  <w:t>Pastaba. Šios nuostatos įgyvendinti nereikia, kadangi Lietuvos Respublikoje bus tik viena reguliavimo institucija ir nenumatoma paskirti kitų reguliavimo institucijų regionų lygmeniu.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Nukrypstant nuo šio straipsnio 1 dalies, valstybė narė gali paskirti reguliavimo institucijas, skirtas mažoms sistemoms geografiškai atskirtame regione, kurio suvartotas kiekis 2008 m. sudarė mažiau kaip 3 % bendro valstybėje narėje, kuriai šis regionas priklauso, suvartoto kiekio. Ta nukrypti leidžianti nuostata nedaro poveikio vieno vyresniojo atstovo paskyrimui atstovavimo ir ryšių palaikymo Sąjungos lygmeniu tikslais ACER Reguliavimo valdyboje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color w:val="000000"/>
                    <w:sz w:val="22"/>
                    <w:szCs w:val="22"/>
                    <w:lang w:eastAsia="lt-LT"/>
                  </w:rPr>
                </w:pPr>
                <w:r>
                  <w:rPr>
                    <w:i/>
                    <w:color w:val="000000"/>
                    <w:sz w:val="22"/>
                    <w:szCs w:val="22"/>
                    <w:lang w:eastAsia="lt-LT"/>
                  </w:rPr>
                  <w:t>Pastaba. Ši dalis neaktuali Lietuvai, nes Lietuvoje yra paskirta viena nacionalinė energetikos reguliavimo institucija - Valstybinė energetikos reguliavimo taryba</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garantuoja reguliavimo institucijos nepriklausomumą ir užtikrina, kad ji nešališkai ir skaidriai naudotųsi savo įgaliojimais. Tuo tikslu valstybės narės užtikrina, kad reguliavimo institucija, vykdydama jai šia direktyva ir susijusiais teisės aktais nustatytas reguliavimo užduotis: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&lt;...&gt; Taryba veikia nešališkai ir skaidriai, pagal įstatymus ir Tarybos patvirtintą darbo reglamentą. Tarybos vadovas yra Tarybos pirmininkas. Taryba gali būti reorganizuojama ar likviduojama priėmus atitinkamą įstatymą.</w:t>
                </w:r>
              </w:p>
              <w:p>
                <w:pPr>
                  <w:ind w:firstLine="720"/>
                  <w:jc w:val="both"/>
                  <w:rPr>
                    <w:color w:val="000000"/>
                    <w:sz w:val="22"/>
                    <w:szCs w:val="22"/>
                    <w:lang w:val="lt" w:eastAsia="lt-LT"/>
                  </w:rPr>
                </w:pPr>
                <w:r>
                  <w:rPr>
                    <w:color w:val="000000"/>
                    <w:sz w:val="22"/>
                    <w:szCs w:val="22"/>
                    <w:lang w:val="lt" w:eastAsia="lt-LT"/>
                  </w:rPr>
                  <w:t>9. Taryba, atlikdama savo funkcijas, yra nepriklausoma. Šiuo tikslu:</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a) būtų teisiškai atskira ir funkciniu atžvilgiu nepriklausoma nuo kito viešojo ar privačiojo subjekto;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1) Taryba yra teisiškai atskirta ir funkciniu aspektu nepriklausoma nuo bet kurio kito viešojo ar privataus asmens;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užtikrintų, kad jos personalas ir už jos valdymą atsakingi asmenys:</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i) veiktų nepriklausomai nuo visų rinkos interesų;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vykdydami reguliavimo užduotis, nesiektų gauti vyriausybės arba kito viešojo ar privačiojo subjekto tiesioginių nurodymų ir jų nevykdytų. Tas reikalavimas neturi įtakos atitinkamam glaudžiam bendradarbiavimui su kitomis atitinkamomis nacionalinėmis institucijomis ar vyriausybės pateiktoms bendrosioms politinėms gairėms, nesusijusioms su reguliavimo įgaliojimais ir pareigomis pagal 78 straipsnį.</w:t>
                </w:r>
              </w:p>
            </w:tc>
            <w:tc>
              <w:tcPr>
                <w:tcW w:w="9407" w:type="dxa"/>
                <w:gridSpan w:val="3"/>
                <w:vAlign w:val="center"/>
              </w:tcPr>
              <w:p>
                <w:pPr>
                  <w:ind w:firstLine="124"/>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Siekdamos apsaugoti reguliavimo institucijos nepriklausomumą, valstybės narės visų pirma užtikrina, kad:</w:t>
                </w:r>
              </w:p>
            </w:tc>
            <w:tc>
              <w:tcPr>
                <w:tcW w:w="9407" w:type="dxa"/>
                <w:gridSpan w:val="3"/>
                <w:vAlign w:val="center"/>
              </w:tcPr>
              <w:p>
                <w:pPr>
                  <w:ind w:firstLine="720"/>
                  <w:jc w:val="both"/>
                  <w:rPr>
                    <w:b/>
                    <w:bCs/>
                    <w:color w:val="000000"/>
                    <w:sz w:val="22"/>
                    <w:szCs w:val="22"/>
                    <w:lang w:val="lt" w:eastAsia="lt-LT"/>
                  </w:rPr>
                </w:pPr>
              </w:p>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reguliavimo institucija galėtų priimti savarankiškus sprendimus, nepriklausomai nuo bet kokio politinio organo; </w:t>
                </w:r>
              </w:p>
            </w:tc>
            <w:tc>
              <w:tcPr>
                <w:tcW w:w="9407" w:type="dxa"/>
                <w:gridSpan w:val="3"/>
                <w:vAlign w:val="center"/>
              </w:tcPr>
              <w:p>
                <w:pPr>
                  <w:jc w:val="both"/>
                  <w:rPr>
                    <w:b/>
                    <w:bCs/>
                    <w:color w:val="000000"/>
                    <w:sz w:val="22"/>
                    <w:szCs w:val="22"/>
                    <w:lang w:val="lt" w:eastAsia="lt-LT"/>
                  </w:rPr>
                </w:pPr>
                <w:r>
                  <w:rPr>
                    <w:b/>
                    <w:color w:val="000000"/>
                    <w:sz w:val="22"/>
                    <w:szCs w:val="22"/>
                    <w:lang w:val="lt"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 xml:space="preserve">9. Taryba, atlikdama savo funkcijas, yra nepriklausoma. Šiuo tikslu: </w:t>
                </w:r>
              </w:p>
              <w:p>
                <w:pPr>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 turėtų visus būtinus žmogiškuosius ir finansinius išteklius, kurių jai reikia efektyviai ir veiksmingai vykdyti savo pareigas ir naudotis įgaliojimais;</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val="lt" w:eastAsia="lt-LT"/>
                  </w:rPr>
                </w:pPr>
                <w:r>
                  <w:rPr>
                    <w:color w:val="000000"/>
                    <w:sz w:val="22"/>
                    <w:szCs w:val="22"/>
                    <w:lang w:val="lt" w:eastAsia="lt-LT"/>
                  </w:rPr>
                  <w:t>18. Tarybos pajamos ir jų naudojimo tvarka:</w:t>
                </w:r>
              </w:p>
              <w:p>
                <w:pPr>
                  <w:jc w:val="both"/>
                  <w:rPr>
                    <w:color w:val="000000"/>
                    <w:sz w:val="22"/>
                    <w:szCs w:val="22"/>
                    <w:lang w:val="lt" w:eastAsia="lt-LT"/>
                  </w:rPr>
                </w:pPr>
                <w:r>
                  <w:rPr>
                    <w:color w:val="000000"/>
                    <w:sz w:val="22"/>
                    <w:szCs w:val="22"/>
                    <w:lang w:val="lt" w:eastAsia="lt-LT"/>
                  </w:rPr>
                  <w:t>1) Tarybos kitų metų pajamos apskaičiuojamos pagal praėjusių metų atskirų energetikos sektorių energetikos įmonių veiklų, kurių kainos yra valstybės reguliuojamos, metines pajamas: 2,19 procento šilumos perdavimo veiklos pajamų, 0,59 procento elektros energijos perdavimo ir skirstymo pajamų bei Vyriausybės nutarimu patvirtintų Elektros energetikos įstatymo 74 straipsnio 2 dalies 2, 3 ir 4 punktuose nustatytas viešuosius interesus atitinkančias paslaugas teikiančių asmenų veiklų pajamų ir 1,37 procento gamtinių dujų skystinimo (pakartotinio dujinimo), perdavimo ir skirstymo veiklų pajamų;</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5" w:history="1">
                  <w:r>
                    <w:rPr>
                      <w:i/>
                      <w:iCs/>
                      <w:color w:val="0000FF"/>
                      <w:sz w:val="22"/>
                      <w:szCs w:val="22"/>
                      <w:u w:val="single"/>
                      <w:lang w:val="lt" w:eastAsia="lt-LT"/>
                    </w:rPr>
                    <w:t>XIV-630</w:t>
                  </w:r>
                </w:hyperlink>
                <w:r>
                  <w:rPr>
                    <w:i/>
                    <w:iCs/>
                    <w:color w:val="000000"/>
                    <w:sz w:val="22"/>
                    <w:szCs w:val="22"/>
                    <w:lang w:val="lt" w:eastAsia="lt-LT"/>
                  </w:rPr>
                  <w:t>, 2021-11-11, paskelbta TAR 2021-11-25, i. k. 2021-24222</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2) šios dalies 1 punkte nustatyta tvarka apskaičiuotos Tarybos pajamos pripažįstamos energetikos įmonių pagrįstomis sąnaudomis nustatant šios dalies 1 punkte nurodytų veiklų kainas arba jų dalį;</w:t>
                </w:r>
              </w:p>
              <w:p>
                <w:pPr>
                  <w:jc w:val="both"/>
                  <w:rPr>
                    <w:color w:val="000000"/>
                    <w:sz w:val="22"/>
                    <w:szCs w:val="22"/>
                    <w:lang w:val="lt" w:eastAsia="lt-LT"/>
                  </w:rPr>
                </w:pPr>
                <w:r>
                  <w:rPr>
                    <w:color w:val="000000"/>
                    <w:sz w:val="22"/>
                    <w:szCs w:val="22"/>
                    <w:lang w:val="lt" w:eastAsia="lt-LT"/>
                  </w:rPr>
                  <w:t>3) energetikos įmonės, kurios verčiasi šios dalies 1 punkte nurodyta veikla, po ketvirtadalį šios dalies 1 punkte nustatyta tvarka apskaičiuotos sumos privalo pervesti į Tarybos sąskaitą kiekvieną kalendorinių metų ketvirtį ne vėliau kaip iki kito ketvirčio pirmojo mėnesio paskutinės dienos;</w:t>
                </w:r>
              </w:p>
              <w:p>
                <w:pPr>
                  <w:jc w:val="both"/>
                  <w:rPr>
                    <w:color w:val="000000"/>
                    <w:sz w:val="22"/>
                    <w:szCs w:val="22"/>
                    <w:lang w:val="lt" w:eastAsia="lt-LT"/>
                  </w:rPr>
                </w:pPr>
                <w:r>
                  <w:rPr>
                    <w:color w:val="000000"/>
                    <w:sz w:val="22"/>
                    <w:szCs w:val="22"/>
                    <w:lang w:val="lt" w:eastAsia="lt-LT"/>
                  </w:rPr>
                  <w:t>4) asmenims, laiku nesumokėjusiems šios dalies 1 ir 6 punktuose nustatyta tvarka apskaičiuotos sumos (įmokos), skaičiuojami 0,05 procento dydžio delspinigiai už kiekvieną mokėjimo termino praleidimo dieną; delspinigiai nepripažįstami asmenų pagrįstomis sąnaudomis; delspinigių sumokėjimas neatleidžia nuo pareigos sumokėti visą laiku nesumokėtą sumą (įmoką);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6" w:history="1">
                  <w:r>
                    <w:rPr>
                      <w:i/>
                      <w:iCs/>
                      <w:color w:val="0000FF"/>
                      <w:sz w:val="22"/>
                      <w:szCs w:val="22"/>
                      <w:u w:val="single"/>
                      <w:lang w:val="lt" w:eastAsia="lt-LT"/>
                    </w:rPr>
                    <w:t>XIII-3138</w:t>
                  </w:r>
                </w:hyperlink>
                <w:r>
                  <w:rPr>
                    <w:i/>
                    <w:iCs/>
                    <w:color w:val="000000"/>
                    <w:sz w:val="22"/>
                    <w:szCs w:val="22"/>
                    <w:lang w:val="lt" w:eastAsia="lt-LT"/>
                  </w:rPr>
                  <w:t>, 2020-06-25, paskelbta TAR 2020-06-30, i. k. 2020-14375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5) Tarybos pajamomis taip pat laikomos pajamos, gautos už suinteresuotų asmenų prašymu teikiamą energetikos įrenginių techninės būklės patikrinimo ir pažymų apie energetikos įrenginių techninę būklę išdavimo paslaugą; paslaugos kainas ir mokėjimo tvarką, atsižvelgdama į paslaugos teikimo sąnaudas, nustato Taryba;</w:t>
                </w:r>
              </w:p>
              <w:p>
                <w:pPr>
                  <w:jc w:val="both"/>
                  <w:rPr>
                    <w:color w:val="000000"/>
                    <w:sz w:val="22"/>
                    <w:szCs w:val="22"/>
                    <w:lang w:val="lt" w:eastAsia="lt-LT"/>
                  </w:rPr>
                </w:pPr>
                <w:r>
                  <w:rPr>
                    <w:color w:val="000000"/>
                    <w:sz w:val="22"/>
                    <w:szCs w:val="22"/>
                    <w:lang w:val="lt" w:eastAsia="lt-LT"/>
                  </w:rPr>
                  <w:t>6) pajamos, gautos už Tarybos atliekamus darbus ir teikiamas paslaugas, susijusias su energetikos įmonių, turinčių leidimą prekiauti naftos produktais ir (ar) leidimą prekiauti suskystintomis naftos dujomis, reguliuojamosios veiklos priežiūra. Įmokų už Tarybos atliekamus darbus ir teikiamas paslaugas, susijusias su energetikos įmonių, turinčių leidimą prekiauti naftos produktais ir (ar) leidimą prekiauti suskystintomis naftos dujomis, reguliuojamosios veiklos priežiūra, dydžius ir mokėjimo tvarką nustato Taryba, pagrįsdama Tarybos sąnaudomis;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137"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7) Taryba pagal šią dalį gautas pajamas privalo įmokėti į valstybės biudžetą ir tvarkyti Lietuvos Respublikos biudžeto sandaros įstatymo nustatyta tvarka;</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8"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8) Tarybos pajamos, gautos pagal šią dalį ir įmokėtos į valstybės biudžetą, gali būti naudojamos tik Tarybos strateginiame veiklos plane numatytoms ir vykdomoms programoms finansuoti.</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9"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reguliavimo institucija turėtų atskirus metinius biudžeto asignavimus ir galėtų savarankiškai įgyvendinti tą paskirtą biudžetą; </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institucijos valdybos nariai arba, jei valdybos nėra, reguliavimo institucijos vyriausioji vadovybė būtų skiriami fiksuotam penkerių–septynerių metų laikotarpiui, kurį galima pratęsti vieną kartą;</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12"/>
                  </w:tabs>
                  <w:jc w:val="both"/>
                  <w:rPr>
                    <w:sz w:val="22"/>
                    <w:szCs w:val="22"/>
                    <w:lang w:eastAsia="lt-LT"/>
                  </w:rPr>
                </w:pPr>
                <w:r>
                  <w:rPr>
                    <w:color w:val="000000"/>
                    <w:sz w:val="22"/>
                    <w:szCs w:val="22"/>
                    <w:lang w:eastAsia="lt-LT"/>
                  </w:rPr>
                  <w:t xml:space="preserve">e) reguliavimo institucijos valdybos nariai arba, jei valdybos nėra, reguliavimo institucijos vyriausioji vadovybė būtų skiriami remiantis objektyviais, skaidriais ir paskelbtais kriterijais atliekant nepriklausomą ir nešališką procedūrą, kuria užtikrinama, kad kandidatai turėtų reikiamus įgūdžius ir patirtį atitinkamoms pareigoms reguliavimo institucijoje užimti;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 xml:space="preserve">&lt;...&gt; </w:t>
                </w:r>
              </w:p>
              <w:p>
                <w:pPr>
                  <w:ind w:hanging="18"/>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hanging="18"/>
                  <w:jc w:val="both"/>
                  <w:rPr>
                    <w:color w:val="000000"/>
                    <w:sz w:val="22"/>
                    <w:szCs w:val="22"/>
                    <w:lang w:val="lt" w:eastAsia="lt-LT"/>
                  </w:rPr>
                </w:pPr>
                <w:r>
                  <w:rPr>
                    <w:color w:val="000000"/>
                    <w:sz w:val="22"/>
                    <w:szCs w:val="22"/>
                    <w:lang w:val="lt" w:eastAsia="lt-LT"/>
                  </w:rPr>
                  <w:t>4.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būtų nustatytos nuostatos dėl interesų konfliktų, o konfidencialumo pareigos tęstųsi pasibaigus reguliavimo institucijos valdybos narių arba, jei valdybos nėra, reguliavimo institucijos aukščiausiosios vadovybės kadencijai reguliavimo institucijoje;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Lnuietuvos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jc w:val="both"/>
                  <w:rPr>
                    <w:color w:val="000000"/>
                    <w:sz w:val="22"/>
                    <w:szCs w:val="22"/>
                    <w:lang w:val="lt" w:eastAsia="lt-LT"/>
                  </w:rPr>
                </w:pPr>
              </w:p>
              <w:p>
                <w:pPr>
                  <w:jc w:val="both"/>
                  <w:rPr>
                    <w:rFonts w:eastAsia="Times New Roman, Aptos"/>
                    <w:i/>
                    <w:color w:val="000000"/>
                    <w:sz w:val="22"/>
                    <w:szCs w:val="22"/>
                    <w:lang w:eastAsia="lt-LT"/>
                  </w:rPr>
                </w:pPr>
                <w:r>
                  <w:rPr>
                    <w:i/>
                    <w:iCs/>
                    <w:color w:val="000000"/>
                    <w:sz w:val="22"/>
                    <w:szCs w:val="22"/>
                    <w:lang w:val="lt" w:eastAsia="lt-LT"/>
                  </w:rPr>
                  <w:t xml:space="preserve">Pastaba: </w:t>
                </w:r>
                <w:r>
                  <w:rPr>
                    <w:rFonts w:eastAsia="Times New Roman, Aptos"/>
                    <w:i/>
                    <w:color w:val="000000"/>
                    <w:sz w:val="22"/>
                    <w:szCs w:val="22"/>
                    <w:lang w:eastAsia="lt-LT"/>
                  </w:rPr>
                  <w:t>Direktyvos nuostata, kuria reikalaujama nustatyti interesų konfliktų prevencijos taisykles ir užtikrinti, kad konfidencialumo pareiga tęstųsi pasibaigus reguliavimo institucijos valdybos narių ar aukščiausiosios vadovybės kadencijai, yra įgyvendinta nacionalinėje teisėje. Reguliavimo institucijos valdybos nariai ir aukščiausiosios vadovybės pareigūnai laikomi valstybės tarnautojais ar pareigūnais, todėl jiems taikomas Lietuvos Respublikos valstybės tarnybos įstatymo 4 straipsnio 2 dalies 14 punkte įtvirtintas viešumo ir skaidrumo principas bei pareiga vengti interesų konflikto, taip pat Lietuvos Respublikos viešųjų ir privačių interesų derinimo įstatymo 11 straipsnyje nustatyta pareiga nusišalinti interesų konflikto atveju.</w:t>
                </w:r>
                <w:r>
                  <w:rPr>
                    <w:rFonts w:eastAsia="Calibri"/>
                    <w:i/>
                    <w:color w:val="000000"/>
                    <w:sz w:val="22"/>
                    <w:szCs w:val="22"/>
                    <w:lang w:eastAsia="lt-LT"/>
                  </w:rPr>
                  <w:t xml:space="preserve"> Konfidencialumo pareigos tęstinį statusą po kadencijos tiesiogiai numato ne konkretus punktas ar straipsnis, bet jis išplaukia iš Valstybės tarnybos įstatymo ir Valstybės ir tarnybos paslapčių įstatymo bendrų principų.  </w:t>
                </w:r>
                <w:r>
                  <w:rPr>
                    <w:rFonts w:eastAsia="Times New Roman, Aptos"/>
                    <w:i/>
                    <w:color w:val="000000"/>
                    <w:sz w:val="22"/>
                    <w:szCs w:val="22"/>
                    <w:lang w:eastAsia="lt-LT"/>
                  </w:rPr>
                  <w:t>Atsižvelgiant į tai, direktyvos reikalavimai yra tinkamai perkelti ir papildomų nacionalinio reguliavimo nuostatų nereikia.</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reguliavimo institucijos valdybos nariai arba, jei valdybos nėra, reguliavimo institucijos aukščiausioji vadovybė galėtų būti atleisti tik remiantis galiojančiais skaidriais kriterijais.</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&lt;...&gt; </w:t>
                </w:r>
              </w:p>
              <w:p>
                <w:pPr>
                  <w:ind w:firstLine="17"/>
                  <w:jc w:val="both"/>
                  <w:rPr>
                    <w:color w:val="000000"/>
                    <w:sz w:val="22"/>
                    <w:szCs w:val="22"/>
                    <w:lang w:val="lt" w:eastAsia="lt-LT"/>
                  </w:rPr>
                </w:pPr>
                <w:r>
                  <w:rPr>
                    <w:color w:val="000000"/>
                    <w:sz w:val="22"/>
                    <w:szCs w:val="22"/>
                    <w:lang w:val="lt" w:eastAsia="lt-LT"/>
                  </w:rPr>
                  <w:t>7. Tarybos pirmininkas ir jos nariai atleidžiami iš pareigų tik:</w:t>
                </w:r>
              </w:p>
              <w:p>
                <w:pPr>
                  <w:ind w:firstLine="17"/>
                  <w:jc w:val="both"/>
                  <w:rPr>
                    <w:color w:val="000000"/>
                    <w:sz w:val="22"/>
                    <w:szCs w:val="22"/>
                    <w:lang w:val="lt" w:eastAsia="lt-LT"/>
                  </w:rPr>
                </w:pPr>
                <w:r>
                  <w:rPr>
                    <w:color w:val="000000"/>
                    <w:sz w:val="22"/>
                    <w:szCs w:val="22"/>
                    <w:lang w:val="lt" w:eastAsia="lt-LT"/>
                  </w:rPr>
                  <w:t>1) pasibaigus kadencijai;</w:t>
                </w:r>
              </w:p>
              <w:p>
                <w:pPr>
                  <w:ind w:firstLine="17"/>
                  <w:jc w:val="both"/>
                  <w:rPr>
                    <w:color w:val="000000"/>
                    <w:sz w:val="22"/>
                    <w:szCs w:val="22"/>
                    <w:lang w:val="lt" w:eastAsia="lt-LT"/>
                  </w:rPr>
                </w:pPr>
                <w:r>
                  <w:rPr>
                    <w:color w:val="000000"/>
                    <w:sz w:val="22"/>
                    <w:szCs w:val="22"/>
                    <w:lang w:val="lt" w:eastAsia="lt-LT"/>
                  </w:rPr>
                  <w:t>2) savo noru;</w:t>
                </w:r>
              </w:p>
              <w:p>
                <w:pPr>
                  <w:ind w:firstLine="17"/>
                  <w:jc w:val="both"/>
                  <w:rPr>
                    <w:color w:val="000000"/>
                    <w:sz w:val="22"/>
                    <w:szCs w:val="22"/>
                    <w:lang w:val="lt" w:eastAsia="lt-LT"/>
                  </w:rPr>
                </w:pPr>
                <w:r>
                  <w:rPr>
                    <w:color w:val="000000"/>
                    <w:sz w:val="22"/>
                    <w:szCs w:val="22"/>
                    <w:lang w:val="lt" w:eastAsia="lt-LT"/>
                  </w:rPr>
                  <w:t>3) išrinkus arba paskyrus į kitas pareigas;</w:t>
                </w:r>
              </w:p>
              <w:p>
                <w:pPr>
                  <w:ind w:firstLine="17"/>
                  <w:jc w:val="both"/>
                  <w:rPr>
                    <w:color w:val="000000"/>
                    <w:sz w:val="22"/>
                    <w:szCs w:val="22"/>
                    <w:lang w:val="lt" w:eastAsia="lt-LT"/>
                  </w:rPr>
                </w:pPr>
                <w:r>
                  <w:rPr>
                    <w:color w:val="000000"/>
                    <w:sz w:val="22"/>
                    <w:szCs w:val="22"/>
                    <w:lang w:val="lt" w:eastAsia="lt-LT"/>
                  </w:rPr>
                  <w:t>4) įsiteisėjus apkaltinamajam teismo nuosprendžiui;</w:t>
                </w:r>
              </w:p>
              <w:p>
                <w:pPr>
                  <w:ind w:firstLine="17"/>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firstLine="17"/>
                  <w:jc w:val="both"/>
                  <w:rPr>
                    <w:color w:val="000000"/>
                    <w:sz w:val="22"/>
                    <w:szCs w:val="22"/>
                    <w:lang w:val="lt" w:eastAsia="lt-LT"/>
                  </w:rPr>
                </w:pPr>
                <w:r>
                  <w:rPr>
                    <w:color w:val="000000"/>
                    <w:sz w:val="22"/>
                    <w:szCs w:val="22"/>
                    <w:lang w:val="lt" w:eastAsia="lt-LT"/>
                  </w:rPr>
                  <w:t>6) pažeidus tarnybinę etiką;</w:t>
                </w:r>
              </w:p>
              <w:p>
                <w:pPr>
                  <w:ind w:firstLine="17"/>
                  <w:jc w:val="both"/>
                  <w:rPr>
                    <w:color w:val="000000"/>
                    <w:sz w:val="22"/>
                    <w:szCs w:val="22"/>
                    <w:lang w:val="lt" w:eastAsia="lt-LT"/>
                  </w:rPr>
                </w:pPr>
                <w:r>
                  <w:rPr>
                    <w:color w:val="000000"/>
                    <w:sz w:val="22"/>
                    <w:szCs w:val="22"/>
                    <w:lang w:val="lt" w:eastAsia="lt-LT"/>
                  </w:rPr>
                  <w:t>7) dėl sveikatos būklės;</w:t>
                </w:r>
              </w:p>
              <w:p>
                <w:pPr>
                  <w:ind w:firstLine="17"/>
                  <w:jc w:val="both"/>
                  <w:rPr>
                    <w:color w:val="000000"/>
                    <w:sz w:val="22"/>
                    <w:szCs w:val="22"/>
                    <w:lang w:val="lt" w:eastAsia="lt-LT"/>
                  </w:rPr>
                </w:pPr>
                <w:r>
                  <w:rPr>
                    <w:color w:val="000000"/>
                    <w:sz w:val="22"/>
                    <w:szCs w:val="22"/>
                    <w:lang w:val="lt" w:eastAsia="lt-LT"/>
                  </w:rPr>
                  <w:t>8) netekus Lietuvos Respublikos pilietybės;</w:t>
                </w:r>
              </w:p>
              <w:p>
                <w:pPr>
                  <w:ind w:firstLine="17"/>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firstLine="17"/>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Atsižvelgdamos į pirmos pastraipos d punktą, valstybės narės užtikrina, kad būtų taikoma tinkama valdybos arba aukščiausiosios vadovybės rotacijos sistema. Valdybos narius arba, jei valdybos nėra, aukščiausiosios vadovybės narius per jų kadenciją galima būtų atleisti tik tuo atveju, jeigu jie nebeatitinka šiame straipsnyje nustatytų sąlygų arba yra pripažinti kaltais dėl nusižengimo pagal nacionalinę teisę.</w:t>
                </w:r>
              </w:p>
            </w:tc>
            <w:tc>
              <w:tcPr>
                <w:tcW w:w="9407" w:type="dxa"/>
                <w:gridSpan w:val="3"/>
                <w:vAlign w:val="center"/>
              </w:tcPr>
              <w:p>
                <w:pPr>
                  <w:ind w:hanging="18"/>
                  <w:jc w:val="both"/>
                  <w:rPr>
                    <w:b/>
                    <w:bCs/>
                    <w:color w:val="000000"/>
                    <w:sz w:val="22"/>
                    <w:szCs w:val="22"/>
                    <w:lang w:val="lt" w:eastAsia="lt-LT"/>
                  </w:rPr>
                </w:pPr>
              </w:p>
              <w:p>
                <w:pPr>
                  <w:ind w:hanging="18"/>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hanging="18"/>
                  <w:jc w:val="both"/>
                  <w:rPr>
                    <w:b/>
                    <w:bCs/>
                    <w:color w:val="000000"/>
                    <w:sz w:val="22"/>
                    <w:szCs w:val="22"/>
                    <w:lang w:val="lt" w:eastAsia="lt-LT"/>
                  </w:rPr>
                </w:pPr>
              </w:p>
              <w:p>
                <w:pPr>
                  <w:ind w:hanging="18"/>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hanging="18"/>
                  <w:jc w:val="both"/>
                  <w:rPr>
                    <w:color w:val="000000"/>
                    <w:sz w:val="22"/>
                    <w:szCs w:val="22"/>
                    <w:lang w:val="lt" w:eastAsia="lt-LT"/>
                  </w:rPr>
                </w:pPr>
                <w:r>
                  <w:rPr>
                    <w:color w:val="000000"/>
                    <w:sz w:val="22"/>
                    <w:szCs w:val="22"/>
                    <w:lang w:val="lt" w:eastAsia="lt-LT"/>
                  </w:rPr>
                  <w:t>&lt;...&gt;</w:t>
                </w:r>
              </w:p>
              <w:p>
                <w:pPr>
                  <w:ind w:hanging="18"/>
                  <w:jc w:val="both"/>
                  <w:rPr>
                    <w:color w:val="000000"/>
                    <w:sz w:val="22"/>
                    <w:szCs w:val="22"/>
                    <w:lang w:val="lt" w:eastAsia="lt-LT"/>
                  </w:rPr>
                </w:pPr>
                <w:r>
                  <w:rPr>
                    <w:color w:val="000000"/>
                    <w:sz w:val="22"/>
                    <w:szCs w:val="22"/>
                    <w:lang w:val="lt" w:eastAsia="lt-LT"/>
                  </w:rPr>
                  <w:t>7. Tarybos pirmininkas ir jos nariai atleidžiami iš pareigų tik:</w:t>
                </w:r>
              </w:p>
              <w:p>
                <w:pPr>
                  <w:ind w:hanging="18"/>
                  <w:jc w:val="both"/>
                  <w:rPr>
                    <w:color w:val="000000"/>
                    <w:sz w:val="22"/>
                    <w:szCs w:val="22"/>
                    <w:lang w:val="lt" w:eastAsia="lt-LT"/>
                  </w:rPr>
                </w:pPr>
                <w:r>
                  <w:rPr>
                    <w:color w:val="000000"/>
                    <w:sz w:val="22"/>
                    <w:szCs w:val="22"/>
                    <w:lang w:val="lt" w:eastAsia="lt-LT"/>
                  </w:rPr>
                  <w:t>1) pasibaigus kadencijai;</w:t>
                </w:r>
              </w:p>
              <w:p>
                <w:pPr>
                  <w:ind w:hanging="18"/>
                  <w:jc w:val="both"/>
                  <w:rPr>
                    <w:color w:val="000000"/>
                    <w:sz w:val="22"/>
                    <w:szCs w:val="22"/>
                    <w:lang w:val="lt" w:eastAsia="lt-LT"/>
                  </w:rPr>
                </w:pPr>
                <w:r>
                  <w:rPr>
                    <w:color w:val="000000"/>
                    <w:sz w:val="22"/>
                    <w:szCs w:val="22"/>
                    <w:lang w:val="lt" w:eastAsia="lt-LT"/>
                  </w:rPr>
                  <w:t>2) savo noru;</w:t>
                </w:r>
              </w:p>
              <w:p>
                <w:pPr>
                  <w:ind w:hanging="18"/>
                  <w:jc w:val="both"/>
                  <w:rPr>
                    <w:color w:val="000000"/>
                    <w:sz w:val="22"/>
                    <w:szCs w:val="22"/>
                    <w:lang w:val="lt" w:eastAsia="lt-LT"/>
                  </w:rPr>
                </w:pPr>
                <w:r>
                  <w:rPr>
                    <w:color w:val="000000"/>
                    <w:sz w:val="22"/>
                    <w:szCs w:val="22"/>
                    <w:lang w:val="lt" w:eastAsia="lt-LT"/>
                  </w:rPr>
                  <w:t>3) išrinkus arba paskyrus į kitas pareigas;</w:t>
                </w:r>
              </w:p>
              <w:p>
                <w:pPr>
                  <w:ind w:hanging="18"/>
                  <w:jc w:val="both"/>
                  <w:rPr>
                    <w:color w:val="000000"/>
                    <w:sz w:val="22"/>
                    <w:szCs w:val="22"/>
                    <w:lang w:val="lt" w:eastAsia="lt-LT"/>
                  </w:rPr>
                </w:pPr>
                <w:r>
                  <w:rPr>
                    <w:color w:val="000000"/>
                    <w:sz w:val="22"/>
                    <w:szCs w:val="22"/>
                    <w:lang w:val="lt" w:eastAsia="lt-LT"/>
                  </w:rPr>
                  <w:t>4) įsiteisėjus apkaltinamajam teismo nuosprendžiui;</w:t>
                </w:r>
              </w:p>
              <w:p>
                <w:pPr>
                  <w:ind w:hanging="18"/>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hanging="18"/>
                  <w:jc w:val="both"/>
                  <w:rPr>
                    <w:color w:val="000000"/>
                    <w:sz w:val="22"/>
                    <w:szCs w:val="22"/>
                    <w:lang w:val="lt" w:eastAsia="lt-LT"/>
                  </w:rPr>
                </w:pPr>
                <w:r>
                  <w:rPr>
                    <w:color w:val="000000"/>
                    <w:sz w:val="22"/>
                    <w:szCs w:val="22"/>
                    <w:lang w:val="lt" w:eastAsia="lt-LT"/>
                  </w:rPr>
                  <w:t>6) pažeidus tarnybinę etiką;</w:t>
                </w:r>
              </w:p>
              <w:p>
                <w:pPr>
                  <w:ind w:hanging="18"/>
                  <w:jc w:val="both"/>
                  <w:rPr>
                    <w:color w:val="000000"/>
                    <w:sz w:val="22"/>
                    <w:szCs w:val="22"/>
                    <w:lang w:val="lt" w:eastAsia="lt-LT"/>
                  </w:rPr>
                </w:pPr>
                <w:r>
                  <w:rPr>
                    <w:color w:val="000000"/>
                    <w:sz w:val="22"/>
                    <w:szCs w:val="22"/>
                    <w:lang w:val="lt" w:eastAsia="lt-LT"/>
                  </w:rPr>
                  <w:t>7) dėl sveikatos būklės;</w:t>
                </w:r>
              </w:p>
              <w:p>
                <w:pPr>
                  <w:ind w:hanging="18"/>
                  <w:jc w:val="both"/>
                  <w:rPr>
                    <w:color w:val="000000"/>
                    <w:sz w:val="22"/>
                    <w:szCs w:val="22"/>
                    <w:lang w:val="lt" w:eastAsia="lt-LT"/>
                  </w:rPr>
                </w:pPr>
                <w:r>
                  <w:rPr>
                    <w:color w:val="000000"/>
                    <w:sz w:val="22"/>
                    <w:szCs w:val="22"/>
                    <w:lang w:val="lt" w:eastAsia="lt-LT"/>
                  </w:rPr>
                  <w:t>8) netekus Lietuvos Respublikos pilietybės;</w:t>
                </w:r>
              </w:p>
              <w:p>
                <w:pPr>
                  <w:ind w:hanging="18"/>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hanging="18"/>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hanging="18"/>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gali numatyti, kad reguliavimo institucijos metinių finansinių ataskaitų </w:t>
                </w:r>
                <w:r>
                  <w:rPr>
                    <w:i/>
                    <w:iCs/>
                    <w:color w:val="000000"/>
                    <w:sz w:val="22"/>
                    <w:szCs w:val="22"/>
                    <w:lang w:eastAsia="lt-LT"/>
                  </w:rPr>
                  <w:t>ex post</w:t>
                </w:r>
                <w:r>
                  <w:rPr>
                    <w:color w:val="000000"/>
                    <w:sz w:val="22"/>
                    <w:szCs w:val="22"/>
                    <w:lang w:eastAsia="lt-LT"/>
                  </w:rPr>
                  <w:t xml:space="preserve"> kontrolę vykdytų nepriklausomas auditorius.</w:t>
                </w:r>
              </w:p>
            </w:tc>
            <w:tc>
              <w:tcPr>
                <w:tcW w:w="9407" w:type="dxa"/>
                <w:gridSpan w:val="3"/>
                <w:vAlign w:val="center"/>
              </w:tcPr>
              <w:p>
                <w:pPr>
                  <w:ind w:hanging="18"/>
                  <w:jc w:val="both"/>
                  <w:rPr>
                    <w:i/>
                    <w:color w:val="000000"/>
                    <w:sz w:val="22"/>
                    <w:szCs w:val="22"/>
                    <w:lang w:eastAsia="lt-LT"/>
                  </w:rPr>
                </w:pPr>
                <w:r>
                  <w:rPr>
                    <w:i/>
                    <w:iCs/>
                    <w:color w:val="000000"/>
                    <w:sz w:val="22"/>
                    <w:szCs w:val="22"/>
                    <w:lang w:eastAsia="lt-LT"/>
                  </w:rPr>
                  <w:t xml:space="preserve">Pastaba. </w:t>
                </w:r>
                <w:r>
                  <w:rPr>
                    <w:i/>
                    <w:color w:val="000000"/>
                    <w:sz w:val="22"/>
                    <w:szCs w:val="22"/>
                    <w:lang w:eastAsia="lt-LT"/>
                  </w:rPr>
                  <w:t>Lietuvoje nėra numatyta tokia pareiga.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Ne vėliau kaip 2026 m. liepos 5 d., o vėliau – kas ketverius metus Komisija teikia Europos Parlamentui ir Tarybai ataskaitą dėl to, kaip nacionalinės institucijos laikosi šiame straipsnyje nustatyto nepriklausomumo principo. Tokias ataskaitas Komisija paskelbia viešai.</w:t>
                </w:r>
              </w:p>
            </w:tc>
            <w:tc>
              <w:tcPr>
                <w:tcW w:w="9407" w:type="dxa"/>
                <w:gridSpan w:val="3"/>
                <w:vAlign w:val="center"/>
              </w:tcPr>
              <w:p>
                <w:pPr>
                  <w:ind w:hanging="18"/>
                  <w:jc w:val="both"/>
                  <w:rPr>
                    <w:color w:val="000000"/>
                    <w:sz w:val="22"/>
                    <w:szCs w:val="22"/>
                    <w:lang w:eastAsia="lt-LT"/>
                  </w:rPr>
                </w:pPr>
                <w:r>
                  <w:rPr>
                    <w:i/>
                    <w:iCs/>
                    <w:color w:val="000000"/>
                    <w:sz w:val="22"/>
                    <w:szCs w:val="22"/>
                    <w:lang w:eastAsia="lt-LT"/>
                  </w:rPr>
                  <w:t>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 bendrieji tikslai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11"/>
                  </w:tabs>
                  <w:jc w:val="both"/>
                  <w:rPr>
                    <w:color w:val="000000"/>
                    <w:sz w:val="22"/>
                    <w:szCs w:val="22"/>
                    <w:lang w:eastAsia="lt-LT"/>
                  </w:rPr>
                </w:pPr>
                <w:r>
                  <w:rPr>
                    <w:color w:val="000000"/>
                    <w:sz w:val="22"/>
                    <w:szCs w:val="22"/>
                    <w:lang w:eastAsia="lt-LT"/>
                  </w:rPr>
                  <w:t>Vykdydama šioje direktyvoje nurodytas reguliavimo užduotis, reguliavimo institucija, atsižvelgdama į 78 straipsnyje nustatytas savo pareigas ir įgaliojimus, prireikus glaudžiai konsultuodamasi su kitomis atitinkamomis nacionalinėmis institucijomis, įskaitant kaimyninių valstybių narių bei kaimyninių trečiųjų valstybių konkurencijos institucijas ir atitinkamas institucijas, ir nedarant poveikio jų kompetencijai, imasi visų pagrįstų priemonių siekdama šių tikslų:</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53 straipsnis. Tarybos tarptautinis bendradarbiavimas</w:t>
                </w:r>
              </w:p>
              <w:p>
                <w:pPr>
                  <w:ind w:firstLine="17"/>
                  <w:jc w:val="both"/>
                  <w:rPr>
                    <w:b/>
                    <w:bCs/>
                    <w:color w:val="000000"/>
                    <w:sz w:val="22"/>
                    <w:szCs w:val="22"/>
                    <w:lang w:eastAsia="lt-LT"/>
                  </w:rPr>
                </w:pPr>
                <w:r>
                  <w:rPr>
                    <w:b/>
                    <w:bCs/>
                    <w:color w:val="000000"/>
                    <w:sz w:val="22"/>
                    <w:szCs w:val="22"/>
                    <w:lang w:eastAsia="lt-LT"/>
                  </w:rPr>
                  <w:t>Vykdydama tarptautinį bendradarbiavimą, Taryba:</w:t>
                </w:r>
              </w:p>
              <w:p>
                <w:pPr>
                  <w:ind w:firstLine="17"/>
                  <w:jc w:val="both"/>
                  <w:rPr>
                    <w:b/>
                    <w:bCs/>
                    <w:color w:val="000000"/>
                    <w:sz w:val="22"/>
                    <w:szCs w:val="22"/>
                    <w:lang w:eastAsia="lt-LT"/>
                  </w:rPr>
                </w:pPr>
                <w:r>
                  <w:rPr>
                    <w:b/>
                    <w:bCs/>
                    <w:color w:val="000000"/>
                    <w:sz w:val="22"/>
                    <w:szCs w:val="22"/>
                    <w:lang w:eastAsia="lt-LT"/>
                  </w:rPr>
                  <w:t>1) rengia Europos Komisijai reikalingas vandenilio rinkos ataskaitas;</w:t>
                </w:r>
              </w:p>
              <w:p>
                <w:pPr>
                  <w:ind w:firstLine="17"/>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ind w:firstLine="17"/>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ind w:firstLine="17"/>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r>
                  <w:rPr>
                    <w:b/>
                    <w:bCs/>
                    <w:color w:val="000000"/>
                    <w:sz w:val="22"/>
                    <w:szCs w:val="22"/>
                    <w:lang w:eastAsia="lt-LT"/>
                  </w:rPr>
                  <w:t>7) teikia Vyriausybei ar jos įgaliotai institucijai informaciją apie tarptautinio bendradarbiavimo klausimus, tiesioginiai susijusius su Vyriausybės vykdoma užsienio politika.</w:t>
                </w:r>
              </w:p>
              <w:p>
                <w:pPr>
                  <w:ind w:firstLine="17"/>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6 straipsnis. Tarybos tikslai gamtinių dujų sektoriuje</w:t>
                </w:r>
              </w:p>
              <w:p>
                <w:pPr>
                  <w:jc w:val="both"/>
                  <w:rPr>
                    <w:color w:val="000000"/>
                    <w:sz w:val="22"/>
                    <w:szCs w:val="22"/>
                    <w:lang w:val="lt" w:eastAsia="lt-LT"/>
                  </w:rPr>
                </w:pPr>
                <w:r>
                  <w:rPr>
                    <w:color w:val="000000"/>
                    <w:sz w:val="22"/>
                    <w:szCs w:val="22"/>
                    <w:lang w:val="lt" w:eastAsia="lt-LT"/>
                  </w:rPr>
                  <w:t>Taryba savo veikloje, prireikus bendradarbiaudama su Lietuvos Respublikos konkurencijos taryba ir kitomis institucijomis bei įstaigomis, atlikdama savo funkcijas ir pareigas, siekia, kad būtų:&lt;...&gt;</w:t>
                </w:r>
              </w:p>
              <w:p>
                <w:pPr>
                  <w:jc w:val="both"/>
                  <w:rPr>
                    <w:color w:val="000000"/>
                    <w:sz w:val="22"/>
                    <w:szCs w:val="22"/>
                    <w:lang w:eastAsia="lt-LT"/>
                  </w:rPr>
                </w:pP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glaudžiai bendradarbiaujant su kitų valstybių narių reguliavimo institucijomis, Komisija ir ACER skatinti konkurencingos, lanksčios, saugios ir aplinką tausojančios gamtinių dujų, dujų iš atsinaujinančiųjų išteklių, mažo anglies dioksido pėdsako dujų ir vandenilio vidaus rinkų kūrimą Sąjungoje, užtikrinti tinkamas veiksmingo ir patikimo gamtinių dujų ir vandenilio tinklų veikimo sąlygas ir daryti pažangą siekiant energetikos sistemos integracijos, atsižvelgiant į ilgalaikius tikslus, ir taip padėti nuosekliai, efektyviai ir veiksmingai taikyti Sąjungos teisę, kad būtų pasiekti Sąjungos klimato ir energetikos tikslai;</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53 straipsnis. Tarybos tarptautinis bendradarbiavimas </w:t>
                </w:r>
              </w:p>
              <w:p>
                <w:pPr>
                  <w:ind w:firstLine="17"/>
                  <w:jc w:val="both"/>
                  <w:rPr>
                    <w:b/>
                    <w:bCs/>
                    <w:color w:val="000000"/>
                    <w:sz w:val="22"/>
                    <w:szCs w:val="22"/>
                    <w:lang w:eastAsia="lt-LT"/>
                  </w:rPr>
                </w:pPr>
                <w:r>
                  <w:rPr>
                    <w:b/>
                    <w:bCs/>
                    <w:color w:val="000000"/>
                    <w:sz w:val="22"/>
                    <w:szCs w:val="22"/>
                    <w:lang w:eastAsia="lt-LT"/>
                  </w:rPr>
                  <w:t>Vykdydama tarptautinį bendradarbiavimą,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Vykdydama tarptautinį bendradarbiavimą, Taryba:</w:t>
                </w:r>
              </w:p>
              <w:p>
                <w:pPr>
                  <w:ind w:firstLine="17"/>
                  <w:jc w:val="both"/>
                  <w:rPr>
                    <w:color w:val="000000"/>
                    <w:sz w:val="22"/>
                    <w:szCs w:val="22"/>
                    <w:lang w:val="lt"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1. 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siekiant a punkte nurodytų tikslų, plėtoti konkurencingas ir tinkamai veikiančias regionines tarpvalstybines rinkas Sąjungoje;</w:t>
                </w:r>
              </w:p>
            </w:tc>
            <w:tc>
              <w:tcPr>
                <w:tcW w:w="9407" w:type="dxa"/>
                <w:gridSpan w:val="3"/>
                <w:vMerge w:val="restart"/>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7 straipsnis. Tarybos funkcijos vandenilio sektoriuje </w:t>
                </w:r>
              </w:p>
              <w:p>
                <w:pPr>
                  <w:ind w:firstLine="17"/>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bCs/>
                    <w:color w:val="000000"/>
                    <w:sz w:val="22"/>
                    <w:szCs w:val="22"/>
                    <w:lang w:eastAsia="lt-LT"/>
                  </w:rPr>
                  <w:t>6.</w:t>
                </w:r>
                <w:r>
                  <w:rPr>
                    <w:b/>
                    <w:color w:val="000000"/>
                    <w:sz w:val="22"/>
                    <w:szCs w:val="22"/>
                    <w:lang w:eastAsia="lt-LT"/>
                  </w:rPr>
                  <w:t>Taryba:  </w:t>
                </w:r>
              </w:p>
              <w:p>
                <w:pPr>
                  <w:jc w:val="both"/>
                  <w:rPr>
                    <w:b/>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tabs>
                    <w:tab w:val="left" w:pos="549"/>
                  </w:tabs>
                  <w:ind w:firstLine="17"/>
                  <w:jc w:val="both"/>
                  <w:rPr>
                    <w:color w:val="000000"/>
                    <w:sz w:val="22"/>
                    <w:szCs w:val="22"/>
                    <w:lang w:eastAsia="lt-LT"/>
                  </w:rPr>
                </w:pPr>
                <w:r>
                  <w:rPr>
                    <w:color w:val="000000"/>
                    <w:sz w:val="22"/>
                    <w:szCs w:val="22"/>
                    <w:lang w:eastAsia="lt-LT"/>
                  </w:rPr>
                  <w:t>1.</w:t>
                  <w:tab/>
                  <w:t>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b/>
                    <w:color w:val="000000"/>
                    <w:sz w:val="22"/>
                    <w:szCs w:val="22"/>
                    <w:lang w:eastAsia="lt-LT"/>
                  </w:rPr>
                </w:pPr>
                <w:r>
                  <w:rPr>
                    <w:b/>
                    <w:color w:val="000000"/>
                    <w:sz w:val="22"/>
                    <w:szCs w:val="22"/>
                    <w:lang w:eastAsia="lt-LT"/>
                  </w:rPr>
                  <w:t xml:space="preserve">6 straipsnis.  </w:t>
                </w:r>
                <w:r>
                  <w:rPr>
                    <w:b/>
                    <w:bCs/>
                    <w:color w:val="000000"/>
                    <w:sz w:val="22"/>
                    <w:szCs w:val="22"/>
                    <w:lang w:eastAsia="lt-LT"/>
                  </w:rPr>
                  <w:t>Tarybos</w:t>
                </w:r>
                <w:r>
                  <w:rPr>
                    <w:b/>
                    <w:color w:val="000000"/>
                    <w:sz w:val="22"/>
                    <w:szCs w:val="22"/>
                    <w:lang w:eastAsia="lt-LT"/>
                  </w:rPr>
                  <w:t xml:space="preserve"> tikslai gamtinių dujų sektoriuje</w:t>
                </w:r>
              </w:p>
              <w:p>
                <w:pPr>
                  <w:ind w:firstLine="17"/>
                  <w:jc w:val="both"/>
                  <w:rPr>
                    <w:color w:val="000000"/>
                    <w:sz w:val="22"/>
                    <w:szCs w:val="22"/>
                    <w:lang w:eastAsia="lt-LT"/>
                  </w:rPr>
                </w:pPr>
                <w:r>
                  <w:rPr>
                    <w:color w:val="000000"/>
                    <w:sz w:val="22"/>
                    <w:szCs w:val="22"/>
                    <w:lang w:eastAsia="lt-LT"/>
                  </w:rPr>
                  <w:t>1) sukurta ir plėtojama konkurencinga, saugi ir aplinką tausojanti Lietuvos Respublikos ir Europos Sąjungos gamtinių dujų rinka;</w:t>
                </w:r>
              </w:p>
              <w:p>
                <w:pPr>
                  <w:ind w:firstLine="17"/>
                  <w:jc w:val="both"/>
                  <w:rPr>
                    <w:color w:val="000000"/>
                    <w:sz w:val="22"/>
                    <w:szCs w:val="22"/>
                    <w:lang w:eastAsia="lt-LT"/>
                  </w:rPr>
                </w:pPr>
                <w:r>
                  <w:rPr>
                    <w:color w:val="000000"/>
                    <w:sz w:val="22"/>
                    <w:szCs w:val="22"/>
                    <w:lang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color w:val="000000"/>
                    <w:sz w:val="22"/>
                    <w:szCs w:val="22"/>
                    <w:lang w:eastAsia="lt-LT"/>
                  </w:rPr>
                </w:pPr>
                <w:r>
                  <w:rPr>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tarpvalstybinio elektros energijos ir dujų perdavimo pajėgumų plėtrą, kad būtų patenkinta paklausa ir didinama nacionalinių rinkų integracija, kuri gali sudaryti palankesnes sąlygas elektros energijos ir gamtinių dujų perdavimui Europos Sąjungoje;</w:t>
                </w: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panaikinti prekybos gamtinėmis dujomis ir vandeniliu tarp valstybių narių apribojimus, įskaitant apribojimų dėl gamtinių dujų ir vandenilio kokybės skirtumų, į gamtinių dujų sistemą įmaišomo vandenilio kiekio skirtumų ar vandenilio kokybės vandenilio sistemoje skirtumų šalinimą, reikiamų tarpvalstybinio perdavimo arba transportavimo pajėgumų plėtrą, kad būtų patenkinta paklausa ir užtikrinant jungtinės Sąjungos gamtinių dujų sistemos arba Sąjungos vandenilio sistemos sąveikumą didinama nacionalinių rinkų integracija, kuri gali sudaryti palankesnes sąlygas gamtinių dujų srautų perdavimui Sąjungoje;</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padėti ekonomiškai efektyviausiu būdu ir kartu atsižvelgiant į principą „svarbiausia – energijos vartojimo efektyvumas“ pasiekti į vartotojus orientuotų, saugių, patikimų ir efektyvių nediskriminacinių sistemų plėtrą ir skatinti sistemos pakankamumą ir, atsižvelgiant į bendruosius energetikos ir klimato politikos tikslus, energijos vartojimo efektyvumą, taip pat dujų gavybos iš didelio bei mažo masto atsinaujinančiųjų išteklių ir paskirstytos gavybos integravimą perdavimo ir skirstymo tinkluose bei palengvinti jų eksploatavimą kitų elektros ir šilumos energetikos tinklų atžvilgiu;</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color w:val="000000"/>
                    <w:sz w:val="22"/>
                    <w:szCs w:val="22"/>
                    <w:lang w:eastAsia="lt-LT"/>
                  </w:rPr>
                </w:pPr>
                <w:r>
                  <w:rPr>
                    <w:rFonts w:eastAsia="Aptos"/>
                    <w:color w:val="000000"/>
                    <w:sz w:val="22"/>
                    <w:szCs w:val="22"/>
                    <w:lang w:eastAsia="lt-LT"/>
                  </w:rPr>
                  <w:t xml:space="preserve">4) skatinama į vartotojus orientuotų, saugių, patikimų ir veiksmingų nediskriminacinių sistemų plėtra; </w:t>
                </w:r>
              </w:p>
              <w:p>
                <w:pPr>
                  <w:ind w:firstLine="17"/>
                  <w:jc w:val="both"/>
                  <w:rPr>
                    <w:rFonts w:eastAsia="Aptos"/>
                    <w:color w:val="000000"/>
                    <w:sz w:val="22"/>
                    <w:szCs w:val="22"/>
                    <w:lang w:eastAsia="lt-LT"/>
                  </w:rPr>
                </w:pPr>
                <w:r>
                  <w:rPr>
                    <w:rFonts w:eastAsia="Aptos"/>
                    <w:color w:val="000000"/>
                    <w:sz w:val="22"/>
                    <w:szCs w:val="22"/>
                    <w:lang w:eastAsia="lt-LT"/>
                  </w:rPr>
                  <w:t>5) skatinamas sistemos pakankamumas, energijos vartojimo efektyvumas ir gamtinių dujų gavybos bei gavybos iš atsinaujinančių energijos išteklių integravimas;</w:t>
                </w: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 xml:space="preserve">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w:t>
                </w:r>
              </w:p>
              <w:p>
                <w:pPr>
                  <w:ind w:firstLine="17"/>
                  <w:jc w:val="both"/>
                  <w:rPr>
                    <w:rFonts w:eastAsia="Aptos"/>
                    <w:color w:val="000000"/>
                    <w:sz w:val="22"/>
                    <w:szCs w:val="22"/>
                    <w:lang w:eastAsia="lt-LT"/>
                  </w:rPr>
                </w:pPr>
                <w:r>
                  <w:rPr>
                    <w:rFonts w:eastAsia="Aptos"/>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sudaryti palankesnes sąlygas naujų gavybos pajėgumų prijungimui ir prieigai prie tinklo, visų pirma pašalinant kliūtis, kurios galėtų sutrukdyti dujų ir vandenilio, gautų iš atsinaujinančiųjų išteklių, rinkų dalyvių prijungimui ir prieigai prie tinklo;</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
                    <w:color w:val="000000"/>
                    <w:sz w:val="22"/>
                    <w:szCs w:val="22"/>
                    <w:lang w:eastAsia="lt-LT"/>
                  </w:rPr>
                </w:pPr>
                <w:r>
                  <w:rPr>
                    <w:rFonts w:eastAsia="Aptos"/>
                    <w:b/>
                    <w:color w:val="000000"/>
                    <w:sz w:val="22"/>
                    <w:szCs w:val="22"/>
                    <w:lang w:eastAsia="lt-LT"/>
                  </w:rPr>
                  <w:t>6.Taryba:  </w:t>
                </w:r>
              </w:p>
              <w:p>
                <w:pPr>
                  <w:ind w:left="993"/>
                  <w:jc w:val="both"/>
                  <w:rPr>
                    <w:rFonts w:eastAsia="Aptos"/>
                    <w:b/>
                    <w:color w:val="000000"/>
                    <w:sz w:val="22"/>
                    <w:szCs w:val="22"/>
                    <w:lang w:eastAsia="lt-LT"/>
                  </w:rPr>
                </w:pPr>
                <w:r>
                  <w:rPr>
                    <w:rFonts w:eastAsia="Aptos"/>
                    <w:b/>
                    <w:color w:val="000000"/>
                    <w:sz w:val="22"/>
                    <w:szCs w:val="22"/>
                    <w:lang w:eastAsia="lt-LT"/>
                  </w:rPr>
                  <w:t>&lt;...&gt;</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w:t>
                </w:r>
                <w:r>
                  <w:rPr>
                    <w:color w:val="000000"/>
                    <w:lang w:eastAsia="lt-LT"/>
                  </w:rPr>
                  <w:tab/>
                </w:r>
                <w:r>
                  <w:rPr>
                    <w:b/>
                    <w:bCs/>
                    <w:color w:val="000000"/>
                    <w:sz w:val="22"/>
                    <w:szCs w:val="22"/>
                    <w:lang w:eastAsia="lt-LT"/>
                  </w:rPr>
                  <w:t>prižiūri pajėgumų paskirstymą, atliekamą vandenilio perdavimo ir skirstymo operatorių, užtikrindama skaidrumo, nediskriminavimo, efektyvumo ir rinkos vientisumo principų, laikymąsi;</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w:t>
                </w:r>
                <w:r>
                  <w:rPr>
                    <w:color w:val="000000"/>
                    <w:lang w:eastAsia="lt-LT"/>
                  </w:rPr>
                  <w:tab/>
                </w:r>
                <w:r>
                  <w:rPr>
                    <w:b/>
                    <w:bCs/>
                    <w:color w:val="000000"/>
                    <w:sz w:val="22"/>
                    <w:szCs w:val="22"/>
                    <w:lang w:eastAsia="lt-LT"/>
                  </w:rPr>
                  <w:t>stebi vandenilio perdavimo tinklų perkrovos valdymą, įskaitant ir vandenilio jungtis, ir perkrovos valdymo taisyklių įgyvendinimą;</w:t>
                </w:r>
              </w:p>
              <w:p>
                <w:pPr>
                  <w:tabs>
                    <w:tab w:val="left" w:pos="408"/>
                  </w:tabs>
                  <w:jc w:val="both"/>
                  <w:rPr>
                    <w:rFonts w:eastAsia="Aptos"/>
                    <w:b/>
                    <w:bCs/>
                    <w:color w:val="000000"/>
                    <w:sz w:val="22"/>
                    <w:szCs w:val="22"/>
                    <w:lang w:eastAsia="lt-LT"/>
                  </w:rPr>
                </w:pPr>
                <w:r>
                  <w:rPr>
                    <w:b/>
                    <w:bCs/>
                    <w:color w:val="000000"/>
                    <w:sz w:val="22"/>
                    <w:szCs w:val="22"/>
                    <w:lang w:eastAsia="lt-LT"/>
                  </w:rPr>
                  <w:t>8)</w:t>
                </w:r>
                <w:r>
                  <w:rPr>
                    <w:color w:val="000000"/>
                    <w:lang w:eastAsia="lt-LT"/>
                  </w:rPr>
                  <w:tab/>
                </w:r>
                <w:r>
                  <w:rPr>
                    <w:b/>
                    <w:bCs/>
                    <w:color w:val="000000"/>
                    <w:sz w:val="22"/>
                    <w:szCs w:val="22"/>
                    <w:lang w:eastAsia="lt-LT"/>
                  </w:rPr>
                  <w:t>tvirtina prijungimo prie vandenilio tinklų įmokų apskaičiavimo metodiką;</w:t>
                </w:r>
                <w:r>
                  <w:rPr>
                    <w:rFonts w:eastAsia="Aptos"/>
                    <w:b/>
                    <w:bCs/>
                    <w:color w:val="000000"/>
                    <w:sz w:val="22"/>
                    <w:szCs w:val="22"/>
                    <w:lang w:eastAsia="lt-LT"/>
                  </w:rPr>
                  <w:t>&lt;...&gt;</w:t>
                </w:r>
              </w:p>
              <w:p>
                <w:pPr>
                  <w:tabs>
                    <w:tab w:val="left" w:pos="408"/>
                  </w:tabs>
                  <w:jc w:val="both"/>
                  <w:rPr>
                    <w:rFonts w:eastAsia="Aptos"/>
                    <w:b/>
                    <w:bCs/>
                    <w:color w:val="000000"/>
                    <w:sz w:val="22"/>
                    <w:szCs w:val="22"/>
                    <w:lang w:eastAsia="lt-LT"/>
                  </w:rPr>
                </w:pPr>
                <w:r>
                  <w:rPr>
                    <w:rFonts w:eastAsia="Aptos"/>
                    <w:b/>
                    <w:bCs/>
                    <w:color w:val="000000"/>
                    <w:sz w:val="22"/>
                    <w:szCs w:val="22"/>
                    <w:lang w:eastAsia="lt-LT"/>
                  </w:rPr>
                  <w:t>9)</w:t>
                </w:r>
                <w:r>
                  <w:rPr>
                    <w:rFonts w:eastAsia="Aptos"/>
                    <w:color w:val="000000"/>
                    <w:lang w:eastAsia="lt-LT"/>
                  </w:rPr>
                  <w:tab/>
                </w:r>
                <w:r>
                  <w:rPr>
                    <w:rFonts w:eastAsia="Aptos"/>
                    <w:b/>
                    <w:bCs/>
                    <w:color w:val="000000"/>
                    <w:sz w:val="22"/>
                    <w:szCs w:val="22"/>
                    <w:lang w:eastAsia="lt-LT"/>
                  </w:rPr>
                  <w:t>tvirtina vandenilio perdavimo ir skirstymo tinklų operatorių parengtas prijungimo prie vandenilio tinklų tvarkas;</w:t>
                </w:r>
              </w:p>
              <w:p>
                <w:pPr>
                  <w:tabs>
                    <w:tab w:val="left" w:pos="408"/>
                  </w:tabs>
                  <w:jc w:val="both"/>
                  <w:rPr>
                    <w:rFonts w:eastAsia="Aptos"/>
                    <w:color w:val="000000"/>
                    <w:sz w:val="22"/>
                    <w:szCs w:val="22"/>
                    <w:lang w:eastAsia="lt-LT"/>
                  </w:rPr>
                </w:pPr>
                <w:r>
                  <w:rPr>
                    <w:rFonts w:eastAsia="Aptos"/>
                    <w:color w:val="000000"/>
                    <w:sz w:val="22"/>
                    <w:szCs w:val="22"/>
                    <w:lang w:eastAsia="lt-LT"/>
                  </w:rPr>
                  <w:t>&lt;...&gt;</w:t>
                </w:r>
              </w:p>
              <w:p>
                <w:pPr>
                  <w:tabs>
                    <w:tab w:val="left" w:pos="408"/>
                  </w:tabs>
                  <w:jc w:val="both"/>
                  <w:rPr>
                    <w:rFonts w:eastAsia="Aptos"/>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b/>
                    <w:color w:val="000000"/>
                    <w:sz w:val="22"/>
                    <w:szCs w:val="22"/>
                    <w:lang w:eastAsia="lt-LT"/>
                  </w:rPr>
                </w:pPr>
                <w:r>
                  <w:rPr>
                    <w:rFonts w:eastAsia="Aptos"/>
                    <w:b/>
                    <w:color w:val="000000"/>
                    <w:sz w:val="22"/>
                    <w:szCs w:val="22"/>
                    <w:lang w:eastAsia="lt-LT"/>
                  </w:rPr>
                  <w:t>&lt;...&gt;</w:t>
                </w:r>
              </w:p>
              <w:p>
                <w:pPr>
                  <w:ind w:firstLine="17"/>
                  <w:jc w:val="both"/>
                  <w:rPr>
                    <w:rFonts w:eastAsia="Aptos"/>
                    <w:color w:val="000000"/>
                    <w:sz w:val="22"/>
                    <w:szCs w:val="22"/>
                    <w:lang w:eastAsia="lt-LT"/>
                  </w:rPr>
                </w:pPr>
                <w:r>
                  <w:rPr>
                    <w:rFonts w:eastAsia="Aptos"/>
                    <w:color w:val="000000"/>
                    <w:sz w:val="22"/>
                    <w:szCs w:val="22"/>
                    <w:lang w:eastAsia="lt-LT"/>
                  </w:rPr>
                  <w:t>6) sudarytos palankesnės sąlygos naujų gamtinių dujų gavybos pajėgumų prieigai prie sistemos;</w:t>
                </w:r>
              </w:p>
              <w:p>
                <w:pPr>
                  <w:ind w:firstLine="17"/>
                  <w:jc w:val="both"/>
                  <w:rPr>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rFonts w:eastAsia="Aptos"/>
                    <w:color w:val="000000"/>
                    <w:sz w:val="22"/>
                    <w:szCs w:val="22"/>
                    <w:lang w:eastAsia="lt-LT"/>
                  </w:rPr>
                </w:pPr>
                <w:r>
                  <w:rPr>
                    <w:rFonts w:eastAsia="Aptos"/>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siekiant didinti sistemos efektyvumą, ypač energijos vartojimo efektyvumą, ir skatinti rinkos integraciją, užtikrinti, kad sistemos operatoriams ir sistemos naudotojams būtų suteiktos tinkamos paskatos tiek trumpuoju, tiek ilguoju laikotarpiu;</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 įstatymas</w:t>
                </w:r>
              </w:p>
              <w:p>
                <w:pPr>
                  <w:tabs>
                    <w:tab w:val="left" w:pos="10076"/>
                    <w:tab w:val="left" w:pos="10992"/>
                    <w:tab w:val="left" w:pos="11908"/>
                    <w:tab w:val="left" w:pos="12824"/>
                    <w:tab w:val="left" w:pos="13740"/>
                    <w:tab w:val="left" w:pos="14656"/>
                  </w:tabs>
                  <w:spacing w:line="276" w:lineRule="auto"/>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r>
                  <w:rPr>
                    <w:b/>
                    <w:bCs/>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color w:val="000000"/>
                    <w:sz w:val="22"/>
                    <w:szCs w:val="22"/>
                    <w:lang w:eastAsia="lt-LT"/>
                  </w:rPr>
                </w:pPr>
                <w:r>
                  <w:rPr>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jc w:val="both"/>
                  <w:rPr>
                    <w:b/>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užtikrinti naudą vartotojams dėl efektyvaus jų nacionalinių rinkų veikimo, skatinant veiksmingą konkurenciją ir padedant užtikrinti aukštą vartotojų apsaugos lygį glaudžiai bendradarbiaujant su atitinkamomis vartotojų apsaugos institucijomis ir konsultuojantis su atitinkamomis vartotojų įstaigomis;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Cs/>
                    <w:color w:val="000000"/>
                    <w:sz w:val="22"/>
                    <w:szCs w:val="22"/>
                    <w:lang w:eastAsia="lt-LT"/>
                  </w:rPr>
                </w:pPr>
                <w:r>
                  <w:rPr>
                    <w:rFonts w:eastAsia="Aptos"/>
                    <w:bCs/>
                    <w:color w:val="000000"/>
                    <w:sz w:val="22"/>
                    <w:szCs w:val="22"/>
                    <w:lang w:eastAsia="lt-LT"/>
                  </w:rPr>
                  <w:t>6.Taryba: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tabs>
                    <w:tab w:val="left" w:pos="567"/>
                  </w:tabs>
                  <w:spacing w:line="276" w:lineRule="auto"/>
                  <w:jc w:val="both"/>
                  <w:rPr>
                    <w:color w:val="000000"/>
                    <w:sz w:val="22"/>
                    <w:szCs w:val="22"/>
                    <w:lang w:eastAsia="lt-LT"/>
                  </w:rPr>
                </w:pPr>
                <w:r>
                  <w:rPr>
                    <w:b/>
                    <w:bCs/>
                    <w:color w:val="000000"/>
                    <w:sz w:val="22"/>
                    <w:szCs w:val="22"/>
                    <w:lang w:eastAsia="lt-LT"/>
                  </w:rPr>
                  <w:t>53 straipsnis. Tarybos tarptautinis bendradarbiavimas</w:t>
                </w:r>
              </w:p>
              <w:p>
                <w:pPr>
                  <w:jc w:val="both"/>
                  <w:rPr>
                    <w:b/>
                    <w:bCs/>
                    <w:color w:val="000000"/>
                    <w:sz w:val="22"/>
                    <w:szCs w:val="22"/>
                    <w:lang w:eastAsia="lt-LT"/>
                  </w:rPr>
                </w:pPr>
                <w:r>
                  <w:rPr>
                    <w:b/>
                    <w:bCs/>
                    <w:color w:val="000000"/>
                    <w:sz w:val="22"/>
                    <w:szCs w:val="22"/>
                    <w:lang w:eastAsia="lt-LT"/>
                  </w:rPr>
                  <w:t>Vykdydama tarptautinį bendradarbiavimą, Taryba:</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 xml:space="preserve">6 straipsnis.  Tarybos tikslai gamtinių dujų sektoriuje</w:t>
                </w:r>
              </w:p>
              <w:p>
                <w:pPr>
                  <w:ind w:firstLine="17"/>
                  <w:jc w:val="both"/>
                  <w:rPr>
                    <w:color w:val="000000"/>
                    <w:sz w:val="22"/>
                    <w:szCs w:val="22"/>
                    <w:lang w:eastAsia="lt-LT"/>
                  </w:rPr>
                </w:pPr>
                <w:r>
                  <w:rPr>
                    <w:color w:val="000000"/>
                    <w:sz w:val="22"/>
                    <w:szCs w:val="22"/>
                    <w:lang w:eastAsia="lt-LT"/>
                  </w:rPr>
                  <w:t>7) skatinami aukšti viešųjų paslaugų teikimo gamtinių dujų sektoriuje standartai ir prisidedama prie pažeidžiamų vartotojų apsaugos.</w:t>
                </w:r>
              </w:p>
              <w:p>
                <w:pPr>
                  <w:ind w:firstLine="17"/>
                  <w:jc w:val="both"/>
                  <w:rPr>
                    <w:color w:val="000000"/>
                    <w:sz w:val="22"/>
                    <w:szCs w:val="22"/>
                    <w:lang w:eastAsia="lt-LT"/>
                  </w:rPr>
                </w:pPr>
                <w:r>
                  <w:rPr>
                    <w:color w:val="000000"/>
                    <w:sz w:val="22"/>
                    <w:szCs w:val="22"/>
                    <w:lang w:eastAsia="lt-LT"/>
                  </w:rPr>
                  <w:t>7) užtikrinti, kad veiksmingai veikiant nacionalinėms rinkoms vartotojai gautų naudos, skatinti veiksmingą konkurenciją ir padėti užtikrinti vartotojų apsaugą;</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padėti pasiekti viešųjų paslaugų teikimo gamtinių dujų sektoriuje aukštų standartų, prisidėti prie pažeidžiamų vartotojų apsaugos ir padėti suderinti keitimosi būtinais duomenimis procedūras vartotojams keičiant tiekėjus.</w:t>
                </w:r>
              </w:p>
            </w:tc>
            <w:tc>
              <w:tcPr>
                <w:tcW w:w="9407" w:type="dxa"/>
                <w:gridSpan w:val="3"/>
                <w:vAlign w:val="center"/>
              </w:tcPr>
              <w:p>
                <w:pPr>
                  <w:jc w:val="both"/>
                  <w:rPr>
                    <w:rFonts w:eastAsia="Aptos"/>
                    <w:b/>
                    <w:bCs/>
                    <w:color w:val="000000"/>
                    <w:sz w:val="22"/>
                    <w:szCs w:val="22"/>
                    <w:lang w:eastAsia="lt-LT"/>
                  </w:rPr>
                </w:pPr>
                <w:r>
                  <w:rPr>
                    <w:rFonts w:eastAsia="Aptos"/>
                    <w:b/>
                    <w:bCs/>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8) padėti siekti aukštų visuotinių ir viešųjų energijos ir energijos išteklių tiekimo paslaugų standartų, prisidėti prie socialiai pažeidžiamų vartotojų apsaugos ir padėti suderinti keitimosi būtinais duomenimis procedūras vartotojams keičiant tiekėjus.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78 straipsnis </w:t>
                </w:r>
              </w:p>
              <w:p>
                <w:pPr>
                  <w:shd w:val="clear" w:color="auto" w:fill="FFFFFF"/>
                  <w:jc w:val="both"/>
                  <w:rPr>
                    <w:i/>
                    <w:iCs/>
                    <w:color w:val="000000"/>
                    <w:sz w:val="22"/>
                    <w:szCs w:val="22"/>
                    <w:lang w:eastAsia="lt-LT"/>
                  </w:rPr>
                </w:pPr>
                <w:r>
                  <w:rPr>
                    <w:b/>
                    <w:bCs/>
                    <w:color w:val="000000"/>
                    <w:sz w:val="22"/>
                    <w:szCs w:val="22"/>
                    <w:lang w:eastAsia="lt-LT"/>
                  </w:rPr>
                  <w:t>Reguliavimo institucijos pareigos ir įgaliojimai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Reguliavimo institucijos pareigos yra šios: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vadovaujantis skaidrumo kriterijais nustatyti ar patvirtinti perdavimo ar skirstymo tarifus ir (arba) jų metodikas; </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476"/>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5)</w:t>
                  <w:tab/>
                  <w:t>tvirtina vandenilio perdavimo, skirstymo ir saugojimo vandenilio saugyklose paslaugų tarifus ir jų skaičiavimo metodiką, taip pat reglamentuoja ir prižiūri išlaidų paskirstymo per tam tikrą laikotarpį bei finansinio kompensavimo mechanizmus, kai jie taikomi</w:t>
                </w:r>
                <w:r>
                  <w:rPr>
                    <w:b/>
                    <w:bCs/>
                    <w:color w:val="000000"/>
                    <w:sz w:val="22"/>
                    <w:szCs w:val="22"/>
                    <w:lang w:eastAsia="lt-LT"/>
                  </w:rPr>
                  <w:t>;</w:t>
                </w:r>
              </w:p>
              <w:p>
                <w:pPr>
                  <w:tabs>
                    <w:tab w:val="left" w:pos="476"/>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p>
              <w:p>
                <w:pPr>
                  <w:tabs>
                    <w:tab w:val="left" w:pos="47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tvirtinti jungtinius scenarijus, skirtus dešimties metų tinklo plėtros planams, pagal 55 straipsnio 2 dalies f punktą, jei tokį tvirtinimą numato valstybė narė;</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hanging="18"/>
                  <w:jc w:val="both"/>
                  <w:rPr>
                    <w:b/>
                    <w:bCs/>
                    <w:color w:val="000000"/>
                    <w:sz w:val="22"/>
                    <w:szCs w:val="22"/>
                    <w:lang w:eastAsia="lt-LT"/>
                  </w:rPr>
                </w:pPr>
                <w:r>
                  <w:rPr>
                    <w:b/>
                    <w:bCs/>
                    <w:color w:val="000000"/>
                    <w:kern w:val="2"/>
                    <w:sz w:val="22"/>
                    <w:szCs w:val="22"/>
                    <w:lang w:eastAsia="lt-LT"/>
                  </w:rPr>
                  <w:t xml:space="preserve">26) </w:t>
                </w:r>
                <w:r>
                  <w:rPr>
                    <w:b/>
                    <w:bCs/>
                    <w:color w:val="000000"/>
                    <w:sz w:val="22"/>
                    <w:szCs w:val="22"/>
                    <w:lang w:eastAsia="lt-LT"/>
                  </w:rPr>
                  <w:t xml:space="preserve">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17"/>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vadovaujantis skaidrumo kriterijais nustatyti arba patvirtinti prieigos prie vandenilio tinklo tarifus ir (arba) jų metodikas, nedarant poveikio valstybių narių sprendimams pagal 35 straipsnio 4 dalį;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549"/>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&lt;...&gt;</w:t>
                </w:r>
              </w:p>
              <w:p>
                <w:pPr>
                  <w:tabs>
                    <w:tab w:val="left" w:pos="549"/>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8)</w:t>
                  <w:tab/>
                </w:r>
                <w:r>
                  <w:rPr>
                    <w:b/>
                    <w:bCs/>
                    <w:color w:val="000000"/>
                    <w:sz w:val="22"/>
                    <w:szCs w:val="22"/>
                    <w:lang w:eastAsia="ar-SA"/>
                  </w:rPr>
                  <w:t>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nustatyti arba patvirtinti vadovaujantis skaidrumo kriterijais:</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priskirtojo mokesčio ir finansinio pervedimo dydį ir taikymo trukmę ir (arba) jų nustatymo metodikas;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6.Taryba:</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perkeliamo turto vertę ir visų dėl to galinčių susidaryti pelno arba nuostolių paskirtį ir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6</w:t>
                </w:r>
                <w:r>
                  <w:rPr>
                    <w:color w:val="000000"/>
                    <w:sz w:val="22"/>
                    <w:szCs w:val="22"/>
                    <w:lang w:eastAsia="ar-SA"/>
                  </w:rPr>
                  <w:t>.Taryba:  </w:t>
                </w:r>
              </w:p>
              <w:p>
                <w:pPr>
                  <w:tabs>
                    <w:tab w:val="left" w:pos="993"/>
                    <w:tab w:val="left" w:pos="10992"/>
                    <w:tab w:val="left" w:pos="11908"/>
                    <w:tab w:val="left" w:pos="12824"/>
                    <w:tab w:val="left" w:pos="13740"/>
                    <w:tab w:val="left" w:pos="14656"/>
                  </w:tabs>
                  <w:ind w:left="720"/>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priskirtojo mokesčio įmokų paskirstymą;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6.Taryba:  </w:t>
                </w:r>
              </w:p>
              <w:p>
                <w:pPr>
                  <w:tabs>
                    <w:tab w:val="left" w:pos="993"/>
                    <w:tab w:val="left" w:pos="10992"/>
                    <w:tab w:val="left" w:pos="11908"/>
                    <w:tab w:val="left" w:pos="12824"/>
                    <w:tab w:val="left" w:pos="13740"/>
                    <w:tab w:val="left" w:pos="14656"/>
                  </w:tabs>
                  <w:ind w:left="36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užtikrinti, kad perdavimo sistemos operatoriai ir skirstymo sistemos operatoriai bei prireikus sistemų savininkai, taip pat vandenilio tinklo operatoriai, visos gamtinių dujų ir vandenilio įmonės ir kiti rinkos dalyviai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 71 ir 72 straipsniais, Reglamentą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ir kitus atitinkamus Sąjungos teisės aktus, įskaitant aktus, susijusius su tarpvalstybiniais klausimais, taip pat ACER sprendimų;</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720"/>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50"/>
                  <w:jc w:val="both"/>
                  <w:rPr>
                    <w:b/>
                    <w:bCs/>
                    <w:color w:val="000000"/>
                    <w:sz w:val="22"/>
                    <w:szCs w:val="22"/>
                    <w:lang w:val="lt" w:eastAsia="lt-LT"/>
                  </w:rPr>
                </w:pPr>
                <w:r>
                  <w:rPr>
                    <w:b/>
                    <w:bCs/>
                    <w:color w:val="000000"/>
                    <w:sz w:val="22"/>
                    <w:szCs w:val="22"/>
                    <w:lang w:val="lt" w:eastAsia="lt-LT"/>
                  </w:rPr>
                  <w:t xml:space="preserve">Taryba, siekdama šio įstatymo tikslų ir atlikdama šiame įstatyme jai nustatytas funkcijas, turi teisę: </w:t>
                </w:r>
              </w:p>
              <w:p>
                <w:pPr>
                  <w:ind w:firstLine="50"/>
                  <w:jc w:val="both"/>
                  <w:rPr>
                    <w:b/>
                    <w:bCs/>
                    <w:color w:val="000000"/>
                    <w:sz w:val="22"/>
                    <w:szCs w:val="22"/>
                    <w:lang w:val="lt" w:eastAsia="lt-LT"/>
                  </w:rPr>
                </w:pPr>
                <w:r>
                  <w:rPr>
                    <w:b/>
                    <w:bCs/>
                    <w:color w:val="000000"/>
                    <w:sz w:val="22"/>
                    <w:szCs w:val="22"/>
                    <w:lang w:val="lt" w:eastAsia="lt-LT"/>
                  </w:rPr>
                  <w:t>1) priimti gamtinių dujų įmonėms privalomus vykdyti sprendimus;</w:t>
                </w:r>
              </w:p>
              <w:p>
                <w:pPr>
                  <w:ind w:firstLine="50"/>
                  <w:jc w:val="both"/>
                  <w:rPr>
                    <w:b/>
                    <w:bCs/>
                    <w:color w:val="000000"/>
                    <w:sz w:val="22"/>
                    <w:szCs w:val="22"/>
                    <w:lang w:eastAsia="lt-LT"/>
                  </w:rPr>
                </w:pPr>
                <w:r>
                  <w:rPr>
                    <w:b/>
                    <w:bCs/>
                    <w:color w:val="000000"/>
                    <w:sz w:val="22"/>
                    <w:szCs w:val="22"/>
                    <w:lang w:eastAsia="lt-LT"/>
                  </w:rPr>
                  <w:t>&lt;...&gt;</w:t>
                </w: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b/>
                    <w:bCs/>
                    <w:color w:val="000000"/>
                    <w:sz w:val="22"/>
                    <w:szCs w:val="22"/>
                    <w:lang w:val="lt" w:eastAsia="lt-LT"/>
                  </w:rPr>
                </w:pPr>
                <w:r>
                  <w:rPr>
                    <w:b/>
                    <w:bCs/>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b/>
                    <w:bCs/>
                    <w:color w:val="000000"/>
                    <w:sz w:val="22"/>
                    <w:szCs w:val="22"/>
                    <w:lang w:eastAsia="lt-LT"/>
                  </w:rPr>
                </w:pPr>
              </w:p>
              <w:p>
                <w:pPr>
                  <w:ind w:firstLine="50"/>
                  <w:jc w:val="both"/>
                  <w:rPr>
                    <w:b/>
                    <w:bCs/>
                    <w:color w:val="000000"/>
                    <w:sz w:val="22"/>
                    <w:szCs w:val="22"/>
                    <w:lang w:val="lt" w:eastAsia="lt-LT"/>
                  </w:rPr>
                </w:pPr>
                <w:r>
                  <w:rPr>
                    <w:b/>
                    <w:bCs/>
                    <w:color w:val="000000"/>
                    <w:sz w:val="22"/>
                    <w:szCs w:val="22"/>
                    <w:lang w:val="lt" w:eastAsia="lt-LT"/>
                  </w:rPr>
                  <w:t>1) kaip laikomasi gamtinių dujų įmonių licencijuojamos veiklos sąlygų;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glaudžiai bendradarbiaujant su kitomis reguliavimo institucijomis užtikrinti, kad ENTSO-G, Europos skirstymo tinklų operatorių organizacija (toliau – ES SSO subjektas), įsteigta laikantis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52–57 straipsnių, ir Europos vandenilio tinklų operatorių tinklas (toliau – ENNOH), įsteigtas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57 straipsnio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70–74 straipsniais, ir kitus atitinkamus Sąjungos teisės aktus, įskaitant aktus, susijusius su tarpvalstybiniais klausimais, taip pat ACER sprendimų, ir kartu nustatyti faktus, kai ENTSO-G, ES SSO subjektas ir ENNOH nevykdo savo atitinkamų pareigų; jei reguliavimo institucijos negali pasiekti susitarimo per keturis mėnesius nuo konsultacijų, per kurias siekiama kartu nustatyti neatitikties faktą, pradžios, klausimo nagrinėjimas perduodamas ACER, kad ši priimtų sprendimą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&lt;....&gt;</w:t>
                </w:r>
              </w:p>
              <w:p>
                <w:pPr>
                  <w:ind w:firstLine="50"/>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ind w:firstLine="50"/>
                  <w:jc w:val="both"/>
                  <w:rPr>
                    <w:color w:val="000000"/>
                    <w:sz w:val="22"/>
                    <w:szCs w:val="22"/>
                    <w:lang w:eastAsia="lt-LT"/>
                  </w:rPr>
                </w:pP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stebėti dujų kokybės savybių raidą bei perdavimo sistemos operatorių ir, kai aktualu, skirstymo sistemos operatorių vykdomą dujų kokybės valdymą, taip pat su sistemos operatorių vykdomu dujų kokybės valdymu susijusių sąnaudų raidą ir gamtinių dujų laikymo sistemos operatorių ir SGD įrenginių operatorių vykdomo vandenilio įmaišymo į gamtinių dujų sistemą bei jo atskyrimo pokyčius ir, jei valstybė narė įgaliojo kitą kompetentingą instituciją rinkti informaciją, ta kompetentinga institucija turi dalintis informacija su reguliavimo institucija;</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stebėti vandenilio kokybės raidą ir, kai aktualu remiantis 50 straipsniu, vandenilio tinklo operatorių vykdomą vandenilio kokybės valdymą, taip pat su vandenilio kokybės valdymu susijusių sąnaudų raidą;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6. Taryba:</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19) stebi vandenilio kokybės raidą ir, kai aktualu, vandenilio tinklo operatoriaus vykdomą vandenilio kokybės valdymą, taip pat su vandenilio kokybės valdymu susijusių sąnaudų raidą;</w:t>
                </w:r>
              </w:p>
              <w:p>
                <w:pPr>
                  <w:tabs>
                    <w:tab w:val="left" w:pos="993"/>
                    <w:tab w:val="left" w:pos="1134"/>
                    <w:tab w:val="left" w:pos="10992"/>
                    <w:tab w:val="left" w:pos="11908"/>
                    <w:tab w:val="left" w:pos="12824"/>
                    <w:tab w:val="left" w:pos="13740"/>
                    <w:tab w:val="left" w:pos="14656"/>
                  </w:tabs>
                  <w:spacing w:line="259" w:lineRule="auto"/>
                  <w:jc w:val="both"/>
                  <w:rPr>
                    <w:color w:val="000000"/>
                    <w:kern w:val="2"/>
                    <w:sz w:val="22"/>
                    <w:szCs w:val="22"/>
                    <w:lang w:eastAsia="lt-LT"/>
                  </w:rPr>
                </w:pPr>
                <w:r>
                  <w:rPr>
                    <w:color w:val="000000"/>
                    <w:kern w:val="2"/>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atsižvelgti į vandenilio tinklų operatorių pateiktų vandenilio transportavimo infrastruktūros plėtros planų pagal šios direktyvos 55 ir 56 straipsnius, nagrinėjimą ir vertinimą, kai ji tvirtina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13 straipsnis. Vandenilio sektoriaus kainų reguliavimas </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567"/>
                  </w:tabs>
                  <w:ind w:hanging="91"/>
                  <w:jc w:val="both"/>
                  <w:rPr>
                    <w:b/>
                    <w:bCs/>
                    <w:color w:val="000000"/>
                    <w:sz w:val="22"/>
                    <w:szCs w:val="22"/>
                    <w:lang w:eastAsia="lt-LT"/>
                  </w:rPr>
                </w:pPr>
                <w:r>
                  <w:rPr>
                    <w:b/>
                    <w:bCs/>
                    <w:color w:val="000000"/>
                    <w:sz w:val="22"/>
                    <w:szCs w:val="22"/>
                    <w:lang w:eastAsia="lt-LT"/>
                  </w:rPr>
                  <w:t>3. Taryba, nustatydama šio straipsnio 1 dalyje nurodytus reguliuojamus tarifus ir pajamų viršutines ribas:</w:t>
                </w:r>
              </w:p>
              <w:p>
                <w:pPr>
                  <w:tabs>
                    <w:tab w:val="left" w:pos="993"/>
                    <w:tab w:val="left" w:pos="10992"/>
                    <w:tab w:val="left" w:pos="11908"/>
                    <w:tab w:val="left" w:pos="12824"/>
                    <w:tab w:val="left" w:pos="13740"/>
                    <w:tab w:val="left" w:pos="14656"/>
                  </w:tabs>
                  <w:ind w:left="1353"/>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6</w:t>
                </w:r>
                <w:r>
                  <w:rPr>
                    <w:b/>
                    <w:bCs/>
                    <w:color w:val="000000"/>
                    <w:sz w:val="22"/>
                    <w:szCs w:val="22"/>
                    <w:lang w:eastAsia="lt-LT"/>
                  </w:rPr>
                  <w:t xml:space="preserve">) parengia, konsultuojasi ir tvirtina skaidrias ir aiškias finansinio kompensavimo mechanizmo, išlaidų paskirstymo per tam tikrą laikotarpį ir priskirtojo mokesčio ir finansinio pervedimo apskaičiavimo metodikas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straipsnio 4 dalį bei atsižvelgia į šių mechanizmų taikymą, nustatydama pajamų viršutines ribas ir vertindama naudojimosi vandenilio tinklais tarifus</w:t>
                </w:r>
                <w:r>
                  <w:rPr>
                    <w:color w:val="000000"/>
                    <w:sz w:val="22"/>
                    <w:szCs w:val="22"/>
                    <w:lang w:eastAsia="lt-LT"/>
                  </w:rPr>
                  <w:t>.</w:t>
                </w:r>
              </w:p>
              <w:p>
                <w:pPr>
                  <w:tabs>
                    <w:tab w:val="left" w:pos="993"/>
                    <w:tab w:val="left" w:pos="1134"/>
                    <w:tab w:val="left" w:pos="10992"/>
                    <w:tab w:val="left" w:pos="11908"/>
                    <w:tab w:val="left" w:pos="12824"/>
                    <w:tab w:val="left" w:pos="13740"/>
                    <w:tab w:val="left" w:pos="14656"/>
                  </w:tabs>
                  <w:spacing w:line="259" w:lineRule="auto"/>
                  <w:ind w:firstLine="5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j) tarpvalstybiniais klausimais bendradarbiauti su atitinkamų valstybių narių reguliavimo institucija ar institucijomis bei ACER, visų pirma dalyvaujant ACER Reguliavimo valdybos veikloje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21 straipsnį. Dėl infrastruktūros į trečiąją valstybę ir iš jos valstybės narės, kurioje yra pirmas sujungimo su valstybių narių tinklu taškas, reguliavimo institucija gali bendradarbiauti su atitinkamomis trečiosios valstybės institucijomis, pasikonsultavusi su kitų atitinkamų valstybių narių reguliavimo institucijomis, siekdama, kad tos infrastruktūros atžvilgiu ši direktyva nuosekliai būtų taikoma valstybių narių teritorijoje;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1) rengia Europos Komisijai reikalingas vandenilio rinkos ataskaitas;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17"/>
                  <w:jc w:val="both"/>
                  <w:rPr>
                    <w:bCs/>
                    <w:color w:val="000000"/>
                    <w:sz w:val="22"/>
                    <w:szCs w:val="22"/>
                    <w:lang w:eastAsia="lt-LT"/>
                  </w:rPr>
                </w:pPr>
                <w:r>
                  <w:rPr>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k) laikytis visų atitinkamų teisiškai privalomų ACER ir Komisijos sprendimų ir juos vykdyti;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5. Taryba prižiūri:</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34) laikosi Agentūros ir Europos Komisijos sprendimų ir juos vykdo;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bCs/>
                    <w:color w:val="000000"/>
                    <w:sz w:val="22"/>
                    <w:szCs w:val="22"/>
                    <w:lang w:val="lt" w:eastAsia="lt-LT"/>
                  </w:rPr>
                </w:pPr>
                <w:r>
                  <w:rPr>
                    <w:b/>
                    <w:bCs/>
                    <w:color w:val="000000"/>
                    <w:sz w:val="22"/>
                    <w:szCs w:val="22"/>
                    <w:lang w:val="lt" w:eastAsia="lt-LT"/>
                  </w:rPr>
                  <w:t>&lt;...&gt;</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4) laikytis visų teisiškai privalomų Europos Komisijos ir Agentūros sprendimų;</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 kasmet atitinkamoms valstybių narių institucijoms, ACER ir Komisijai teikti savo veiklos ir pareigų vykdymo ataskaitą, kurioje nurodomi veiksmai, kurių imtasi kiekvienai iš šiame straipsnyje išvardytų užduočių vykdyti, ir gauti rezultatai;</w:t>
                </w:r>
              </w:p>
            </w:tc>
            <w:tc>
              <w:tcPr>
                <w:tcW w:w="9407" w:type="dxa"/>
                <w:gridSpan w:val="3"/>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35) kasmet teikia Lietuvos Respublikos Seimui, Agentūrai ir Komisijai savo veiklos ir pareigų vykdymo ataskaitą, kurioje nurodomi veiksmai, kurių imtasi kiekvienai iš šiame straipsnyje išvardytų užduočių vykdyti, ir gauti rezultatai;</w:t>
                </w:r>
              </w:p>
              <w:p>
                <w:pPr>
                  <w:jc w:val="both"/>
                  <w:rPr>
                    <w:b/>
                    <w:color w:val="000000"/>
                    <w:sz w:val="22"/>
                    <w:szCs w:val="22"/>
                    <w:lang w:val="lt" w:eastAsia="lt-LT"/>
                  </w:rPr>
                </w:pPr>
                <w:r>
                  <w:rPr>
                    <w:b/>
                    <w:color w:val="000000"/>
                    <w:sz w:val="22"/>
                    <w:szCs w:val="22"/>
                    <w:lang w:val="lt" w:eastAsia="lt-LT"/>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5) kiekvienais metais teikti savo veiklos ir pareigų vykdymo ataskaitą, informaciją apie nustatytas laikinąsias priemones įvykus energetikos krizei Europos Komisijai, Agentūrai ir atitinkamoms valstybių narių institucijoms;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m) užtikrinti, kad nebūtų perdavimo, skirstymo, vandenilio transportavimo, gamtinių dujų ir vandenilio laikymo, SGD ir vandenilio terminalų ir gamtinių dujų ir vandenilio tiekimo veiklos kryžminio subsidijavimo,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straipsnio 2 daliai;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spacing w:line="360" w:lineRule="auto"/>
                  <w:jc w:val="both"/>
                  <w:rPr>
                    <w:b/>
                    <w:bCs/>
                    <w:color w:val="000000"/>
                    <w:sz w:val="22"/>
                    <w:szCs w:val="22"/>
                    <w:lang w:eastAsia="ar-SA"/>
                  </w:rPr>
                </w:pPr>
                <w:r>
                  <w:rPr>
                    <w:b/>
                    <w:bCs/>
                    <w:color w:val="000000"/>
                    <w:sz w:val="22"/>
                    <w:szCs w:val="22"/>
                    <w:lang w:eastAsia="ar-SA"/>
                  </w:rPr>
                  <w:t>5. Taryba prižiūri: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reguliuojamų ūkio subjektų apskaitų atskyrimą, siekiant išvengti veiklų kryžminio subsidijavimo;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12 straipsnis. Regioninis bendradarbiavimas ir integracija </w:t>
                </w:r>
              </w:p>
              <w:p>
                <w:pPr>
                  <w:jc w:val="both"/>
                  <w:rPr>
                    <w:b/>
                    <w:bCs/>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4. Regioninės vandenilio rinkos vandenilio perdavimo paslaugų kainodaros modelis, pagal kurį paskirstomos vandenilio perdavimo tinklo operatoriaus (operatorių) pajamos įleidimo ir išleidimo taškams, ir finansinio kompensavimo mechanizmas turi: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nustatytus tinklo kodekso principus; </w:t>
                </w:r>
              </w:p>
              <w:p>
                <w:pPr>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5) apskaitų atskyrimą, siekiant išvengti veiklų kryžminio subsidijavimo;</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 stebėti perdavimo sistemos operatorių ir vandenilio perdavimo tinklo operatorių investicijų planus, savo metinėje ataskaitoje pateikti perdavimo sistemos operatorių ir vandenilio perdavimo tinklo operatorių investicijų planų vertinimą atsižvelgiant į tai, ar jie atitinka visos Sąjungos tinklo plėtros planus, nurodytus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straipsniuose, ir į tuos vertinimus įtraukti rekomendacijas iš dalies keisti tuos investicijų planus;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  </w:t>
                </w:r>
              </w:p>
              <w:p>
                <w:pPr>
                  <w:jc w:val="both"/>
                  <w:rPr>
                    <w:b/>
                    <w:bCs/>
                    <w:color w:val="000000"/>
                    <w:sz w:val="22"/>
                    <w:szCs w:val="22"/>
                    <w:lang w:eastAsia="lt-LT"/>
                  </w:rPr>
                </w:pPr>
                <w:r>
                  <w:rPr>
                    <w:b/>
                    <w:bCs/>
                    <w:color w:val="000000"/>
                    <w:sz w:val="22"/>
                    <w:szCs w:val="22"/>
                    <w:lang w:eastAsia="lt-LT"/>
                  </w:rPr>
                  <w:t xml:space="preserve">28) 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w:t>
                </w:r>
                <w:r>
                  <w:rPr>
                    <w:b/>
                    <w:bCs/>
                    <w:color w:val="000000"/>
                    <w:sz w:val="22"/>
                    <w:szCs w:val="22"/>
                    <w:u w:val="single"/>
                    <w:lang w:eastAsia="lt-LT"/>
                  </w:rPr>
                  <w:t>,</w:t>
                </w:r>
                <w:r>
                  <w:rPr>
                    <w:b/>
                    <w:bCs/>
                    <w:color w:val="000000"/>
                    <w:sz w:val="22"/>
                    <w:szCs w:val="22"/>
                    <w:lang w:eastAsia="lt-LT"/>
                  </w:rPr>
                  <w:t> į vertinimus įtraukia rekomendacijas dėl dalinio šių investicijų planų pakeitimo; </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31 straipsnis. Perdavimo sistemos operatoriaus vykdoma tinklo plėtra ir įgaliojimai priimti sprendimus dėl investavimo</w:t>
                </w:r>
              </w:p>
              <w:p>
                <w:pPr>
                  <w:ind w:firstLine="17"/>
                  <w:jc w:val="both"/>
                  <w:rPr>
                    <w:b/>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o) stebėti, ar laikomasi tinklo saugumo ir patikimumo taisyklių, ir peržiūrėti, kaip jis veikė praeityje, ir nustatyti arba patvirtinti paslaugų ir tiekimo kokybės standartus ir reikalavimus arba kartu su kitomis kompetentingomis institucijomis prisidėti prie šio proceso;</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left="50"/>
                  <w:jc w:val="both"/>
                  <w:rPr>
                    <w:b/>
                    <w:bCs/>
                    <w:color w:val="000000"/>
                    <w:sz w:val="22"/>
                    <w:szCs w:val="22"/>
                    <w:lang w:eastAsia="lt-LT"/>
                  </w:rPr>
                </w:pPr>
                <w:r>
                  <w:rPr>
                    <w:b/>
                    <w:bCs/>
                    <w:color w:val="000000"/>
                    <w:sz w:val="22"/>
                    <w:szCs w:val="22"/>
                    <w:lang w:eastAsia="lt-LT"/>
                  </w:rPr>
                  <w:t>20) stebi vandenilio sistemų, vandenilio gamyklos, vandenilio įrenginių, vandenilio laikymo įrenginių, degalinių saugumo ir patikimumo taisyklių laikymąsi, įskaitant jų laikymosi vertinimą per ataskaitinius laikotarpius, analizuoja vandenilio sistemų operatorių teikiamas ataskaitas dėl vandenilio nuotėkių aptikimo ir, jei reikia, remonto ar pakeitimo programų, taip pat operatorių skelbiamą kasmetinę statistinę informaciją apie vandenilio nuotėkių aptikimą ir remonto poreikį;</w:t>
                </w:r>
              </w:p>
              <w:p>
                <w:pPr>
                  <w:ind w:firstLine="50"/>
                  <w:jc w:val="both"/>
                  <w:rPr>
                    <w:b/>
                    <w:color w:val="000000"/>
                    <w:sz w:val="22"/>
                    <w:szCs w:val="22"/>
                    <w:lang w:val="lt" w:eastAsia="lt-LT"/>
                  </w:rPr>
                </w:pPr>
                <w:r>
                  <w:rPr>
                    <w:b/>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720"/>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nustatyti gamtinių dujų įmonių paslaugų kokybės, įskaitant patikimumo, rodiklius ir jų įvertinimo tvarką;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kaip laikomasi gamtinių dujų sistemų saugumo ir patikimumo taisyklių;</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 stebėti veiklos skaidrumo lygį, įskaitant didmenines kainas, ir užtikrinti, kad gamtinių dujų ir vandenilio įmonės laikytųsi skaidrumo įsipareigojimų;</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prižiūri pajėgumų paskirstymą, atliekamą vandenilio perdavimo ir skirstymo operatorių,  užtikrindama skaidrumo, nediskriminavimo, efektyvumo ir rinkos vientisumo principų</w:t>
                </w:r>
                <w:r>
                  <w:rPr>
                    <w:b/>
                    <w:bCs/>
                    <w:color w:val="000000"/>
                    <w:sz w:val="22"/>
                    <w:szCs w:val="22"/>
                    <w:u w:val="single"/>
                    <w:lang w:eastAsia="ar-SA"/>
                  </w:rPr>
                  <w:t>,</w:t>
                </w:r>
                <w:r>
                  <w:rPr>
                    <w:b/>
                    <w:bCs/>
                    <w:color w:val="000000"/>
                    <w:sz w:val="22"/>
                    <w:szCs w:val="22"/>
                    <w:lang w:eastAsia="ar-SA"/>
                  </w:rPr>
                  <w:t> laikymąsi;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ar-SA"/>
                  </w:rPr>
                  <w:t xml:space="preserve">36) </w:t>
                </w:r>
                <w:r>
                  <w:rPr>
                    <w:b/>
                    <w:bCs/>
                    <w:color w:val="000000"/>
                    <w:sz w:val="22"/>
                    <w:szCs w:val="22"/>
                    <w:lang w:eastAsia="lt-LT"/>
                  </w:rPr>
                  <w:t>stebi veiklos skaidrumo lygį, įskaitant didmenines kainas, ir užtikrina, kad gamtinių dujų ir vandenilio įmonės laikytųsi skaidrumo įsipareigojimų;</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8) gamtinių dujų įmonių veiklos skaidrumą ir konkurenciją;</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q) stebėti rinkos atvėrimo ir konkurencijos didmeninėje bei mažmeninėje prekyboje lygį ir veiksmingumą, įskaitant gamtinių dujų ir vandenilio biržas, namų ūkio vartotojams taikomas kainas, įskaitant išankstinio mokėjimo sistemas, pasiūlymų skaidrumą, kainų šuolius ir jų poveikį didmeninėms ir vartotojų kainoms, namų ūkių mokamų kainų ir didmeninių kainų santykį, tiekėją pakeitusių vartotojų procentinę dalį, nuo tinklo atjungtų vartotojų procentinę dalį, mokesčius už priežiūros paslaugas ir jų vykdymą, namų ūkio vartotojų pateiktus skundus, taip pat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vartotojais;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22)</w:t>
                </w:r>
                <w:r>
                  <w:rPr>
                    <w:b/>
                    <w:bCs/>
                    <w:color w:val="000000"/>
                    <w:lang w:eastAsia="lt-LT"/>
                  </w:rPr>
                  <w:t xml:space="preserve"> </w:t>
                </w:r>
                <w:r>
                  <w:rPr>
                    <w:b/>
                    <w:bCs/>
                    <w:color w:val="000000"/>
                    <w:sz w:val="22"/>
                    <w:szCs w:val="22"/>
                    <w:lang w:eastAsia="lt-LT"/>
                  </w:rPr>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Gamtinių dujų įstatymas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993"/>
                    <w:tab w:val="left" w:pos="1134"/>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2. Taryba, įgyvendindama jai pavestas funkcijas, turi pareigą:</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prižiūrėti buitiniams vartotojams taikomas kainas, išankstinio mokėjimo sistemas, tiekimo įmonę pakeitusių vartotojų ar nuo tinklo atjungtų vartotojų procentinę dalį, mokėjimus už priežiūros paslaugas ir jų vykdymą;</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 stebėti, ar nepasitaiko konkurenciją ribojančios sutartinės praktikos, įskaitant išimtinių teisių sąlygas, kuriomis stambiems ne namų ūkio vartotojams gali būti užkirstas kelias arba apribota galimybė vienu metu sudaryti sutartis su daugiau nei vienu tiekėju, ir reikiamais atvejais apie tokią praktiką pranešti nacionalinėms konkurencijos institucijoms;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37) stebi, ar nepasitaiko konkurenciją ribojančios sutartinės praktikos, įskaitant išimtinių teisių sąlygas, kuriomis stambiems ne namų ūkio vartotojams gali būti užkirstas kelias arba apribota galimybė vienu metu sudaryti sutartis su daugiau nei vienu tiekėju, ir apie tokią praktiką praneša Konkurencijos tarybai;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 laikytis sutarties laisvės ilgalaikių sutarčių atžvilgiu, jei jomis laikomasi Sąjungos teisės, jos yra suderinamos su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38)  laikosi sutarties laisvės, vadovaudamasi principu, kad sutarties šalys sutarties sąlygas nustato savo nuožiūra, išskyrus atvejus, kai tam tikras sutarties sąlygas nustato imperatyviosios teisės normos, jei jomis laikomasi Europos Sąjungos teisės, jos yra suderinamos su Europos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&lt;...&gt;</w:t>
                </w:r>
              </w:p>
              <w:p>
                <w:pPr>
                  <w:jc w:val="both"/>
                  <w:rPr>
                    <w:b/>
                    <w:bCs/>
                    <w:color w:val="000000"/>
                    <w:sz w:val="22"/>
                    <w:szCs w:val="22"/>
                    <w:lang w:val="lt" w:eastAsia="lt-LT"/>
                  </w:rPr>
                </w:pPr>
              </w:p>
              <w:p>
                <w:pPr>
                  <w:jc w:val="both"/>
                  <w:rPr>
                    <w:color w:val="000000"/>
                    <w:sz w:val="22"/>
                    <w:szCs w:val="22"/>
                    <w:lang w:val="lt" w:eastAsia="lt-LT"/>
                  </w:rPr>
                </w:pPr>
                <w:r>
                  <w:rPr>
                    <w:color w:val="000000"/>
                    <w:sz w:val="22"/>
                    <w:szCs w:val="22"/>
                    <w:lang w:val="lt" w:eastAsia="lt-LT"/>
                  </w:rPr>
                  <w:t>10 ) užtikrinti sutarties laisvės principo įgyvendinimą nutraukiamoms Europos Sąjungos ir Lietuvos Respublikos teisę atitinkančioms tiekimo sutartims;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bl>
        <w:p>
          <w:pPr>
            <w:rPr>
              <w:sz w:val="22"/>
              <w:szCs w:val="22"/>
            </w:rPr>
          </w:pPr>
          <w:r>
            <w:rPr>
              <w:sz w:val="22"/>
              <w:szCs w:val="22"/>
            </w:rPr>
            <w:br w:type="textWrapping" w:clear="all"/>
            <w:br w:type="page"/>
          </w:r>
        </w:p>
      </w:sdtContent>
    </w:sdt>
    <w:sdt>
      <w:sdtPr>
        <w:alias w:val="lentele"/>
        <w:tag w:val="part_8b81f2285a5e4ac5ab9b56f485f71f97"/>
        <w:lock w:val="sdtLocked"/>
        <w:richText/>
      </w:sdt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3964"/>
            <w:gridCol w:w="9297"/>
            <w:gridCol w:w="1760"/>
          </w:tblGrid>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 stebėti, per kiek laiko gamtinių dujų perdavimo ir skirstymo sistemos operatoriai arba vandenilio tinklo operatoriai sujungia vamzdynus ir atlieka remonto darbus, įskaitant prašymus dėl biometano gamybos įrenginių prijungimo prie tinklo;</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21) stebi vandenilio tinklo operatorių nustatytų vamzdynų sujungimo ir remonto darbų atlikimo terminų laikymąsi, taip pat teisės naudotis vandenilio saugyklomis, vandenilio laikymo vamzdynuose ir kitomis papildomomis paslaugomis suteikimo tvarką; </w:t>
                </w:r>
              </w:p>
              <w:p>
                <w:pPr>
                  <w:ind w:firstLine="32"/>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ind w:firstLine="32"/>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firstLine="32"/>
                  <w:jc w:val="both"/>
                  <w:rPr>
                    <w:color w:val="000000"/>
                    <w:sz w:val="22"/>
                    <w:szCs w:val="22"/>
                    <w:lang w:val="lt" w:eastAsia="lt-LT"/>
                  </w:rPr>
                </w:pPr>
                <w:r>
                  <w:rPr>
                    <w:b/>
                    <w:bCs/>
                    <w:color w:val="000000"/>
                    <w:sz w:val="22"/>
                    <w:szCs w:val="22"/>
                    <w:lang w:val="lt" w:eastAsia="lt-LT"/>
                  </w:rPr>
                  <w:t>7 straipsnis. Tarybos funkcijos ir pareigos gamtinių dujų sektoriuje</w:t>
                </w:r>
              </w:p>
              <w:p>
                <w:pPr>
                  <w:ind w:firstLine="32"/>
                  <w:jc w:val="both"/>
                  <w:rPr>
                    <w:color w:val="000000"/>
                    <w:sz w:val="22"/>
                    <w:szCs w:val="22"/>
                    <w:lang w:val="lt" w:eastAsia="lt-LT"/>
                  </w:rPr>
                </w:pPr>
                <w:r>
                  <w:rPr>
                    <w:color w:val="000000"/>
                    <w:sz w:val="22"/>
                    <w:szCs w:val="22"/>
                    <w:lang w:val="lt" w:eastAsia="lt-LT"/>
                  </w:rPr>
                  <w:t>2. Taryba, įgyvendindama jai pavestas funkcijas, turi pareigą:</w:t>
                </w:r>
              </w:p>
              <w:p>
                <w:pPr>
                  <w:ind w:firstLine="32"/>
                  <w:jc w:val="both"/>
                  <w:rPr>
                    <w:color w:val="000000"/>
                    <w:sz w:val="22"/>
                    <w:szCs w:val="22"/>
                    <w:lang w:val="lt" w:eastAsia="lt-LT"/>
                  </w:rPr>
                </w:pPr>
                <w:r>
                  <w:rPr>
                    <w:color w:val="000000"/>
                    <w:sz w:val="22"/>
                    <w:szCs w:val="22"/>
                    <w:lang w:val="lt" w:eastAsia="lt-LT"/>
                  </w:rPr>
                  <w:t>&lt;...&gt;</w:t>
                </w:r>
              </w:p>
              <w:p>
                <w:pPr>
                  <w:ind w:firstLine="32"/>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u) stebėti, kaip laikomasi 33 arba 37 straipsnyje nustatytų sąlygų, kuriomis suteikiama teisė naudotis gamtinių dujų saugyklomis, laikymo vamzdynuose paslaugomis ir kitomis papildomomis paslaugomis, ir tas sąlygas peržiūrėti, išskyrus tarifų peržiūrą tuo atveju, jei teisės naudotis gamtinių dujų saugyklomis tvarka nustatoma vadovaujantis 33 straipsnio 3 dalimi;</w:t>
                </w:r>
              </w:p>
            </w:tc>
            <w:tc>
              <w:tcPr>
                <w:tcW w:w="9297" w:type="dxa"/>
                <w:vAlign w:val="center"/>
              </w:tcPr>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padėti kartu su kitomis atitinkamomis institucijomis užtikrinti, kad vartotojų apsaugos priemonės, įskaitant nustatytas I priede, būtų veiksmingos ir vykdomos, ir visų pirma įvertinti, ar esama kliūčių vartotojams naudotis savo teisėmis, pavyzdžiui, pakeisti tiekėją, nutraukti sutartį ir naudotis neteisminio ginčų sprendimo mechanizmais;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color w:val="000000"/>
                    <w:sz w:val="22"/>
                    <w:szCs w:val="22"/>
                    <w:lang w:eastAsia="ar-SA"/>
                  </w:rPr>
                </w:pPr>
                <w:r>
                  <w:rPr>
                    <w:b/>
                    <w:bCs/>
                    <w:color w:val="000000"/>
                    <w:sz w:val="22"/>
                    <w:szCs w:val="22"/>
                    <w:lang w:eastAsia="ar-SA"/>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imtis veiksmingų vartotojų apsaugos priemonių, prižiūrėti, kaip jos vykdomos;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w) bent kartą per metus skelbti rekomendacijas, susijusias su tiekimo kainų atitiktimi 7 straipsniui, ir tam tikrais atvejais jas persiųsti konkurencijos institucijoms;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Pastaba. Energetikos ministerija nemato sąsajų tarp Direktyvos 7 straipsnyje reglamentuojamo regioninio bendradarbiavimo ir integracijos skatinimo ir tiekimo kainų, apie kurias kalbama šiame Direktyvos papunktyje. Todėl nematome galimybės perkelti šio Direktyvos papunkčio nuostatą.</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x) užtikrinti nediskriminacinę prieigą prie duomenų apie vartotojų suvartojimą, tokių duomenų teikimą suderinta, lengvai suprantama forma nacionaliniu lygmeniu fakultatyvaus naudojimo tikslais ir galimybę visiems vartotojams greitai gauti tokius duomenis pagal 23 ir 24 straipsnius;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23) </w:t>
                </w:r>
                <w:r>
                  <w:rPr>
                    <w:b/>
                    <w:color w:val="000000"/>
                    <w:sz w:val="22"/>
                    <w:szCs w:val="22"/>
                    <w:lang w:eastAsia="lt-LT"/>
                  </w:rPr>
                  <w:t xml:space="preserve">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r>
                  <w:rPr>
                    <w:b/>
                    <w:color w:val="000000"/>
                    <w:sz w:val="22"/>
                    <w:szCs w:val="22"/>
                    <w:lang w:eastAsia="ar-SA"/>
                  </w:rPr>
                  <w: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y) stebėti, kaip įgyvendinamos taisyklės, susijusios su perdavimo sistemos operatorių, skirstymo sistemos operatorių, vandenilio tinklo operatorių, tiekėjų, vartotojų ir kitų rinkos dalyvių vaidmenimis bei pareigomis, vadovaujantis Reglamentu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599"/>
                  </w:tabs>
                  <w:jc w:val="both"/>
                  <w:rPr>
                    <w:b/>
                    <w:bCs/>
                    <w:color w:val="000000"/>
                    <w:sz w:val="22"/>
                    <w:szCs w:val="22"/>
                    <w:lang w:eastAsia="lt-LT"/>
                  </w:rPr>
                </w:pPr>
                <w:r>
                  <w:rPr>
                    <w:b/>
                    <w:bCs/>
                    <w:color w:val="000000"/>
                    <w:sz w:val="22"/>
                    <w:szCs w:val="22"/>
                    <w:lang w:eastAsia="lt-LT"/>
                  </w:rPr>
                  <w:t>5.</w:t>
                  <w:tab/>
                  <w:t>Taryba prižiūri: </w:t>
                </w:r>
              </w:p>
              <w:p>
                <w:pPr>
                  <w:jc w:val="both"/>
                  <w:textAlignment w:val="baseline"/>
                  <w:rPr>
                    <w:b/>
                    <w:bCs/>
                    <w:sz w:val="22"/>
                    <w:szCs w:val="22"/>
                    <w14:ligatures w14:val="standardContextual"/>
                  </w:rPr>
                </w:pPr>
                <w:r>
                  <w:rPr>
                    <w:b/>
                    <w:bCs/>
                    <w:color w:val="000000"/>
                    <w:sz w:val="22"/>
                    <w:szCs w:val="22"/>
                    <w:lang w:eastAsia="lt-LT"/>
                  </w:rPr>
                  <w:t>&lt;…&gt;</w:t>
                </w:r>
              </w:p>
              <w:p>
                <w:pPr>
                  <w:jc w:val="both"/>
                  <w:textAlignment w:val="baseline"/>
                  <w:rPr>
                    <w:b/>
                    <w:bCs/>
                    <w:sz w:val="22"/>
                    <w:szCs w:val="22"/>
                    <w14:ligatures w14:val="standardContextual"/>
                  </w:rPr>
                </w:pPr>
                <w:r>
                  <w:rPr>
                    <w:b/>
                    <w:bCs/>
                    <w:color w:val="000000"/>
                    <w:sz w:val="22"/>
                    <w:szCs w:val="22"/>
                    <w:lang w:eastAsia="lt-LT"/>
                  </w:rPr>
                  <w:t xml:space="preserve">12)  šio įstatymo ir (ar) Europos Sąjungos teisės aktų, taip pat pagal juos patvirtintų sąlygų, metodikų ir kitų teisės aktų, laikymąsi;</w:t>
                </w:r>
              </w:p>
              <w:p>
                <w:pPr>
                  <w:ind w:firstLine="57"/>
                  <w:jc w:val="both"/>
                  <w:textAlignment w:val="baseline"/>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jc w:val="both"/>
                  <w:textAlignment w:val="baseline"/>
                  <w:rPr>
                    <w:b/>
                    <w:bCs/>
                    <w:sz w:val="22"/>
                    <w:szCs w:val="22"/>
                  </w:rPr>
                </w:pPr>
                <w:r>
                  <w:rPr>
                    <w:b/>
                    <w:bCs/>
                    <w:color w:val="000000"/>
                    <w:sz w:val="22"/>
                    <w:szCs w:val="22"/>
                    <w:lang w:eastAsia="lt-LT"/>
                  </w:rPr>
                  <w:t>&lt;…&gt;</w:t>
                </w:r>
              </w:p>
              <w:p>
                <w:pPr>
                  <w:jc w:val="both"/>
                  <w:textAlignment w:val="baseline"/>
                  <w:rPr>
                    <w:sz w:val="22"/>
                    <w:szCs w:val="22"/>
                    <w:lang w:eastAsia="lt-LT"/>
                  </w:rPr>
                </w:pPr>
              </w:p>
              <w:p>
                <w:pPr>
                  <w:ind w:left="1353"/>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kaip suteikiamos teisės naudotis sistemomis;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z) stebėti, ar teisingai taikomi kriterijai, pagal kuriuos nustatoma, ar gamtinių dujų saugyklai taikoma 33 straipsnio 3 arba 4 dalis;</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color w:val="000000"/>
                    <w:sz w:val="22"/>
                    <w:szCs w:val="22"/>
                    <w:lang w:val="lt" w:eastAsia="lt-LT"/>
                  </w:rPr>
                </w:pPr>
                <w:r>
                  <w:rPr>
                    <w:b/>
                    <w:bCs/>
                    <w:color w:val="000000"/>
                    <w:sz w:val="22"/>
                    <w:szCs w:val="22"/>
                    <w:lang w:val="lt" w:eastAsia="lt-LT"/>
                  </w:rPr>
                  <w:t>&lt;</w:t>
                </w:r>
                <w:r>
                  <w:rPr>
                    <w:b/>
                    <w:color w:val="000000"/>
                    <w:sz w:val="22"/>
                    <w:szCs w:val="22"/>
                    <w:lang w:val="lt" w:eastAsia="lt-LT"/>
                  </w:rPr>
                  <w: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aa) stebėti 83 straipsnyje nurodytų apsaugos priemonių įgyvendinimą;</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kaip įgyvendinamos Vyriausybės ar jos įgaliotos institucijos nustatytos laikinosios priemonės, taikomos staiga įvykus gamtinių dujų ar visos energetikos rinkos krizei ar iškilus grėsmei asmenų, gamtinių dujų įrenginių arba gamtinių dujų sistemos vientisumo saugumui;</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bb) prisidėti prie keitimosi duomenimis procesų suderinimo svarbiausiems rinkos procesams regioniniu lygmeniu;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457"/>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ar-SA"/>
                  </w:rPr>
                  <w:t xml:space="preserve">23) </w:t>
                </w:r>
                <w:r>
                  <w:rPr>
                    <w:b/>
                    <w:bCs/>
                    <w:color w:val="000000"/>
                    <w:sz w:val="22"/>
                    <w:szCs w:val="22"/>
                    <w:lang w:eastAsia="lt-LT"/>
                  </w:rPr>
                  <w:t>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keičiasi duomenimis regioniniu lygmeniu, siekdama prisidėti prie svarbiausių rinkos procesų suderinimo;</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cc) įgyvendinti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70–74 straipsnius priimtus tinklo kodeksus ir gaires, taikant nacionalines priemones arba, kai to reikia, koordinuotas regionines arba visos Sąjungos priemones;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6</w:t>
                </w:r>
                <w:r>
                  <w:rPr>
                    <w:b/>
                    <w:bCs/>
                    <w:color w:val="000000"/>
                    <w:sz w:val="22"/>
                    <w:szCs w:val="22"/>
                    <w:lang w:eastAsia="ar-SA"/>
                  </w:rPr>
                  <w:t>.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39) įgyvendina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70–74 straipsnius priimtus tinklo kodeksus ir gaires, taikydama nacionalines priemones arba, kai to reikia, koordinuotas regionines arba visos Europos Sąjungos priemones;</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ind w:firstLine="17"/>
                  <w:jc w:val="both"/>
                  <w:rPr>
                    <w:color w:val="000000"/>
                    <w:sz w:val="22"/>
                    <w:szCs w:val="22"/>
                    <w:lang w:eastAsia="lt-LT"/>
                  </w:rPr>
                </w:pPr>
                <w:r>
                  <w:rPr>
                    <w:color w:val="000000"/>
                    <w:sz w:val="22"/>
                    <w:szCs w:val="22"/>
                    <w:lang w:val="lt" w:eastAsia="lt-LT"/>
                  </w:rPr>
                  <w:t>&lt;...&gt;</w:t>
                </w:r>
              </w:p>
              <w:p>
                <w:pPr>
                  <w:ind w:firstLine="17"/>
                  <w:jc w:val="both"/>
                  <w:rPr>
                    <w:color w:val="000000"/>
                    <w:sz w:val="22"/>
                    <w:szCs w:val="22"/>
                    <w:lang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dd) užtikrinti atvirą, skaidrų, efektyvų ir įtraukų procesą siekiant parengti nacionalinį dešimties metų tinklo plėtros planą pagal 55 straipsnyje nustatytus reikalavimus, vandenilio skirstymo tinklo plėtros planą pagal 56 straipsnyje nustatytus reikalavimus ir, kai aktualu, tinklo eksploatavimo nutraukimo planą pagal 57 straipsnyje nustatytus reikalavimus;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32" w:firstLine="567"/>
                  <w:jc w:val="both"/>
                  <w:rPr>
                    <w:b/>
                    <w:bCs/>
                    <w:color w:val="000000"/>
                    <w:sz w:val="22"/>
                    <w:szCs w:val="22"/>
                    <w:lang w:eastAsia="ar-SA"/>
                  </w:rPr>
                </w:pPr>
                <w:r>
                  <w:rPr>
                    <w:b/>
                    <w:bCs/>
                    <w:color w:val="000000"/>
                    <w:sz w:val="22"/>
                    <w:szCs w:val="22"/>
                    <w:lang w:eastAsia="ar-SA"/>
                  </w:rPr>
                  <w:t>&lt;...&gt;</w:t>
                </w:r>
              </w:p>
              <w:p>
                <w:pPr>
                  <w:ind w:left="32"/>
                  <w:jc w:val="both"/>
                  <w:rPr>
                    <w:b/>
                    <w:bCs/>
                    <w:color w:val="000000"/>
                    <w:sz w:val="22"/>
                    <w:szCs w:val="22"/>
                    <w:lang w:eastAsia="lt-LT"/>
                  </w:rPr>
                </w:pPr>
                <w:r>
                  <w:rPr>
                    <w:b/>
                    <w:bCs/>
                    <w:color w:val="000000"/>
                    <w:sz w:val="22"/>
                    <w:szCs w:val="22"/>
                    <w:lang w:eastAsia="lt-LT"/>
                  </w:rPr>
                  <w:t>24) užtikrina atvirą, skaidrų ir efektyvų nacionalinio dešimties metų vandenilio perdavimo tinklo plėtros plano ir vandenilio skirstymo tinklo plėtros plano rengimą, organizuoja viešas konsultacijas su faktiniais ir potencialiais tinklo naudotojais;</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25) derina vandenilio perdavimo tinklo operatoriaus parengtą dešimties metų vandenilio perdavimo tinklo plėtros planą;</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 xml:space="preserve">26) 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27)</w:t>
                  <w:tab/>
                </w:r>
                <w:r>
                  <w:rPr>
                    <w:b/>
                    <w:bCs/>
                    <w:color w:val="000000"/>
                    <w:sz w:val="22"/>
                    <w:szCs w:val="22"/>
                    <w:lang w:eastAsia="lt-LT"/>
                  </w:rPr>
                  <w:t>derina vandenilio skirstymo tinklo plėtros planą;</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28)</w:t>
                  <w:tab/>
                </w:r>
                <w:r>
                  <w:rPr>
                    <w:b/>
                    <w:bCs/>
                    <w:color w:val="000000"/>
                    <w:sz w:val="22"/>
                    <w:szCs w:val="22"/>
                    <w:lang w:eastAsia="lt-LT"/>
                  </w:rPr>
                  <w:t xml:space="preserve">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 į vertinimus įtraukia rekomendacijas dėl dalinio šių investicijų planų pakeitimo;</w:t>
                </w:r>
              </w:p>
              <w:p>
                <w:pPr>
                  <w:tabs>
                    <w:tab w:val="left" w:pos="457"/>
                    <w:tab w:val="left" w:pos="1134"/>
                    <w:tab w:val="left" w:pos="10992"/>
                    <w:tab w:val="left" w:pos="11908"/>
                    <w:tab w:val="left" w:pos="12824"/>
                    <w:tab w:val="left" w:pos="13740"/>
                    <w:tab w:val="left" w:pos="14656"/>
                  </w:tabs>
                  <w:ind w:left="32"/>
                  <w:jc w:val="both"/>
                  <w:rPr>
                    <w:b/>
                    <w:bCs/>
                    <w:color w:val="000000"/>
                    <w:sz w:val="22"/>
                    <w:szCs w:val="22"/>
                    <w:lang w:val="lt" w:eastAsia="lt-LT"/>
                  </w:rPr>
                </w:pPr>
                <w:r>
                  <w:rPr>
                    <w:b/>
                    <w:bCs/>
                    <w:color w:val="000000"/>
                    <w:sz w:val="22"/>
                    <w:szCs w:val="22"/>
                    <w:lang w:eastAsia="lt-LT"/>
                  </w:rPr>
                  <w:t>&lt;...&gt;</w:t>
                </w:r>
              </w:p>
              <w:p>
                <w:pPr>
                  <w:ind w:left="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ee) tvirtinti ir iš dalies keisti skirstymo tinklo plėtros planus nurodytus 55 straipsnyje ir, kai aktualu, 57 straipsnyje;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ff) atlikti nagrinėjimą ir, kai taikytina, prašyti padaryti 56 straipsnio 4 dalyje nurodyto vandenilio skirstymo tinklo plėtros plano dalinius pakeitimus, jei tokia užduotis valstybei narei yra numatyta pagal to straipsnio 6 dalį;</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36 straipsnis. Vandenilio skirstymo tinklo plėtros planas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32"/>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ir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ind w:firstLine="32"/>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32"/>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17"/>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gg) parengti gaires, kaip nurodyta 57 straipsnio 6 dalyje, kuriose nustatomi struktūrinio požiūrio į gamtinių dujų skirstymo tinklo dalių eksploatavimo nutraukimą kriterijai ir metodikos, atsižvelgiant į eksploatavimo nutraukimo sąnaudas ir konkretų atvejį, kai tokio turto eksploatavimą gali prireikti nutraukti iki iš pradžių numatyto jo gyvavimo ciklo pabaigos, pateikiant gaires dėl tarifų nustatymo tokiais atvejais;</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hh) stebėti palyginamųjų interneto svetainių, įskaitant 14 straipsnyje nustatytus kriterijus atitinkančias palyginimo priemones, prieinamumą;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Dalinis </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stebėti nepagrįstų kliūčių ir apribojimų vartoti iš atsinaujinančiųjų išteklių pasigamintas gamtines dujas šalinimą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1) kaip laikomasi gamtinių dujų įmonių licencijuojamos veiklos sąlygų;</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jj) vykdyti visas kitas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reguliavimo institucijai pavestas pareigas.</w:t>
                </w:r>
              </w:p>
            </w:tc>
            <w:tc>
              <w:tcPr>
                <w:tcW w:w="9297" w:type="dxa"/>
                <w:vAlign w:val="center"/>
              </w:tcPr>
              <w:p>
                <w:pPr>
                  <w:jc w:val="both"/>
                  <w:rPr>
                    <w:b/>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color w:val="000000"/>
                    <w:sz w:val="22"/>
                    <w:szCs w:val="22"/>
                    <w:lang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ind w:left="720" w:hanging="360"/>
                  <w:jc w:val="both"/>
                  <w:rPr>
                    <w:color w:val="000000"/>
                    <w:sz w:val="22"/>
                    <w:szCs w:val="22"/>
                    <w:lang w:val="lt" w:eastAsia="lt-LT"/>
                  </w:rPr>
                </w:pPr>
                <w:r>
                  <w:rPr>
                    <w:color w:val="000000"/>
                    <w:sz w:val="22"/>
                    <w:szCs w:val="22"/>
                    <w:lang w:val="lt" w:eastAsia="lt-LT"/>
                  </w:rPr>
                  <w:t>1.</w:t>
                  <w:tab/>
                  <w:t>laikytis visų teisiškai privalomų Europos Komisijos ir Agentūros sprendimų;</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2. 1 dalyje nustatytas stebėsenos pareigas gali vykdyti kitos institucijos nei reguliavimo institucija, jei valstybė narė yra taip numačiusi. Tokiu atveju turi būti nedelsiant sudaryta galimybė reguliavimo institucijai naudotis atlikus tokią stebėseną gauta informacija.</w:t>
                </w:r>
              </w:p>
            </w:tc>
            <w:tc>
              <w:tcPr>
                <w:tcW w:w="9297" w:type="dxa"/>
                <w:vAlign w:val="center"/>
              </w:tcPr>
              <w:p>
                <w:pPr>
                  <w:ind w:firstLine="17"/>
                  <w:jc w:val="both"/>
                  <w:rPr>
                    <w:color w:val="000000"/>
                    <w:sz w:val="22"/>
                    <w:szCs w:val="22"/>
                    <w:lang w:eastAsia="lt-LT"/>
                  </w:rPr>
                </w:pPr>
              </w:p>
              <w:p>
                <w:pPr>
                  <w:ind w:firstLine="17"/>
                  <w:jc w:val="both"/>
                  <w:rPr>
                    <w:i/>
                    <w:iCs/>
                    <w:color w:val="000000"/>
                    <w:sz w:val="22"/>
                    <w:szCs w:val="22"/>
                    <w:lang w:eastAsia="lt-LT"/>
                  </w:rPr>
                </w:pPr>
                <w:r>
                  <w:rPr>
                    <w:i/>
                    <w:iCs/>
                    <w:color w:val="000000"/>
                    <w:sz w:val="22"/>
                    <w:szCs w:val="22"/>
                    <w:lang w:eastAsia="lt-LT"/>
                  </w:rPr>
                  <w:t>Pastaba</w:t>
                </w:r>
                <w:r>
                  <w:rPr>
                    <w:color w:val="000000"/>
                    <w:sz w:val="22"/>
                    <w:szCs w:val="22"/>
                    <w:lang w:eastAsia="lt-LT"/>
                  </w:rPr>
                  <w:t>.</w:t>
                </w:r>
                <w:r>
                  <w:rPr>
                    <w:i/>
                    <w:iCs/>
                    <w:color w:val="000000"/>
                    <w:sz w:val="22"/>
                    <w:szCs w:val="22"/>
                    <w:lang w:eastAsia="lt-LT"/>
                  </w:rPr>
                  <w:t xml:space="preserve"> Nuostata yra rekomendacinio, neprivalomo perkelti pobūdžio.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vykdydama 1 dalyje nustatytas pareigas, atitinkamai konsultuojasi su gamtinių dujų perdavimo sistemos ir vandenilio tinklo operatoriais ir atitinkamai glaudžiai bendradarbiauja su kitomis atitinkamomis nacionalinėmis institucijomis, išsaugodama jų nepriklausomumą, nedarydama įtakos jų specialiai kompetencijai ir laikydamasi geresnio reglamentavimo principų.</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41) atlikdama šiame įstatyme ir kituose teisės aktuose jai nustatytas funkcijas, konsultuojasi su vandenilio sistemų operatoriais, nepažeisdama jų nepriklausomumo ir nedarydama įtakos jų kompetencijai, taip pat su kitomis kompetentingomis institucijomis, įstaigomis ir (ar) sistemų naudotojais;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17 straipsnis. Viešasis konsultavimasis</w:t>
                </w:r>
              </w:p>
              <w:p>
                <w:pPr>
                  <w:ind w:firstLine="17"/>
                  <w:jc w:val="both"/>
                  <w:rPr>
                    <w:color w:val="000000"/>
                    <w:sz w:val="22"/>
                    <w:szCs w:val="22"/>
                    <w:lang w:val="lt" w:eastAsia="lt-LT"/>
                  </w:rPr>
                </w:pPr>
                <w:r>
                  <w:rPr>
                    <w:color w:val="000000"/>
                    <w:sz w:val="22"/>
                    <w:szCs w:val="22"/>
                    <w:lang w:val="lt" w:eastAsia="lt-LT"/>
                  </w:rPr>
                  <w:t>1. Taryba šio įstatymo ar jo įgyvendinamųjų teisės aktų pagrindu priimdama gamtinių dujų rinkoje veiklą reglamentuojančius teisės aktus, išskyrus teisės aktus, kuriais sprendžiamas ginčas, viešai paskelbia šių teisės aktų projektus ir nustato protingumo kriterijų atitinkantį terminą suinteresuotiems asmenims pateikti pastabas.</w:t>
                </w:r>
              </w:p>
              <w:p>
                <w:pPr>
                  <w:ind w:firstLine="720"/>
                  <w:jc w:val="both"/>
                  <w:rPr>
                    <w:color w:val="000000"/>
                    <w:sz w:val="22"/>
                    <w:szCs w:val="22"/>
                    <w:lang w:val="lt" w:eastAsia="lt-LT"/>
                  </w:rPr>
                </w:pPr>
                <w:r>
                  <w:rPr>
                    <w:color w:val="000000"/>
                    <w:sz w:val="22"/>
                    <w:szCs w:val="22"/>
                    <w:lang w:val="lt" w:eastAsia="lt-LT"/>
                  </w:rPr>
                  <w:t>2. Taryba savo nustatyta tvarka ir sąlygomis Tarybos interneto svetainėje paskelbia Tarybos sprendimų dėl klausimų, susijusių su visomis gamtinių dujų sektoriaus dalyvių teisėmis, ypač kai šių klausimų sprendimas turi reikšmingą poveikį gamtinių dujų rinkai, projektus ir suteikia gamtinių dujų sektoriaus dalyviams protingumo kriterijų atitinkantį terminą pastaboms pateikti.</w:t>
                </w:r>
              </w:p>
              <w:p>
                <w:pPr>
                  <w:ind w:firstLine="720"/>
                  <w:jc w:val="both"/>
                  <w:rPr>
                    <w:color w:val="000000"/>
                    <w:sz w:val="22"/>
                    <w:szCs w:val="22"/>
                    <w:lang w:val="lt" w:eastAsia="lt-LT"/>
                  </w:rPr>
                </w:pPr>
                <w:r>
                  <w:rPr>
                    <w:color w:val="000000"/>
                    <w:sz w:val="22"/>
                    <w:szCs w:val="22"/>
                    <w:lang w:val="lt" w:eastAsia="lt-LT"/>
                  </w:rPr>
                  <w:t>3. Taryba nustato konsultavimosi taisykles, apibrėžiančias konsultacijų atvejus, tvarką ir sąlygas. Informacija, susijusi su visomis tuo metu vykstančiomis konsultacijomis, skelbiama Tarybos interneto svetainėje. Taryba skelbia konsultacijų rezultatus, išskyrus informaciją, kuri yra valstybės, tarnybos ar komercinė paslaptis.</w:t>
                </w:r>
              </w:p>
              <w:p>
                <w:pPr>
                  <w:ind w:firstLine="720"/>
                  <w:jc w:val="both"/>
                  <w:rPr>
                    <w:color w:val="000000"/>
                    <w:sz w:val="22"/>
                    <w:szCs w:val="22"/>
                    <w:lang w:val="lt" w:eastAsia="lt-LT"/>
                  </w:rPr>
                </w:pPr>
                <w:r>
                  <w:rPr>
                    <w:color w:val="000000"/>
                    <w:sz w:val="22"/>
                    <w:szCs w:val="22"/>
                    <w:lang w:val="lt" w:eastAsia="lt-LT"/>
                  </w:rPr>
                  <w:t>4. Taryba, atlikdama šiame įstatyme ir kituose teisės aktuose jai nustatytas funkcijas, šio straipsnio 3 dalyje nurodytose konsultavimosi taisyklėse nustatyta tvarka ir sąlygomis konsultuojasi su sistemų operatoriais, nepažeisdama jų nepriklausomumo ir nedarydama įtakos jų kompetencijai, taip pat su kitomis kompetentingomis institucijomis, įstaigomis ir (ar) sistemų naudotojais.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institucijos ar ACER pagal šią direktyvą suteikti patvirtinimai nedaro įtakos jokiam deramai pagrįstam reguliavimo institucijos būsimam naudojimuisi savo įgaliojimais pagal šį straipsnį ar kitų atitinkamų institucijų ar Komisijos paskirtoms sankcijoms.</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 xml:space="preserve">Pastaba. Energetikos ministerijos nuomone, ši nuostata nereikalauja perkėlimo į nacionalinę teisę, kadangi reguliavimo institucijos įgaliojimai ir galimybės jais naudotis bus apibrėžti Vandenilio įstatyme, kituose įstatymuose. </w:t>
                </w:r>
                <w:r>
                  <w:rPr>
                    <w:i/>
                    <w:iCs/>
                    <w:color w:val="000000"/>
                    <w:sz w:val="22"/>
                    <w:szCs w:val="22"/>
                    <w:lang w:eastAsia="lt-LT"/>
                  </w:rPr>
                  <w:t>Reguliavimo institucijos ar ACER patvirtinimai negali turėti įtakos įstatymais apibrėžtų įgaliojimų vykdymui.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Kai pagal 61 ar 68 straipsnį paskiriamas nepriklausomas sistemos operatorius arba nepriklausomas vandenilio perdavimo tinklo operatorius, be vadovaujantis šio straipsnio 1 dalimi reguliavimo institucijai pavestų pareigų, ji taip pat:</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stebi, kaip perdavimo sistemos savininkas, nepriklausomas sistemos operatorius ar vandenilio perdavimo tinklo savininkas ir nepriklausomas vandenilio perdavimo tinklo operatorius vykdo savo pareigas pagal šią direktyvą, ir skiria sankcijas už pareigų nevykdymą pagal 4 dalies d punktą;</w:t>
                </w:r>
              </w:p>
            </w:tc>
            <w:tc>
              <w:tcPr>
                <w:tcW w:w="9297" w:type="dxa"/>
                <w:vAlign w:val="center"/>
              </w:tcPr>
              <w:p>
                <w:pPr>
                  <w:ind w:firstLine="17"/>
                  <w:jc w:val="both"/>
                  <w:rPr>
                    <w:b/>
                    <w:bCs/>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stebi nepriklausomo sistemos operatoriaus ir perdavimo sistemos savininko arba vandenilio perdavimo tinklo savininko ir nepriklausomo vandenilio perdavimo tinklo operatoriaus ryšius, siekdama užtikrinti, kad nepriklausomas sistemos operatorius arba nepriklausomas vandenilio perdavimo tinklo operatorius vykdytų savo pareigas, ir visų pirma tvirtina sutartis bei vykdo nepriklausomo sistemos operatoriaus ir perdavimo sistemos savininko arba vandenilio perdavimo tinklo savininko ir nepriklausomo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nedarant poveikio 61 straipsnio 2 dalies c punkte nustatytai tvarkai, pirmajame dešimties metų tinklo plėtros plane patvirtina investicijų planus ir daugiametį tinklo plėtros planą, kurį kasmet teikia nepriklausomas sistemos operatorius arba nepriklausomas vandenilio perdavimo tinklo operatorius;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užtikrina, kad į nepriklausomo sistemos operatoriaus arba nepriklausomo vandenilio tinklo operatoriaus renkamų mokesčių už prieigą prie tinklo tarifus būtų įskaičiuotas tinkamas atlygis tinklo savininkui ar tinklo savininkams už naudojimąsi tinklu ir bet kokias naujas investicijas į jį, su sąlyga, kad taikomi ekonomiški ir efektyvūs tarifai;</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įgaliojimus atlikti patikrinimus, taip pat ir iš anksto apie juos nepranešus, perdavimo sistemos savininko ir nepriklausomo sistemos operatoriaus arba vandenilio perdavimo tinklo savininko ir nepriklausomo vandenilio perdavimo tinklo operatoriaus patalpose.</w:t>
                </w:r>
              </w:p>
            </w:tc>
            <w:tc>
              <w:tcPr>
                <w:tcW w:w="9297" w:type="dxa"/>
                <w:vAlign w:val="center"/>
              </w:tcPr>
              <w:p>
                <w:pPr>
                  <w:ind w:firstLine="17"/>
                  <w:jc w:val="both"/>
                  <w:rPr>
                    <w:b/>
                    <w:bCs/>
                    <w:color w:val="000000"/>
                    <w:sz w:val="22"/>
                    <w:szCs w:val="22"/>
                    <w:lang w:eastAsia="ar-SA"/>
                  </w:rPr>
                </w:pPr>
                <w:r>
                  <w:rPr>
                    <w:b/>
                    <w:color w:val="000000"/>
                    <w:sz w:val="22"/>
                    <w:szCs w:val="22"/>
                    <w:lang w:eastAsia="ar-SA"/>
                  </w:rPr>
                  <w:t>Energetikos įstatymas</w:t>
                </w:r>
              </w:p>
              <w:p>
                <w:pPr>
                  <w:ind w:firstLine="17"/>
                  <w:jc w:val="both"/>
                  <w:rPr>
                    <w:b/>
                    <w:bCs/>
                    <w:color w:val="000000"/>
                    <w:sz w:val="22"/>
                    <w:szCs w:val="22"/>
                    <w:lang w:eastAsia="lt-LT"/>
                  </w:rPr>
                </w:pPr>
                <w:r>
                  <w:rPr>
                    <w:b/>
                    <w:bCs/>
                    <w:color w:val="000000"/>
                    <w:sz w:val="22"/>
                    <w:szCs w:val="22"/>
                    <w:lang w:eastAsia="lt-LT"/>
                  </w:rPr>
                  <w:t>24</w:t>
                </w:r>
                <w:r>
                  <w:rPr>
                    <w:b/>
                    <w:bCs/>
                    <w:color w:val="000000"/>
                    <w:sz w:val="22"/>
                    <w:szCs w:val="22"/>
                    <w:vertAlign w:val="superscript"/>
                    <w:lang w:eastAsia="lt-LT"/>
                  </w:rPr>
                  <w:t>1</w:t>
                </w:r>
                <w:r>
                  <w:rPr>
                    <w:b/>
                    <w:bCs/>
                    <w:color w:val="000000"/>
                    <w:sz w:val="22"/>
                    <w:szCs w:val="22"/>
                    <w:lang w:eastAsia="lt-LT"/>
                  </w:rPr>
                  <w:t> straipsnis. Energetikos įmonių reguliuojamosios veiklos patikrinimai</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Tarybos įgalioti Tarybos administracijos valstybės tarnautojai ir darbuotojai, dirbantys pagal darbo sutartis, užtikrindami jiems pavestų uždavinių ir funkcijų vykdymą atliekant patikrinimus, turi šias teises, kurias įgyvendina Tarybos vardu:</w:t>
                </w:r>
              </w:p>
              <w:p>
                <w:pPr>
                  <w:ind w:firstLine="17"/>
                  <w:jc w:val="both"/>
                  <w:rPr>
                    <w:color w:val="000000"/>
                    <w:sz w:val="22"/>
                    <w:szCs w:val="22"/>
                    <w:lang w:eastAsia="lt-LT"/>
                  </w:rPr>
                </w:pPr>
                <w:r>
                  <w:rPr>
                    <w:color w:val="000000"/>
                    <w:sz w:val="22"/>
                    <w:szCs w:val="22"/>
                    <w:lang w:eastAsia="lt-LT"/>
                  </w:rPr>
                  <w:t>1) nekliudomai įeiti į energetikos įmonių ir kitų juridinių asmenų naudojamas patalpas ar teritoriją ir atlikti patikrinimo veiksmus juridinių asmenų darbo metu, o ne darbo laiku – jeigu yra pagrįstų įtarimų, kad pažeidžiami įstatymai, dalyvaujant juridinio asmens atstovui, patalpų, teritorijos savininkui ar jo įgaliotam atstovui. Į kitų juridinių asmenų naudojamas patalpas ar teritoriją Tarybos įgalioti Tarybos administracijos valstybės tarnautojai ir darbuotojai, dirbantys pagal darbo sutartis, gali patekti tik pateikę teismo išduotą leidimą arba gavę juridinio asmens sutikimą;</w:t>
                </w:r>
              </w:p>
              <w:p>
                <w:pPr>
                  <w:ind w:firstLine="17"/>
                  <w:jc w:val="both"/>
                  <w:rPr>
                    <w:color w:val="000000"/>
                    <w:sz w:val="22"/>
                    <w:szCs w:val="22"/>
                    <w:lang w:eastAsia="lt-LT"/>
                  </w:rPr>
                </w:pPr>
                <w:r>
                  <w:rPr>
                    <w:color w:val="000000"/>
                    <w:sz w:val="22"/>
                    <w:szCs w:val="22"/>
                    <w:lang w:eastAsia="lt-LT"/>
                  </w:rPr>
                  <w:t>2) užfiksuoti faktines aplinkybes;</w:t>
                </w:r>
              </w:p>
              <w:p>
                <w:pPr>
                  <w:ind w:firstLine="17"/>
                  <w:jc w:val="both"/>
                  <w:rPr>
                    <w:color w:val="000000"/>
                    <w:sz w:val="22"/>
                    <w:szCs w:val="22"/>
                    <w:lang w:eastAsia="lt-LT"/>
                  </w:rPr>
                </w:pPr>
                <w:r>
                  <w:rPr>
                    <w:color w:val="000000"/>
                    <w:sz w:val="22"/>
                    <w:szCs w:val="22"/>
                    <w:lang w:eastAsia="lt-LT"/>
                  </w:rPr>
                  <w:t>3) patikrinimo metu naudoti technines priemones;</w:t>
                </w:r>
              </w:p>
              <w:p>
                <w:pPr>
                  <w:ind w:firstLine="17"/>
                  <w:jc w:val="both"/>
                  <w:rPr>
                    <w:color w:val="000000"/>
                    <w:sz w:val="22"/>
                    <w:szCs w:val="22"/>
                    <w:lang w:eastAsia="lt-LT"/>
                  </w:rPr>
                </w:pPr>
                <w:r>
                  <w:rPr>
                    <w:color w:val="000000"/>
                    <w:sz w:val="22"/>
                    <w:szCs w:val="22"/>
                    <w:lang w:eastAsia="lt-LT"/>
                  </w:rPr>
                  <w:t>4) pasitelkti šio straipsnio 1 dalies 5 ir 6 punktuose nurodytus asmenis patikrinimo veiksmams atlikti;</w:t>
                </w:r>
              </w:p>
              <w:p>
                <w:pPr>
                  <w:ind w:firstLine="17"/>
                  <w:jc w:val="both"/>
                  <w:rPr>
                    <w:color w:val="000000"/>
                    <w:sz w:val="22"/>
                    <w:szCs w:val="22"/>
                    <w:lang w:eastAsia="lt-LT"/>
                  </w:rPr>
                </w:pPr>
                <w:r>
                  <w:rPr>
                    <w:color w:val="000000"/>
                    <w:sz w:val="22"/>
                    <w:szCs w:val="22"/>
                    <w:lang w:eastAsia="lt-LT"/>
                  </w:rPr>
                  <w:t>5) tikrinti asmenų tapatybę patvirtinančius dokumentus;</w:t>
                </w:r>
              </w:p>
              <w:p>
                <w:pPr>
                  <w:ind w:firstLine="17"/>
                  <w:jc w:val="both"/>
                  <w:rPr>
                    <w:color w:val="000000"/>
                    <w:sz w:val="22"/>
                    <w:szCs w:val="22"/>
                    <w:lang w:eastAsia="lt-LT"/>
                  </w:rPr>
                </w:pPr>
                <w:r>
                  <w:rPr>
                    <w:color w:val="000000"/>
                    <w:sz w:val="22"/>
                    <w:szCs w:val="22"/>
                    <w:lang w:eastAsia="lt-LT"/>
                  </w:rPr>
                  <w:t>6) savo funkcijoms atlikti teisės aktų nustatyta tvarka pasitelkti teisėsaugos institucijas.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Valstybės narės užtikrina, kad reguliavimo institucijoms būtų suteikti įgaliojimai, kuriais naudodamosi jos galėtų efektyviai ir operatyviai vykdyti 1, 3 ir 6 dalyse nurodytas pareigas. Šiuo tikslu reguliavimo institucija turi bent šiuos įgaliojimus: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tabs>
                    <w:tab w:val="left" w:pos="4420"/>
                  </w:tabs>
                  <w:jc w:val="both"/>
                  <w:rPr>
                    <w:color w:val="000000"/>
                    <w:sz w:val="22"/>
                    <w:szCs w:val="22"/>
                    <w:lang w:eastAsia="lt-LT"/>
                  </w:rPr>
                </w:pPr>
                <w:r>
                  <w:rPr>
                    <w:color w:val="000000"/>
                    <w:sz w:val="22"/>
                    <w:szCs w:val="22"/>
                    <w:lang w:eastAsia="lt-LT"/>
                  </w:rPr>
                  <w:t xml:space="preserve">a) priimti privalomus sprendimus dėl gamtinių dujų ir vandenilio įmonių; </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1) priimti vandenilio įmonėms privalomus sprendimus; </w:t>
                </w:r>
              </w:p>
              <w:p>
                <w:pPr>
                  <w:ind w:firstLine="32"/>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jc w:val="both"/>
                  <w:rPr>
                    <w:color w:val="000000"/>
                    <w:sz w:val="22"/>
                    <w:szCs w:val="22"/>
                    <w:lang w:val="lt" w:eastAsia="lt-LT"/>
                  </w:rPr>
                </w:pPr>
                <w:r>
                  <w:rPr>
                    <w:color w:val="000000"/>
                    <w:sz w:val="22"/>
                    <w:szCs w:val="22"/>
                    <w:lang w:val="lt" w:eastAsia="lt-LT"/>
                  </w:rPr>
                  <w:t>1) priimti gamtinių dujų įmonėms privalomus vykdyti sprendimus;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atlikti gamtinių dujų ir vandenilio rinkų veikimo tyrimą ir nuspręsti, kokių reikia imtis būtinų ir proporcingų priemonių veiksmingai konkurencijai skatinti bei tinkamam gamtinių dujų ir vandenilio rinkų veikimui užtikrinti, bei nustatyti šias priemones ir, kai tinkama, bendradarbiauti su nacionaline konkurencijos institucija ir finansų rinkos reguliavimo institucijomis arba Komisija atliekant su konkurencijos teise susijusį tyrimą;</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8 straipsnis. Tarybos teisės ir įgaliojimai vandenilio sektoriuje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1. Taryba, siekdama šio įstatymo tikslų ir atlikdama šiame įstatyme jai nustatytas funkcijas, turi teisę: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2) atlikti vandenilio rinkų veikimo tyrimą ir nuspręsti, kokių reikia imtis būtinų ir proporcingų priemonių veiksmingai konkurencijai skatinti bei tinkamam vandenilio rinkų veikimui užtikrinti, bei nustatyti šias priemones ir esant poreikiui, bendradarbiauti su Konkurencijos taryba ir kitomis priežiūros institucijomis;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720"/>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reikalauti informacijos iš gamtinių dujų ir vandenilio įmonių, jei ta informacija reikalinga institucijos užduotims įvykdyti, įskaitant atsisakymo trečiosioms šalims suteikti prieigą pagrindimą ir visą informaciją apie priemones, būtinas tinklui sustiprinti;</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316"/>
                  </w:tabs>
                  <w:ind w:left="174" w:hanging="142"/>
                  <w:jc w:val="both"/>
                  <w:rPr>
                    <w:b/>
                    <w:bCs/>
                    <w:color w:val="000000"/>
                    <w:sz w:val="22"/>
                    <w:szCs w:val="22"/>
                    <w:lang w:eastAsia="lt-LT"/>
                  </w:rPr>
                </w:pPr>
                <w:r>
                  <w:rPr>
                    <w:b/>
                    <w:bCs/>
                    <w:color w:val="000000"/>
                    <w:sz w:val="22"/>
                    <w:szCs w:val="22"/>
                    <w:lang w:eastAsia="lt-LT"/>
                  </w:rPr>
                  <w:t>1.</w:t>
                  <w:tab/>
                  <w:t>Taryba, siekdama šio įstatymo tikslų ir atlikdama šiame įstatyme jai nustatytas funkcijas, turi teisę: </w:t>
                </w:r>
              </w:p>
              <w:p>
                <w:pPr>
                  <w:tabs>
                    <w:tab w:val="left" w:pos="316"/>
                  </w:tabs>
                  <w:ind w:left="174" w:hanging="142"/>
                  <w:jc w:val="both"/>
                  <w:rPr>
                    <w:b/>
                    <w:bCs/>
                    <w:color w:val="000000"/>
                    <w:sz w:val="22"/>
                    <w:szCs w:val="22"/>
                    <w:lang w:eastAsia="lt-LT"/>
                  </w:rPr>
                </w:pPr>
                <w:r>
                  <w:rPr>
                    <w:b/>
                    <w:bCs/>
                    <w:color w:val="000000"/>
                    <w:sz w:val="22"/>
                    <w:szCs w:val="22"/>
                    <w:lang w:eastAsia="lt-LT"/>
                  </w:rPr>
                  <w:t>&lt;...&gt;</w:t>
                </w:r>
              </w:p>
              <w:p>
                <w:pPr>
                  <w:ind w:left="174" w:hanging="142"/>
                  <w:jc w:val="both"/>
                  <w:rPr>
                    <w:b/>
                    <w:bCs/>
                    <w:color w:val="000000"/>
                    <w:sz w:val="22"/>
                    <w:szCs w:val="22"/>
                    <w:lang w:eastAsia="lt-LT"/>
                  </w:rPr>
                </w:pPr>
                <w:r>
                  <w:rPr>
                    <w:b/>
                    <w:bCs/>
                    <w:color w:val="000000"/>
                    <w:sz w:val="22"/>
                    <w:szCs w:val="22"/>
                    <w:lang w:eastAsia="lt-LT"/>
                  </w:rPr>
                  <w:t>3) susipažinti su vandenilio įmonių sudaromomis sutartimis, susijusiomis su reguliuojamomis veiklomis, ir pareikalauti, kad vandenilio įmonės patikslintų tokias sutartis, kad jos atitiktų šio įstatymo ir kitų teisės aktų nustatytus reikalavimus; </w:t>
                </w:r>
              </w:p>
              <w:p>
                <w:pPr>
                  <w:tabs>
                    <w:tab w:val="left" w:pos="10076"/>
                    <w:tab w:val="left" w:pos="10992"/>
                    <w:tab w:val="left" w:pos="11908"/>
                    <w:tab w:val="left" w:pos="12824"/>
                    <w:tab w:val="left" w:pos="13740"/>
                    <w:tab w:val="left" w:pos="14656"/>
                  </w:tabs>
                  <w:ind w:left="174" w:hanging="142"/>
                  <w:jc w:val="both"/>
                  <w:rPr>
                    <w:b/>
                    <w:bCs/>
                    <w:color w:val="000000"/>
                    <w:sz w:val="22"/>
                    <w:szCs w:val="22"/>
                    <w:lang w:eastAsia="lt-LT"/>
                  </w:rPr>
                </w:pPr>
                <w:r>
                  <w:rPr>
                    <w:b/>
                    <w:bCs/>
                    <w:color w:val="000000"/>
                    <w:sz w:val="22"/>
                    <w:szCs w:val="22"/>
                    <w:lang w:eastAsia="lt-LT"/>
                  </w:rPr>
                  <w:t>4) reikalauti iš vandenilio įmonių informacijos, kuri reikalinga šiame įstatyme nustatytoms Tarybos funkcijoms atlikti, įskaitant atsisakymo trečiosioms šalims suteikti prieigą pagrindimą, ir nustatyti vandenilio įmonių jai teikiamos informacijos ir teikiamų derinti dokumentų pateikimo protingus terminus;</w:t>
                </w:r>
              </w:p>
              <w:p>
                <w:pPr>
                  <w:ind w:firstLine="720"/>
                  <w:jc w:val="both"/>
                  <w:rPr>
                    <w:b/>
                    <w:bCs/>
                    <w:color w:val="000000"/>
                    <w:sz w:val="22"/>
                    <w:szCs w:val="22"/>
                    <w:lang w:eastAsia="lt-LT"/>
                  </w:rPr>
                </w:pPr>
              </w:p>
              <w:p>
                <w:pPr>
                  <w:ind w:firstLine="720"/>
                  <w:jc w:val="both"/>
                  <w:rPr>
                    <w:b/>
                    <w:color w:val="000000"/>
                    <w:sz w:val="22"/>
                    <w:szCs w:val="22"/>
                    <w:lang w:eastAsia="lt-LT"/>
                  </w:rPr>
                </w:pPr>
                <w:r>
                  <w:rPr>
                    <w:b/>
                    <w:color w:val="000000"/>
                    <w:sz w:val="22"/>
                    <w:szCs w:val="22"/>
                    <w:lang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color w:val="000000"/>
                    <w:sz w:val="22"/>
                    <w:szCs w:val="22"/>
                    <w:lang w:val="lt" w:eastAsia="lt-LT"/>
                  </w:rPr>
                </w:pPr>
                <w:r>
                  <w:rPr>
                    <w:b/>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pagal šią direktyvą arba bet kokį atitinkamą teisiškai privalomą reguliavimo institucijos ar ACER sprendimą nustatytų pareigų nevykdančioms gamtinių dujų ir vandenilio įmonėms skirti veiksmingas, proporcingas ir atgrasančias sankcijas arba pasiūlyti kompetentingam teismui skirti tokias sankcijas, įskaitant įgaliojimą atitinkamai perdavimo sistemos operatoriui arba vandenilio tinklo operatoriui skirti arba siūlyti skirti jam sankcijas, kurios sudaro iki 10 % metinės perdavimo sistemos operatoriaus arba vandenilio tinklo operatoriaus apyvartos, arba vertikaliai integruotai įmonei skirti arba siūlyti skirti jai sankcijas, kurios sudaro iki 10 % metinės vertikaliai integruotos įmonės apyvartos, tuo atveju, kai jie nesilaiko atitinkamų pareigų pagal šią direktyvą;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17"/>
                  <w:jc w:val="both"/>
                  <w:rPr>
                    <w:b/>
                    <w:color w:val="000000"/>
                    <w:sz w:val="22"/>
                    <w:szCs w:val="22"/>
                    <w:lang w:eastAsia="lt-LT"/>
                  </w:rPr>
                </w:pPr>
                <w:r>
                  <w:rPr>
                    <w:b/>
                    <w:bCs/>
                    <w:color w:val="000000"/>
                    <w:sz w:val="22"/>
                    <w:szCs w:val="22"/>
                    <w:lang w:eastAsia="lt-LT"/>
                  </w:rPr>
                  <w:t>8 straipsnis. Tarybos teisės ir įgaliojimai vandenilio sektoriuje</w:t>
                </w:r>
                <w:r>
                  <w:rPr>
                    <w:b/>
                    <w:color w:val="000000"/>
                    <w:sz w:val="22"/>
                    <w:szCs w:val="22"/>
                    <w:lang w:eastAsia="lt-LT"/>
                  </w:rPr>
                  <w:t> </w:t>
                </w:r>
              </w:p>
              <w:p>
                <w:pPr>
                  <w:tabs>
                    <w:tab w:val="left" w:pos="457"/>
                  </w:tabs>
                  <w:ind w:left="32"/>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ind w:left="37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 xml:space="preserve">8 straipsnis.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19) skiria šio įstatymo 36 straipsnyje nustatytas sankcijas;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36 straipsnis. Sankcijos ir jų taikymo tvarka</w:t>
                </w:r>
              </w:p>
              <w:p>
                <w:pPr>
                  <w:ind w:firstLine="17"/>
                  <w:jc w:val="both"/>
                  <w:rPr>
                    <w:color w:val="000000"/>
                    <w:sz w:val="22"/>
                    <w:szCs w:val="22"/>
                    <w:lang w:eastAsia="lt-LT"/>
                  </w:rPr>
                </w:pPr>
                <w:r>
                  <w:rPr>
                    <w:color w:val="000000"/>
                    <w:sz w:val="22"/>
                    <w:szCs w:val="22"/>
                    <w:lang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pažeidimas;&lt;...&gt;</w:t>
                </w:r>
              </w:p>
              <w:p>
                <w:pPr>
                  <w:ind w:firstLine="17"/>
                  <w:jc w:val="both"/>
                  <w:rPr>
                    <w:color w:val="000000"/>
                    <w:sz w:val="22"/>
                    <w:szCs w:val="22"/>
                    <w:lang w:eastAsia="lt-LT"/>
                  </w:rPr>
                </w:pPr>
                <w:r>
                  <w:rPr>
                    <w:color w:val="000000"/>
                    <w:sz w:val="22"/>
                    <w:szCs w:val="22"/>
                    <w:lang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ind w:firstLine="17"/>
                  <w:jc w:val="both"/>
                  <w:rPr>
                    <w:color w:val="000000"/>
                    <w:sz w:val="22"/>
                    <w:szCs w:val="22"/>
                    <w:lang w:eastAsia="lt-LT"/>
                  </w:rPr>
                </w:pPr>
                <w:r>
                  <w:rPr>
                    <w:color w:val="000000"/>
                    <w:sz w:val="22"/>
                    <w:szCs w:val="22"/>
                    <w:lang w:eastAsia="lt-LT"/>
                  </w:rPr>
                  <w:t>5) už Lietuvos Respublikos šilumos ūkio įstatyme nustatytų pastato šildymo ir karšto vandens sistemų prižiūrėtojo (eksploatuotojo) veiklos reikalavimų nesilaikymą – iki 10 procentų pastato šildymo ir karšto vandens sistemų prižiūrėtojo (eksploatuotojo) metinių pajamų dydžio, gautų praėjusiais finansiniais metais.</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p>
              <w:p>
                <w:pPr>
                  <w:ind w:left="32"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left="32" w:firstLine="17"/>
                  <w:jc w:val="both"/>
                  <w:rPr>
                    <w:b/>
                    <w:bCs/>
                    <w:color w:val="000000"/>
                    <w:sz w:val="22"/>
                    <w:szCs w:val="22"/>
                    <w:lang w:eastAsia="lt-LT"/>
                  </w:rPr>
                </w:pPr>
                <w:r>
                  <w:rPr>
                    <w:b/>
                    <w:bCs/>
                    <w:color w:val="000000"/>
                    <w:sz w:val="22"/>
                    <w:szCs w:val="22"/>
                    <w:lang w:eastAsia="lt-LT"/>
                  </w:rPr>
                  <w:t>&lt;...&gt;</w:t>
                </w:r>
              </w:p>
              <w:p>
                <w:pPr>
                  <w:tabs>
                    <w:tab w:val="left" w:pos="316"/>
                  </w:tabs>
                  <w:ind w:left="32" w:firstLine="17"/>
                  <w:jc w:val="both"/>
                  <w:rPr>
                    <w:color w:val="000000"/>
                    <w:sz w:val="22"/>
                    <w:szCs w:val="22"/>
                    <w:lang w:eastAsia="lt-LT"/>
                  </w:rPr>
                </w:pPr>
                <w:r>
                  <w:rPr>
                    <w:color w:val="000000"/>
                    <w:sz w:val="22"/>
                    <w:szCs w:val="22"/>
                    <w:lang w:eastAsia="lt-LT"/>
                  </w:rPr>
                  <w:t>2.</w:t>
                  <w:tab/>
                  <w:t>Taryba, įgyvendindama jai pavestas funkcijas, turi pareigą:</w:t>
                </w:r>
              </w:p>
              <w:p>
                <w:pPr>
                  <w:ind w:left="32" w:firstLine="17"/>
                  <w:jc w:val="both"/>
                  <w:rPr>
                    <w:color w:val="000000"/>
                    <w:sz w:val="22"/>
                    <w:szCs w:val="22"/>
                    <w:lang w:eastAsia="lt-LT"/>
                  </w:rPr>
                </w:pPr>
                <w:r>
                  <w:rPr>
                    <w:color w:val="000000"/>
                    <w:sz w:val="22"/>
                    <w:szCs w:val="22"/>
                    <w:lang w:eastAsia="lt-LT"/>
                  </w:rPr>
                  <w:t>&lt;...&gt;</w:t>
                </w:r>
              </w:p>
              <w:p>
                <w:pPr>
                  <w:ind w:left="32" w:firstLine="17"/>
                  <w:jc w:val="both"/>
                  <w:rPr>
                    <w:color w:val="000000"/>
                    <w:sz w:val="22"/>
                    <w:szCs w:val="22"/>
                    <w:lang w:eastAsia="lt-LT"/>
                  </w:rPr>
                </w:pPr>
                <w:r>
                  <w:rPr>
                    <w:color w:val="000000"/>
                    <w:sz w:val="22"/>
                    <w:szCs w:val="22"/>
                    <w:lang w:eastAsia="lt-LT"/>
                  </w:rPr>
                  <w:t>19) šio įstatymo, kitų Lietuvos Respublikos teisės aktų, Europos Sąjungos teisės aktų reikalavimų ir Tarybos ar kompetentingos Europos Sąjungos institucijos nurodymų nevykdančioms gamtinių dujų įmonėms skirti šiame įstatyme, Energetikos įstatyme ir kituose teisės aktuose nustatytas veiksmingas, proporcingas ir atgrasančias sankcijas ir inicijuoti atsakingų asmenų patraukimą administracinėn ar baudžiamojon atsakomybėn.</w:t>
                </w:r>
              </w:p>
              <w:p>
                <w:pPr>
                  <w:ind w:left="32" w:firstLine="17"/>
                  <w:jc w:val="both"/>
                  <w:rPr>
                    <w:b/>
                    <w:bCs/>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tinkamas teises atlikti tyrimus ir reikiamus įgaliojimus rengti nurodymus, kaip spręsti ginčus vadovaujantis 11 ir 12 dalimis.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 xml:space="preserve">Pastaba. Pažymėtina, kad Direktyvos 78 straipsnyje nėra 11 ir 12 dalių, todėl nėra galimybės spręsti, ar nuostatos atitinka jų reikalavimus. Tačiau Taryba turi įgaliojimus tyrimų atlikimo ir ginčų sprendimo srityje, kurie detalizuojami žemiau. </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8 straipsnis. Tarybos teisės ir įgaliojimai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color w:val="000000"/>
                    <w:sz w:val="22"/>
                    <w:szCs w:val="22"/>
                    <w:lang w:eastAsia="lt-LT"/>
                  </w:rPr>
                  <w:t>5</w:t>
                </w:r>
                <w:r>
                  <w:rPr>
                    <w:b/>
                    <w:bCs/>
                    <w:color w:val="000000"/>
                    <w:sz w:val="22"/>
                    <w:szCs w:val="22"/>
                    <w:lang w:eastAsia="lt-LT"/>
                  </w:rPr>
                  <w:t>)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Energetikos įstatymas</w:t>
                </w:r>
              </w:p>
              <w:p>
                <w:pPr>
                  <w:tabs>
                    <w:tab w:val="left" w:pos="993"/>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36 straipsnis. Sankcijos ir jų taikymo tvarka</w:t>
                </w:r>
              </w:p>
              <w:p>
                <w:pPr>
                  <w:ind w:firstLine="720"/>
                  <w:jc w:val="both"/>
                  <w:rPr>
                    <w:color w:val="000000"/>
                    <w:sz w:val="22"/>
                    <w:szCs w:val="22"/>
                    <w:lang w:val="lt" w:eastAsia="lt-LT"/>
                  </w:rPr>
                </w:pPr>
                <w:r>
                  <w:rPr>
                    <w:color w:val="000000"/>
                    <w:sz w:val="22"/>
                    <w:szCs w:val="22"/>
                    <w:lang w:val="lt"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720"/>
                  <w:jc w:val="both"/>
                  <w:rPr>
                    <w:color w:val="000000"/>
                    <w:sz w:val="22"/>
                    <w:szCs w:val="22"/>
                    <w:lang w:val="lt" w:eastAsia="lt-LT"/>
                  </w:rPr>
                </w:pPr>
                <w:r>
                  <w:rPr>
                    <w:color w:val="000000"/>
                    <w:sz w:val="22"/>
                    <w:szCs w:val="22"/>
                    <w:lang w:val="lt" w:eastAsia="lt-LT"/>
                  </w:rPr>
                  <w:t>1) už viešai privalomos skelbti informacijos apie energetikos įmonės reguliuojamąją veiklą nepaskelbimą, už teisės aktuose nustatytos informacijos nepateikimą šio įstatymo 25 straipsnio 1 dalyje nurodytiems asmenims, taip pat už neteisingos ar ne visos informacijos pateikimą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3) už veiklos saugumo ir patikimumo bei vartotojų nediskriminavimo principų pažeidimą, išskyrus šio straipsnio 2 dalyje nurodytus atvejus, už reguliuojamosios veiklos sąlygų pakartotinį pažeidimą per kalendorinius metus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jc w:val="both"/>
                  <w:rPr>
                    <w:color w:val="000000"/>
                    <w:sz w:val="22"/>
                    <w:szCs w:val="22"/>
                    <w:lang w:eastAsia="lt-LT"/>
                  </w:rPr>
                </w:pPr>
                <w:r>
                  <w:rPr>
                    <w:b/>
                    <w:bCs/>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Reguliavimo institucija, esanti valstybėje narėje, kurioje yra ENTSO-G, ENNOH arba ES SSO subjekto būstinė, turi įgaliojimus skirti veiksmingas, proporcingas ir atgrasomas sankcijas tiems subjektams, jei jie nevykdo savo pareigų pagal šią direktyvą,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arba bet kurį aktualų teisiškai privalomą reguliavimo institucijos arba ACER sprendimą, arba pasiūlyti kompetentingam teismui skirti tokias sankcijas.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pagal IX skyriaus 3 skirsnį paskiriamas nepriklausomas perdavimo operatorius arba integruotas vandenilio perdavimo tinklo operatorius, be vadovaujantis šio straipsnio 1 ir 4 dalimis jai pavestų pareigų ir įgaliojimų, reguliavimo institucijai skiriamos bent šios pareigos ir suteikiami bent šie įgaliojimai:</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skirti sankcijas vadovaujantis 4 dalies d punktu už diskriminacinį elgesį vertikaliai integruotos įmonės naudai;</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stebėti perdavimo sistemos operatoriaus arba integruoto vandenilio perdavimo tinklo operatoriaus ir vertikaliai integruotos įmonės ryšius, siekiant užtikrinti, kad perdavimo sistemos operatorius arba integruotas vandenilio perdavimo tinklo operatorius vykdytų savo pareigas;</w:t>
                </w:r>
              </w:p>
            </w:tc>
            <w:tc>
              <w:tcPr>
                <w:tcW w:w="9297" w:type="dxa"/>
                <w:vAlign w:val="center"/>
              </w:tcPr>
              <w:p>
                <w:pPr>
                  <w:ind w:firstLine="17"/>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vykdyti vertikaliai integruotos įmonės ir perdavimo sistemos operatoriaus arba integruoto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stebėti vertikaliai integruotos įmonės ir perdavimo sistemos operatoriaus arba integruoto vandenilio perdavimo tinklo operatoriaus komercinius ir finansinius ryšius, įskaitant paskolas;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tvirtinti visus vertikaliai integruotos įmonės ir perdavimo sistemos operatoriaus arba integruoto vandenilio perdavimo tinklo operatoriaus komercinius ir finansinius susitarimus su sąlyga, kad jie atitinka rinkos sąlygas;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 gavus pranešimą iš už atitikties programos priežiūrą atsakingo pareigūno pagal 67 straipsnio 4 dalį, reikalauti iš vertikaliai integruotos įmonės pateisinančių įrodymų, visų pirma įrodymų apie tai, kad nebuvo jokio diskriminacinio elgesio, kuris buvo naudingas vertikaliai integruotai įmonei, atvejo;</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 atlikti patikrinimus, taip pat iš anksto apie juos nepranešus, vertikaliai integruotos įmonės ir perdavimo sistemos operatoriaus arba integruoto vandenilio perdavimo tinklo operatoriaus patalpose;</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 paskirti visas arba tam tikras perdavimo sistemos operatoriaus arba integruoto vandenilio perdavimo tinklo operatoriaus užduotis pagal 68 straipsnį paskirtam nepriklausomam sistemos operatoriui arba nepriklausomam vandenilio perdavimo tinklo operatoriui, jei perdavimo sistemos operatorius arba integruotas vandenilio tinklo operatorius nuolat nesilaiko savo pareigų pagal šią direktyvą, visų pirma dažno diskriminacinio elgesio vertikaliai integruotos įmonės naudai atveju.</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institucijos atsako už tai, kad likus pakankamai laiko iki jų įsigaliojimo būtų nustatytos ar patvirtintos bent tos metodikos, pagal kurias apskaičiuojamos ar nustatomos sąlygos, susijusios su: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firstLine="17"/>
                  <w:jc w:val="both"/>
                  <w:rPr>
                    <w:b/>
                    <w:bCs/>
                    <w:color w:val="000000"/>
                    <w:sz w:val="22"/>
                    <w:szCs w:val="22"/>
                    <w:lang w:eastAsia="lt-LT"/>
                  </w:rPr>
                </w:pPr>
                <w:r>
                  <w:rPr>
                    <w:b/>
                    <w:bCs/>
                    <w:color w:val="000000"/>
                    <w:sz w:val="22"/>
                    <w:szCs w:val="22"/>
                    <w:lang w:eastAsia="lt-LT"/>
                  </w:rPr>
                  <w:t xml:space="preserve">3) </w:t>
                </w:r>
                <w:r>
                  <w:rPr>
                    <w:b/>
                    <w:bCs/>
                    <w:sz w:val="22"/>
                    <w:szCs w:val="22"/>
                    <w:lang w:eastAsia="lt-LT"/>
                  </w:rPr>
                  <w:t>nustato vandenilio perdavimo, skirstymo ir saugojimo vandenilio saugyklose paslaugų pajamų viršutines ribas ir tvirtina jų skaičiavimo metodikas;</w:t>
                </w:r>
              </w:p>
              <w:p>
                <w:pPr>
                  <w:tabs>
                    <w:tab w:val="left" w:pos="993"/>
                    <w:tab w:val="left" w:pos="113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prijungimu ir prieiga prie nacionalinių gamtinių dujų tinklų, įskaitant perdavimo bei skirstymo tarifus, taip pat su sąlygomis ir tarifais, kuriais suteikiama prieiga prie SGD įrenginių, o taikant tarifus ar metodikas sudaromos galimybės būtinas investicijas į tinklus ir SGD įrenginius vykdyti tokiu būdu, kad tos investicijos užtikrintų tinklų ir SGD įrenginių perspektyvumą;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1) vadovaudamasi skaidrumo kriterijais, poreikiu didinti energijos vartojimo efektyvumą,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prijungimu ir prieiga prie nacionalinių vandenilio tinklų, įskaitant vandenilio tinklo tarifus, kai taikytina, ir su vandenilio saugyklų ir vandenilio terminalų prieigos sąlygomis ir tarifais;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left="108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3) nustato vandenilio perdavimo, skirstymo ir saugojimo vandenilio saugyklose paslaugų pajamų viršutines ribas ir tvirtina jų skaičiavimo metodikas;</w:t>
                </w:r>
              </w:p>
              <w:p>
                <w:pPr>
                  <w:ind w:firstLine="32"/>
                  <w:jc w:val="both"/>
                  <w:rPr>
                    <w:color w:val="000000"/>
                    <w:sz w:val="22"/>
                    <w:szCs w:val="22"/>
                    <w:lang w:eastAsia="lt-LT"/>
                  </w:rPr>
                </w:pPr>
                <w:r>
                  <w:rPr>
                    <w:color w:val="000000"/>
                    <w:sz w:val="22"/>
                    <w:szCs w:val="22"/>
                    <w:lang w:eastAsia="lt-LT"/>
                  </w:rPr>
                  <w:t>&lt;...&gt; </w:t>
                </w:r>
              </w:p>
              <w:p>
                <w:pPr>
                  <w:ind w:firstLine="32"/>
                  <w:jc w:val="both"/>
                  <w:rPr>
                    <w:color w:val="000000"/>
                    <w:sz w:val="22"/>
                    <w:szCs w:val="22"/>
                    <w:u w:val="single"/>
                    <w:lang w:eastAsia="lt-LT"/>
                  </w:rPr>
                </w:pPr>
                <w:r>
                  <w:rPr>
                    <w:color w:val="000000"/>
                    <w:sz w:val="22"/>
                    <w:szCs w:val="22"/>
                    <w:lang w:eastAsia="lt-LT"/>
                  </w:rPr>
                  <w:t>5)</w:t>
                </w:r>
                <w:r>
                  <w:rPr>
                    <w:color w:val="000000"/>
                    <w:sz w:val="22"/>
                    <w:szCs w:val="22"/>
                    <w:u w:val="single"/>
                    <w:lang w:eastAsia="lt-LT"/>
                  </w:rPr>
                  <w:t xml:space="preserve"> </w:t>
                </w:r>
                <w:r>
                  <w:rPr>
                    <w:color w:val="000000"/>
                    <w:sz w:val="22"/>
                    <w:szCs w:val="22"/>
                    <w:lang w:eastAsia="lt-LT"/>
                  </w:rPr>
                  <w:t>tvirtina vandenilio perdavimo, skirstymo ir saugojimo vandenilio saugyklose paslaugų tarifus ir jų skaičiavimo metodiką, taip pat reglamentuoja ir prižiūri išlaidų paskirstymo per tam tikrą laikotarpį bei finansinio kompensavimo mechanizmus, kai jie taikomi;</w:t>
                </w:r>
              </w:p>
              <w:p>
                <w:pPr>
                  <w:ind w:firstLine="32"/>
                  <w:jc w:val="both"/>
                  <w:rPr>
                    <w:color w:val="000000"/>
                    <w:sz w:val="22"/>
                    <w:szCs w:val="22"/>
                    <w:lang w:eastAsia="lt-LT"/>
                  </w:rPr>
                </w:pPr>
                <w:r>
                  <w:rPr>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 xml:space="preserve">8)  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9) tvirtina vandenilio perdavimo ir skirstymo tinklų operatorių parengtas prijungimo prie vandenilio tinklų tvarkas ir sąlygas; </w:t>
                </w:r>
              </w:p>
              <w:p>
                <w:pPr>
                  <w:ind w:firstLine="32"/>
                  <w:jc w:val="both"/>
                  <w:rPr>
                    <w:color w:val="000000"/>
                    <w:sz w:val="22"/>
                    <w:szCs w:val="22"/>
                    <w:lang w:eastAsia="lt-LT"/>
                  </w:rPr>
                </w:pPr>
                <w:r>
                  <w:rPr>
                    <w:color w:val="000000"/>
                    <w:sz w:val="22"/>
                    <w:szCs w:val="22"/>
                    <w:lang w:eastAsia="lt-LT"/>
                  </w:rPr>
                  <w:t>&lt;...&gt;</w:t>
                </w:r>
              </w:p>
              <w:p>
                <w:pPr>
                  <w:ind w:firstLine="32"/>
                  <w:jc w:val="both"/>
                  <w:rPr>
                    <w:color w:val="000000"/>
                    <w:sz w:val="22"/>
                    <w:szCs w:val="22"/>
                    <w:lang w:eastAsia="lt-LT"/>
                  </w:rPr>
                </w:pPr>
              </w:p>
              <w:p>
                <w:pPr>
                  <w:ind w:firstLine="17"/>
                  <w:jc w:val="both"/>
                  <w:rPr>
                    <w:b/>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balansavimo paslaugų teikimu, kuris turi būti atliekamas pačiu ekonomiškiausiu būdu, siekiant suteikti atitinkamų paskatų tinklo naudotojams siekti dujų sunaudojimo ir realizavimo pusiausvyros sąžiningai ir nediskriminuojančiai, ir turi būti grindžiamas objektyviais kriterijais;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17) derina vandenilio perdavimo tinklo operatoriaus parengtas vandenilio tinklo balansavimo taisykles;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15) patvirtinti balansavimo taisykles, jeigu sistemų operatorių parengti taisyklių projektai neatitinka šio įstatymo ir kitų teisės aktų reikalavimų;</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priskirtųjų mokesčių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straipsnį tvirtinimu ir stebėsena;</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6.Taryba:</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prieiga prie tarpvalstybinių infrastruktūrų, įskaitant pajėgumo paskirstymo ir perkrovos valdymo procedūras.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457"/>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6.</w:t>
                  <w:tab/>
                  <w:t>Taryba:</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7) stebi vandenilio perdavimo tinklų perkrovos valdymą, įskaitant ir vandenilio jungtis, ir perkrovos valdymo taisyklių įgyvendinimą; </w:t>
                </w:r>
              </w:p>
              <w:p>
                <w:pPr>
                  <w:tabs>
                    <w:tab w:val="left" w:pos="10992"/>
                    <w:tab w:val="left" w:pos="11908"/>
                    <w:tab w:val="left" w:pos="12824"/>
                    <w:tab w:val="left" w:pos="13740"/>
                    <w:tab w:val="left" w:pos="14656"/>
                  </w:tabs>
                  <w:ind w:left="32" w:hanging="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1.</w:t>
                  <w:tab/>
                  <w:t>Taryba gamtinių dujų sektoriuje, be kitų šiame įstatyme, Energetikos įstatyme ir kituose Lietuvos Respublikos įstatymuose nustatytų funkcijų, prižiūri:</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kaip laikomasi jungiamųjų vamzdynų valdymo ir jų pajėgumų skirstymo taisyklių;</w:t>
                </w:r>
              </w:p>
              <w:p>
                <w:pPr>
                  <w:ind w:firstLine="17"/>
                  <w:jc w:val="both"/>
                  <w:rPr>
                    <w:color w:val="000000"/>
                    <w:sz w:val="22"/>
                    <w:szCs w:val="22"/>
                    <w:lang w:eastAsia="lt-LT"/>
                  </w:rPr>
                </w:pPr>
                <w:r>
                  <w:rPr>
                    <w:color w:val="000000"/>
                    <w:sz w:val="22"/>
                    <w:szCs w:val="22"/>
                    <w:lang w:eastAsia="lt-LT"/>
                  </w:rPr>
                  <w:t>&lt;...&gt;</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left="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left="37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7 dalyje nurodytos metodikos arba sąlygos yra paskelbiamos.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Taryba prižiūri: </w:t>
                </w:r>
              </w:p>
              <w:p>
                <w:pPr>
                  <w:ind w:left="1353"/>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3)vandenilio tinklo operatorių skelbiamos informacijos apie sąlygas, suteikiančias teisę suinteresuotosioms šalims naudotis vandenilio sistemomis, išsamumą ir tinkamą pateikimą; </w:t>
                </w:r>
              </w:p>
              <w:p>
                <w:pPr>
                  <w:jc w:val="both"/>
                  <w:rPr>
                    <w:color w:val="000000"/>
                    <w:sz w:val="22"/>
                    <w:szCs w:val="22"/>
                    <w:lang w:eastAsia="lt-LT"/>
                  </w:rPr>
                </w:pPr>
                <w:r>
                  <w:rPr>
                    <w:color w:val="000000"/>
                    <w:sz w:val="22"/>
                    <w:szCs w:val="22"/>
                    <w:lang w:eastAsia="lt-LT"/>
                  </w:rPr>
                  <w:t xml:space="preserve">&lt;...&gt; </w:t>
                </w:r>
              </w:p>
              <w:p>
                <w:pPr>
                  <w:ind w:left="57"/>
                  <w:jc w:val="both"/>
                  <w:rPr>
                    <w:color w:val="000000"/>
                    <w:sz w:val="22"/>
                    <w:szCs w:val="22"/>
                    <w:lang w:eastAsia="lt-LT"/>
                  </w:rPr>
                </w:pPr>
                <w:r>
                  <w:rPr>
                    <w:b/>
                    <w:bCs/>
                    <w:color w:val="000000"/>
                    <w:sz w:val="22"/>
                    <w:szCs w:val="22"/>
                    <w:lang w:eastAsia="lt-LT"/>
                  </w:rPr>
                  <w:t>18 straipsnis. Vandenilio sistemų įrengimo, eksploatavimo, naudojimo, techninės saugos ir prijungimo reguliavimas. Techninių taisyklių rengimas ir skelbimas</w:t>
                </w:r>
                <w:r>
                  <w:rPr>
                    <w:color w:val="000000"/>
                    <w:sz w:val="22"/>
                    <w:szCs w:val="22"/>
                    <w:lang w:eastAsia="lt-LT"/>
                  </w:rPr>
                  <w:t> </w:t>
                </w:r>
              </w:p>
              <w:p>
                <w:pPr>
                  <w:jc w:val="both"/>
                  <w:rPr>
                    <w:b/>
                    <w:bCs/>
                    <w:color w:val="000000"/>
                    <w:sz w:val="22"/>
                    <w:szCs w:val="22"/>
                    <w:lang w:val="lt" w:eastAsia="lt-LT"/>
                  </w:rPr>
                </w:pPr>
                <w:r>
                  <w:rPr>
                    <w:color w:val="000000"/>
                    <w:sz w:val="22"/>
                    <w:szCs w:val="22"/>
                    <w:lang w:eastAsia="lt-LT"/>
                  </w:rPr>
                  <w:t xml:space="preserve">1. </w:t>
                </w:r>
                <w:r>
                  <w:rPr>
                    <w:b/>
                    <w:bCs/>
                    <w:color w:val="000000"/>
                    <w:sz w:val="22"/>
                    <w:szCs w:val="22"/>
                    <w:lang w:val="lt" w:eastAsia="lt-LT"/>
                  </w:rPr>
                  <w:t>Siekiant užtikrinti vandenilio sistemų</w:t>
                </w:r>
                <w:r>
                  <w:rPr>
                    <w:b/>
                    <w:bCs/>
                    <w:color w:val="000000"/>
                    <w:sz w:val="22"/>
                    <w:szCs w:val="22"/>
                    <w:lang w:eastAsia="lt-LT"/>
                  </w:rPr>
                  <w:t xml:space="preserve">, vandenilio gamyklų </w:t>
                </w:r>
                <w:r>
                  <w:rPr>
                    <w:b/>
                    <w:bCs/>
                    <w:color w:val="000000"/>
                    <w:sz w:val="22"/>
                    <w:szCs w:val="22"/>
                    <w:lang w:val="lt" w:eastAsia="lt-LT"/>
                  </w:rPr>
                  <w:t xml:space="preserve">ir jų technologinių priklausinių, vandenilio vartotojų ir jų technologinių priklausinių suderinamumą ir tiekimo saugumą: </w:t>
                </w:r>
              </w:p>
              <w:p>
                <w:pPr>
                  <w:jc w:val="both"/>
                  <w:rPr>
                    <w:b/>
                    <w:bCs/>
                    <w:color w:val="000000"/>
                    <w:sz w:val="22"/>
                    <w:szCs w:val="22"/>
                    <w:lang w:val="lt" w:eastAsia="lt-LT"/>
                  </w:rPr>
                </w:pPr>
                <w:r>
                  <w:rPr>
                    <w:b/>
                    <w:bCs/>
                    <w:color w:val="000000"/>
                    <w:sz w:val="22"/>
                    <w:szCs w:val="22"/>
                    <w:lang w:val="lt" w:eastAsia="lt-LT"/>
                  </w:rPr>
                  <w:t xml:space="preserve">1) vandenilio perdavimo tinklo operatorius parengia ir teikia Tarybai tvirtinti ir teisės aktų nustatyta tvarka skelbia objektyvias, skaidrias ir nediskriminacines technines taisykles, nustatančias vandenilio perdavimo tinklo įrengimo, eksploatavimo, techninės saugos, efektyvaus naudojimo ir kitus su tuo susijusius reikalavimus; </w:t>
                </w:r>
              </w:p>
              <w:p>
                <w:pPr>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jc w:val="both"/>
                  <w:rPr>
                    <w:b/>
                    <w:bCs/>
                    <w:color w:val="000000"/>
                    <w:lang w:val="lt" w:eastAsia="lt-LT"/>
                  </w:rPr>
                </w:pPr>
                <w:r>
                  <w:rPr>
                    <w:b/>
                    <w:bCs/>
                    <w:color w:val="000000"/>
                    <w:sz w:val="22"/>
                    <w:szCs w:val="22"/>
                    <w:lang w:val="lt" w:eastAsia="lt-LT"/>
                  </w:rPr>
                  <w:t xml:space="preserve">3) Taryba kartu su potencialiais vandenilio skirstymo sistemos operatoriais parengia  ir teisės aktų nustatyta tvarka skelbia objektyvias, skaidrias ir nediskriminacines technines taisykles, nustatančias vandenilio skirstymo tinklo įrengimo reikalavimus</w:t>
                </w:r>
                <w:r>
                  <w:rPr>
                    <w:b/>
                    <w:bCs/>
                    <w:color w:val="000000"/>
                    <w:lang w:val="lt" w:eastAsia="lt-LT"/>
                  </w:rPr>
                  <w:t xml:space="preserve">. </w:t>
                </w:r>
              </w:p>
              <w:p>
                <w:pPr>
                  <w:ind w:left="720"/>
                  <w:jc w:val="both"/>
                  <w:rPr>
                    <w:b/>
                    <w:bCs/>
                    <w:color w:val="000000"/>
                    <w:sz w:val="22"/>
                    <w:szCs w:val="22"/>
                    <w:lang w:val="lt" w:eastAsia="lt-LT"/>
                  </w:rPr>
                </w:pPr>
              </w:p>
              <w:p>
                <w:pPr>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both"/>
                  <w:rPr>
                    <w:b/>
                    <w:bCs/>
                    <w:color w:val="000000"/>
                    <w:sz w:val="22"/>
                    <w:szCs w:val="22"/>
                    <w:lang w:eastAsia="lt-LT"/>
                  </w:rPr>
                </w:pPr>
                <w:r>
                  <w:rPr>
                    <w:b/>
                    <w:bCs/>
                    <w:color w:val="000000"/>
                    <w:sz w:val="22"/>
                    <w:szCs w:val="22"/>
                    <w:lang w:eastAsia="lt-LT"/>
                  </w:rPr>
                  <w:t>3. Vandenilio gamyklos, vandenilio saugyklos, vandenilio laikymo įrenginio, vandenilio tinklų, vandenilio terminalo operatoriai, vandenilio degalinės ir vandenilio įrenginių savininkai yra atsakingi už tinkamos saugiai naudoti pagal paskirtį įrangos įsigijimą iš įrangos tiekėjų ar gamintojų bei įrangos techninės saugos užtikrinimą ir eksploatavimą pagal įrangos tiekėjo arba gamintojo nurodytus reikalavimus.</w:t>
                </w:r>
              </w:p>
              <w:p>
                <w:pPr>
                  <w:ind w:left="57"/>
                  <w:jc w:val="both"/>
                  <w:rPr>
                    <w:b/>
                    <w:bCs/>
                    <w:color w:val="000000"/>
                    <w:sz w:val="22"/>
                    <w:szCs w:val="22"/>
                    <w:lang w:eastAsia="lt-LT"/>
                  </w:rPr>
                </w:pPr>
                <w:r>
                  <w:rPr>
                    <w:b/>
                    <w:bCs/>
                    <w:color w:val="000000"/>
                    <w:sz w:val="22"/>
                    <w:szCs w:val="22"/>
                    <w:lang w:eastAsia="lt-LT"/>
                  </w:rPr>
                  <w:t>&lt;...&gt;</w:t>
                </w:r>
              </w:p>
              <w:p>
                <w:pPr>
                  <w:ind w:left="5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Nustatydamos ar tvirtindamos tarifus arba metodikas ir balansavimo paslaugas, kaip nurodyta 7 dalyje, reguliavimo institucijos užtikrina, kad perdavimo ir skirstymo sistemos operatoriams, taip pat, nedarant poveikio valstybės narės sprendimui pagal 35 straipsnio 4 dalį, vandenilio tinklo operatoriams būtų suteiktos tinkamos paskatos trumpuoju ir ilguoju laikotarpiu didinti energijos vartojimo efektyvumą, skatinti rinkos integraciją ir tiekimo saugumą bei remti susijusius mokslinius tyrimus.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lt-LT"/>
                  </w:rPr>
                  <w:t xml:space="preserve">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Reguliavimo institucijos stebi nacionalinių perdavimo tinklų ir vandenilio perdavimo tinklų perkrovos valdymą, įskaitant jungtis ir vandenilio jungtis, ir perkrovos valdymo taisyklių įgyvendinimą. Tuo tikslu perdavimo sistemos operatoriai, vandenilio perdavimo tinklo operatoriai arba rinkos operatoriai savo perkrovos valdymo taisykles, įskaitant pajėgumo paskirstymą, pateikia reguliavimo institucijoms. Reguliavimo institucijos gali pareikalauti iš dalies pakeisti tas taisykles.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5.</w:t>
                  <w:tab/>
                  <w:t>Taryba prižiūri:</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r>
                <w:r>
                  <w:rPr>
                    <w:color w:val="000000"/>
                    <w:lang w:eastAsia="lt-LT"/>
                  </w:rPr>
                  <w:t xml:space="preserve"> </w:t>
                </w:r>
                <w:r>
                  <w:rPr>
                    <w:b/>
                    <w:bCs/>
                    <w:color w:val="000000"/>
                    <w:sz w:val="22"/>
                    <w:szCs w:val="22"/>
                    <w:lang w:eastAsia="ar-SA"/>
                  </w:rPr>
                  <w:t>vandenilio jungčių valdymo, perkrovos valdymo, pajėgumų skirstymo taisyklių laikymąsi, esant poreikiui teikia privalomus nurodymus iš dalies pakeisti šias taisykles;</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 Taryba:  </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810"/>
                  </w:tabs>
                  <w:ind w:firstLine="32"/>
                  <w:jc w:val="both"/>
                  <w:rPr>
                    <w:b/>
                    <w:bCs/>
                    <w:color w:val="000000"/>
                    <w:sz w:val="22"/>
                    <w:szCs w:val="22"/>
                    <w:lang w:eastAsia="lt-LT"/>
                  </w:rPr>
                </w:pPr>
                <w:r>
                  <w:rPr>
                    <w:b/>
                    <w:bCs/>
                    <w:color w:val="000000"/>
                    <w:sz w:val="22"/>
                    <w:szCs w:val="22"/>
                    <w:lang w:eastAsia="lt-LT"/>
                  </w:rPr>
                  <w:t>7) stebi vandenilio perdavimo tinklų perkrovos valdymą, įskaitant ir vandenilio jungtis, ir perkrovos valdymo taisyklių įgyvendinimą;</w:t>
                </w:r>
              </w:p>
              <w:p>
                <w:pPr>
                  <w:tabs>
                    <w:tab w:val="left" w:pos="810"/>
                  </w:tabs>
                  <w:ind w:left="483"/>
                  <w:jc w:val="both"/>
                  <w:rPr>
                    <w:color w:val="000000"/>
                    <w:sz w:val="22"/>
                    <w:szCs w:val="22"/>
                    <w:lang w:eastAsia="lt-LT"/>
                  </w:rPr>
                </w:pPr>
              </w:p>
              <w:p>
                <w:pPr>
                  <w:tabs>
                    <w:tab w:val="left" w:pos="810"/>
                  </w:tabs>
                  <w:jc w:val="both"/>
                  <w:rPr>
                    <w:color w:val="000000"/>
                    <w:sz w:val="22"/>
                    <w:szCs w:val="22"/>
                    <w:lang w:eastAsia="lt-LT"/>
                  </w:rPr>
                </w:pPr>
              </w:p>
              <w:p>
                <w:pPr>
                  <w:tabs>
                    <w:tab w:val="left" w:pos="810"/>
                  </w:tabs>
                  <w:jc w:val="both"/>
                  <w:rPr>
                    <w:b/>
                    <w:bCs/>
                    <w:color w:val="000000"/>
                    <w:sz w:val="22"/>
                    <w:szCs w:val="22"/>
                    <w:lang w:eastAsia="lt-LT"/>
                  </w:rPr>
                </w:pPr>
                <w:r>
                  <w:rPr>
                    <w:b/>
                    <w:bCs/>
                    <w:color w:val="000000"/>
                    <w:sz w:val="22"/>
                    <w:szCs w:val="22"/>
                    <w:lang w:eastAsia="lt-LT"/>
                  </w:rPr>
                  <w:t>Gamtinių dujų įstatymas</w:t>
                </w:r>
              </w:p>
              <w:p>
                <w:pPr>
                  <w:tabs>
                    <w:tab w:val="left" w:pos="810"/>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810"/>
                  </w:tabs>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tabs>
                    <w:tab w:val="left" w:pos="810"/>
                  </w:tabs>
                  <w:jc w:val="both"/>
                  <w:rPr>
                    <w:b/>
                    <w:bCs/>
                    <w:color w:val="000000"/>
                    <w:sz w:val="22"/>
                    <w:szCs w:val="22"/>
                    <w:lang w:eastAsia="lt-LT"/>
                  </w:rPr>
                </w:pPr>
                <w:r>
                  <w:rPr>
                    <w:b/>
                    <w:bCs/>
                    <w:color w:val="000000"/>
                    <w:sz w:val="22"/>
                    <w:szCs w:val="22"/>
                    <w:lang w:eastAsia="lt-LT"/>
                  </w:rPr>
                  <w:t>&lt;...&gt;</w:t>
                </w:r>
              </w:p>
              <w:p>
                <w:pPr>
                  <w:tabs>
                    <w:tab w:val="left" w:pos="810"/>
                  </w:tabs>
                  <w:jc w:val="both"/>
                  <w:rPr>
                    <w:color w:val="000000"/>
                    <w:sz w:val="22"/>
                    <w:szCs w:val="22"/>
                    <w:lang w:eastAsia="lt-LT"/>
                  </w:rPr>
                </w:pPr>
                <w:r>
                  <w:rPr>
                    <w:color w:val="000000"/>
                    <w:sz w:val="22"/>
                    <w:szCs w:val="22"/>
                    <w:lang w:val="lt" w:eastAsia="lt-LT"/>
                  </w:rPr>
                  <w:t>9) kaip įgyvendinamos nacionalinės gamtinių dujų perdavimo tinklų perkrovos valdymo taisyklės;</w:t>
                </w:r>
              </w:p>
              <w:p>
                <w:pPr>
                  <w:tabs>
                    <w:tab w:val="left" w:pos="810"/>
                  </w:tabs>
                  <w:jc w:val="both"/>
                  <w:rPr>
                    <w:color w:val="000000"/>
                    <w:sz w:val="22"/>
                    <w:szCs w:val="22"/>
                    <w:lang w:eastAsia="lt-LT"/>
                  </w:rPr>
                </w:pPr>
              </w:p>
              <w:p>
                <w:pPr>
                  <w:tabs>
                    <w:tab w:val="left" w:pos="810"/>
                  </w:tabs>
                  <w:jc w:val="both"/>
                  <w:rPr>
                    <w:b/>
                    <w:color w:val="000000"/>
                    <w:sz w:val="22"/>
                    <w:szCs w:val="22"/>
                    <w:lang w:eastAsia="lt-LT"/>
                  </w:rPr>
                </w:pPr>
                <w:r>
                  <w:rPr>
                    <w:b/>
                    <w:color w:val="000000"/>
                    <w:sz w:val="22"/>
                    <w:szCs w:val="22"/>
                    <w:lang w:eastAsia="lt-LT"/>
                  </w:rPr>
                  <w:t xml:space="preserve">Reikalavimai naudojimosi gamtinių dujų perdavimo sistema taisyklėms ir naudojimosi gamtinių dujų skirstymo sistema taisyklėms  </w:t>
                </w:r>
              </w:p>
              <w:p>
                <w:pPr>
                  <w:tabs>
                    <w:tab w:val="left" w:pos="810"/>
                  </w:tabs>
                  <w:jc w:val="both"/>
                  <w:rPr>
                    <w:b/>
                    <w:color w:val="000000"/>
                    <w:sz w:val="22"/>
                    <w:szCs w:val="22"/>
                    <w:lang w:eastAsia="lt-LT"/>
                  </w:rPr>
                </w:pPr>
                <w:r>
                  <w:rPr>
                    <w:b/>
                    <w:color w:val="000000"/>
                    <w:sz w:val="22"/>
                    <w:szCs w:val="22"/>
                    <w:lang w:eastAsia="lt-LT"/>
                  </w:rPr>
                  <w:t>III. Taisyklių bendrieji reikalavimai</w:t>
                </w:r>
              </w:p>
              <w:p>
                <w:pPr>
                  <w:tabs>
                    <w:tab w:val="left" w:pos="810"/>
                  </w:tabs>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PSO Taisyklėse papildomai reglamentuoja šias sritis:</w:t>
                </w:r>
              </w:p>
              <w:p>
                <w:pPr>
                  <w:jc w:val="both"/>
                  <w:rPr>
                    <w:color w:val="000000"/>
                    <w:sz w:val="22"/>
                    <w:szCs w:val="22"/>
                    <w:lang w:val="lt" w:eastAsia="lt-LT"/>
                  </w:rPr>
                </w:pPr>
                <w:r>
                  <w:rPr>
                    <w:color w:val="000000"/>
                    <w:sz w:val="22"/>
                    <w:szCs w:val="22"/>
                    <w:lang w:val="lt" w:eastAsia="lt-LT"/>
                  </w:rPr>
                  <w:t>9.1. perdavimo sistemos perkrovos valdymo tvarką ir principus;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20. Sistemų operatoriai Taisykles parengia ir derina su Taryba. Sistemos operatorių patvirtintos ir su Taryba suderintos Taisyklės paskelbiamos ne vėliau kaip prieš vieną mėnesį iki Taisyklių įsigaliojimo momento.</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140" w:history="1">
                  <w:r>
                    <w:rPr>
                      <w:i/>
                      <w:iCs/>
                      <w:color w:val="000000"/>
                      <w:sz w:val="22"/>
                      <w:szCs w:val="22"/>
                      <w:u w:val="single"/>
                      <w:lang w:val="lt" w:eastAsia="lt-LT"/>
                    </w:rPr>
                    <w:t>O3E-291</w:t>
                  </w:r>
                </w:hyperlink>
                <w:r>
                  <w:rPr>
                    <w:i/>
                    <w:iCs/>
                    <w:color w:val="000000"/>
                    <w:sz w:val="22"/>
                    <w:szCs w:val="22"/>
                    <w:lang w:val="lt" w:eastAsia="lt-LT"/>
                  </w:rPr>
                  <w:t>, 2017-06-30, paskelbta TAR 2017-06-30, i. k. 2017-11207</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21. Taryba per 30 kalendorinių dienų įvertina Sistemų operatorių parengtas ir patvirtintas Taisykles bei raštu informuoja Sistemų operatorius dėl Taisyklių atitikimo šiems Reikalavimams.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79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Sprendimai ir ginčai</w:t>
                </w:r>
              </w:p>
            </w:tc>
            <w:tc>
              <w:tcPr>
                <w:tcW w:w="9297" w:type="dxa"/>
                <w:vAlign w:val="center"/>
              </w:tcPr>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institucijoms suteikiami įgaliojimai reikalauti, kad gamtinių dujų perdavimo, gamtinių dujų laikymo, SGD ir skirstymo sistemos operatoriai, vandenilio saugyklų ir terminalų operatoriai, o prireikus ir vandenilio tinklo operatoriai pakeistų sąlygas, įskaitant šiame straipsnyje nurodytus tarifus ir metodikas, siekiant užtikrinti, kad jie būtų proporcingi ir taikomi nediskriminaciniu būdu. Tuo atveju, jei teisės naudotis gamtinių dujų saugyklomis tvarka nustatoma pagal 33 straipsnio 3 dalį, ta užduotis neapima tarifų keitimo. Tuo atveju, jei teisės naudotis vandenilio tinklais, vandenilio įrenginiais arba vandenilio saugyklomis tvarka grindžiama trečiosios šalies prieiga, dėl kurios susitariama derybų būdu, pagal 35 straipsnio 4 dalį, 36 straipsnio 1 dalį arba 37 straipsnio 2 dalį, ta užduotis neapima tarifų keitimo. Jei vėluojama nustatyti gamtinių dujų perdavimo ir skirstymo tarifus ir, kai tinkama, vandenilio tinklo tarifus, </w:t>
                </w:r>
                <w:r>
                  <w:rPr>
                    <w:sz w:val="22"/>
                    <w:szCs w:val="22"/>
                    <w:lang w:eastAsia="lt-LT"/>
                  </w:rPr>
                  <w:t>reguliavimo institucijos turi įgaliojimą nustatyti ar patvirtinti laikinuosius perdavimo ir skirstymo tarifus ar metodikas ir vandenilio tinklo tarifus ir metodikas ir nuspręsti dėl atitinkamų kompensavimo priemonių taikymo, jei galutiniai tarifai ar metodikos skirtųsi nuo tų laikinųjų tarifų ar metodikų.</w:t>
                </w:r>
              </w:p>
            </w:tc>
            <w:tc>
              <w:tcPr>
                <w:tcW w:w="9297" w:type="dxa"/>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44 straipsnis. Teisė naudotis vandenilio tinklais </w:t>
                </w:r>
              </w:p>
              <w:p>
                <w:pPr>
                  <w:ind w:firstLine="17"/>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 </w:t>
                </w:r>
              </w:p>
              <w:p>
                <w:pPr>
                  <w:ind w:firstLine="17"/>
                  <w:jc w:val="both"/>
                  <w:rPr>
                    <w:b/>
                    <w:bCs/>
                    <w:color w:val="000000"/>
                    <w:sz w:val="22"/>
                    <w:szCs w:val="22"/>
                    <w:lang w:eastAsia="lt-LT"/>
                  </w:rPr>
                </w:pPr>
                <w:r>
                  <w:rPr>
                    <w:b/>
                    <w:bCs/>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tinklo operatorius užtikrina neskelbtinos komercinės informacijos konfidencialumą.</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 </w:t>
                </w:r>
              </w:p>
              <w:p>
                <w:pPr>
                  <w:ind w:firstLine="74"/>
                  <w:jc w:val="both"/>
                  <w:rPr>
                    <w:b/>
                    <w:color w:val="000000"/>
                    <w:sz w:val="22"/>
                    <w:szCs w:val="22"/>
                    <w:lang w:eastAsia="lt-LT"/>
                  </w:rPr>
                </w:pPr>
                <w:r>
                  <w:rPr>
                    <w:b/>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 </w:t>
                </w:r>
              </w:p>
              <w:p>
                <w:pPr>
                  <w:ind w:firstLine="17"/>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ind w:firstLine="17"/>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p>
                <w:pPr>
                  <w:ind w:firstLine="74"/>
                  <w:jc w:val="both"/>
                  <w:rPr>
                    <w:b/>
                    <w:bCs/>
                    <w:color w:val="000000"/>
                    <w:sz w:val="22"/>
                    <w:szCs w:val="22"/>
                    <w:lang w:eastAsia="lt-LT"/>
                  </w:rPr>
                </w:pPr>
                <w:r>
                  <w:rPr>
                    <w:b/>
                    <w:bCs/>
                    <w:color w:val="000000"/>
                    <w:sz w:val="22"/>
                    <w:szCs w:val="22"/>
                    <w:lang w:eastAsia="lt-LT"/>
                  </w:rPr>
                  <w:t>46 straipsnis. Teisė naudotis vandenilio terminalais </w:t>
                </w:r>
                <w:r>
                  <w:rPr>
                    <w:color w:val="000000"/>
                    <w:sz w:val="22"/>
                    <w:szCs w:val="22"/>
                    <w:lang w:eastAsia="lt-LT"/>
                  </w:rPr>
                  <w:t xml:space="preserve"> </w:t>
                </w:r>
              </w:p>
              <w:p>
                <w:pPr>
                  <w:jc w:val="both"/>
                  <w:rPr>
                    <w:color w:val="000000"/>
                    <w:sz w:val="22"/>
                    <w:szCs w:val="22"/>
                    <w:lang w:eastAsia="lt-LT"/>
                  </w:rPr>
                </w:pPr>
                <w:r>
                  <w:rPr>
                    <w:b/>
                    <w:bCs/>
                    <w:color w:val="000000"/>
                    <w:sz w:val="22"/>
                    <w:szCs w:val="22"/>
                    <w:lang w:eastAsia="lt-LT"/>
                  </w:rPr>
                  <w:t xml:space="preserve">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 </w:t>
                </w:r>
              </w:p>
              <w:p>
                <w:pPr>
                  <w:tabs>
                    <w:tab w:val="left" w:pos="567"/>
                  </w:tabs>
                  <w:jc w:val="both"/>
                  <w:rPr>
                    <w:b/>
                    <w:bCs/>
                    <w:color w:val="000000"/>
                    <w:sz w:val="22"/>
                    <w:szCs w:val="22"/>
                    <w:lang w:eastAsia="lt-LT"/>
                  </w:rPr>
                </w:pPr>
                <w:r>
                  <w:rPr>
                    <w:b/>
                    <w:bCs/>
                    <w:color w:val="000000"/>
                    <w:sz w:val="22"/>
                    <w:szCs w:val="22"/>
                    <w:lang w:eastAsia="lt-LT"/>
                  </w:rPr>
                  <w:t xml:space="preserve">2. Taryba prižiūri naudojimosi vandenilio terminalais sąlygas ir jų poveikį vandenilio rinkai ir, kai tai būtina, imasi priemonių siekdama apsaugoti konkurenciją ir (ar) užtikrinti šio straipsnio 1 dalyje nustatytų sąlygų laikymąsi. </w:t>
                </w:r>
              </w:p>
              <w:p>
                <w:pPr>
                  <w:jc w:val="both"/>
                  <w:rPr>
                    <w:b/>
                    <w:bCs/>
                    <w:color w:val="000000"/>
                    <w:sz w:val="22"/>
                    <w:szCs w:val="22"/>
                    <w:lang w:eastAsia="lt-LT"/>
                  </w:rPr>
                </w:pP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color w:val="000000"/>
                    <w:sz w:val="22"/>
                    <w:szCs w:val="22"/>
                    <w:lang w:val="lt" w:eastAsia="lt-LT"/>
                  </w:rPr>
                  <w:t xml:space="preserve">9 straipsnis. Kainų </w:t>
                </w:r>
                <w:r>
                  <w:rPr>
                    <w:b/>
                    <w:bCs/>
                    <w:color w:val="000000"/>
                    <w:sz w:val="22"/>
                    <w:szCs w:val="22"/>
                    <w:lang w:val="lt" w:eastAsia="lt-LT"/>
                  </w:rPr>
                  <w:t>reguliavimas</w:t>
                </w:r>
                <w:r>
                  <w:rPr>
                    <w:color w:val="000000"/>
                    <w:sz w:val="22"/>
                    <w:szCs w:val="22"/>
                    <w:lang w:eastAsia="lt-LT"/>
                  </w:rPr>
                  <w:t xml:space="preserve">s </w:t>
                </w:r>
              </w:p>
              <w:p>
                <w:pPr>
                  <w:ind w:firstLine="17"/>
                  <w:jc w:val="both"/>
                  <w:rPr>
                    <w:b/>
                    <w:bCs/>
                    <w:color w:val="000000"/>
                    <w:sz w:val="22"/>
                    <w:szCs w:val="22"/>
                    <w:lang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r>
                  <w:rPr>
                    <w:color w:val="000000"/>
                    <w:sz w:val="22"/>
                    <w:szCs w:val="22"/>
                    <w:lang w:eastAsia="lt-LT"/>
                  </w:rPr>
                  <w:t xml:space="preserve"> </w:t>
                </w: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r>
                  <w:rPr>
                    <w:color w:val="000000"/>
                    <w:sz w:val="22"/>
                    <w:szCs w:val="22"/>
                    <w:lang w:eastAsia="lt-LT"/>
                  </w:rPr>
                  <w:t xml:space="preserve"> </w:t>
                </w:r>
                <w:r>
                  <w:rPr>
                    <w:b/>
                    <w:bCs/>
                    <w:color w:val="000000"/>
                    <w:sz w:val="22"/>
                    <w:szCs w:val="22"/>
                    <w:lang w:eastAsia="lt-LT"/>
                  </w:rPr>
                  <w:t>&lt;...&gt;</w:t>
                </w:r>
                <w:r>
                  <w:rPr>
                    <w:color w:val="000000"/>
                    <w:sz w:val="22"/>
                    <w:szCs w:val="22"/>
                    <w:lang w:eastAsia="lt-LT"/>
                  </w:rPr>
                  <w:t xml:space="preserve"> </w:t>
                </w: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r>
                  <w:rPr>
                    <w:color w:val="000000"/>
                    <w:sz w:val="22"/>
                    <w:szCs w:val="22"/>
                    <w:lang w:eastAsia="lt-LT"/>
                  </w:rPr>
                  <w:t xml:space="preserve"> </w:t>
                </w:r>
                <w:r>
                  <w:rPr>
                    <w:color w:val="000000"/>
                    <w:sz w:val="22"/>
                    <w:szCs w:val="22"/>
                    <w:lang w:val="lt" w:eastAsia="lt-LT"/>
                  </w:rPr>
                  <w:t>15. Konkrečias perdavimo, laikymo, skirstymo, SGD pakartotinio dujinimo kainas, neviršijančias nustatytų kainų ir (ar) pajamų viršutinių ribų, kiekvienais metais nustato gamtinių dujų įmonės. Konkrečios perdavimo, SGD pakartotinio dujinimo, laikymo, skirstymo kainos gali būti nustatomos du kartus per metus. Taryba, patikrinusi ir nustačiusi, kad kainos ir (ar) buitiniams vartotojams nustatyti tarifai apskaičiuoti nesilaikant kainų ir (ar) tarifų nustatymo reikalavimų, nustatytų kainų viršutinių ribų skaičiavimo metodikose, kad jos diskriminuoja vartotojus ir (ar) yra klaidingos, gamtinių dujų įmonėms pateikia nurodymus dėl konkrečių kainų ir tarifų skaičiavimo. Gamtinių dujų įmonės kainas ir (ar) tarifus privalo pakoreguoti per 15 dienų nuo Tarybos nurodymų gavimo. Jeigu gamtinių dujų įmonės nevykdo Tarybos reikalavimo, Taryba vienašališkai nustato konkrečias kainas ir (ar) tarifus.</w:t>
                </w:r>
                <w:r>
                  <w:rPr>
                    <w:color w:val="000000"/>
                    <w:sz w:val="22"/>
                    <w:szCs w:val="22"/>
                    <w:lang w:eastAsia="lt-LT"/>
                  </w:rPr>
                  <w:t xml:space="preserve"> </w:t>
                </w:r>
                <w:r>
                  <w:rPr>
                    <w:color w:val="000000"/>
                    <w:sz w:val="22"/>
                    <w:szCs w:val="22"/>
                    <w:lang w:val="lt" w:eastAsia="lt-LT"/>
                  </w:rPr>
                  <w:t>&lt;...&gt;</w:t>
                </w:r>
                <w:r>
                  <w:rPr>
                    <w:color w:val="000000"/>
                    <w:sz w:val="22"/>
                    <w:szCs w:val="22"/>
                    <w:lang w:eastAsia="lt-LT"/>
                  </w:rPr>
                  <w:t xml:space="preserve">  </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Bet kuri šalis, turinti nusiskundimų dėl gamtinių dujų perdavimo, gamtinių dujų laikymo, SGD ar skirstymo sistemos operatoriaus arba vandenilio tinklo, laikymo ar vandenilio terminalo operatoriaus veiksmų, susijusių su to operatoriaus pareigomis pagal šią direktyvą, gali pateikti skundą reguliavimo institucijai, kuri, veikdama kaip ginčų sprendimo institucija, priima sprendimą per du mėnesius nuo skundo gavimo dienos. Jei reguliavimo institucijai reikia papildomos informacijos, tas laikotarpis gali būti pratęstas dviem mėnesiais. Tą pratęstą laikotarpį galima dar pratęsti, jei su tuo sutinka skundą pateikusi šalis. Reguliavimo institucijos sprendimas yra privalomas, nebent ir kol jis panaikinamas apeliacine tvarka.</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eastAsia="lt-LT"/>
                  </w:rPr>
                </w:pPr>
                <w:r>
                  <w:rPr>
                    <w:color w:val="000000"/>
                    <w:sz w:val="22"/>
                    <w:szCs w:val="22"/>
                    <w:lang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eastAsia="lt-LT"/>
                  </w:rPr>
                </w:pPr>
                <w:r>
                  <w:rPr>
                    <w:color w:val="000000"/>
                    <w:sz w:val="22"/>
                    <w:szCs w:val="22"/>
                    <w:lang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eastAsia="lt-LT"/>
                  </w:rPr>
                </w:pPr>
                <w:r>
                  <w:rPr>
                    <w:color w:val="000000"/>
                    <w:sz w:val="22"/>
                    <w:szCs w:val="22"/>
                    <w:lang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11.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ind w:firstLine="720"/>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r>
                  <w:rPr>
                    <w:color w:val="000000"/>
                    <w:sz w:val="22"/>
                    <w:szCs w:val="22"/>
                    <w:lang w:eastAsia="lt-LT"/>
                  </w:rPr>
                  <w:t>1. Tarnyba Vartotojų teisių apsaugos įstatymo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bCs/>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ind w:firstLine="720"/>
                  <w:jc w:val="both"/>
                  <w:rPr>
                    <w:color w:val="000000"/>
                    <w:sz w:val="22"/>
                    <w:szCs w:val="22"/>
                    <w:lang w:eastAsia="lt-LT"/>
                  </w:rPr>
                </w:pPr>
                <w:r>
                  <w:rPr>
                    <w:color w:val="000000"/>
                    <w:sz w:val="22"/>
                    <w:szCs w:val="22"/>
                    <w:lang w:eastAsia="lt-LT"/>
                  </w:rPr>
                  <w:t>3. Šio straipsnio 2 dalyje nurodyti vartotojų skundai nagrinėjami Lietuvos Respublikos viešojo administravimo įstatymo ir Tarybos nustatyta tvarka.</w:t>
                </w: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spacing w:line="276" w:lineRule="auto"/>
                  <w:ind w:firstLine="720"/>
                  <w:jc w:val="both"/>
                  <w:rPr>
                    <w:b/>
                    <w:bCs/>
                    <w:color w:val="000000"/>
                    <w:lang w:eastAsia="lt-LT"/>
                  </w:rPr>
                </w:pPr>
                <w:r>
                  <w:rPr>
                    <w:b/>
                    <w:bCs/>
                    <w:color w:val="000000"/>
                    <w:lang w:eastAsia="lt-LT"/>
                  </w:rPr>
                  <w:t>49 straipsnis. Vartotojų teisių apsaugos priemonės</w:t>
                </w:r>
              </w:p>
              <w:p>
                <w:pPr>
                  <w:ind w:firstLine="720"/>
                  <w:jc w:val="both"/>
                  <w:rPr>
                    <w:rFonts w:eastAsia="Aptos"/>
                    <w:b/>
                    <w:bCs/>
                    <w:color w:val="000000"/>
                    <w:sz w:val="22"/>
                    <w:szCs w:val="22"/>
                    <w:lang w:eastAsia="lt-LT"/>
                  </w:rPr>
                </w:pPr>
                <w:r>
                  <w:rPr>
                    <w:b/>
                    <w:bCs/>
                    <w:color w:val="000000"/>
                    <w:sz w:val="22"/>
                    <w:szCs w:val="22"/>
                    <w:lang w:eastAsia="lt-LT"/>
                  </w:rPr>
                  <w:t>&lt;...&gt;</w:t>
                </w:r>
              </w:p>
              <w:p>
                <w:pPr>
                  <w:tabs>
                    <w:tab w:val="left" w:pos="567"/>
                  </w:tabs>
                  <w:ind w:firstLine="720"/>
                  <w:jc w:val="both"/>
                  <w:rPr>
                    <w:rFonts w:eastAsia="Aptos"/>
                    <w:color w:val="000000"/>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r>
                  <w:rPr>
                    <w:rFonts w:eastAsia="Aptos"/>
                    <w:color w:val="000000"/>
                    <w:lang w:eastAsia="lt-LT"/>
                  </w:rPr>
                  <w:t xml:space="preserve">. </w:t>
                </w:r>
              </w:p>
              <w:p>
                <w:pPr>
                  <w:tabs>
                    <w:tab w:val="left" w:pos="567"/>
                  </w:tabs>
                  <w:ind w:firstLine="720"/>
                  <w:jc w:val="both"/>
                  <w:rPr>
                    <w:rFonts w:eastAsia="Aptos"/>
                    <w:b/>
                    <w:bCs/>
                    <w:color w:val="000000"/>
                    <w:sz w:val="22"/>
                    <w:szCs w:val="22"/>
                    <w:lang w:eastAsia="lt-LT"/>
                  </w:rPr>
                </w:pPr>
                <w:r>
                  <w:rPr>
                    <w:rFonts w:eastAsia="Aptos"/>
                    <w:b/>
                    <w:bCs/>
                    <w:color w:val="000000"/>
                    <w:sz w:val="22"/>
                    <w:szCs w:val="22"/>
                    <w:lang w:eastAsia="lt-LT"/>
                  </w:rPr>
                  <w:t>&lt;...&gt;</w:t>
                </w:r>
              </w:p>
              <w:p>
                <w:pPr>
                  <w:ind w:firstLine="56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Bet kuri poveikį patyrusi šalis turi teisę pateikti skundą, susijusį su sprendimu dėl pagal šį straipsnį priimtų metodikų, arba kai reguliavimo institucija privalo konsultuotis dėl pasiūlytų tarifų ar metodikų, gali per du mėnesius arba per valstybių narių nustatytą trumpesnį laikotarpį nuo sprendimo ar pasiūlymo dėl sprendimo paskelbimo dienos pateikti skundą dėl sprendimo peržiūrėjimo. Toks skundas nesustabdo sprendimo įgyvendinimo.</w:t>
                </w:r>
              </w:p>
            </w:tc>
            <w:tc>
              <w:tcPr>
                <w:tcW w:w="9297" w:type="dxa"/>
                <w:vAlign w:val="center"/>
              </w:tcPr>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Energetikos įstatymas</w:t>
                </w:r>
              </w:p>
              <w:p>
                <w:pPr>
                  <w:ind w:firstLine="17"/>
                  <w:jc w:val="both"/>
                  <w:rPr>
                    <w:b/>
                    <w:bCs/>
                    <w:color w:val="000000"/>
                    <w:sz w:val="22"/>
                    <w:szCs w:val="22"/>
                    <w:lang w:val="lt" w:eastAsia="lt-LT"/>
                  </w:rPr>
                </w:pPr>
                <w:r>
                  <w:rPr>
                    <w:b/>
                    <w:bCs/>
                    <w:color w:val="000000"/>
                    <w:sz w:val="22"/>
                    <w:szCs w:val="22"/>
                    <w:lang w:val="lt" w:eastAsia="lt-LT"/>
                  </w:rPr>
                  <w:t>34 straipsnis. Ginčų sprendimas ne teismo tvarka</w:t>
                </w:r>
              </w:p>
              <w:p>
                <w:pPr>
                  <w:ind w:firstLine="17"/>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jc w:val="both"/>
                  <w:rPr>
                    <w:color w:val="000000"/>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Administracinių bylų teisenos įstatymas</w:t>
                </w:r>
              </w:p>
              <w:p>
                <w:pPr>
                  <w:jc w:val="both"/>
                  <w:rPr>
                    <w:b/>
                    <w:bCs/>
                    <w:color w:val="000000"/>
                    <w:sz w:val="22"/>
                    <w:szCs w:val="22"/>
                    <w:lang w:val="lt" w:eastAsia="lt-LT"/>
                  </w:rPr>
                </w:pPr>
                <w:r>
                  <w:rPr>
                    <w:b/>
                    <w:bCs/>
                    <w:color w:val="000000"/>
                    <w:sz w:val="22"/>
                    <w:szCs w:val="22"/>
                    <w:lang w:val="lt" w:eastAsia="lt-LT"/>
                  </w:rPr>
                  <w:t>21 straipsnis. Lietuvos vyriausiojo administracinio teismo kompetencija</w:t>
                </w:r>
              </w:p>
              <w:p>
                <w:pPr>
                  <w:jc w:val="both"/>
                  <w:rPr>
                    <w:color w:val="000000"/>
                    <w:sz w:val="22"/>
                    <w:szCs w:val="22"/>
                    <w:lang w:val="lt" w:eastAsia="lt-LT"/>
                  </w:rPr>
                </w:pPr>
                <w:r>
                  <w:rPr>
                    <w:color w:val="000000"/>
                    <w:sz w:val="22"/>
                    <w:szCs w:val="22"/>
                    <w:lang w:val="lt" w:eastAsia="lt-LT"/>
                  </w:rPr>
                  <w:t>1. Lietuvos vyriausiasis administracinis teismas yra:</w:t>
                </w:r>
              </w:p>
              <w:p>
                <w:pPr>
                  <w:jc w:val="both"/>
                  <w:rPr>
                    <w:color w:val="000000"/>
                    <w:sz w:val="22"/>
                    <w:szCs w:val="22"/>
                    <w:lang w:val="lt" w:eastAsia="lt-LT"/>
                  </w:rPr>
                </w:pPr>
                <w:r>
                  <w:rPr>
                    <w:color w:val="000000"/>
                    <w:sz w:val="22"/>
                    <w:szCs w:val="22"/>
                    <w:lang w:val="lt" w:eastAsia="lt-LT"/>
                  </w:rPr>
                  <w:t>1) apeliacinė instancija byloms, kurias išnagrinėjo Regionų administracinis teismas kaip pirmosios instancijos teismas;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1">
                  <w:r>
                    <w:rPr>
                      <w:i/>
                      <w:iCs/>
                      <w:color w:val="467886"/>
                      <w:sz w:val="22"/>
                      <w:szCs w:val="22"/>
                      <w:u w:val="single"/>
                      <w:lang w:val="lt" w:eastAsia="lt-LT"/>
                    </w:rPr>
                    <w:t>XIV-1571</w:t>
                  </w:r>
                </w:hyperlink>
                <w:r>
                  <w:rPr>
                    <w:i/>
                    <w:iCs/>
                    <w:color w:val="000000"/>
                    <w:sz w:val="22"/>
                    <w:szCs w:val="22"/>
                    <w:lang w:val="lt" w:eastAsia="lt-LT"/>
                  </w:rPr>
                  <w:t>, 2022-11-24, paskelbta TAR 2022-12-09, i. k. 2022-25122</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 vienintelė ir galutinė instancija byloms dėl norminių administracinių aktų, kuriuos priėmė centriniai valstybinio administravimo subjektai, teisėtumo, taip pat šio įstatymo 17 straipsnio 1 dalies 11 punkte nurodytoms byloms;</w:t>
                </w:r>
                <w:r>
                  <w:rPr>
                    <w:color w:val="000000"/>
                    <w:sz w:val="22"/>
                    <w:szCs w:val="22"/>
                    <w:lang w:eastAsia="lt-LT"/>
                  </w:rPr>
                  <w:t xml:space="preserve"> </w:t>
                </w:r>
              </w:p>
              <w:p>
                <w:pPr>
                  <w:spacing w:line="360" w:lineRule="auto"/>
                  <w:ind w:firstLine="720"/>
                  <w:jc w:val="both"/>
                  <w:rPr>
                    <w:color w:val="000000"/>
                    <w:sz w:val="22"/>
                    <w:szCs w:val="22"/>
                    <w:lang w:eastAsia="lt-LT"/>
                  </w:rPr>
                </w:pPr>
                <w:r>
                  <w:rPr>
                    <w:color w:val="000000"/>
                    <w:sz w:val="22"/>
                    <w:szCs w:val="22"/>
                    <w:lang w:eastAsia="lt-LT"/>
                  </w:rPr>
                  <w:t>&lt;...&gt;</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Valstybės narės sukuria tinkamus ir efektyvius reguliavimo, kontrolės ir skaidrumo mechanizmus, kad </w:t>
                </w:r>
                <w:r>
                  <w:rPr>
                    <w:sz w:val="22"/>
                    <w:szCs w:val="22"/>
                    <w:lang w:eastAsia="lt-LT"/>
                  </w:rPr>
                  <w:t xml:space="preserve">būtų išvengta piktnaudžiavimo dominuojančia padėtimi, </w:t>
                </w:r>
                <w:r>
                  <w:rPr>
                    <w:color w:val="000000"/>
                    <w:sz w:val="22"/>
                    <w:szCs w:val="22"/>
                    <w:lang w:eastAsia="lt-LT"/>
                  </w:rPr>
                  <w:t>ypač kai tai kenkia vartotojų interesams, ir agresyvaus elgesio. Nustatant tuos mechanizmus atsižvelgiama į SESV nuostatas, ypač į jos 102 straipsnį.</w:t>
                </w:r>
              </w:p>
            </w:tc>
            <w:tc>
              <w:tcPr>
                <w:tcW w:w="9297" w:type="dxa"/>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8 straipsnis. Tarybos teisės ir įgaliojimai vandenilio sektoriuje</w:t>
                </w:r>
                <w:r>
                  <w:rPr>
                    <w:color w:val="000000"/>
                    <w:sz w:val="22"/>
                    <w:szCs w:val="22"/>
                    <w:lang w:eastAsia="lt-LT"/>
                  </w:rPr>
                  <w:t> </w:t>
                </w:r>
              </w:p>
              <w:p>
                <w:pPr>
                  <w:ind w:firstLine="17"/>
                  <w:jc w:val="both"/>
                  <w:rPr>
                    <w:b/>
                    <w:color w:val="000000"/>
                    <w:sz w:val="22"/>
                    <w:szCs w:val="22"/>
                    <w:lang w:eastAsia="lt-LT"/>
                  </w:rPr>
                </w:pPr>
                <w:r>
                  <w:rPr>
                    <w:b/>
                    <w:color w:val="000000"/>
                    <w:sz w:val="22"/>
                    <w:szCs w:val="22"/>
                    <w:lang w:eastAsia="lt-LT"/>
                  </w:rPr>
                  <w:t>1. Taryba, siekdama šio įstatymo tikslų ir atlikdama šiame įstatyme jai nustatytas funkcijas, turi teisę: </w:t>
                </w:r>
              </w:p>
              <w:p>
                <w:pPr>
                  <w:ind w:firstLine="17"/>
                  <w:jc w:val="both"/>
                  <w:rPr>
                    <w:b/>
                    <w:color w:val="000000"/>
                    <w:sz w:val="22"/>
                    <w:szCs w:val="22"/>
                    <w:lang w:eastAsia="lt-LT"/>
                  </w:rPr>
                </w:pPr>
                <w:r>
                  <w:rPr>
                    <w:b/>
                    <w:color w:val="000000"/>
                    <w:sz w:val="22"/>
                    <w:szCs w:val="22"/>
                    <w:lang w:eastAsia="lt-LT"/>
                  </w:rPr>
                  <w:t>1) priimti vandenilio įmonėms privalomus sprendimus; </w:t>
                </w:r>
              </w:p>
              <w:p>
                <w:pPr>
                  <w:ind w:firstLine="17"/>
                  <w:jc w:val="both"/>
                  <w:rPr>
                    <w:b/>
                    <w:color w:val="000000"/>
                    <w:sz w:val="22"/>
                    <w:szCs w:val="22"/>
                    <w:lang w:eastAsia="lt-LT"/>
                  </w:rPr>
                </w:pPr>
                <w:r>
                  <w:rPr>
                    <w:b/>
                    <w:color w:val="000000"/>
                    <w:sz w:val="22"/>
                    <w:szCs w:val="22"/>
                    <w:lang w:eastAsia="lt-LT"/>
                  </w:rPr>
                  <w:t>2) atlikti vandenilio rinkų veikimo tyrimą ir nuspręsti, kokių reikia imtis būtinų ir proporcingų priemonių veiksmingai konkurencijai skatinti bei tinkamam vandenilio rinkų veikimui užtikrinti, bei nustatyti šias priemones ir esant poreikiui</w:t>
                </w:r>
                <w:r>
                  <w:rPr>
                    <w:b/>
                    <w:color w:val="000000"/>
                    <w:sz w:val="22"/>
                    <w:szCs w:val="22"/>
                    <w:u w:val="single"/>
                    <w:lang w:eastAsia="lt-LT"/>
                  </w:rPr>
                  <w:t>,</w:t>
                </w:r>
                <w:r>
                  <w:rPr>
                    <w:b/>
                    <w:color w:val="000000"/>
                    <w:sz w:val="22"/>
                    <w:szCs w:val="22"/>
                    <w:lang w:eastAsia="lt-LT"/>
                  </w:rPr>
                  <w:t> bendradarbiauti su Konkurencijos taryba ir kitomis priežiūros institucijomis; </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sz w:val="22"/>
                    <w:szCs w:val="22"/>
                    <w:lang w:eastAsia="lt-LT"/>
                  </w:rPr>
                </w:pPr>
                <w:r>
                  <w:rPr>
                    <w:sz w:val="22"/>
                    <w:szCs w:val="22"/>
                    <w:lang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r>
                  <w:rPr>
                    <w:b/>
                    <w:bCs/>
                    <w:color w:val="000000"/>
                    <w:sz w:val="22"/>
                    <w:szCs w:val="22"/>
                    <w:lang w:eastAsia="lt-LT"/>
                  </w:rPr>
                  <w:t>9 straipsnis. Kainų reguliavimas</w:t>
                </w:r>
              </w:p>
              <w:p>
                <w:pPr>
                  <w:ind w:firstLine="17"/>
                  <w:jc w:val="both"/>
                  <w:rPr>
                    <w:color w:val="000000"/>
                    <w:sz w:val="22"/>
                    <w:szCs w:val="22"/>
                    <w:lang w:eastAsia="lt-LT"/>
                  </w:rPr>
                </w:pPr>
                <w:r>
                  <w:rPr>
                    <w:color w:val="000000"/>
                    <w:sz w:val="22"/>
                    <w:szCs w:val="22"/>
                    <w:lang w:eastAsia="lt-LT"/>
                  </w:rPr>
                  <w:t>1. Gamtinių dujų sektoriuje nustatydama viršutines paslaugų kainų ir (ar) pajamų ribas, Taryba reguliuoja perdavimo, skirstymo, laikymo ir SGD pakartotinio dujinimo paslaugų kainas.</w:t>
                </w:r>
              </w:p>
              <w:p>
                <w:pPr>
                  <w:ind w:firstLine="17"/>
                  <w:jc w:val="both"/>
                  <w:rPr>
                    <w:color w:val="000000"/>
                    <w:sz w:val="22"/>
                    <w:szCs w:val="22"/>
                    <w:lang w:eastAsia="lt-LT"/>
                  </w:rPr>
                </w:pPr>
                <w:r>
                  <w:rPr>
                    <w:color w:val="000000"/>
                    <w:sz w:val="22"/>
                    <w:szCs w:val="22"/>
                    <w:lang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2" w:tgtFrame="_parent" w:history="1">
                  <w:r>
                    <w:rPr>
                      <w:i/>
                      <w:iCs/>
                      <w:color w:val="467886"/>
                      <w:sz w:val="22"/>
                      <w:szCs w:val="22"/>
                      <w:u w:val="single"/>
                      <w:lang w:eastAsia="lt-LT"/>
                    </w:rPr>
                    <w:t>XIII-3140</w:t>
                  </w:r>
                </w:hyperlink>
                <w:r>
                  <w:rPr>
                    <w:i/>
                    <w:iCs/>
                    <w:color w:val="000000"/>
                    <w:sz w:val="22"/>
                    <w:szCs w:val="22"/>
                    <w:lang w:eastAsia="lt-LT"/>
                  </w:rPr>
                  <w:t>, 2020-06-25, paskelbta TAR 2020-07-03, i. k. 2020-15002</w:t>
                </w:r>
              </w:p>
              <w:p>
                <w:pPr>
                  <w:ind w:firstLine="17"/>
                  <w:jc w:val="both"/>
                  <w:rPr>
                    <w:color w:val="000000"/>
                    <w:sz w:val="22"/>
                    <w:szCs w:val="22"/>
                    <w:lang w:eastAsia="lt-LT"/>
                  </w:rPr>
                </w:pPr>
                <w:r>
                  <w:rPr>
                    <w:i/>
                    <w:iCs/>
                    <w:color w:val="000000"/>
                    <w:sz w:val="22"/>
                    <w:szCs w:val="22"/>
                    <w:lang w:eastAsia="lt-LT"/>
                  </w:rPr>
                  <w:t>Nr. </w:t>
                </w:r>
                <w:hyperlink r:id="rId143" w:tgtFrame="_parent" w:history="1">
                  <w:r>
                    <w:rPr>
                      <w:i/>
                      <w:iCs/>
                      <w:color w:val="467886"/>
                      <w:sz w:val="22"/>
                      <w:szCs w:val="22"/>
                      <w:u w:val="single"/>
                      <w:lang w:eastAsia="lt-LT"/>
                    </w:rPr>
                    <w:t>XV-166</w:t>
                  </w:r>
                </w:hyperlink>
                <w:r>
                  <w:rPr>
                    <w:i/>
                    <w:iCs/>
                    <w:color w:val="000000"/>
                    <w:sz w:val="22"/>
                    <w:szCs w:val="22"/>
                    <w:lang w:eastAsia="lt-LT"/>
                  </w:rPr>
                  <w:t>, 2025-04-17, paskelbta TAR 2025-04-25, i. k. 2025-07424</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 Taryba rengia ir tvirtina šio straipsnio 1 ir 2 dalyse nurodytų paslaugų kainų nustatymo metodikas.</w:t>
                </w:r>
              </w:p>
              <w:p>
                <w:pPr>
                  <w:ind w:firstLine="17"/>
                  <w:jc w:val="both"/>
                  <w:rPr>
                    <w:color w:val="000000"/>
                    <w:sz w:val="22"/>
                    <w:szCs w:val="22"/>
                    <w:lang w:eastAsia="lt-LT"/>
                  </w:rPr>
                </w:pPr>
                <w:r>
                  <w:rPr>
                    <w:color w:val="000000"/>
                    <w:sz w:val="22"/>
                    <w:szCs w:val="22"/>
                    <w:lang w:eastAsia="lt-LT"/>
                  </w:rPr>
                  <w:t>&lt;...&gt;</w:t>
                </w:r>
              </w:p>
              <w:p>
                <w:pPr>
                  <w:ind w:firstLine="17"/>
                  <w:jc w:val="both"/>
                  <w:rPr>
                    <w:sz w:val="22"/>
                    <w:szCs w:val="22"/>
                    <w:lang w:eastAsia="lt-LT"/>
                  </w:rPr>
                </w:pPr>
              </w:p>
              <w:p>
                <w:pPr>
                  <w:ind w:firstLine="17"/>
                  <w:jc w:val="both"/>
                  <w:rPr>
                    <w:color w:val="000000"/>
                    <w:sz w:val="22"/>
                    <w:szCs w:val="22"/>
                    <w:lang w:eastAsia="lt-LT"/>
                  </w:rPr>
                </w:pPr>
                <w:r>
                  <w:rPr>
                    <w:color w:val="000000"/>
                    <w:sz w:val="22"/>
                    <w:szCs w:val="22"/>
                    <w:lang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ind w:firstLine="17"/>
                  <w:jc w:val="both"/>
                  <w:rPr>
                    <w:color w:val="000000"/>
                    <w:sz w:val="22"/>
                    <w:szCs w:val="22"/>
                    <w:lang w:eastAsia="lt-LT"/>
                  </w:rPr>
                </w:pPr>
                <w:r>
                  <w:rPr>
                    <w:color w:val="000000"/>
                    <w:sz w:val="22"/>
                    <w:szCs w:val="22"/>
                    <w:lang w:eastAsia="lt-LT"/>
                  </w:rPr>
                  <w:t>7. Taryba, pagal šio straipsnio 6 dalį reguliuodama gamtinių dujų tiekimo kainas, turi teisę dujų įmonei taikyti šio straipsnio 4 dalyje nurodytas priemones.</w:t>
                </w:r>
              </w:p>
              <w:p>
                <w:pPr>
                  <w:ind w:firstLine="17"/>
                  <w:jc w:val="both"/>
                  <w:rPr>
                    <w:sz w:val="22"/>
                    <w:szCs w:val="22"/>
                    <w:lang w:eastAsia="lt-LT"/>
                  </w:rPr>
                </w:pPr>
                <w:r>
                  <w:rPr>
                    <w:sz w:val="22"/>
                    <w:szCs w:val="22"/>
                    <w:lang w:eastAsia="lt-LT"/>
                  </w:rPr>
                  <w:t>&lt;...&gt;</w:t>
                </w:r>
              </w:p>
              <w:p>
                <w:pPr>
                  <w:ind w:firstLine="17"/>
                  <w:jc w:val="both"/>
                  <w:rPr>
                    <w:sz w:val="22"/>
                    <w:szCs w:val="22"/>
                    <w:lang w:eastAsia="lt-LT"/>
                  </w:rPr>
                </w:pPr>
                <w:r>
                  <w:rPr>
                    <w:sz w:val="22"/>
                    <w:szCs w:val="22"/>
                    <w:lang w:eastAsia="lt-LT"/>
                  </w:rPr>
                  <w:t>9. Taryba, motyvuotai nusprendusi, kad, net ir įgyvendinus šio straipsnio 4 dalyje nustatytus reikalavimus, veiksminga konkurencija gamtinių dujų tiekimo rinkoje nebus užtikrinta, didelę įtaką gamtinių dujų tiekimo rinkoje turinčiam asmeniui gali nustatyti pagrįstus ir proporcingus įpareigojimus, įskaitant įpareigojimą nesudaryti kliūčių kitiems rinkos dalyviams patekti į rinką ar neriboti konkurencijos nustatant nepagrįstas kainas, nedaryti geresnių sąlygų atskiriems vartotojams ar nepagrįstai neteikti paslaugų, taip pat įpareigojimus užtikrinti Tarybos nustatytą paslaugų kokybę. Taryba, siekdama apsaugoti vartotojų interesus ir skatinti veiksmingą konkurenciją, turi teisę didelę įtaką dujų tiekimo rinkoje turinčiam asmeniui taikyti individualias kainų kontrolės priemones ir įpareigojimus kainas grįsti sąnaudomis ar kainomis, nustatomomis palyginamose rinkose.</w:t>
                </w:r>
              </w:p>
              <w:p>
                <w:pPr>
                  <w:ind w:firstLine="17"/>
                  <w:jc w:val="both"/>
                  <w:rPr>
                    <w:sz w:val="22"/>
                    <w:szCs w:val="22"/>
                    <w:lang w:eastAsia="lt-LT"/>
                  </w:rPr>
                </w:pPr>
              </w:p>
              <w:p>
                <w:pPr>
                  <w:ind w:firstLine="17"/>
                  <w:jc w:val="both"/>
                  <w:rPr>
                    <w:color w:val="000000"/>
                    <w:sz w:val="22"/>
                    <w:szCs w:val="22"/>
                    <w:lang w:eastAsia="lt-LT"/>
                  </w:rPr>
                </w:pPr>
                <w:r>
                  <w:rPr>
                    <w:b/>
                    <w:bCs/>
                    <w:color w:val="000000"/>
                    <w:sz w:val="22"/>
                    <w:szCs w:val="22"/>
                    <w:lang w:eastAsia="lt-LT"/>
                  </w:rPr>
                  <w:t>12 straipsnis.</w:t>
                </w:r>
                <w:r>
                  <w:rPr>
                    <w:color w:val="000000"/>
                    <w:sz w:val="22"/>
                    <w:szCs w:val="22"/>
                    <w:lang w:eastAsia="lt-LT"/>
                  </w:rPr>
                  <w:t> </w:t>
                </w:r>
                <w:r>
                  <w:rPr>
                    <w:b/>
                    <w:bCs/>
                    <w:color w:val="000000"/>
                    <w:sz w:val="22"/>
                    <w:szCs w:val="22"/>
                    <w:lang w:eastAsia="lt-LT"/>
                  </w:rPr>
                  <w:t>Didelė įtaka atitinkamoje gamtinių dujų tiekimo rinkoje</w:t>
                </w:r>
              </w:p>
              <w:p>
                <w:pPr>
                  <w:ind w:firstLine="17"/>
                  <w:jc w:val="both"/>
                  <w:rPr>
                    <w:color w:val="000000"/>
                    <w:sz w:val="22"/>
                    <w:szCs w:val="22"/>
                    <w:lang w:eastAsia="lt-LT"/>
                  </w:rPr>
                </w:pPr>
                <w:r>
                  <w:rPr>
                    <w:color w:val="000000"/>
                    <w:sz w:val="22"/>
                    <w:szCs w:val="22"/>
                    <w:lang w:eastAsia="lt-LT"/>
                  </w:rPr>
                  <w:t>1. Asmuo laikomas turinčiu didelę įtaką atitinkamoje</w:t>
                </w:r>
                <w:r>
                  <w:rPr>
                    <w:b/>
                    <w:bCs/>
                    <w:color w:val="000000"/>
                    <w:sz w:val="22"/>
                    <w:szCs w:val="22"/>
                    <w:lang w:eastAsia="lt-LT"/>
                  </w:rPr>
                  <w:t> </w:t>
                </w:r>
                <w:r>
                  <w:rPr>
                    <w:color w:val="000000"/>
                    <w:sz w:val="22"/>
                    <w:szCs w:val="22"/>
                    <w:lang w:eastAsia="lt-LT"/>
                  </w:rPr>
                  <w:t>gamtinių dujų tiekimo rinkoje arba atitinkamoje gamtinių dujų tiekimo rinkos dalyje, jeigu jis vienas ar kartu su kitais susijusiais asmenimis užima padėtį, prilygintiną dominuojančiai, tai yra tokią ekonominės galios padėtį, kuri suteikia jam galią elgtis nepriklausomai nuo konkurentų ir paslaugų gavėjų (vartotojų).</w:t>
                </w:r>
              </w:p>
              <w:p>
                <w:pPr>
                  <w:ind w:firstLine="17"/>
                  <w:jc w:val="both"/>
                  <w:rPr>
                    <w:color w:val="000000"/>
                    <w:sz w:val="22"/>
                    <w:szCs w:val="22"/>
                    <w:lang w:eastAsia="lt-LT"/>
                  </w:rPr>
                </w:pPr>
                <w:r>
                  <w:rPr>
                    <w:color w:val="000000"/>
                    <w:sz w:val="22"/>
                    <w:szCs w:val="22"/>
                    <w:lang w:eastAsia="lt-LT"/>
                  </w:rPr>
                  <w:t>2. Kai asmuo, veikiantis gamtinių dujų sektoriuje, turi didelę įtaką vienoje gamtinių dujų tiekimo rinkoje arba gamtinių dujų tiekimo rinkos dalyje, jis gali būti laikomas turinčiu didelę įtaką susijusioje gamtinių dujų tiekimo rinkoje arba gamtinių dujų tiekimo rinkos dalyje, jeigu sąsajos tarp šių dviejų rinkų leidžia vienoje gamtinių dujų tiekimo rinkoje turimą įtaką panaudoti kitoje gamtinių dujų tiekimo rinkoje ir taip sustiprinti savo įtaką susijusioje gamtinių dujų tiekimo rinkoje.</w:t>
                </w:r>
              </w:p>
              <w:p>
                <w:pPr>
                  <w:ind w:firstLine="17"/>
                  <w:jc w:val="both"/>
                  <w:rPr>
                    <w:color w:val="000000"/>
                    <w:sz w:val="22"/>
                    <w:szCs w:val="22"/>
                    <w:lang w:eastAsia="lt-LT"/>
                  </w:rPr>
                </w:pPr>
                <w:r>
                  <w:rPr>
                    <w:color w:val="000000"/>
                    <w:sz w:val="22"/>
                    <w:szCs w:val="22"/>
                    <w:lang w:eastAsia="lt-LT"/>
                  </w:rPr>
                  <w:t>3. Asmuo, veikiantis gamtinių dujų sektoriuje, laikomas turinčiu didelę įtaką atitinkamoje gamtinių dujų tiekimo rinkoje arba atitinkamoje gamtinių dujų tiekimo rinkos dalyje, kai, atlikus rinkos tyrimą, tai nustatoma Tarybos sprendimu. Toks sprendimas galioja tol, kol kito gamtinių dujų tiekimo rinkos tyrimo metu Tarybos sprendimu nustatoma, kad šis asmuo didelės įtakos atitinkamoje gamtinių dujų tiekimo rinkoje arba gamtinių dujų tiekimo rinkos dalyje neturi.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4" w:tgtFrame="_parent" w:history="1">
                  <w:r>
                    <w:rPr>
                      <w:i/>
                      <w:iCs/>
                      <w:color w:val="467886"/>
                      <w:sz w:val="22"/>
                      <w:szCs w:val="22"/>
                      <w:u w:val="single"/>
                      <w:lang w:eastAsia="lt-LT"/>
                    </w:rPr>
                    <w:t>XIII-1971</w:t>
                  </w:r>
                </w:hyperlink>
                <w:r>
                  <w:rPr>
                    <w:i/>
                    <w:iCs/>
                    <w:color w:val="000000"/>
                    <w:sz w:val="22"/>
                    <w:szCs w:val="22"/>
                    <w:lang w:eastAsia="lt-LT"/>
                  </w:rPr>
                  <w:t>, 2019-02-14, paskelbta TAR 2019-02-26, i. k. 2019-03169</w:t>
                </w:r>
              </w:p>
              <w:p>
                <w:pPr>
                  <w:ind w:firstLine="17"/>
                  <w:jc w:val="both"/>
                  <w:rPr>
                    <w:b/>
                    <w:sz w:val="22"/>
                    <w:szCs w:val="22"/>
                    <w:lang w:eastAsia="lt-LT"/>
                  </w:rPr>
                </w:pPr>
              </w:p>
              <w:p>
                <w:pPr>
                  <w:ind w:firstLine="17"/>
                  <w:jc w:val="both"/>
                  <w:rPr>
                    <w:sz w:val="22"/>
                    <w:szCs w:val="22"/>
                    <w:lang w:eastAsia="lt-LT"/>
                  </w:rPr>
                </w:pPr>
              </w:p>
              <w:p>
                <w:pPr>
                  <w:ind w:firstLine="17"/>
                  <w:jc w:val="both"/>
                  <w:rPr>
                    <w:sz w:val="22"/>
                    <w:szCs w:val="22"/>
                    <w:lang w:eastAsia="lt-LT"/>
                  </w:rPr>
                </w:pP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w:t>
                </w:r>
                <w:r>
                  <w:rPr>
                    <w:sz w:val="22"/>
                    <w:szCs w:val="22"/>
                    <w:lang w:eastAsia="lt-LT"/>
                  </w:rPr>
                  <w:t>Valstybės narės užtikrina, kad būtų imtasi tinkamų priemonių, įskaitant patraukimą atsakomybėn administracine ar baudžiamąja tvarka pagal jų nacionalinę teisę, prieš atsakingus fizinius ar juridinius asmenis, nesilaikančius šia direktyva nustatytų konfidencialumo taisyklių.</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56 straipsnis. Atsakomybė</w:t>
                </w:r>
              </w:p>
              <w:p>
                <w:pPr>
                  <w:ind w:right="57"/>
                  <w:jc w:val="both"/>
                  <w:rPr>
                    <w:b/>
                    <w:bCs/>
                    <w:color w:val="000000"/>
                    <w:sz w:val="22"/>
                    <w:szCs w:val="22"/>
                    <w:lang w:eastAsia="lt-LT"/>
                  </w:rPr>
                </w:pPr>
                <w:r>
                  <w:rPr>
                    <w:b/>
                    <w:bCs/>
                    <w:color w:val="000000"/>
                    <w:sz w:val="22"/>
                    <w:szCs w:val="22"/>
                    <w:lang w:eastAsia="lt-LT"/>
                  </w:rPr>
                  <w:t>Asmenys, pažeidę šio įstatymo reikalavimus, atsako Energetikos įstatymo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35 straipsnis. Atsakomybė</w:t>
                </w:r>
              </w:p>
              <w:p>
                <w:pPr>
                  <w:jc w:val="both"/>
                  <w:rPr>
                    <w:color w:val="000000"/>
                    <w:sz w:val="22"/>
                    <w:szCs w:val="22"/>
                    <w:lang w:val="lt" w:eastAsia="lt-LT"/>
                  </w:rPr>
                </w:pPr>
                <w:r>
                  <w:rPr>
                    <w:color w:val="000000"/>
                    <w:sz w:val="22"/>
                    <w:szCs w:val="22"/>
                    <w:lang w:val="lt" w:eastAsia="lt-LT"/>
                  </w:rPr>
                  <w:t>Asmenys, nesilaikantys ar nevykdantys šio įstatymo reikalavimų, atsako šio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baudžiamasis kodeksas</w:t>
                </w:r>
              </w:p>
              <w:p>
                <w:pPr>
                  <w:ind w:right="57"/>
                  <w:jc w:val="both"/>
                  <w:rPr>
                    <w:b/>
                    <w:bCs/>
                    <w:color w:val="000000"/>
                    <w:sz w:val="22"/>
                    <w:szCs w:val="22"/>
                    <w:lang w:eastAsia="lt-LT"/>
                  </w:rPr>
                </w:pPr>
                <w:r>
                  <w:rPr>
                    <w:b/>
                    <w:bCs/>
                    <w:color w:val="000000"/>
                    <w:sz w:val="22"/>
                    <w:szCs w:val="22"/>
                    <w:lang w:eastAsia="lt-LT"/>
                  </w:rPr>
                  <w:t>211 straipsnis. Komercinės paslapties atskleidimas</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Tas, kas atskleidė komercine paslaptimi laikomą informaciją, kuri jam buvo patikėta ar kurią jis sužinojo dėl savo tarnybos ar darbo, jeigu ši veika padarė didelės turtinės žalos nukentėjusiam asmeniui,</w:t>
                </w:r>
              </w:p>
              <w:p>
                <w:pPr>
                  <w:ind w:right="57"/>
                  <w:jc w:val="both"/>
                  <w:rPr>
                    <w:b/>
                    <w:bCs/>
                    <w:color w:val="000000"/>
                    <w:sz w:val="22"/>
                    <w:szCs w:val="22"/>
                    <w:lang w:eastAsia="lt-LT"/>
                  </w:rPr>
                </w:pPr>
                <w:r>
                  <w:rPr>
                    <w:color w:val="000000"/>
                    <w:sz w:val="22"/>
                    <w:szCs w:val="22"/>
                    <w:lang w:eastAsia="lt-LT"/>
                  </w:rPr>
                  <w:t>baudžiamas viešaisiais darbais arba bauda, arba laisvės apribojimu, arba areštu, arba laisvės atėmimu iki dvejų metų</w:t>
                </w:r>
                <w:r>
                  <w:rPr>
                    <w:b/>
                    <w:bCs/>
                    <w:color w:val="000000"/>
                    <w:sz w:val="22"/>
                    <w:szCs w:val="22"/>
                    <w:lang w:eastAsia="lt-LT"/>
                  </w:rPr>
                  <w: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komercinių paslapčių teisinės apsaugos įstatymas</w:t>
                </w:r>
              </w:p>
              <w:p>
                <w:pPr>
                  <w:ind w:right="57"/>
                  <w:jc w:val="both"/>
                  <w:rPr>
                    <w:b/>
                    <w:color w:val="000000"/>
                    <w:sz w:val="22"/>
                    <w:szCs w:val="22"/>
                    <w:lang w:eastAsia="lt-LT"/>
                  </w:rPr>
                </w:pPr>
                <w:r>
                  <w:rPr>
                    <w:b/>
                    <w:color w:val="000000"/>
                    <w:sz w:val="22"/>
                    <w:szCs w:val="22"/>
                    <w:lang w:eastAsia="lt-LT"/>
                  </w:rPr>
                  <w:t>7 straipsnis. Teisių gynimo būdai</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1. Komercinės paslapties neteisėto gavimo, naudojimo ar atskleidimo atveju komercinės paslapties turėtojas turi teisę Civilinio proceso kodekse nustatyta tvarka kreiptis į teismą dėl teisių gynimo ir reikalauti:</w:t>
                </w:r>
              </w:p>
              <w:p>
                <w:pPr>
                  <w:ind w:right="57"/>
                  <w:jc w:val="both"/>
                  <w:rPr>
                    <w:color w:val="000000"/>
                    <w:sz w:val="22"/>
                    <w:szCs w:val="22"/>
                    <w:lang w:eastAsia="lt-LT"/>
                  </w:rPr>
                </w:pPr>
                <w:r>
                  <w:rPr>
                    <w:color w:val="000000"/>
                    <w:sz w:val="22"/>
                    <w:szCs w:val="22"/>
                    <w:lang w:eastAsia="lt-LT"/>
                  </w:rPr>
                  <w:t>1) nutraukti arba uždrausti komercinės paslapties naudojimą ar atskleidimą;</w:t>
                </w:r>
              </w:p>
              <w:p>
                <w:pPr>
                  <w:ind w:right="57"/>
                  <w:jc w:val="both"/>
                  <w:rPr>
                    <w:color w:val="000000"/>
                    <w:sz w:val="22"/>
                    <w:szCs w:val="22"/>
                    <w:lang w:eastAsia="lt-LT"/>
                  </w:rPr>
                </w:pPr>
                <w:r>
                  <w:rPr>
                    <w:color w:val="000000"/>
                    <w:sz w:val="22"/>
                    <w:szCs w:val="22"/>
                    <w:lang w:eastAsia="lt-LT"/>
                  </w:rPr>
                  <w:t>2) uždrausti gaminti, siūlyti, pateikti rinkai ar naudoti su komercinės paslapties pažeidimu susijusias prekes arba jas importuoti, eksportuoti ar saugoti šiais tikslais;</w:t>
                </w:r>
              </w:p>
              <w:p>
                <w:pPr>
                  <w:ind w:right="57"/>
                  <w:jc w:val="both"/>
                  <w:rPr>
                    <w:color w:val="000000"/>
                    <w:sz w:val="22"/>
                    <w:szCs w:val="22"/>
                    <w:lang w:eastAsia="lt-LT"/>
                  </w:rPr>
                </w:pPr>
                <w:r>
                  <w:rPr>
                    <w:color w:val="000000"/>
                    <w:sz w:val="22"/>
                    <w:szCs w:val="22"/>
                    <w:lang w:eastAsia="lt-LT"/>
                  </w:rPr>
                  <w:t>3) atšaukti iš rinkos su komercinės paslapties pažeidimu susijusias prekes;</w:t>
                </w:r>
              </w:p>
              <w:p>
                <w:pPr>
                  <w:ind w:right="57"/>
                  <w:jc w:val="both"/>
                  <w:rPr>
                    <w:color w:val="000000"/>
                    <w:sz w:val="22"/>
                    <w:szCs w:val="22"/>
                    <w:lang w:eastAsia="lt-LT"/>
                  </w:rPr>
                </w:pPr>
                <w:r>
                  <w:rPr>
                    <w:color w:val="000000"/>
                    <w:sz w:val="22"/>
                    <w:szCs w:val="22"/>
                    <w:lang w:eastAsia="lt-LT"/>
                  </w:rPr>
                  <w:t>4) pašalinti su komercinės paslapties pažeidimu susijusių prekių savybę, dėl kurios pažeidžiama komercinė paslaptis;</w:t>
                </w:r>
              </w:p>
              <w:p>
                <w:pPr>
                  <w:ind w:right="57"/>
                  <w:jc w:val="both"/>
                  <w:rPr>
                    <w:color w:val="000000"/>
                    <w:sz w:val="22"/>
                    <w:szCs w:val="22"/>
                    <w:lang w:eastAsia="lt-LT"/>
                  </w:rPr>
                </w:pPr>
                <w:r>
                  <w:rPr>
                    <w:color w:val="000000"/>
                    <w:sz w:val="22"/>
                    <w:szCs w:val="22"/>
                    <w:lang w:eastAsia="lt-LT"/>
                  </w:rPr>
                  <w:t>5) sunaikinti su komercinės paslapties pažeidimu susijusias prekes arba jas pašalinti iš rinkos, jeigu pašalinimu nepažeidžiama komercinės paslapties apsauga;</w:t>
                </w:r>
              </w:p>
              <w:p>
                <w:pPr>
                  <w:ind w:right="57"/>
                  <w:jc w:val="both"/>
                  <w:rPr>
                    <w:color w:val="000000"/>
                    <w:sz w:val="22"/>
                    <w:szCs w:val="22"/>
                    <w:lang w:eastAsia="lt-LT"/>
                  </w:rPr>
                </w:pPr>
                <w:r>
                  <w:rPr>
                    <w:color w:val="000000"/>
                    <w:sz w:val="22"/>
                    <w:szCs w:val="22"/>
                    <w:lang w:eastAsia="lt-LT"/>
                  </w:rPr>
                  <w:t>6) sunaikinti visus arba dalį dokumentų, objektų, medžiagų ar elektroninių bylų, kuriuose yra arba kurie patys yra komercinė paslaptis, arba pateikti komercinės paslapties turėtojui visus arba dalį šių dokumentų, objektų, medžiagų ar elektroninių bylų;</w:t>
                </w:r>
              </w:p>
              <w:p>
                <w:pPr>
                  <w:ind w:right="57"/>
                  <w:jc w:val="both"/>
                  <w:rPr>
                    <w:color w:val="000000"/>
                    <w:sz w:val="22"/>
                    <w:szCs w:val="22"/>
                    <w:lang w:eastAsia="lt-LT"/>
                  </w:rPr>
                </w:pPr>
                <w:r>
                  <w:rPr>
                    <w:color w:val="000000"/>
                    <w:sz w:val="22"/>
                    <w:szCs w:val="22"/>
                    <w:lang w:eastAsia="lt-LT"/>
                  </w:rPr>
                  <w:t>7) atlyginti turtinę ir neturtinę žalą.</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asmens duomenų apsaugos įstatymas</w:t>
                </w:r>
              </w:p>
              <w:p>
                <w:pPr>
                  <w:ind w:right="57"/>
                  <w:jc w:val="both"/>
                  <w:rPr>
                    <w:b/>
                    <w:bCs/>
                    <w:color w:val="000000"/>
                    <w:sz w:val="22"/>
                    <w:szCs w:val="22"/>
                    <w:lang w:eastAsia="lt-LT"/>
                  </w:rPr>
                </w:pPr>
                <w:r>
                  <w:rPr>
                    <w:b/>
                    <w:bCs/>
                    <w:color w:val="000000"/>
                    <w:sz w:val="22"/>
                    <w:szCs w:val="22"/>
                    <w:lang w:eastAsia="lt-LT"/>
                  </w:rPr>
                  <w:t>32 straipsnis. Administracinių baudų skyrimo tvarka</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 xml:space="preserve">1. Priežiūros institucija už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šio įstatymo pažeidimus administracines baudas skiria vadovaudamasi Reglamentu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šiuo įstatymu.</w:t>
                </w:r>
              </w:p>
              <w:p>
                <w:pPr>
                  <w:ind w:right="57"/>
                  <w:jc w:val="both"/>
                  <w:rPr>
                    <w:color w:val="000000"/>
                    <w:sz w:val="22"/>
                    <w:szCs w:val="22"/>
                    <w:lang w:eastAsia="lt-LT"/>
                  </w:rPr>
                </w:pPr>
                <w:r>
                  <w:rPr>
                    <w:color w:val="000000"/>
                    <w:sz w:val="22"/>
                    <w:szCs w:val="22"/>
                    <w:lang w:eastAsia="lt-LT"/>
                  </w:rPr>
                  <w:t>2. Kai administracinė bauda skiriama pagal šio įstatymo </w:t>
                </w:r>
                <w:r>
                  <w:rPr>
                    <w:i/>
                    <w:iCs/>
                    <w:color w:val="467886"/>
                    <w:sz w:val="22"/>
                    <w:szCs w:val="22"/>
                    <w:u w:val="single"/>
                    <w:lang w:eastAsia="lt-LT"/>
                  </w:rPr>
                  <w:t>32</w:t>
                </w:r>
                <w:r>
                  <w:rPr>
                    <w:i/>
                    <w:iCs/>
                    <w:color w:val="467886"/>
                    <w:sz w:val="22"/>
                    <w:szCs w:val="22"/>
                    <w:u w:val="single"/>
                    <w:vertAlign w:val="superscript"/>
                    <w:lang w:eastAsia="lt-LT"/>
                  </w:rPr>
                  <w:t>1</w:t>
                </w:r>
                <w:r>
                  <w:rPr>
                    <w:color w:val="000000"/>
                    <w:sz w:val="22"/>
                    <w:szCs w:val="22"/>
                    <w:lang w:eastAsia="lt-LT"/>
                  </w:rPr>
                  <w:t> straipsnį, vadovaujamasi šio straipsnio 1 dalyje nustatyta tvarka.</w:t>
                </w:r>
              </w:p>
              <w:p>
                <w:pPr>
                  <w:ind w:right="57"/>
                  <w:jc w:val="both"/>
                  <w:rPr>
                    <w:color w:val="000000"/>
                    <w:sz w:val="22"/>
                    <w:szCs w:val="22"/>
                    <w:lang w:eastAsia="lt-LT"/>
                  </w:rPr>
                </w:pPr>
                <w:r>
                  <w:rPr>
                    <w:color w:val="000000"/>
                    <w:sz w:val="22"/>
                    <w:szCs w:val="22"/>
                    <w:lang w:eastAsia="lt-LT"/>
                  </w:rPr>
                  <w:t>3. Administracines baudas pagal kompetenciją skiria </w:t>
                </w:r>
                <w:r>
                  <w:rPr>
                    <w:i/>
                    <w:iCs/>
                    <w:color w:val="467886"/>
                    <w:sz w:val="22"/>
                    <w:szCs w:val="22"/>
                    <w:u w:val="single"/>
                    <w:lang w:eastAsia="lt-LT"/>
                  </w:rPr>
                  <w:t>Valstybinės duomenų apsaugos inspekcijos</w:t>
                </w:r>
                <w:r>
                  <w:rPr>
                    <w:color w:val="000000"/>
                    <w:sz w:val="22"/>
                    <w:szCs w:val="22"/>
                    <w:lang w:eastAsia="lt-LT"/>
                  </w:rPr>
                  <w:t> direktorius arba žurnalistų etikos inspektorius ar jų įgaliotas asmuo.</w:t>
                </w:r>
              </w:p>
              <w:p>
                <w:pPr>
                  <w:ind w:right="57"/>
                  <w:jc w:val="both"/>
                  <w:rPr>
                    <w:color w:val="000000"/>
                    <w:sz w:val="22"/>
                    <w:szCs w:val="22"/>
                    <w:lang w:eastAsia="lt-LT"/>
                  </w:rPr>
                </w:pPr>
                <w:r>
                  <w:rPr>
                    <w:color w:val="000000"/>
                    <w:sz w:val="22"/>
                    <w:szCs w:val="22"/>
                    <w:lang w:eastAsia="lt-LT"/>
                  </w:rPr>
                  <w:t>4. Sprendimas dėl administracinės baudos skyrimo gali būti priimtas, jeigu praėjo ne daugiau kaip 3 metai nuo pažeidimo padarymo dienos, o kai pažeidimas trunkamasis, – nuo jo paaiškėjimo dienos.</w:t>
                </w:r>
              </w:p>
              <w:p>
                <w:pPr>
                  <w:ind w:right="57"/>
                  <w:jc w:val="both"/>
                  <w:rPr>
                    <w:color w:val="000000"/>
                    <w:sz w:val="22"/>
                    <w:szCs w:val="22"/>
                    <w:lang w:eastAsia="lt-LT"/>
                  </w:rPr>
                </w:pPr>
                <w:r>
                  <w:rPr>
                    <w:color w:val="000000"/>
                    <w:sz w:val="22"/>
                    <w:szCs w:val="22"/>
                    <w:lang w:eastAsia="lt-LT"/>
                  </w:rPr>
                  <w:t xml:space="preserve">5. Kai priežiūros institucija veikia vadovaudamasi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VII skyriaus 1 ir (ar) 2 skirsnių nuostatomis, netaikomi šio įstatymo </w:t>
                </w:r>
                <w:r>
                  <w:rPr>
                    <w:i/>
                    <w:iCs/>
                    <w:color w:val="467886"/>
                    <w:sz w:val="22"/>
                    <w:szCs w:val="22"/>
                    <w:u w:val="single"/>
                    <w:lang w:eastAsia="lt-LT"/>
                  </w:rPr>
                  <w:t>34</w:t>
                </w:r>
                <w:r>
                  <w:rPr>
                    <w:color w:val="000000"/>
                    <w:sz w:val="22"/>
                    <w:szCs w:val="22"/>
                    <w:lang w:eastAsia="lt-LT"/>
                  </w:rPr>
                  <w:t> straipsnio 9 dalyje nustatyti administracinės baudos skyrimo terminai.</w:t>
                </w:r>
              </w:p>
              <w:p>
                <w:pPr>
                  <w:ind w:right="57" w:firstLine="57"/>
                  <w:jc w:val="both"/>
                  <w:rPr>
                    <w:color w:val="000000"/>
                    <w:sz w:val="22"/>
                    <w:szCs w:val="22"/>
                    <w:lang w:eastAsia="lt-LT"/>
                  </w:rPr>
                </w:pPr>
              </w:p>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6. 2 ir 3 dalyse nurodyti skundai nedaro įtakos teisei paduoti apeliaciją pagal Sąjungos arba nacionalinę teisę.</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sz w:val="22"/>
                    <w:szCs w:val="22"/>
                    <w:lang w:eastAsia="lt-LT"/>
                  </w:rPr>
                </w:pPr>
                <w:r>
                  <w:rPr>
                    <w:b/>
                    <w:bCs/>
                    <w:sz w:val="22"/>
                    <w:szCs w:val="22"/>
                    <w:lang w:eastAsia="lt-LT"/>
                  </w:rPr>
                  <w:t>Viešojo administravimo įstatymas</w:t>
                </w:r>
              </w:p>
              <w:p>
                <w:pPr>
                  <w:ind w:firstLine="766"/>
                  <w:jc w:val="both"/>
                  <w:rPr>
                    <w:b/>
                    <w:sz w:val="22"/>
                    <w:szCs w:val="22"/>
                    <w:lang w:eastAsia="lt-LT"/>
                  </w:rPr>
                </w:pPr>
              </w:p>
              <w:p>
                <w:pPr>
                  <w:jc w:val="both"/>
                  <w:rPr>
                    <w:b/>
                    <w:bCs/>
                    <w:sz w:val="22"/>
                    <w:szCs w:val="22"/>
                    <w:lang w:eastAsia="lt-LT"/>
                  </w:rPr>
                </w:pPr>
                <w:r>
                  <w:rPr>
                    <w:b/>
                    <w:bCs/>
                    <w:sz w:val="22"/>
                    <w:szCs w:val="22"/>
                    <w:lang w:eastAsia="lt-LT"/>
                  </w:rPr>
                  <w:t>14 straipsnis. Administracinio sprendimo apskundimas</w:t>
                </w:r>
              </w:p>
              <w:p>
                <w:pPr>
                  <w:ind w:firstLine="823"/>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institucijų priimti sprendimai turi būti visiškai motyvuoti ir pagrįsti, kad būtų galima atlikti teisminę peržiūrą. Sprendimai turi būti prieinami visuomenei, užtikrinant neskelbtinos komercinės informacijos konfidencialumą.</w:t>
                </w:r>
              </w:p>
            </w:tc>
            <w:tc>
              <w:tcPr>
                <w:tcW w:w="9297" w:type="dxa"/>
                <w:vAlign w:val="center"/>
              </w:tcPr>
              <w:p>
                <w:pPr>
                  <w:ind w:firstLine="17"/>
                  <w:jc w:val="both"/>
                  <w:rPr>
                    <w:b/>
                    <w:bCs/>
                    <w:sz w:val="22"/>
                    <w:szCs w:val="22"/>
                    <w:lang w:eastAsia="lt-LT"/>
                  </w:rPr>
                </w:pPr>
                <w:r>
                  <w:rPr>
                    <w:b/>
                    <w:bCs/>
                    <w:color w:val="000000"/>
                    <w:sz w:val="22"/>
                    <w:szCs w:val="22"/>
                    <w:lang w:eastAsia="lt-LT"/>
                  </w:rPr>
                  <w:t>Energetikos įstatymas</w:t>
                </w:r>
              </w:p>
              <w:p>
                <w:pPr>
                  <w:ind w:firstLine="17"/>
                  <w:jc w:val="both"/>
                  <w:rPr>
                    <w:b/>
                    <w:bCs/>
                    <w:sz w:val="22"/>
                    <w:szCs w:val="22"/>
                    <w:lang w:eastAsia="lt-LT"/>
                  </w:rPr>
                </w:pPr>
                <w:r>
                  <w:rPr>
                    <w:b/>
                    <w:bCs/>
                    <w:sz w:val="22"/>
                    <w:szCs w:val="22"/>
                    <w:lang w:eastAsia="lt-LT"/>
                  </w:rPr>
                  <w:t>36 straipsnis. Sankcijos ir jų taikymo tvarka</w:t>
                </w:r>
              </w:p>
              <w:p>
                <w:pPr>
                  <w:ind w:firstLine="17"/>
                  <w:jc w:val="both"/>
                  <w:rPr>
                    <w:b/>
                    <w:bCs/>
                    <w:sz w:val="22"/>
                    <w:szCs w:val="22"/>
                    <w:lang w:eastAsia="lt-LT"/>
                  </w:rPr>
                </w:pPr>
                <w:r>
                  <w:rPr>
                    <w:b/>
                    <w:bCs/>
                    <w:sz w:val="22"/>
                    <w:szCs w:val="22"/>
                    <w:lang w:eastAsia="lt-LT"/>
                  </w:rPr>
                  <w:t>&lt;...&gt;</w:t>
                </w:r>
              </w:p>
              <w:p>
                <w:pPr>
                  <w:ind w:firstLine="17"/>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17"/>
                  <w:jc w:val="both"/>
                  <w:rPr>
                    <w:sz w:val="22"/>
                    <w:szCs w:val="22"/>
                    <w:lang w:eastAsia="lt-LT"/>
                  </w:rPr>
                </w:pPr>
                <w:r>
                  <w:rPr>
                    <w:sz w:val="22"/>
                    <w:szCs w:val="22"/>
                    <w:lang w:eastAsia="lt-LT"/>
                  </w:rPr>
                  <w:t>&lt;...&gt;</w:t>
                </w:r>
              </w:p>
              <w:p>
                <w:pPr>
                  <w:ind w:firstLine="17"/>
                  <w:jc w:val="both"/>
                  <w:rPr>
                    <w:color w:val="000000"/>
                    <w:sz w:val="22"/>
                    <w:szCs w:val="22"/>
                    <w:lang w:val="lt" w:eastAsia="lt-LT"/>
                  </w:rPr>
                </w:pPr>
                <w:r>
                  <w:rPr>
                    <w:b/>
                    <w:bCs/>
                    <w:color w:val="000000"/>
                    <w:sz w:val="22"/>
                    <w:szCs w:val="22"/>
                    <w:lang w:val="lt" w:eastAsia="lt-LT"/>
                  </w:rPr>
                  <w:t>36 straipsnis. Sankcijos ir jų taikymo tvarka</w:t>
                </w:r>
              </w:p>
              <w:p>
                <w:pPr>
                  <w:ind w:firstLine="17"/>
                  <w:jc w:val="both"/>
                  <w:rPr>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10. Taryba atsako už savo nutarimų pagrįstumą ir teisėtumą. Tarybos nutarimai priimami vardiniu balsavimu. Tarybos posėdis yra teisėtas, jeigu jame dalyvauja ne mažiau kaip keturi Tarybos nariai, įskaitant jos pirmininką. Sprendimai priimami posėdyje dalyvaujančių Tarybos narių balsų dauguma. Balsams pasiskirsčius po lygiai, lemia Tarybos pirmininko balsas.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Viešojo administravimo įstatymas</w:t>
                </w:r>
              </w:p>
              <w:p>
                <w:pPr>
                  <w:ind w:firstLine="17"/>
                  <w:jc w:val="both"/>
                  <w:rPr>
                    <w:b/>
                    <w:bCs/>
                    <w:color w:val="000000"/>
                    <w:sz w:val="22"/>
                    <w:szCs w:val="22"/>
                    <w:lang w:val="lt" w:eastAsia="lt-LT"/>
                  </w:rPr>
                </w:pPr>
                <w:r>
                  <w:rPr>
                    <w:b/>
                    <w:bCs/>
                    <w:color w:val="000000"/>
                    <w:sz w:val="22"/>
                    <w:szCs w:val="22"/>
                    <w:lang w:val="lt" w:eastAsia="lt-LT"/>
                  </w:rPr>
                  <w:t>10 straipsnis. Administracinių sprendimų priėmimas</w:t>
                </w:r>
              </w:p>
              <w:p>
                <w:pPr>
                  <w:tabs>
                    <w:tab w:val="left" w:pos="567"/>
                  </w:tabs>
                  <w:ind w:left="32"/>
                  <w:jc w:val="both"/>
                  <w:rPr>
                    <w:color w:val="000000"/>
                    <w:sz w:val="22"/>
                    <w:szCs w:val="22"/>
                    <w:lang w:val="lt" w:eastAsia="lt-LT"/>
                  </w:rPr>
                </w:pPr>
                <w:r>
                  <w:rPr>
                    <w:color w:val="000000"/>
                    <w:sz w:val="22"/>
                    <w:szCs w:val="22"/>
                    <w:lang w:val="lt" w:eastAsia="lt-LT"/>
                  </w:rPr>
                  <w:t>&lt;..&gt;</w:t>
                </w:r>
              </w:p>
              <w:p>
                <w:pPr>
                  <w:ind w:left="720"/>
                  <w:jc w:val="both"/>
                  <w:rPr>
                    <w:b/>
                    <w:bCs/>
                    <w:color w:val="000000"/>
                    <w:sz w:val="22"/>
                    <w:szCs w:val="22"/>
                    <w:lang w:eastAsia="lt-LT"/>
                  </w:rPr>
                </w:pPr>
                <w:r>
                  <w:rPr>
                    <w:b/>
                    <w:bCs/>
                    <w:color w:val="000000"/>
                    <w:sz w:val="22"/>
                    <w:szCs w:val="22"/>
                    <w:lang w:eastAsia="lt-LT"/>
                  </w:rPr>
                  <w:t>5. Administraciniame sprendime turi būti nurodyta:</w:t>
                </w:r>
              </w:p>
              <w:p>
                <w:pPr>
                  <w:tabs>
                    <w:tab w:val="left" w:pos="567"/>
                  </w:tabs>
                  <w:ind w:left="32"/>
                  <w:jc w:val="both"/>
                  <w:rPr>
                    <w:color w:val="000000"/>
                    <w:sz w:val="22"/>
                    <w:szCs w:val="22"/>
                    <w:lang w:eastAsia="lt-LT"/>
                  </w:rPr>
                </w:pPr>
                <w:r>
                  <w:rPr>
                    <w:color w:val="000000"/>
                    <w:sz w:val="22"/>
                    <w:szCs w:val="22"/>
                    <w:lang w:eastAsia="lt-LT"/>
                  </w:rPr>
                  <w:t>&lt;...&gt;</w:t>
                </w:r>
              </w:p>
              <w:p>
                <w:pPr>
                  <w:tabs>
                    <w:tab w:val="left" w:pos="567"/>
                  </w:tabs>
                  <w:ind w:left="32"/>
                  <w:jc w:val="both"/>
                  <w:rPr>
                    <w:color w:val="000000"/>
                    <w:sz w:val="22"/>
                    <w:szCs w:val="22"/>
                    <w:lang w:eastAsia="lt-LT"/>
                  </w:rPr>
                </w:pPr>
                <w:r>
                  <w:rPr>
                    <w:color w:val="000000"/>
                    <w:sz w:val="22"/>
                    <w:szCs w:val="22"/>
                    <w:lang w:eastAsia="lt-LT"/>
                  </w:rPr>
                  <w:t>5) administracinio sprendimo teisinis ir faktinis pagrindas ar kitos administraciniam sprendimui įtakos turėjusios aplinkybės;</w:t>
                </w:r>
              </w:p>
              <w:p>
                <w:pPr>
                  <w:tabs>
                    <w:tab w:val="left" w:pos="567"/>
                  </w:tabs>
                  <w:ind w:left="32"/>
                  <w:jc w:val="both"/>
                  <w:rPr>
                    <w:color w:val="000000"/>
                    <w:sz w:val="22"/>
                    <w:szCs w:val="22"/>
                    <w:lang w:eastAsia="lt-LT"/>
                  </w:rPr>
                </w:pPr>
                <w:r>
                  <w:rPr>
                    <w:color w:val="000000"/>
                    <w:sz w:val="22"/>
                    <w:szCs w:val="22"/>
                    <w:lang w:eastAsia="lt-LT"/>
                  </w:rPr>
                  <w:t>6) administracinio sprendimo motyvai;</w:t>
                </w:r>
              </w:p>
              <w:p>
                <w:pPr>
                  <w:jc w:val="both"/>
                  <w:rPr>
                    <w:color w:val="000000"/>
                    <w:sz w:val="22"/>
                    <w:szCs w:val="22"/>
                    <w:lang w:eastAsia="lt-LT"/>
                  </w:rPr>
                </w:pPr>
                <w:r>
                  <w:rPr>
                    <w:color w:val="000000"/>
                    <w:sz w:val="22"/>
                    <w:szCs w:val="22"/>
                    <w:lang w:eastAsia="lt-LT"/>
                  </w:rPr>
                  <w:t>7) administracinio sprendimo apskundimo tvarka, nurodant konkrečią skundą nagrinėjančią instituciją ar įstaigą, skundo padavimo terminą ir teisės aktą, reglamentuojantį apskundimo tvarką;</w:t>
                </w:r>
              </w:p>
              <w:p>
                <w:pPr>
                  <w:jc w:val="both"/>
                  <w:rPr>
                    <w:b/>
                    <w:bCs/>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Administracinių bylų teisenos įstatymas</w:t>
                </w:r>
              </w:p>
              <w:p>
                <w:pPr>
                  <w:ind w:left="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 straipsnis. Teisė kreiptis į teismą</w:t>
                </w:r>
              </w:p>
              <w:p>
                <w:pPr>
                  <w:jc w:val="both"/>
                  <w:rPr>
                    <w:color w:val="000000"/>
                    <w:sz w:val="22"/>
                    <w:szCs w:val="22"/>
                    <w:lang w:eastAsia="lt-LT"/>
                  </w:rPr>
                </w:pPr>
                <w:r>
                  <w:rPr>
                    <w:color w:val="000000"/>
                    <w:sz w:val="22"/>
                    <w:szCs w:val="22"/>
                    <w:lang w:eastAsia="lt-LT"/>
                  </w:rPr>
                  <w:t>1. Kiekvienas suinteresuotas subjektas turi teisę įstatymų nustatyta tvarka kreiptis į teismą, kad būtų apginta pažeista ar ginčijama jo teisė arba įstatymų saugomas interesas.</w:t>
                </w:r>
              </w:p>
              <w:p>
                <w:pPr>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sz w:val="22"/>
                    <w:szCs w:val="22"/>
                    <w:lang w:eastAsia="lt-LT"/>
                  </w:rPr>
                </w:pPr>
                <w:r>
                  <w:rPr>
                    <w:sz w:val="22"/>
                    <w:szCs w:val="22"/>
                    <w:lang w:eastAsia="lt-LT"/>
                  </w:rPr>
                  <w:t>8. Valstybės narės užtikrina, kad nacionaliniu lygmeniu veiktų tinkami mechanizmai, kuriuos taikant šalis, kuriai reguliavimo institucijos sprendimu daromas poveikis, turėtų teisę pateikti apeliaciją nuo suinteresuotųjų šalių ir nuo bet kokios vyriausybės nepriklausomai institucijai.</w:t>
                </w:r>
              </w:p>
            </w:tc>
            <w:tc>
              <w:tcPr>
                <w:tcW w:w="9297" w:type="dxa"/>
                <w:vAlign w:val="center"/>
              </w:tcPr>
              <w:p>
                <w:pPr>
                  <w:ind w:firstLine="17"/>
                  <w:jc w:val="both"/>
                  <w:rPr>
                    <w:b/>
                    <w:sz w:val="22"/>
                    <w:szCs w:val="22"/>
                    <w:lang w:eastAsia="lt-LT"/>
                  </w:rPr>
                </w:pPr>
                <w:r>
                  <w:rPr>
                    <w:b/>
                    <w:sz w:val="22"/>
                    <w:szCs w:val="22"/>
                    <w:lang w:eastAsia="lt-LT"/>
                  </w:rPr>
                  <w:t>Energetikos įstatymas:</w:t>
                </w:r>
              </w:p>
              <w:p>
                <w:pPr>
                  <w:ind w:firstLine="17"/>
                  <w:jc w:val="both"/>
                  <w:rPr>
                    <w:sz w:val="22"/>
                    <w:szCs w:val="22"/>
                    <w:lang w:eastAsia="lt-LT"/>
                  </w:rPr>
                </w:pPr>
              </w:p>
              <w:p>
                <w:pPr>
                  <w:ind w:firstLine="17"/>
                  <w:jc w:val="both"/>
                  <w:rPr>
                    <w:b/>
                    <w:sz w:val="22"/>
                    <w:szCs w:val="22"/>
                    <w:lang w:eastAsia="lt-LT"/>
                  </w:rPr>
                </w:pPr>
                <w:r>
                  <w:rPr>
                    <w:b/>
                    <w:bCs/>
                    <w:sz w:val="22"/>
                    <w:szCs w:val="22"/>
                    <w:lang w:eastAsia="lt-LT"/>
                  </w:rPr>
                  <w:t>34</w:t>
                </w:r>
                <w:r>
                  <w:rPr>
                    <w:b/>
                    <w:bCs/>
                    <w:sz w:val="22"/>
                    <w:szCs w:val="22"/>
                    <w:vertAlign w:val="superscript"/>
                    <w:lang w:eastAsia="lt-LT"/>
                  </w:rPr>
                  <w:t>1</w:t>
                </w:r>
                <w:r>
                  <w:rPr>
                    <w:b/>
                    <w:sz w:val="22"/>
                    <w:szCs w:val="22"/>
                    <w:lang w:eastAsia="lt-LT"/>
                  </w:rPr>
                  <w:t> straipsnis. Skundų nagrinėjimas</w:t>
                </w:r>
              </w:p>
              <w:p>
                <w:pPr>
                  <w:ind w:firstLine="17"/>
                  <w:jc w:val="both"/>
                  <w:rPr>
                    <w:sz w:val="22"/>
                    <w:szCs w:val="22"/>
                    <w:lang w:eastAsia="lt-LT"/>
                  </w:rPr>
                </w:pPr>
                <w:r>
                  <w:rPr>
                    <w:sz w:val="22"/>
                    <w:szCs w:val="22"/>
                    <w:lang w:eastAsia="lt-LT"/>
                  </w:rPr>
                  <w:t>&lt;...&gt;</w:t>
                </w:r>
              </w:p>
              <w:p>
                <w:pPr>
                  <w:jc w:val="both"/>
                  <w:rPr>
                    <w:sz w:val="22"/>
                    <w:szCs w:val="22"/>
                    <w:lang w:eastAsia="lt-LT"/>
                  </w:rPr>
                </w:pPr>
                <w:r>
                  <w:rPr>
                    <w:sz w:val="22"/>
                    <w:szCs w:val="22"/>
                    <w:lang w:eastAsia="lt-LT"/>
                  </w:rPr>
                  <w:t>4. Tarybos sprendimai, priimti nagrinėjant skundus, gali būti skundžiami Lietuvos Respublikos administracinių bylų teisenos įstatymo nustatyta tvarka.</w:t>
                </w:r>
              </w:p>
              <w:p>
                <w:pPr>
                  <w:jc w:val="both"/>
                  <w:rPr>
                    <w:sz w:val="22"/>
                    <w:szCs w:val="22"/>
                    <w:lang w:eastAsia="lt-LT"/>
                  </w:rPr>
                </w:pPr>
              </w:p>
              <w:p>
                <w:pPr>
                  <w:jc w:val="both"/>
                  <w:rPr>
                    <w:b/>
                    <w:sz w:val="22"/>
                    <w:szCs w:val="22"/>
                    <w:lang w:eastAsia="lt-LT"/>
                  </w:rPr>
                </w:pPr>
                <w:r>
                  <w:rPr>
                    <w:b/>
                    <w:sz w:val="22"/>
                    <w:szCs w:val="22"/>
                    <w:lang w:eastAsia="lt-LT"/>
                  </w:rPr>
                  <w:t>36 straipsnis. Sankcijos ir jų taikymo tvarka</w:t>
                </w:r>
              </w:p>
              <w:p>
                <w:pPr>
                  <w:jc w:val="both"/>
                  <w:rPr>
                    <w:b/>
                    <w:sz w:val="22"/>
                    <w:szCs w:val="22"/>
                    <w:lang w:eastAsia="lt-LT"/>
                  </w:rPr>
                </w:pPr>
                <w:r>
                  <w:rPr>
                    <w:b/>
                    <w:sz w:val="22"/>
                    <w:szCs w:val="22"/>
                    <w:lang w:eastAsia="lt-LT"/>
                  </w:rPr>
                  <w:t>&lt;....&gt;</w:t>
                </w:r>
              </w:p>
              <w:p>
                <w:pPr>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57"/>
                  <w:jc w:val="both"/>
                  <w:rPr>
                    <w:sz w:val="22"/>
                    <w:szCs w:val="22"/>
                    <w:lang w:eastAsia="lt-LT"/>
                  </w:rPr>
                </w:pPr>
                <w:r>
                  <w:rPr>
                    <w:sz w:val="22"/>
                    <w:szCs w:val="22"/>
                    <w:lang w:eastAsia="lt-LT"/>
                  </w:rPr>
                  <w:t>&lt;....&gt;</w:t>
                </w:r>
              </w:p>
              <w:p>
                <w:pPr>
                  <w:jc w:val="both"/>
                  <w:rPr>
                    <w:sz w:val="22"/>
                    <w:szCs w:val="22"/>
                    <w:lang w:eastAsia="lt-LT"/>
                  </w:rPr>
                </w:pPr>
              </w:p>
              <w:p>
                <w:pPr>
                  <w:jc w:val="both"/>
                  <w:rPr>
                    <w:b/>
                    <w:sz w:val="22"/>
                    <w:szCs w:val="22"/>
                    <w:lang w:eastAsia="lt-LT"/>
                  </w:rPr>
                </w:pPr>
                <w:r>
                  <w:rPr>
                    <w:b/>
                    <w:sz w:val="22"/>
                    <w:szCs w:val="22"/>
                    <w:lang w:eastAsia="lt-LT"/>
                  </w:rPr>
                  <w:t xml:space="preserve">Administracinių  bylų teisenos įstatymas</w:t>
                </w:r>
              </w:p>
              <w:p>
                <w:pPr>
                  <w:jc w:val="both"/>
                  <w:rPr>
                    <w:sz w:val="22"/>
                    <w:szCs w:val="22"/>
                    <w:lang w:eastAsia="lt-LT"/>
                  </w:rPr>
                </w:pPr>
              </w:p>
              <w:p>
                <w:pPr>
                  <w:jc w:val="both"/>
                  <w:rPr>
                    <w:b/>
                    <w:sz w:val="22"/>
                    <w:szCs w:val="22"/>
                    <w:lang w:eastAsia="lt-LT"/>
                  </w:rPr>
                </w:pPr>
                <w:r>
                  <w:rPr>
                    <w:b/>
                    <w:sz w:val="22"/>
                    <w:szCs w:val="22"/>
                    <w:lang w:eastAsia="lt-LT"/>
                  </w:rPr>
                  <w:t>5 straipsnis. Teisė kreiptis į teismą</w:t>
                </w:r>
              </w:p>
              <w:p>
                <w:pPr>
                  <w:jc w:val="both"/>
                  <w:rPr>
                    <w:sz w:val="22"/>
                    <w:szCs w:val="22"/>
                    <w:lang w:eastAsia="lt-LT"/>
                  </w:rPr>
                </w:pPr>
              </w:p>
              <w:p>
                <w:pPr>
                  <w:jc w:val="both"/>
                  <w:rPr>
                    <w:sz w:val="22"/>
                    <w:szCs w:val="22"/>
                    <w:lang w:eastAsia="lt-LT"/>
                  </w:rPr>
                </w:pPr>
                <w:r>
                  <w:rPr>
                    <w:sz w:val="22"/>
                    <w:szCs w:val="22"/>
                    <w:lang w:eastAsia="lt-LT"/>
                  </w:rPr>
                  <w:t>1. Kiekvienas suinteresuotas subjektas turi teisę įstatymų nustatyta tvarka kreiptis į teismą, kad būtų apginta pažeista ar ginčijama jo teisė arba įstatymų saugomas interesas.</w:t>
                </w:r>
              </w:p>
              <w:p>
                <w:pPr>
                  <w:jc w:val="both"/>
                  <w:rPr>
                    <w:sz w:val="22"/>
                    <w:szCs w:val="22"/>
                    <w:lang w:eastAsia="lt-LT"/>
                  </w:rPr>
                </w:pPr>
                <w:r>
                  <w:rPr>
                    <w:sz w:val="22"/>
                    <w:szCs w:val="22"/>
                    <w:lang w:eastAsia="lt-LT"/>
                  </w:rPr>
                  <w:t>2. Teisės kreiptis į teismą atsisakymas negalioja.</w:t>
                </w:r>
              </w:p>
              <w:p>
                <w:pPr>
                  <w:jc w:val="both"/>
                  <w:rPr>
                    <w:sz w:val="22"/>
                    <w:szCs w:val="22"/>
                    <w:lang w:eastAsia="lt-LT"/>
                  </w:rPr>
                </w:pPr>
                <w:r>
                  <w:rPr>
                    <w:sz w:val="22"/>
                    <w:szCs w:val="22"/>
                    <w:lang w:eastAsia="lt-LT"/>
                  </w:rPr>
                  <w:t>3. Teismas imasi nagrinėti administracinę bylą:</w:t>
                </w:r>
              </w:p>
              <w:p>
                <w:pPr>
                  <w:jc w:val="both"/>
                  <w:rPr>
                    <w:sz w:val="22"/>
                    <w:szCs w:val="22"/>
                    <w:lang w:eastAsia="lt-LT"/>
                  </w:rPr>
                </w:pPr>
                <w:r>
                  <w:rPr>
                    <w:sz w:val="22"/>
                    <w:szCs w:val="22"/>
                    <w:lang w:eastAsia="lt-LT"/>
                  </w:rPr>
                  <w:t>1) pagal asmens arba jo atstovo, kuris kreipiasi, kad būtų apginta jo teisė arba įstatymų saugomas interesas, skundą;</w:t>
                </w:r>
              </w:p>
              <w:p>
                <w:pPr>
                  <w:jc w:val="both"/>
                  <w:rPr>
                    <w:sz w:val="22"/>
                    <w:szCs w:val="22"/>
                    <w:lang w:eastAsia="lt-LT"/>
                  </w:rPr>
                </w:pPr>
                <w:r>
                  <w:rPr>
                    <w:sz w:val="22"/>
                    <w:szCs w:val="22"/>
                    <w:lang w:eastAsia="lt-LT"/>
                  </w:rPr>
                  <w:t>2) įstatymų nustatytais atvejais pagal prokuroro, viešojo administravimo subjektų, organizacijų ar fizinių asmenų pareiškimą dėl viešojo intereso arba valstybės, savivaldybės ir asmenų teisių bei įstatymų saugomų interesų gynimo;</w:t>
                </w:r>
              </w:p>
              <w:p>
                <w:pPr>
                  <w:jc w:val="both"/>
                  <w:rPr>
                    <w:sz w:val="22"/>
                    <w:szCs w:val="22"/>
                    <w:lang w:eastAsia="lt-LT"/>
                  </w:rPr>
                </w:pPr>
                <w:r>
                  <w:rPr>
                    <w:sz w:val="22"/>
                    <w:szCs w:val="22"/>
                    <w:lang w:eastAsia="lt-LT"/>
                  </w:rPr>
                  <w:t>3) pagal savivaldybių institucijų, įstaigų, tarnybų prašymą dėl savivaldybių teisių viešojo administravimo srityje gynimo;</w:t>
                </w:r>
              </w:p>
              <w:p>
                <w:pPr>
                  <w:jc w:val="both"/>
                  <w:rPr>
                    <w:sz w:val="22"/>
                    <w:szCs w:val="22"/>
                    <w:lang w:eastAsia="lt-LT"/>
                  </w:rPr>
                </w:pPr>
                <w:r>
                  <w:rPr>
                    <w:sz w:val="22"/>
                    <w:szCs w:val="22"/>
                    <w:lang w:eastAsia="lt-LT"/>
                  </w:rPr>
                  <w:t>4) įstatymų nustatytais atvejais pagal viešojo administravimo subjektų prašymą dėl administracinių ginčų sprendimo.</w:t>
                </w:r>
              </w:p>
              <w:p>
                <w:pPr>
                  <w:jc w:val="both"/>
                  <w:rPr>
                    <w:sz w:val="22"/>
                    <w:szCs w:val="22"/>
                    <w:lang w:eastAsia="lt-LT"/>
                  </w:rPr>
                </w:pPr>
              </w:p>
              <w:p>
                <w:pPr>
                  <w:jc w:val="both"/>
                  <w:rPr>
                    <w:b/>
                    <w:bCs/>
                    <w:sz w:val="22"/>
                    <w:szCs w:val="22"/>
                    <w:lang w:eastAsia="lt-LT"/>
                  </w:rPr>
                </w:pPr>
                <w:r>
                  <w:rPr>
                    <w:b/>
                    <w:bCs/>
                    <w:sz w:val="22"/>
                    <w:szCs w:val="22"/>
                    <w:lang w:eastAsia="lt-LT"/>
                  </w:rPr>
                  <w:t>Viešojo administravimo įstatymas</w:t>
                </w:r>
              </w:p>
              <w:p>
                <w:pPr>
                  <w:jc w:val="both"/>
                  <w:rPr>
                    <w:b/>
                    <w:sz w:val="22"/>
                    <w:szCs w:val="22"/>
                    <w:lang w:eastAsia="lt-LT"/>
                  </w:rPr>
                </w:pPr>
                <w:r>
                  <w:rPr>
                    <w:b/>
                    <w:sz w:val="22"/>
                    <w:szCs w:val="22"/>
                    <w:lang w:eastAsia="lt-LT"/>
                  </w:rPr>
                  <w:t>14 straipsnis. Administracinio sprendimo apskundimas</w:t>
                </w:r>
              </w:p>
              <w:p>
                <w:pPr>
                  <w:ind w:firstLine="57"/>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left="1069"/>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59"/>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80 straipsnis </w:t>
                </w:r>
              </w:p>
              <w:p>
                <w:pPr>
                  <w:shd w:val="clear" w:color="auto" w:fill="FFFFFF"/>
                  <w:jc w:val="both"/>
                  <w:rPr>
                    <w:i/>
                    <w:iCs/>
                    <w:color w:val="000000"/>
                    <w:sz w:val="22"/>
                    <w:szCs w:val="22"/>
                    <w:lang w:eastAsia="lt-LT"/>
                  </w:rPr>
                </w:pPr>
                <w:r>
                  <w:rPr>
                    <w:b/>
                    <w:bCs/>
                    <w:color w:val="000000"/>
                    <w:sz w:val="22"/>
                    <w:szCs w:val="22"/>
                    <w:lang w:eastAsia="lt-LT"/>
                  </w:rPr>
                  <w:t>Reguliavimo institucijų regioninis bendradarbiavimas tarpvalstybiniais klausimais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Reguliavimo institucijos glaudžiai konsultuojasi ir bendradarbiauja tarpusavyje, visų pirma per ACER, taip pat teikia viena kitai ir ACER visą informaciją, būtiną jų užduotims pagal šią direktyvą vykdyti. Keičiantis informacija, informaciją gaunanti institucija užtikrina tokio paties lygio konfidencialumą, kurio reikalaujama iš ją teikiančios institucijos.</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w:t>
                </w:r>
                <w:r>
                  <w:rPr>
                    <w:b/>
                    <w:bCs/>
                    <w:color w:val="000000"/>
                    <w:sz w:val="22"/>
                    <w:szCs w:val="22"/>
                    <w:lang w:eastAsia="lt-LT"/>
                  </w:rPr>
                  <w:t>Europos Sąjungos energetikos reguliavimo institucijų bendradarbiavimo agentūra</w:t>
                </w:r>
                <w:r>
                  <w:rPr>
                    <w:color w:val="000000"/>
                    <w:sz w:val="22"/>
                    <w:szCs w:val="22"/>
                    <w:lang w:eastAsia="lt-LT"/>
                  </w:rPr>
                  <w:t xml:space="preserve"> – agentūra, kurios veiklą reglamentuoja 2019 m. birželio 5 d. Europos Parlamento ir Tarybos reglamentas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kuriuo įsteigiama Europos Sąjungos energetikos reguliavimo institucijų bendradarbiavimo agentūra (toliau – Agentūra).</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45" w:tgtFrame="_parent" w:history="1">
                  <w:r>
                    <w:rPr>
                      <w:i/>
                      <w:iCs/>
                      <w:color w:val="0000FF"/>
                      <w:sz w:val="22"/>
                      <w:szCs w:val="22"/>
                      <w:u w:val="single"/>
                      <w:lang w:eastAsia="lt-LT"/>
                    </w:rPr>
                    <w:t>XIII-3140</w:t>
                  </w:r>
                </w:hyperlink>
                <w:r>
                  <w:rPr>
                    <w:i/>
                    <w:iCs/>
                    <w:color w:val="000000"/>
                    <w:sz w:val="22"/>
                    <w:szCs w:val="22"/>
                    <w:lang w:eastAsia="lt-LT"/>
                  </w:rPr>
                  <w:t>, 2020-06-25, paskelbta TAR 2020-07-03, i. k. 2020-15002</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tarptautiniais klausimais bendradarbiauja su Agentūra ir valstybių narių reguliavimo institucijomis ir teikia joms visą užduotims vykdyti būtiną informaciją;</w:t>
                </w:r>
              </w:p>
              <w:p>
                <w:pPr>
                  <w:ind w:firstLine="720"/>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ind w:firstLine="720"/>
                  <w:jc w:val="both"/>
                  <w:rPr>
                    <w:color w:val="000000"/>
                    <w:sz w:val="22"/>
                    <w:szCs w:val="22"/>
                    <w:lang w:eastAsia="lt-LT"/>
                  </w:rPr>
                </w:pPr>
                <w:r>
                  <w:rPr>
                    <w:color w:val="000000"/>
                    <w:sz w:val="22"/>
                    <w:szCs w:val="22"/>
                    <w:lang w:eastAsia="lt-LT"/>
                  </w:rPr>
                  <w:t>4) keičiasi duomenimis regioniniu lygmeniu, siekdama prisidėti prie svarbiausių rinkos procesų suderinimo;</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tabs>
                    <w:tab w:val="left" w:pos="567"/>
                  </w:tabs>
                  <w:ind w:firstLine="720"/>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tabs>
                    <w:tab w:val="left" w:pos="567"/>
                  </w:tabs>
                  <w:ind w:firstLine="720"/>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tabs>
                    <w:tab w:val="left" w:pos="567"/>
                  </w:tabs>
                  <w:ind w:firstLine="720"/>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tabs>
                    <w:tab w:val="left" w:pos="567"/>
                  </w:tabs>
                  <w:ind w:firstLine="720"/>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6830"/>
            </w:trPr>
            <w:tc>
              <w:tcPr>
                <w:tcW w:w="3964" w:type="dxa"/>
              </w:tcPr>
              <w:p>
                <w:pPr>
                  <w:shd w:val="clear" w:color="auto" w:fill="FFFFFF"/>
                  <w:jc w:val="both"/>
                  <w:rPr>
                    <w:color w:val="000000"/>
                    <w:sz w:val="22"/>
                    <w:szCs w:val="22"/>
                    <w:lang w:eastAsia="lt-LT"/>
                  </w:rPr>
                </w:pPr>
                <w:r>
                  <w:rPr>
                    <w:color w:val="000000"/>
                    <w:sz w:val="22"/>
                    <w:szCs w:val="22"/>
                    <w:lang w:eastAsia="lt-LT"/>
                  </w:rPr>
                  <w:t>2. Reguliavimo institucijos bendradarbiauja bent regionų lygmeniu siekdamos:</w:t>
                </w:r>
              </w:p>
              <w:p>
                <w:pPr>
                  <w:shd w:val="clear" w:color="auto" w:fill="FFFFFF"/>
                  <w:jc w:val="both"/>
                  <w:rPr>
                    <w:color w:val="000000"/>
                    <w:sz w:val="22"/>
                    <w:szCs w:val="22"/>
                    <w:lang w:eastAsia="lt-LT"/>
                  </w:rPr>
                </w:pPr>
                <w:r>
                  <w:rPr>
                    <w:color w:val="000000"/>
                    <w:sz w:val="22"/>
                    <w:szCs w:val="22"/>
                    <w:lang w:eastAsia="lt-LT"/>
                  </w:rPr>
                  <w:t>a) skatinti kurti darbo tvarką, kuri sudarytų sąlygas optimaliai valdyti tinklą, skatinti bendras gamtinių dujų ir vandenilio biržas ir tarpvalstybinio pajėgumo paskirstymą ir sudaryti sąlygas tinkamam sujungimo pajėgumų, įskaitant naujus jungiamuosius vamzdynus, lygiui užtikrinti regione ir tarp regionų siekiant sudaryti galimybes plėtoti veiksmingą konkurenciją ir gerinti tiekimo saugumą, nediskriminuojant tiekimo įmonių įvairiose valstybėse narėse;</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083"/>
            </w:trPr>
            <w:tc>
              <w:tcPr>
                <w:tcW w:w="3964" w:type="dxa"/>
              </w:tcPr>
              <w:p>
                <w:pPr>
                  <w:shd w:val="clear" w:color="auto" w:fill="FFFFFF"/>
                  <w:jc w:val="both"/>
                  <w:rPr>
                    <w:color w:val="000000"/>
                    <w:sz w:val="22"/>
                    <w:szCs w:val="22"/>
                    <w:lang w:eastAsia="lt-LT"/>
                  </w:rPr>
                </w:pPr>
                <w:r>
                  <w:rPr>
                    <w:color w:val="000000"/>
                    <w:sz w:val="22"/>
                    <w:szCs w:val="22"/>
                    <w:lang w:eastAsia="lt-LT"/>
                  </w:rPr>
                  <w:t>b) koordinuoti visų tinklo kodeksų, skirtų atitinkamiems perdavimo sistemos operatoriams, vandenilio tinklo operatoriams ir kitiems rinkos dalyviams, rengimą;</w:t>
                </w:r>
              </w:p>
              <w:p>
                <w:pPr>
                  <w:shd w:val="clear" w:color="auto" w:fill="FFFFFF"/>
                  <w:jc w:val="both"/>
                  <w:rPr>
                    <w:color w:val="000000"/>
                    <w:sz w:val="22"/>
                    <w:szCs w:val="22"/>
                    <w:lang w:eastAsia="lt-LT"/>
                  </w:rPr>
                </w:pPr>
                <w:r>
                  <w:rPr>
                    <w:color w:val="000000"/>
                    <w:sz w:val="22"/>
                    <w:szCs w:val="22"/>
                    <w:lang w:eastAsia="lt-LT"/>
                  </w:rPr>
                  <w:t>c) koordinuoti perkrovos valdymo taisyklių rengimą;</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w:t>
                </w:r>
                <w:r>
                  <w:rPr>
                    <w:b/>
                    <w:bCs/>
                    <w:color w:val="000000"/>
                    <w:sz w:val="22"/>
                    <w:szCs w:val="22"/>
                    <w:lang w:eastAsia="lt-LT"/>
                  </w:rPr>
                  <w:t>siekia koordinuoti visų perdavimo sistemos operatoriams ir kitiems rinkos dalyviams skirtų tinklo nuostatų ir perkrovos valdymo taisyklių rengimą.</w:t>
                </w:r>
                <w:r>
                  <w:rPr>
                    <w:color w:val="000000"/>
                    <w:sz w:val="22"/>
                    <w:szCs w:val="22"/>
                    <w:lang w:eastAsia="lt-LT"/>
                  </w:rPr>
                  <w:t xml:space="preserve">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užtikrinti, kad teisės subjektai, vykdantys perdavimo operatorių ir tinklo operatorių užduotis tarpvalstybiniu ar regioniniu lygmeniu, laikytųsi teisės aktų reikalavimų.</w:t>
                </w:r>
              </w:p>
            </w:tc>
            <w:tc>
              <w:tcPr>
                <w:tcW w:w="9297" w:type="dxa"/>
                <w:vAlign w:val="center"/>
              </w:tcPr>
              <w:p>
                <w:pPr>
                  <w:jc w:val="both"/>
                  <w:rPr>
                    <w:b/>
                    <w:bCs/>
                    <w:color w:val="000000"/>
                    <w:sz w:val="22"/>
                    <w:szCs w:val="22"/>
                    <w:lang w:eastAsia="lt-LT"/>
                  </w:rPr>
                </w:pPr>
                <w:r>
                  <w:rPr>
                    <w:b/>
                    <w:bCs/>
                    <w:color w:val="000000"/>
                    <w:sz w:val="22"/>
                    <w:szCs w:val="22"/>
                    <w:lang w:eastAsia="lt-LT"/>
                  </w:rPr>
                  <w:t>Gamtinių dujų įstatymas</w:t>
                </w:r>
              </w:p>
              <w:p>
                <w:pPr>
                  <w:ind w:firstLine="57"/>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straipsnis.</w:t>
                </w:r>
                <w:r>
                  <w:rPr>
                    <w:color w:val="000000"/>
                    <w:sz w:val="22"/>
                    <w:szCs w:val="22"/>
                    <w:lang w:eastAsia="lt-LT"/>
                  </w:rPr>
                  <w:t> </w:t>
                </w:r>
                <w:r>
                  <w:rPr>
                    <w:b/>
                    <w:bCs/>
                    <w:color w:val="000000"/>
                    <w:sz w:val="22"/>
                    <w:szCs w:val="22"/>
                    <w:lang w:eastAsia="lt-LT"/>
                  </w:rPr>
                  <w:t>Gamtinių</w:t>
                </w:r>
                <w:r>
                  <w:rPr>
                    <w:color w:val="000000"/>
                    <w:sz w:val="22"/>
                    <w:szCs w:val="22"/>
                    <w:lang w:eastAsia="lt-LT"/>
                  </w:rPr>
                  <w:t> </w:t>
                </w:r>
                <w:r>
                  <w:rPr>
                    <w:b/>
                    <w:bCs/>
                    <w:color w:val="000000"/>
                    <w:sz w:val="22"/>
                    <w:szCs w:val="22"/>
                    <w:lang w:eastAsia="lt-LT"/>
                  </w:rPr>
                  <w:t>dujų sektoriaus veiklos valdymo institucijos</w:t>
                </w:r>
              </w:p>
              <w:p>
                <w:pPr>
                  <w:ind w:left="6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Valstybinė energetikos reguliavimo taryba (toliau – Taryba)</w:t>
                </w:r>
                <w:r>
                  <w:rPr>
                    <w:b/>
                    <w:bCs/>
                    <w:color w:val="000000"/>
                    <w:sz w:val="22"/>
                    <w:szCs w:val="22"/>
                    <w:lang w:eastAsia="lt-LT"/>
                  </w:rPr>
                  <w:t> </w:t>
                </w:r>
                <w:r>
                  <w:rPr>
                    <w:color w:val="000000"/>
                    <w:sz w:val="22"/>
                    <w:szCs w:val="22"/>
                    <w:lang w:eastAsia="lt-LT"/>
                  </w:rPr>
                  <w:t>atlieka veiklos rūšių Lietuvos Respublikos gamtinių dujų sektoriuje valstybinio reguliavimo funkcijas ir užtikrina reguliuojamos veiklos vykdymo bei gamtinių dujų sektoriaus dalyvių ir vartotojų teisių bei pareigų tinkamo įgyvendinimo priežiūrą ir kontrolę. Tarybos funkcijos, veiklos tikslai, teisės ir pareigos gamtinių dujų sektoriuje ir finansavimo šaltiniai nustatomi Energetikos įstatyme, šiame ir kituose įstatymuose, taip pat Tarybos nuostatuose.</w:t>
                </w:r>
              </w:p>
              <w:p>
                <w:pPr>
                  <w:jc w:val="both"/>
                  <w:rPr>
                    <w:color w:val="000000"/>
                    <w:sz w:val="22"/>
                    <w:szCs w:val="22"/>
                    <w:lang w:val="pt-BR" w:eastAsia="lt-LT"/>
                  </w:rPr>
                </w:pPr>
                <w:r>
                  <w:rPr>
                    <w:i/>
                    <w:iCs/>
                    <w:color w:val="000000"/>
                    <w:sz w:val="22"/>
                    <w:szCs w:val="22"/>
                    <w:lang w:eastAsia="lt-LT"/>
                  </w:rPr>
                  <w:t>Straipsnio dalies pakeitimai:</w:t>
                </w:r>
              </w:p>
              <w:p>
                <w:pPr>
                  <w:jc w:val="both"/>
                  <w:rPr>
                    <w:color w:val="000000"/>
                    <w:sz w:val="22"/>
                    <w:szCs w:val="22"/>
                    <w:lang w:val="pt-BR" w:eastAsia="lt-LT"/>
                  </w:rPr>
                </w:pPr>
                <w:r>
                  <w:rPr>
                    <w:i/>
                    <w:iCs/>
                    <w:color w:val="000000"/>
                    <w:sz w:val="22"/>
                    <w:szCs w:val="22"/>
                    <w:lang w:eastAsia="lt-LT"/>
                  </w:rPr>
                  <w:t>Nr. </w:t>
                </w:r>
                <w:hyperlink r:id="rId14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Reguliavimo institucijos turi teisę tarpusavyje sudaryti bendradarbiavimo susitarimus, siekdamos skatinti bendradarbiavimą reguliavimo srityje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32"/>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tabs>
                    <w:tab w:val="left" w:pos="567"/>
                  </w:tabs>
                  <w:ind w:firstLine="32"/>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2 dalyje nurodyti veiksmai vykdomi atitinkamai glaudžiai konsultuojantis su kitomis atitinkamomis nacionalinėmis institucijomis ir nedarant įtakos jų specialiai kompetencijai.</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w:t>
                </w:r>
                <w:r>
                  <w:rPr>
                    <w:b/>
                    <w:bCs/>
                    <w:color w:val="000000"/>
                    <w:sz w:val="22"/>
                    <w:szCs w:val="22"/>
                    <w:lang w:eastAsia="lt-LT"/>
                  </w:rPr>
                  <w:t>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Komisijai pagal 90 straipsnį suteikiami įgaliojimai priimti deleguotuosius aktus, kuriais papildoma ši direktyva, nustatant gaires, kokiu mastu reguliavimo institucijos privalo bendradarbiauti tarpusavyje ir su ACER</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Reguliavimo institucijos arba, kai tikslinga, kitos kompetentingos institucijos gali konsultuotis ir bendradarbiauti su atitinkamomis trečiųjų valstybių, įskaitant Energijos bendrijos susitariančiąsias šalis, institucijomis dėl gamtinių dujų ir vandenilio infrastruktūros į trečiąsias valstybes ir iš jų eksploatavimo, siekdamos užtikrinti, kad atitinkamos infrastruktūros atžvilgiu ši direktyva nuosekliai būtų taikoma valstybės narės teritorijoje ir teritorinėje jūroje.</w:t>
                </w:r>
              </w:p>
            </w:tc>
            <w:tc>
              <w:tcPr>
                <w:tcW w:w="9297" w:type="dxa"/>
                <w:vAlign w:val="center"/>
              </w:tcPr>
              <w:p>
                <w:pPr>
                  <w:ind w:firstLine="17"/>
                  <w:jc w:val="both"/>
                  <w:rPr>
                    <w:i/>
                    <w:color w:val="000000"/>
                    <w:sz w:val="22"/>
                    <w:szCs w:val="22"/>
                    <w:lang w:eastAsia="lt-LT"/>
                  </w:rPr>
                </w:pPr>
                <w:r>
                  <w:rPr>
                    <w:i/>
                    <w:color w:val="000000"/>
                    <w:sz w:val="22"/>
                    <w:szCs w:val="22"/>
                    <w:lang w:eastAsia="lt-LT"/>
                  </w:rPr>
                  <w:t xml:space="preserve">Pastaba. Lietuva ribojasi su Rusija ir Baltarusija, kurios yra pripažintos kaip keliančios grėsmę nacionaliniam saugumui, tad šios dalies nuostatos nebus perkeliamos. </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color w:val="000000"/>
                    <w:sz w:val="22"/>
                    <w:szCs w:val="22"/>
                    <w:lang w:eastAsia="lt-LT"/>
                  </w:rPr>
                </w:pPr>
              </w:p>
              <w:p>
                <w:pPr>
                  <w:tabs>
                    <w:tab w:val="left" w:pos="567"/>
                  </w:tabs>
                  <w:ind w:firstLine="32"/>
                  <w:jc w:val="both"/>
                  <w:rPr>
                    <w:b/>
                    <w:bCs/>
                    <w:color w:val="000000"/>
                    <w:sz w:val="22"/>
                    <w:szCs w:val="22"/>
                    <w:lang w:eastAsia="lt-LT"/>
                  </w:rPr>
                </w:pPr>
                <w:r>
                  <w:rPr>
                    <w:b/>
                    <w:bCs/>
                    <w:color w:val="000000"/>
                    <w:sz w:val="22"/>
                    <w:szCs w:val="22"/>
                    <w:lang w:eastAsia="lt-LT"/>
                  </w:rPr>
                  <w:t xml:space="preserve">34 straipsnis. Vandenilio tinklo jungtys su trečiosiomis valstybėmis </w:t>
                </w:r>
              </w:p>
              <w:p>
                <w:pPr>
                  <w:tabs>
                    <w:tab w:val="left" w:pos="567"/>
                  </w:tabs>
                  <w:ind w:firstLine="32"/>
                  <w:jc w:val="both"/>
                  <w:rPr>
                    <w:b/>
                    <w:bCs/>
                    <w:color w:val="000000"/>
                    <w:sz w:val="22"/>
                    <w:szCs w:val="22"/>
                    <w:lang w:eastAsia="lt-LT"/>
                  </w:rPr>
                </w:pPr>
              </w:p>
              <w:p>
                <w:pPr>
                  <w:ind w:firstLine="32"/>
                  <w:jc w:val="both"/>
                  <w:rPr>
                    <w:b/>
                    <w:bCs/>
                    <w:color w:val="000000"/>
                    <w:sz w:val="22"/>
                    <w:szCs w:val="22"/>
                    <w:lang w:eastAsia="lt-LT"/>
                  </w:rPr>
                </w:pPr>
                <w:r>
                  <w:rPr>
                    <w:b/>
                    <w:bCs/>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w:t>
                </w:r>
              </w:p>
              <w:p>
                <w:pPr>
                  <w:ind w:firstLine="32"/>
                  <w:jc w:val="both"/>
                  <w:rPr>
                    <w:b/>
                    <w:bCs/>
                    <w:color w:val="000000"/>
                    <w:sz w:val="22"/>
                    <w:szCs w:val="22"/>
                    <w:lang w:eastAsia="lt-LT"/>
                  </w:rPr>
                </w:pPr>
                <w:r>
                  <w:rPr>
                    <w:b/>
                    <w:bCs/>
                    <w:color w:val="000000"/>
                    <w:sz w:val="22"/>
                    <w:szCs w:val="22"/>
                    <w:lang w:eastAsia="lt-LT"/>
                  </w:rPr>
                  <w:t>&lt;...&gt;</w:t>
                </w:r>
              </w:p>
              <w:p>
                <w:pPr>
                  <w:ind w:firstLine="32"/>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81 straipsnis </w:t>
                </w:r>
              </w:p>
              <w:p>
                <w:pPr>
                  <w:shd w:val="clear" w:color="auto" w:fill="FFFFFF"/>
                  <w:jc w:val="both"/>
                  <w:rPr>
                    <w:i/>
                    <w:iCs/>
                    <w:color w:val="000000"/>
                    <w:sz w:val="22"/>
                    <w:szCs w:val="22"/>
                    <w:lang w:eastAsia="lt-LT"/>
                  </w:rPr>
                </w:pPr>
                <w:r>
                  <w:rPr>
                    <w:b/>
                    <w:bCs/>
                    <w:color w:val="000000"/>
                    <w:sz w:val="22"/>
                    <w:szCs w:val="22"/>
                    <w:lang w:eastAsia="lt-LT"/>
                  </w:rPr>
                  <w:t>Tinklo kodeksų ir gairių laikymasis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institucija ir Komisija gali prašyti, kad ACER pateiktų nuomonę, ar reguliavimo institucijos priimtas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r>
                  <w:rPr>
                    <w:color w:val="000000"/>
                    <w:sz w:val="22"/>
                    <w:szCs w:val="22"/>
                    <w:lang w:val="lt" w:eastAsia="lt-LT"/>
                  </w:rPr>
                  <w:t xml:space="preserve"> </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ACER per tris mėnesius nuo prašymo gavimo dienos atitinkamai pateikia nuomonę reguliavimo institucijai, paprašiusiai pateikti nuomonę, arba Komisijai ir reguliavimo institucijai, priėmusiai atitinkamą sprendimą.</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Jei sprendimą priėmusi reguliavimo institucija neatsižvelgia į ACER nuomonę per keturis mėnesius nuo tos nuomonės gavimo dienos, ACER atitinkamai apie tai praneša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Jeigu reguliavimo institucija mano, kad kitos reguliavimo institucijos priimtas sprendimas dėl tarpvalstybinės prekybos neatitinka gairių ir tinklo kodeksų, priimtų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ji gali pranešti apie tai Komisijai per du mėnesius nuo to sprendimo priėmimo dienos.</w:t>
                </w:r>
              </w:p>
            </w:tc>
            <w:tc>
              <w:tcPr>
                <w:tcW w:w="9297" w:type="dxa"/>
                <w:vAlign w:val="center"/>
              </w:tcPr>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17"/>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Jeigu Komisija per du mėnesius nuo ACER pranešimo pagal 3 dalį arba reguliavimo institucijos pranešimo pagal 4 dalį gavimo dienos ar savo iniciatyva per tris mėnesius nuo sprendimo priėmimo dienos nustato, kad dėl reguliavimo institucijos priimto sprendimo kyla pagrįstų abejonių, ar toks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Komisija gali nuspręsti toliau nagrinėti atvejį. Tokiu atveju Komisija paprašo reguliavimo institucijos ir joje vykdomos procedūros šalių pateikti pastabas.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Komisija nusprendžia nagrinėti atvejį, vadovaudamasi 5 dalimi, per keturis mėnesius nuo tokio sprendimo dienos ji priima galutinį sprendimą:</w:t>
                </w:r>
              </w:p>
            </w:tc>
            <w:tc>
              <w:tcPr>
                <w:tcW w:w="9297" w:type="dxa"/>
                <w:vMerge w:val="restart"/>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neprieštarauti reguliavimo institucijos priimtam sprendimui arba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pareikalauti, kad atitinkama reguliavimo institucija panaikintų savo sprendimą, remiantis tuo, kad nesilaikyta tinklo kodeksų ir gairių.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Jei Komisija per 5 ir 6 dalyse nustatytus laikotarpius nenusprendžia toliau nagrinėti atvejo arba nepriima galutinio sprendimo, laikoma, kad ji neprieštarauja reguliavimo institucijos priimtam sprendimui.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Reguliavimo institucija per du mėnesius įvykdo Komisijos sprendimą atšaukti savo sprendimą ir atitinkamai apie tai informuoja Komisiją.</w:t>
                </w:r>
              </w:p>
            </w:tc>
            <w:tc>
              <w:tcPr>
                <w:tcW w:w="9297" w:type="dxa"/>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Komisijai pagal 90 straipsnį suteikiami įgaliojimai priimti deleguotuosius aktus, kuriais papildoma ši direktyva, nustatant gaires, kuriose išsamiai išdėstoma procedūra, kurios turi būti laikomasi taikant šį straipsnį.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82 straipsnis </w:t>
                </w:r>
              </w:p>
              <w:p>
                <w:pPr>
                  <w:shd w:val="clear" w:color="auto" w:fill="FFFFFF"/>
                  <w:jc w:val="both"/>
                  <w:rPr>
                    <w:i/>
                    <w:iCs/>
                    <w:color w:val="000000"/>
                    <w:sz w:val="22"/>
                    <w:szCs w:val="22"/>
                    <w:lang w:eastAsia="lt-LT"/>
                  </w:rPr>
                </w:pPr>
                <w:r>
                  <w:rPr>
                    <w:b/>
                    <w:bCs/>
                    <w:color w:val="000000"/>
                    <w:sz w:val="22"/>
                    <w:szCs w:val="22"/>
                    <w:lang w:eastAsia="lt-LT"/>
                  </w:rPr>
                  <w:t>Duomenų saugojimas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reikalauja, kad tiekimo įmonės bent penkerius metus saugotų ir nacionalinėms institucijoms, įskaitant reguliavimo instituciją ir nacionalines konkurencijos institucijas, bei Komisijai jų užduotims vykdyti pateiktų visų sandorių, sudarytų su didmenininkais ir perdavimo sistemos operatoriais, gamtinių dujų laikymo bei SGD operatoriais, taip pat su vandenilio tinklo, saugyklų ir terminalų operatoriais pagal gamtinių dujų ar vandenilio tiekimo sutartis bei gamtinių dujų ir vandenilio rinkos išvestines finansines priemones, atitinkamus duomenis.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val="pt-BR"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7"/>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Duomenis sudaro išsamūs atitinkamų sandorių duomenys, t</w:t>
                </w:r>
                <w:r>
                  <w:rPr>
                    <w:sz w:val="22"/>
                    <w:szCs w:val="22"/>
                    <w:lang w:eastAsia="lt-LT"/>
                  </w:rPr>
                  <w:t>. y. trukmė, pristatymo ir apmokėjimo taisyklės, kiekis, vykdymo datos ir terminai, sandorio kainos, atitinkamo didmenininko identifikavimo priemonės, taip pat konkreti informacija apie visas neįvykdytas gamtinių dujų ir vandenilio tiekimo sutartis ir gamtinių dujų ir vandenilio rinkos išvestines finansines priemones.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w:t>
                </w:r>
                <w:r>
                  <w:rPr>
                    <w:b/>
                    <w:color w:val="000000"/>
                    <w:sz w:val="22"/>
                    <w:szCs w:val="22"/>
                    <w:lang w:eastAsia="lt-LT"/>
                  </w:rPr>
                  <w:t>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Reguliavimo institucija gali nuspręsti tam tikrą šios informacijos dalį pateikti rinkos dalyviams, su sąlyga, kad neskelbtina komercinė informacija apie atskirus rinkos dalyvius ar atskirus sandorius nebus atskleista. Ši dalis netaikoma informacijai apie finansines priemones, kurioms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77"/>
                  <w:jc w:val="both"/>
                  <w:rPr>
                    <w:b/>
                    <w:bCs/>
                    <w:color w:val="000000"/>
                    <w:sz w:val="22"/>
                    <w:szCs w:val="22"/>
                    <w:lang w:eastAsia="lt-LT"/>
                  </w:rPr>
                </w:pPr>
                <w:r>
                  <w:rPr>
                    <w:b/>
                    <w:bCs/>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16.</w:t>
                </w:r>
                <w:r>
                  <w:rPr>
                    <w:color w:val="000000"/>
                    <w:lang w:eastAsia="lt-LT"/>
                  </w:rPr>
                  <w:tab/>
                </w:r>
                <w:r>
                  <w:rPr>
                    <w:b/>
                    <w:bCs/>
                    <w:color w:val="000000"/>
                    <w:sz w:val="22"/>
                    <w:szCs w:val="22"/>
                    <w:lang w:eastAsia="lt-LT"/>
                  </w:rPr>
                  <w:t xml:space="preserve">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7"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Komisijai pagal 90 straipsnį suteikiami įgaliojimai priimti deleguotuosius aktus, kuriais papildoma ši direktyva, nustatant gaires, kuriose apibrėžiami duomenų saugojimo metodai ir priemonės, taip pat saugomų duomenų forma ir turinys.</w:t>
                </w:r>
              </w:p>
            </w:tc>
            <w:tc>
              <w:tcPr>
                <w:tcW w:w="929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p>
                <w:pPr>
                  <w:ind w:right="57" w:firstLine="720"/>
                  <w:jc w:val="both"/>
                  <w:rPr>
                    <w:b/>
                    <w:bCs/>
                    <w:color w:val="D13438"/>
                    <w:sz w:val="22"/>
                    <w:szCs w:val="22"/>
                    <w:u w:val="single"/>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Su gamtinių dujų ir vandenilio rinkos išvestinėmis finansinėmis priemonėmis susijusiems sandoriams, kuriuos tiekimo įmonės sudaro su didmenininkais ir gamtinių dujų perdavimo sistemos operatoriais, gamtinių dujų laikymo bei SGD operatoriais, taip pat su vandenilio tinklo, saugyklų ir terminalų operatoriais, šis straipsnis taikomas tik tada, kai Komisija priima 4 dalyje nurodytas gaires.</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16. 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Šiuo straipsniu šio straipsnio 1 dalyje nurodytų institucijų atžvilgiu nenustatoma papildomų pareigų subjektams,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color w:val="000000"/>
                    <w:sz w:val="22"/>
                    <w:szCs w:val="22"/>
                    <w:lang w:eastAsia="lt-LT"/>
                  </w:rPr>
                </w:pPr>
                <w:r>
                  <w:rPr>
                    <w:b/>
                    <w:bCs/>
                    <w:color w:val="000000"/>
                    <w:sz w:val="22"/>
                    <w:szCs w:val="22"/>
                    <w:lang w:eastAsia="lt-LT"/>
                  </w:rPr>
                  <w:t xml:space="preserve">Vandenilio įstatymo projektas </w:t>
                </w:r>
                <w:r>
                  <w:rPr>
                    <w:b/>
                    <w:color w:val="000000"/>
                    <w:sz w:val="22"/>
                    <w:szCs w:val="22"/>
                    <w:lang w:eastAsia="lt-LT"/>
                  </w:rPr>
                  <w:t>ir informacijos teikimas</w:t>
                </w:r>
              </w:p>
              <w:p>
                <w:pPr>
                  <w:ind w:right="57" w:firstLine="720"/>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Vandenilio tiekimo įmonės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tiekimo įmonės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saugoti ir prireikus pateikti Tarybai ir Konkurencijos tarybai jų prašymu jų funkcijų vykdymui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finansines išvestines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firstLine="17"/>
                  <w:jc w:val="both"/>
                  <w:rPr>
                    <w:color w:val="000000"/>
                    <w:sz w:val="22"/>
                    <w:szCs w:val="22"/>
                    <w:lang w:eastAsia="lt-LT"/>
                  </w:rPr>
                </w:pPr>
                <w:r>
                  <w:rPr>
                    <w:i/>
                    <w:sz w:val="22"/>
                    <w:szCs w:val="22"/>
                    <w:lang w:eastAsia="lt-LT"/>
                  </w:rPr>
                  <w:t xml:space="preserve">Pastaba. Direktyvą </w:t>
                </w:r>
                <w:fldSimple w:instr="HYPERLINK http://eur-lex.europa.eu/legal-content/LIT/TXT/?uri=CELEX:32014L0065&amp;locale=lt \t _blank">
                  <w:r>
                    <w:rPr>
                      <w:i/>
                      <w:color w:val="0000FF" w:themeColor="hyperlink"/>
                      <w:sz w:val="22"/>
                      <w:szCs w:val="22"/>
                      <w:lang w:eastAsia="lt-LT"/>
                      <w:u w:val="single"/>
                    </w:rPr>
                    <w:t>2014/65/ES</w:t>
                  </w:r>
                </w:fldSimple>
                <w:r>
                  <w:rPr>
                    <w:i/>
                    <w:color w:val="000000"/>
                    <w:sz w:val="22"/>
                    <w:szCs w:val="22"/>
                    <w:lang w:eastAsia="lt-LT"/>
                  </w:rPr>
                  <w:t xml:space="preserve"> įgyvendina Lietuvos Respublikos finansinių priemonių rinkų įstatymas</w:t>
                </w:r>
                <w:r>
                  <w:rPr>
                    <w:color w:val="000000"/>
                    <w:sz w:val="22"/>
                    <w:szCs w:val="22"/>
                    <w:lang w:eastAsia="lt-LT"/>
                  </w:rPr>
                  <w: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7. Jei šio straipsnio 1 dalyje nurodytoms institucijoms reikia susipažinti su subjektų,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saugomais duomenimis, pagal tą direktyvą atsakingos institucijos pateikia joms prašomus duomenis.</w:t>
                </w:r>
              </w:p>
            </w:tc>
            <w:tc>
              <w:tcPr>
                <w:tcW w:w="9297" w:type="dxa"/>
                <w:vAlign w:val="center"/>
              </w:tcPr>
              <w:p>
                <w:pPr>
                  <w:ind w:right="57"/>
                  <w:jc w:val="both"/>
                  <w:rPr>
                    <w:b/>
                    <w:bCs/>
                    <w:color w:val="000000"/>
                    <w:sz w:val="22"/>
                    <w:szCs w:val="22"/>
                    <w:lang w:eastAsia="lt-LT"/>
                  </w:rPr>
                </w:pPr>
                <w:r>
                  <w:rPr>
                    <w:b/>
                    <w:bCs/>
                    <w:color w:val="000000"/>
                    <w:sz w:val="22"/>
                    <w:szCs w:val="22"/>
                    <w:lang w:eastAsia="lt-LT"/>
                  </w:rPr>
                  <w:t xml:space="preserve">Vandenilio įstatymo projektas </w:t>
                </w:r>
              </w:p>
              <w:p>
                <w:pPr>
                  <w:ind w:right="57" w:firstLine="32"/>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Vandenilio tiekėjai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2.</w:t>
                </w:r>
                <w:r>
                  <w:rPr>
                    <w:b/>
                    <w:bCs/>
                    <w:color w:val="000000"/>
                    <w:sz w:val="22"/>
                    <w:szCs w:val="22"/>
                    <w:lang w:eastAsia="lt-LT"/>
                  </w:rPr>
                  <w:t xml:space="preserve"> </w:t>
                </w:r>
                <w:r>
                  <w:rPr>
                    <w:color w:val="000000"/>
                    <w:sz w:val="22"/>
                    <w:szCs w:val="22"/>
                    <w:lang w:eastAsia="lt-LT"/>
                  </w:rPr>
                  <w:t>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ind w:right="57" w:firstLine="720"/>
                  <w:jc w:val="both"/>
                  <w:rPr>
                    <w:b/>
                    <w:bCs/>
                    <w:color w:val="000000"/>
                    <w:sz w:val="22"/>
                    <w:szCs w:val="22"/>
                    <w:lang w:eastAsia="lt-LT"/>
                  </w:rPr>
                </w:pPr>
              </w:p>
              <w:p>
                <w:pPr>
                  <w:ind w:right="57" w:firstLine="720"/>
                  <w:jc w:val="both"/>
                  <w:rPr>
                    <w:b/>
                    <w:bCs/>
                    <w:color w:val="D13438"/>
                    <w:sz w:val="22"/>
                    <w:szCs w:val="22"/>
                    <w:u w:val="single"/>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8"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jc w:val="both"/>
                  <w:rPr>
                    <w:color w:val="000000"/>
                    <w:sz w:val="22"/>
                    <w:szCs w:val="22"/>
                    <w:lang w:eastAsia="lt-LT"/>
                  </w:rPr>
                </w:pPr>
                <w:r>
                  <w:rPr>
                    <w:color w:val="000000"/>
                    <w:sz w:val="22"/>
                    <w:szCs w:val="22"/>
                    <w:lang w:eastAsia="lt-LT"/>
                  </w:rPr>
                  <w:t xml:space="preserve">XI SKYRIUS </w:t>
                </w:r>
              </w:p>
              <w:p>
                <w:pPr>
                  <w:jc w:val="both"/>
                  <w:rPr>
                    <w:color w:val="000000"/>
                    <w:sz w:val="22"/>
                    <w:szCs w:val="22"/>
                    <w:lang w:eastAsia="lt-LT"/>
                  </w:rPr>
                </w:pPr>
                <w:r>
                  <w:rPr>
                    <w:color w:val="000000"/>
                    <w:sz w:val="22"/>
                    <w:szCs w:val="22"/>
                    <w:lang w:eastAsia="lt-LT"/>
                  </w:rPr>
                  <w:t xml:space="preserve">BAIGIAMOSIOS NUOSTATOS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83 straipsnis </w:t>
                </w:r>
              </w:p>
              <w:p>
                <w:pPr>
                  <w:shd w:val="clear" w:color="auto" w:fill="FFFFFF"/>
                  <w:jc w:val="both"/>
                  <w:rPr>
                    <w:i/>
                    <w:iCs/>
                    <w:color w:val="000000"/>
                    <w:sz w:val="22"/>
                    <w:szCs w:val="22"/>
                    <w:lang w:eastAsia="lt-LT"/>
                  </w:rPr>
                </w:pPr>
                <w:r>
                  <w:rPr>
                    <w:b/>
                    <w:bCs/>
                    <w:color w:val="000000"/>
                    <w:sz w:val="22"/>
                    <w:szCs w:val="22"/>
                    <w:lang w:eastAsia="lt-LT"/>
                  </w:rPr>
                  <w:t>Apsaugos priemonės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Staiga įvykus energijos rinkos krizei ar iškilus grėsmei asmenų fizinei saugai ar saugumui, aparatūros ar įrenginių arba sistemos vientisumo saugumui, valstybė narė gali imtis nacionaliniame ekstremaliųjų situacijų valdymo plane numatytų priemonių ir skelbti, jei taikytina, vieną iš krizės lygių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11 straipsnį.</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5 straipsnis. Vyriausybės ar jos įgaliotos institucijos funkcijos gamtinių</w:t>
                </w:r>
                <w:r>
                  <w:rPr>
                    <w:color w:val="000000"/>
                    <w:sz w:val="22"/>
                    <w:szCs w:val="22"/>
                    <w:lang w:eastAsia="lt-LT"/>
                  </w:rPr>
                  <w:t> </w:t>
                </w:r>
                <w:r>
                  <w:rPr>
                    <w:b/>
                    <w:bCs/>
                    <w:color w:val="000000"/>
                    <w:sz w:val="22"/>
                    <w:szCs w:val="22"/>
                    <w:lang w:eastAsia="lt-LT"/>
                  </w:rPr>
                  <w:t>dujų sektoriuje</w:t>
                </w:r>
              </w:p>
              <w:p>
                <w:pPr>
                  <w:ind w:right="57"/>
                  <w:jc w:val="both"/>
                  <w:rPr>
                    <w:color w:val="000000"/>
                    <w:sz w:val="22"/>
                    <w:szCs w:val="22"/>
                    <w:lang w:eastAsia="lt-LT"/>
                  </w:rPr>
                </w:pPr>
                <w:r>
                  <w:rPr>
                    <w:color w:val="000000"/>
                    <w:sz w:val="22"/>
                    <w:szCs w:val="22"/>
                    <w:lang w:eastAsia="lt-LT"/>
                  </w:rPr>
                  <w:t>Vyriausybė ar jos įgaliota institucija gamtinių dujų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13) nustato proporcingas laikinąsias priemones, taikytinas staiga įvykus gamtinių dujų ar visos energetikos rinkos krizei ar iškilus grėsmei asmenų, gamtinių dujų įrenginių arba gamtinių dujų sistemos vientisumo saugumui;</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84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Vienodos sąlygos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Priemonės, kurių valstybės narės gali imtis pagal šią direktyvą, kad užtikrintų vienodas sąlygas, turi būti suderinamos su SESV, visų pirma su jos 36 straipsniu, ir su kita Sąjungos teise.</w:t>
                </w:r>
              </w:p>
            </w:tc>
            <w:tc>
              <w:tcPr>
                <w:tcW w:w="9297" w:type="dxa"/>
                <w:vAlign w:val="center"/>
              </w:tcPr>
              <w:p>
                <w:pPr>
                  <w:ind w:firstLine="17"/>
                  <w:jc w:val="both"/>
                  <w:rPr>
                    <w:i/>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1 dalyje nurodytos priemonės turi būti proporcingos, nediskriminacinės ir skaidrios. Tos priemonės gali būti įgyvendinamos tik pranešus apie jas Komisijai ir gavus jos pritarimą.</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4508"/>
                  </w:tabs>
                  <w:jc w:val="both"/>
                  <w:rPr>
                    <w:color w:val="000000"/>
                    <w:sz w:val="22"/>
                    <w:szCs w:val="22"/>
                    <w:lang w:eastAsia="lt-LT"/>
                  </w:rPr>
                </w:pPr>
                <w:r>
                  <w:rPr>
                    <w:color w:val="000000"/>
                    <w:sz w:val="22"/>
                    <w:szCs w:val="22"/>
                    <w:lang w:eastAsia="lt-LT"/>
                  </w:rPr>
                  <w:t>3. Komisija atsako į 2 dalyje nurodytą pranešimą per du mėnesius nuo pranešimo gavimo dienos. Tas laikotarpis prasideda kitą dieną po to, kai gaunama visa informacija. Jei per tą dviejų mėnesių laikotarpį Komisija nesiėmė veiksmų, laikoma, kad ji neprieštarauja priemonėms, apie kurias buvo pranešta.</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85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Techniniai susitarimai su trečiosiomis valstybėmis dėl gamtinių dujų ir vandenilio vamzdynų eksploatavimo</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Šia direktyva nedaroma poveikio perdavimo sistemos operatorių, vandenilio tinklo operatorių ar kitų ekonominės veiklos vykdytojų laisvei toliau taikyti arba sudaryti techninius susitarimus dėl klausimų, susijusių su vamzdynų tarp valstybės narės ir trečiosios valstybės eksploatavimu, jeigu tie susitarimai yra suderinami su Sąjungos teise ir atitinkamais atitinkamų valstybių narių reguliavimo institucijų sprendimais. Apie tokius susitarimus pranešama atitinkamų valstybių narių reguliavimo institucijoms.</w:t>
                </w:r>
              </w:p>
            </w:tc>
            <w:tc>
              <w:tcPr>
                <w:tcW w:w="9297" w:type="dxa"/>
                <w:vAlign w:val="center"/>
              </w:tcPr>
              <w:p>
                <w:pPr>
                  <w:ind w:firstLine="17"/>
                  <w:jc w:val="both"/>
                  <w:rPr>
                    <w:i/>
                    <w:color w:val="000000"/>
                    <w:sz w:val="22"/>
                    <w:szCs w:val="22"/>
                    <w:lang w:eastAsia="lt-LT"/>
                  </w:rPr>
                </w:pPr>
                <w:r>
                  <w:rPr>
                    <w:i/>
                    <w:color w:val="000000"/>
                    <w:sz w:val="22"/>
                    <w:szCs w:val="22"/>
                    <w:lang w:eastAsia="lt-LT"/>
                  </w:rPr>
                  <w:t>Pastaba. Deklaratyvi nuostata nereikalauja perkėlimo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86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dėl gamtinių dujų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kurių sistemos nėra tiesiogiai prijungtos prie jokios kitos valstybės narės jungtinės sistemos, gali nukrypti nuo 3, 8, 34, 60 straipsnių ar 31 straipsnio 1 dalies. Visos tokios nukrypti leidžiančios nuostatos nustoja galioti tada, kai užbaigiama pirma jungtis į tą valstybę narę. Apie visus tokius nukrypimus pranešama Komisijai.</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Šios nuostatos Lietuvai neaktualios.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gali prašyti Komisijos taikyti nukrypti nuo 3, 8, 60 ar 31 straipsnių leidžiančias nuostatas atokiausiuose regionuose, kaip tai suprantama SESV 349 straipsnyje, ar kitose geografiškai izoliuotose vietovėse. Visos tokios nukrypti leidžiančios nuostatos nustoja galioti tada, kai užbaigiama jungtis iš to regiono ar vietovės į valstybę narę, kurioje yra jungtinė sistema.</w:t>
                </w:r>
              </w:p>
            </w:tc>
            <w:tc>
              <w:tcPr>
                <w:tcW w:w="9297" w:type="dxa"/>
              </w:tcPr>
              <w:p>
                <w:pPr>
                  <w:ind w:firstLine="17"/>
                  <w:jc w:val="both"/>
                  <w:rPr>
                    <w:i/>
                    <w:color w:val="000000"/>
                    <w:sz w:val="22"/>
                    <w:szCs w:val="22"/>
                    <w:lang w:eastAsia="lt-LT"/>
                  </w:rPr>
                </w:pPr>
                <w:r>
                  <w:rPr>
                    <w:i/>
                    <w:iCs/>
                    <w:color w:val="000000"/>
                    <w:sz w:val="22"/>
                    <w:szCs w:val="22"/>
                    <w:lang w:eastAsia="lt-LT"/>
                  </w:rPr>
                  <w:t>Pastaba. Šios nuostatos Lietuvai neaktualios.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Liuksemburgas gali nukrypti nuo 60 straipsnio. Apie visus tokius nukrypimus pranešama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Liuksemburgui.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sprendimą, Komisija valstybes nares informuoja apie prašymus taikyti nukrypti leidžiančias nuostatas pagal 2 dalį, atsižvelgdama į pagrįstus prašymus neatskleisti neskelbtinos komercinės informacijos.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Komisijos pagal 2 dalį leistos taikyti nukrypti leidžiančios nuostatos taikomos ribotą laiką ir su sąlygomis, kuriomis vidaus rinkoje siekiama didinti konkurenciją ir jos integraciją ir užtikrinti, kad nukrypti leidžiančios nuostatos netrukdytų pereiti prie atsinaujinančiųjų išteklių energijos ar taikyti principo „svarbiausia – energijos vartojimo efektyvumas“.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Konstatuojamoji nuostata, kurios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Pagal Direktyvą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leistos taikyti nukrypti leidžiančios nuostatos, kurių galiojimo trukmė arba konkretus taikymo laikotarpis nenustatytas, nustoja galioti 2025 m. gruodžio 31 d. Valstybės narės, kurios 2024 m. rugpjūčio 4 d. vis dar naudojasi tokiomis nukrypti leidžiančiomis nuostatomis, gali nuspręsti taikyti naują nukrypti leidžiančią nuostatą pagal šio straipsnio 1 arba 7 dalį arba gali prašyti Komisijos leisti taikyti naują nukrypti leidžiančią nuostatą pagal šio straipsnio 2 dalį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Valstybės narės, kurios pirmąjį komercinį tiekimą pagal savo pirmąją ilgalaikę gamtinių dujų tiekimo sutartį gavo po 2024 m. rugpjūčio 4 d., gali nukrypti nuo 3 straipsnio 1–4 dalių, 4 straipsnio 1 dalies, 8 straipsnio, 31 straipsnio 1 dalies, 32 straipsnio 1 dalies, 34 straipsnio, 39 straipsnio 1–5 dalių, 43 straipsnio, 44 straipsnio 6 dalies, 46, 60, 61 ir 75 straipsnių. Apie visus tokius nukrypimus pranešama Komisijai. Nukrypti leidžianti nuostata nustoja galioti praėjus 10 metų nuo pirmo komercinio tiekimo pagal jų pirmąją ilgalaikę gamtinių dujų tiekimo sutartį.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Pranešimai apie valstybių narių pagal 1, 3 ir 7 dalis suteiktas nukrypti leidžiančias nuostatas ir Komisijos sprendimai pagal 2, 5 ir 6 dalis leisti suteikti nukrypti leidžiančias nuostatas skelbiami Europos Sąjungos oficialiajame leidinyje.</w:t>
                </w:r>
              </w:p>
            </w:tc>
            <w:tc>
              <w:tcPr>
                <w:tcW w:w="9297" w:type="dxa"/>
                <w:vAlign w:val="center"/>
              </w:tcPr>
              <w:p>
                <w:pPr>
                  <w:ind w:firstLine="17"/>
                  <w:jc w:val="both"/>
                  <w:rPr>
                    <w:i/>
                    <w:iCs/>
                    <w:color w:val="000000"/>
                    <w:sz w:val="22"/>
                    <w:szCs w:val="22"/>
                    <w:lang w:eastAsia="lt-LT"/>
                  </w:rPr>
                </w:pPr>
                <w:r>
                  <w:rPr>
                    <w:color w:val="000000"/>
                    <w:sz w:val="22"/>
                    <w:szCs w:val="22"/>
                    <w:lang w:eastAsia="lt-LT"/>
                  </w:rPr>
                  <w:t>P</w:t>
                </w:r>
                <w:r>
                  <w:rPr>
                    <w:i/>
                    <w:iCs/>
                    <w:color w:val="000000"/>
                    <w:sz w:val="22"/>
                    <w:szCs w:val="22"/>
                    <w:lang w:eastAsia="lt-LT"/>
                  </w:rPr>
                  <w:t>astaba. Nuostata yra konstatuojamojo pobūdžio, jos perkelti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87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Vandenilio tinklai izoliuotuose regionuose</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Valstybės narės gali leisti taikyti nukrypti leidžiančias nuostatas dėl 46, 68 ar 71 straipsnių taikymo vandenilio tinklams, esantiems atokiausiuose regionuose, kaip apibrėžta SESV 349 straipsnyje, ir izoliuotuose regionuose, kurių teritorinių statistinių vienetų nomenklatūros (toliau – NUTS), nustatytos Europos Parlamento ir Tarybos reglamentu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 </w:t>
                </w:r>
                <w:r>
                  <w:rPr>
                    <w:color w:val="000000"/>
                    <w:sz w:val="22"/>
                    <w:szCs w:val="22"/>
                    <w:vertAlign w:val="superscript"/>
                    <w:lang w:eastAsia="lt-LT"/>
                  </w:rPr>
                  <w:t>52</w:t>
                </w:r>
                <w:r>
                  <w:rPr>
                    <w:color w:val="000000"/>
                    <w:sz w:val="22"/>
                    <w:szCs w:val="22"/>
                    <w:lang w:eastAsia="lt-LT"/>
                  </w:rPr>
                  <w:t>), NUTS 2 ir NUTS 3 kodai yra šie: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52</w:t>
                </w:r>
                <w:r>
                  <w:rPr>
                    <w:color w:val="000000"/>
                    <w:sz w:val="22"/>
                    <w:szCs w:val="22"/>
                    <w:lang w:eastAsia="lt-LT"/>
                  </w:rPr>
                  <w:t xml:space="preserve">) 2003 m. gegužės 26 d. Europos Parlamento ir Tarybos reglamentas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dėl bendro teritorinių statistinių vienetų klasifikatoriaus (NUTS) nustatymo (OL L 154, 2003 6 21, p. 1).</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vandenilio tinklams, esantiems atokiausiuose regionuose, kaip apibrėžta SESV 349 straipsnyje, ir izoliuotuose regionuose, pažymėtose konkrečiais šios dalies nuostatose nurodytais NUTS 2 ir NUTS 3 kodais.</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Kipras (NUTS 2 CY00);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Kainuu (NUTS 3 FI1D8);</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Laplandija (NUTS 3 FI1D7);</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iv) Malta (NUTS 2 MT00);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Šiaurės Pohjanma (NUTS 3 FI1D9);</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vi) Aukštutinis Norlandas (NUTS 2 SE33).</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Visos pagal 1 dalį suteiktos nukrypti leidžiančios nuostatos skelbiamos viešai ir apie jas pranešama Komisijai.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Pagal 1 dalį leistos taikyti nukrypti leidžiančios nuostatos nustoja galioti praėjus 15 metų nuo jų suteikimo dienos ir bet kuriuo atveju ne vėliau kaip 2044 m. gruodžio 31 d. Tokių nukrypti leidžiančių nuostatų galiojimo laikas nepratęsiamas. Valstybės narės atšaukia pagal 1 dalį suteiktos nukrypti leidžiančios nuostatos taikymą, jei vandenilio tinklas, kuriam taikoma tokia nukrypti leidžianti nuostata, išplečiamas už izoliuoto regiono ribų arba prijungiamas prie vandenilio tinklų, esančių už regionų ribų.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Kas septynerius metus nuo leidimo taikyti nukrypti leidžiančią nuostatą suteikimo pagal 1 dalį dienos arba gavusi pagrįstą Komisijos prašymą, tą nukrypti leidžiančią nuostatą suteikusios valstybės narės reguliavimo institucija paskelbia tos nukrypti leidžiančios nuostatos poveikio konkurencijai, infrastruktūros plėtrai ir rinkos veikimui vertinimą. Jei reguliavimo institucija po tokio vertinimo padaro išvadą, kad dėl tolesnio nukrypti leidžiančios nuostatos taikymo kiltų kliūčių konkurencijai rizika arba būtų neigiamai paveiktas veiksmingas vandenilio infrastruktūros diegimas ar vandenilio rinkos plėtra valstybėje narėje arba Sąjungoje, valstybė narė atšaukia nukrypti leidžiančios nuostatos taikymą.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88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susijusios su gamtinių dujų perdavimo linijomis į trečiąsias valstybes ir iš jų</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Kalbant apie gamtinių dujų perdavimo linijas tarp valstybės narės ir trečiosios valstybės, užbaigtas anksčiau nei 2019 m. gegužės 23 d., valstybė narė, kurioje yra pirmas tokios perdavimo linijos sujungimo su valstybės narės tinklu taškas, dėl objektyvių priežasčių, pavyzdžiui, siekdama sudaryti sąlygas susigrąžinti investicijas, padarytas arba būtinas dėl tiekimo saugumo, gali nuspręsti taikyti nukrypti nuo 31, 60, 71 bei 72 straipsnių, 78 straipsnio 7 bei 9 dalių ir 79 straipsnio 1 dalies leidžiančią nuostatą tokios gamtinių dujų perdavimo linijos atkarpų, esančių jos teritorijoje ir teritorinėje jūroje, atžvilgiu su sąlyga, kad ši nukrypti leidžianti nuostata nekenkia konkurencijai gamtinių dujų vidaus rinkoje arba jos veiksmingam veikimui, arba tiekimo saugumui Sąjungoje.</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89"/>
                  </w:tabs>
                  <w:jc w:val="both"/>
                  <w:rPr>
                    <w:color w:val="000000"/>
                    <w:sz w:val="22"/>
                    <w:szCs w:val="22"/>
                    <w:lang w:eastAsia="lt-LT"/>
                  </w:rPr>
                </w:pPr>
                <w:r>
                  <w:rPr>
                    <w:color w:val="000000"/>
                    <w:sz w:val="22"/>
                    <w:szCs w:val="22"/>
                    <w:lang w:eastAsia="lt-LT"/>
                  </w:rPr>
                  <w:t>Nukrypti leidžiančios nuostatos galiojimo trukmė remiantis objektyviu pagrindimu ribojama iki 20 metų ir, jei pagrįsta, ji gali būti pratęsta, be to, jai gali būti taikomos sąlygos, padedančios užtikrinti pirmoje pastraipoje nurodytas sąlygas.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Tokios nukrypti leidžiančios nuostatos netaikomos perdavimo linijoms tarp valstybės narės ir trečiosios valstybės, kuri šią direktyvą privalo perkelti į nacionalinę teisę ir kuri veiksmingai įgyvendina šią direktyvą savo teisės sistemoje pagal su Sąjunga sudarytą susitarimą.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Jeigu atitinkama perdavimo linija yra daugiau nei vienos valstybės narės teritorijoje, valstybė narė, kurios teritorijoje yra pirmas sujungimo su valstybių narių tinklu taškas, nusprendžia, ar suteikti teisę taikyti nukrypti leidžiančią nuostatą tai perdavimo linijai, pasikonsultavusi su visomis atitinkamomis valstybėmis narėmis.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Atitinkamų valstybių narių prašymu Komisija gali nuspręsti stebėtojos teisėmis dalyvauti valstybės narės, kurios teritorijoje yra pirmas prijungimo taškas, ir trečiosios valstybės konsultacijose, susijusiose su nuosekliu šios direktyvos taikymu valstybės narės, kurioje yra pirmas sujungimo taškas, teritorijoje ir teritorinėje jūroje, įskaitant teisę tokioms perdavimo linijoms taikyti nukrypti leidžiančias nuostatas.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Sprendimai pagal 1 ir 2 dalis priimami ne vėliau kaip 2020 m. gegužės 24 d. Valstybės narės apie visus tokius sprendimus praneša Komisijai ir juos paskelbia.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22"/>
                  </w:tabs>
                  <w:jc w:val="both"/>
                  <w:rPr>
                    <w:color w:val="000000"/>
                    <w:sz w:val="22"/>
                    <w:szCs w:val="22"/>
                    <w:lang w:eastAsia="lt-LT"/>
                  </w:rPr>
                </w:pPr>
                <w:r>
                  <w:rPr>
                    <w:color w:val="000000"/>
                    <w:sz w:val="22"/>
                    <w:szCs w:val="22"/>
                    <w:lang w:eastAsia="lt-LT"/>
                  </w:rPr>
                  <w:t>4. Komisija ne vėliau kaip 2026 m. rugpjūčio 5 d. pateikia Europos Parlamentui ir Tarybai ataskaitą dėl pagal šį straipsnį leistų taikyti nukrypti leidžiančių nuostatų. Ataskaitoje visų pirma įvertinamas tokių nukrypti leidžiančių nuostatų poveikis veiksmingam gamtinių dujų vidaus rinkos veikimui, taip pat energijos tiekimo saugumui ir esminiams Sąjungos ir valstybių narių saugumo interesams.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89 straipsnis </w:t>
                </w:r>
              </w:p>
              <w:p>
                <w:pPr>
                  <w:shd w:val="clear" w:color="auto" w:fill="FFFFFF"/>
                  <w:jc w:val="both"/>
                  <w:rPr>
                    <w:i/>
                    <w:iCs/>
                    <w:color w:val="000000"/>
                    <w:sz w:val="22"/>
                    <w:szCs w:val="22"/>
                    <w:lang w:eastAsia="lt-LT"/>
                  </w:rPr>
                </w:pPr>
                <w:r>
                  <w:rPr>
                    <w:b/>
                    <w:bCs/>
                    <w:color w:val="000000"/>
                    <w:sz w:val="22"/>
                    <w:szCs w:val="22"/>
                    <w:lang w:eastAsia="lt-LT"/>
                  </w:rPr>
                  <w:t>Įgaliojimo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Nedarant poveikio kitoms pareigoms pagal Sąjungos teisę bei Sąjungos ir valstybių narių kompetencijos paskirstymui, galiojantys valstybės narės ir trečiosios valstybės susitarimai dėl perdavimo linijos arba gavybos tinklo eksploatavimo gali toliau galioti iki vėliau sudaryto Sąjungos ir tos pačios trečiosios valstybės susitarimo įsigaliojimo arba tol, kol taikoma 2– 15 dalyse išdėstyta procedūra.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Nedarant poveikio Sąjungos ir valstybių narių kompetencijos paskirstymui, tuo atveju, kai valstybė narė ketina pradėti derybas su trečiąja valstybe, siekdama iš dalies pakeisti, išplėsti, pritaikyti, pratęsti arba sudaryti susitarimą dėl perdavimo linijos su trečiąja valstybe arba dėl vandenilio jungties su trečiąja valstybe eksploatavimo, dėl klausimų, kurie visiškai ar iš dalies patenka į šios direktyvos arba į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taikymo sritį, apie savo ketinimą ji praneša Komisijai raštu.</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Prie tokio pranešimo pridedami susiję dokumentai ir nurodomos nuostatos, kurios turi būti aptariamos derybose ar dėl kurių turi būti iš naujo deramasi, derybų tikslai ir visa kita aktuali informacija ir pateikiama Komisijai bent penkis mėnesius prieš numatomą derybų pradžią.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Po pranešimo pagal 2 dalį Komisija priima sprendimą, kuriuo atitinkamai valstybei narei leidžiama pradėti oficialias derybas su trečiąja valstybe dėl dalies, kuri gali daryti poveikį Sąjungos bendroms taisyklėms, išskyrus tuos atvejus, kai ji mano, kad tokių derybų pradėjimas:</w:t>
                </w:r>
              </w:p>
            </w:tc>
            <w:tc>
              <w:tcPr>
                <w:tcW w:w="9297" w:type="dxa"/>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prieštarautų Sąjungos teisei kitaip nei nesuderinamumai, atsirandantys dėl kompetencijos paskirstymo tarp Sąjungos ir valstybių narių;</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kenktų gamtinių dujų arba vandenilio vidaus rinkų veikimui, konkurencijai arba tiekimo saugumui valstybėje narėje arba Sąjungoje, atsižvelgiant į valstybių narių solidarumo principą pagal SESV 194 straipsnio 1 dalį</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kenktų Sąjungos ir trečiosios valstybės vykstančių derybų dėl tarptautinių susitarimų tikslams;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būtų diskriminuojantis.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Atlikdama vertinimą pagal 3 dalį, Komisija atsižvelgia į tai, ar numatomas susitarimas yra susijęs su perdavimo linija ar gavybos proceso vamzdynu, kuriais padedama įvairinti gamtinių dujų tiekimą ir tiekėjus pasitelkiant naujus gamtinių dujų šaltinius.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Per 90 dienų nuo 2 dalyje nurodyto pranešimo gavimo Komisija priima sprendimą, kuriuo valstybei narei leidžiama arba atsisakoma leisti pradėti derybas siekiant iš dalies pakeisti, išplėsti, pritaikyti, pratęsti arba sudaryti susitarimą su trečiąja valstybe. Jeigu sprendimui priimti reikia papildomos informacijos, 90 dienų laikotarpis pradedamas skaičiuoti nuo tokios papildomos informacijos gavimo dienos.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Tuo atveju, jeigu Komisija priima sprendimą, kuriuo atsisakoma leisti pradėti derybas siekiant iš dalies pakeisti, išplėsti, pritaikyti, pratęsti arba sudaryti susitarimą su trečiąja valstybe, ji apie tai informuoja atitinkamą valstybę narę ir nurodo to priežastis.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Sprendimai, kuriais leidžiama arba atsisakoma leisti pradėti derybas siekiant iš dalies pakeisti, išplėsti, pritaikyti, pratęsti arba sudaryti susitarimą su trečiąja valstybe priimami įgyvendinimo aktais, laikantis 90 straipsnio 2 dalyje nurodytos procedūros.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8. Komisija gali pateikti rekomendacijų ir gali paprašyti įtraukti tam tikras nuostatas į siūlomą susitarimą siekiant užtikrinti suderinamumą su Sąjungos teise pagal Europos Parlamento ir Tarybos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 </w:t>
                </w:r>
                <w:r>
                  <w:rPr>
                    <w:color w:val="000000"/>
                    <w:sz w:val="22"/>
                    <w:szCs w:val="22"/>
                    <w:vertAlign w:val="superscript"/>
                    <w:lang w:eastAsia="lt-LT"/>
                  </w:rPr>
                  <w:t>53</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53</w:t>
                </w:r>
                <w:r>
                  <w:rPr>
                    <w:color w:val="000000"/>
                    <w:sz w:val="22"/>
                    <w:szCs w:val="22"/>
                    <w:lang w:eastAsia="lt-LT"/>
                  </w:rPr>
                  <w:t xml:space="preserve">) 2017 m. balandžio 5 d. Europos Parlamento ir Tarybos sprendimas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kuriuo nustatomas keitimosi informacija apie tarpvyriausybinius valstybių narių ir trečiųjų valstybių energetikos susitarimus bei teisiškai neprivalomus dokumentus mechanizmas, ir panaikinamas Sprendimas </w:t>
                </w:r>
                <w:fldSimple w:instr="HYPERLINK http://eur-lex.europa.eu/legal-content/LIT/TXT/?uri=CELEX:32012D0994&amp;locale=lt \t _blank">
                  <w:r>
                    <w:rPr>
                      <w:color w:val="0000FF" w:themeColor="hyperlink"/>
                      <w:sz w:val="22"/>
                      <w:szCs w:val="22"/>
                      <w:lang w:eastAsia="lt-LT"/>
                      <w:u w:val="single"/>
                    </w:rPr>
                    <w:t>Nr. 994/2012/ES</w:t>
                  </w:r>
                </w:fldSimple>
                <w:r>
                  <w:rPr>
                    <w:color w:val="000000"/>
                    <w:sz w:val="22"/>
                    <w:szCs w:val="22"/>
                    <w:lang w:eastAsia="lt-LT"/>
                  </w:rPr>
                  <w:t xml:space="preserve"> (OL L 99, 2017 4 12, p. 1).</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9. Komisija informuojama apie derybų siekiant iš dalies pakeisti, išplėsti, pritaikyti, pratęsti arba sudaryti susitarimą pažangą ir rezultatus įvairiuose tokių derybų etapuose ir ji gali prašyti dalyvauti tokiose valstybės narės ir trečiosios valstybės derybose pagal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Komisija informuoja Europos Parlamentą ir Tarybą apie sprendimus, priimtus pagal 5 dalį.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Prieš pasirašydama susitarimą su trečiąja valstybe, atitinkama valstybė narė praneša Komisijai apie derybų rezultatus ir perduoda Komisijai suderėto susitarimo tekstą.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Gavusi pranešimą pagal 11 dalį, Komisija pagal 3 dalį vertina suderėtą susitarimą. Jeigu Komisija nustato, kad derybose susitarta dėl susitarimo, kuris atitinka 3 dalį, ji įgalioja valstybę narę pasirašyti ir sudaryti susitarimą.</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 Per 90 dienų nuo 11 dalyje nurodyto pranešimo gavimo Komisija priima sprendimą, kuriuo valstybei narei leidžiama arba atsisakoma leisti pasirašyti ir sudaryti susitarimą su trečiąja valstybe. Jeigu sprendimui priimti reikia papildomos informacijos, 90 dienų laikotarpis pradedamas skaičiuoti nuo tokios papildomos informacijos gavimo dienos.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14. Jeigu Komisija pagal 13 dalį priima sprendimą, kuriuo valstybei narei leidžiama pasirašyti ir sudaryti susitarimą su trečiąja valstybe, atitinkama valstybė narė Komisijai praneša apie susitarimo sudarymą ir įsigaliojimą, ir apie visus vėlesnius to susitarimo statuso pasikeitimus.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15. Tuo atveju, jeigu Komisija pagal 13 dalį priima sprendimą, kuriuo valstybei narei atsisakoma leisti pasirašyti ir sudaryti susitarimą su trečiąja valstybe, ji apie tai informuoja atitinkamą valstybę narę ir nurodo to priežastis.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90 straipsnis </w:t>
                </w:r>
              </w:p>
              <w:p>
                <w:pPr>
                  <w:shd w:val="clear" w:color="auto" w:fill="FFFFFF"/>
                  <w:jc w:val="both"/>
                  <w:rPr>
                    <w:i/>
                    <w:iCs/>
                    <w:color w:val="000000"/>
                    <w:sz w:val="22"/>
                    <w:szCs w:val="22"/>
                    <w:lang w:eastAsia="lt-LT"/>
                  </w:rPr>
                </w:pPr>
                <w:r>
                  <w:rPr>
                    <w:b/>
                    <w:bCs/>
                    <w:color w:val="000000"/>
                    <w:sz w:val="22"/>
                    <w:szCs w:val="22"/>
                    <w:lang w:eastAsia="lt-LT"/>
                  </w:rPr>
                  <w:t>Įgaliojimų delegavimas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Įgaliojimai priimti deleguotuosius aktus Komisijai suteikiami šiame straipsnyje nustatytomis sąlygomis.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9, 62, 72, 80, 81 ir 82 straipsniuose nurodyti įgaliojimai priimti deleguotuosius aktus Komisijai suteikiami neribotam laikotarpiui nuo 2024 m. rugpjūčio 4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Europos Parlamentas arba Taryba gali bet kuriuo metu panaikinti 9, 62, 72, 80, 81 ir 82 straipsniuose nurodytus įgaliojimus priimti deleguotuosius aktus. Sprendimu dėl įgaliojimų atšaukimo nutraukiami tame sprendime nurodyti įgaliojimai priimti deleguotuosius aktus. Sprendimas įsigalioja kitą dieną po jo paskelbimo Europos Sąjungos oficialiajame leidinyje arba vėlesnę jame nurodytą dieną. Jis nedaro poveikio jau galiojančių deleguotųjų aktų galiojimui.</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deleguotąjį aktą, Komisija konsultuojasi su kiekvienos valstybės narės paskirtais ekspertais vadovaudamasi 2016 m. balandžio 13 d. Tarpinstituciniame susitarime dėl geresnės teisėkūros nustatytais principais.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Apie priimtą deleguotąjį aktą Komisija nedelsdama vienu metu praneša Europos Parlamentui ir Tarybai.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Pagal 9, 62, 72, 80, 81 arba 82 straipsnį priimtas deleguotasis aktas įsigalioja tik tuo atveju, jeigu per du mėnesius nuo pranešimo Europos Parlamentui ir Tarybai apie šį aktą dienos nei Europos Parlamentas, nei Taryba nepareiškia prieštaravimų arba jeigu dar nepasibaigus šiam laikotarpiui ir Europos Parlamentas, ir Taryba praneša Komisijai, kad prieštaravimų nereikš. Europos Parlamento arba Tarybos iniciatyva šis laikotarpis pratęsiamas dviem mėnesiais.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91 straipsnis </w:t>
                </w:r>
              </w:p>
              <w:p>
                <w:pPr>
                  <w:shd w:val="clear" w:color="auto" w:fill="FFFFFF"/>
                  <w:jc w:val="both"/>
                  <w:rPr>
                    <w:i/>
                    <w:iCs/>
                    <w:color w:val="000000"/>
                    <w:sz w:val="22"/>
                    <w:szCs w:val="22"/>
                    <w:lang w:eastAsia="lt-LT"/>
                  </w:rPr>
                </w:pPr>
                <w:r>
                  <w:rPr>
                    <w:b/>
                    <w:bCs/>
                    <w:color w:val="000000"/>
                    <w:sz w:val="22"/>
                    <w:szCs w:val="22"/>
                    <w:lang w:eastAsia="lt-LT"/>
                  </w:rPr>
                  <w:t>Komiteto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Komisijai padeda komitetas. Tas komitetas – tai komitetas, kaip nustatyta Reglamente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Europos Komisijai ir Komitetui.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4 straipsnis.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5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92 straipsnis </w:t>
                </w:r>
              </w:p>
              <w:p>
                <w:pPr>
                  <w:shd w:val="clear" w:color="auto" w:fill="FFFFFF"/>
                  <w:jc w:val="both"/>
                  <w:rPr>
                    <w:i/>
                    <w:iCs/>
                    <w:color w:val="000000"/>
                    <w:sz w:val="22"/>
                    <w:szCs w:val="22"/>
                    <w:lang w:eastAsia="lt-LT"/>
                  </w:rPr>
                </w:pPr>
                <w:r>
                  <w:rPr>
                    <w:b/>
                    <w:bCs/>
                    <w:color w:val="000000"/>
                    <w:sz w:val="22"/>
                    <w:szCs w:val="22"/>
                    <w:lang w:eastAsia="lt-LT"/>
                  </w:rPr>
                  <w:t>Peržiūra ir ataskaitų teikimas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 vėliau kaip 2030 m. gruodžio 31 d. Komisija peržiūri šią direktyvą ir pateikia Europos Parlamentui ir Tarybai ataskaitą, prie kurios prireikus pridedami atitinkami pasiūlymai dėl teisėkūros procedūra priimamų aktų. Atliekant peržiūrą visų pirma nagrinėjamas 9 straipsnio ir su juo susijusių 2 straipsnyje esančių terminų apibrėžčių taikymas siekiant įvertinti, ar įrenginiai, pradedami eksploatuoti nuo 2031 m. sausio 1 d., pagal tą straipsnį gali būti sertifikuojami tik įrodžius, kad jų išmetamo šiltnamio efektą sukeliančių dujų kiekio sumažėjimas dėl mažo anglies dioksido pėdsako kuro ir mažo anglies dioksido pėdsako vandenilio naudojimo yra didesnis.</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Šių nuostatų perkelti ir įgyvendinti nereikia, nes jos skirtos Europos Komisijai.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Ne vėliau kaip 2035 m. rugpjūčio 5 d. Komisija paskelbia komunikatą, kuriame įvertinamas 46 straipsnio įgyvendinimas vandenilio skirstymo tinklo operatorių atžvilgiu ir 68 bei 69 straipsnių įgyvendinimas vandenilio perdavimo tinklo operatorių atžvilgiu.</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Komisijos komunikato rengimo pagal šio straipsnio 2 dalį tikslais ACER ne vėliau kaip 2034 m. rugpjūčio 5 d. paskelbia 46, 68 ir 69 straipsnių poveikio vandenilio rinkos veikimui, konkurencijai, likvidumui, vandenilio infrastruktūros plėtrai ir skaidrumui ataskaitą. ACER ataskaita turi apimti konsultacijas su atitinkamais suinteresuotaisiais subjektais.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93 straipsnis </w:t>
                </w:r>
              </w:p>
              <w:p>
                <w:pPr>
                  <w:shd w:val="clear" w:color="auto" w:fill="FFFFFF"/>
                  <w:jc w:val="both"/>
                  <w:rPr>
                    <w:i/>
                    <w:iCs/>
                    <w:color w:val="000000"/>
                    <w:sz w:val="22"/>
                    <w:szCs w:val="22"/>
                    <w:lang w:eastAsia="lt-LT"/>
                  </w:rPr>
                </w:pPr>
                <w:r>
                  <w:rPr>
                    <w:b/>
                    <w:bCs/>
                    <w:color w:val="000000"/>
                    <w:sz w:val="22"/>
                    <w:szCs w:val="22"/>
                    <w:lang w:eastAsia="lt-LT"/>
                  </w:rPr>
                  <w:t xml:space="preserve">Direktyvos </w:t>
                </w:r>
                <w:fldSimple w:instr="HYPERLINK http://eur-lex.europa.eu/legal-content/LIT/TXT/?uri=CELEX:32023L1791&amp;locale=lt \t _blank">
                  <w:r>
                    <w:rPr>
                      <w:b/>
                      <w:bCs/>
                      <w:color w:val="0000FF" w:themeColor="hyperlink"/>
                      <w:sz w:val="22"/>
                      <w:szCs w:val="22"/>
                      <w:lang w:eastAsia="lt-LT"/>
                      <w:u w:val="single"/>
                    </w:rPr>
                    <w:t>(ES) 2023/1791</w:t>
                  </w:r>
                </w:fldSimple>
                <w:r>
                  <w:rPr>
                    <w:b/>
                    <w:bCs/>
                    <w:color w:val="000000"/>
                    <w:sz w:val="22"/>
                    <w:szCs w:val="22"/>
                    <w:lang w:eastAsia="lt-LT"/>
                  </w:rPr>
                  <w:t xml:space="preserve"> daliniai pakeitimai</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Direktyva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iš dalies keičiama taip: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17 ir 19 straipsniai išbraukiami;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39 straipsnio antra pastraipa pakeičiama taip:</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„13–16 straipsniai ir 18 bei 20 straipsniai ir II, IX, XII, XIII bei XIV priedai taikomi nuo 2025 m. spalio 12 d.“;</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3) VIII priedas išbraukiamas.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94 straipsnis </w:t>
                </w:r>
              </w:p>
              <w:p>
                <w:pPr>
                  <w:shd w:val="clear" w:color="auto" w:fill="FFFFFF"/>
                  <w:jc w:val="both"/>
                  <w:rPr>
                    <w:i/>
                    <w:iCs/>
                    <w:color w:val="000000"/>
                    <w:sz w:val="22"/>
                    <w:szCs w:val="22"/>
                    <w:lang w:eastAsia="lt-LT"/>
                  </w:rPr>
                </w:pPr>
                <w:r>
                  <w:rPr>
                    <w:b/>
                    <w:bCs/>
                    <w:color w:val="000000"/>
                    <w:sz w:val="22"/>
                    <w:szCs w:val="22"/>
                    <w:lang w:eastAsia="lt-LT"/>
                  </w:rPr>
                  <w:t>Perkėlimas į nacionalinę teisę</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tabs>
                    <w:tab w:val="left" w:pos="1595"/>
                  </w:tabs>
                  <w:jc w:val="both"/>
                  <w:rPr>
                    <w:color w:val="000000"/>
                    <w:sz w:val="22"/>
                    <w:szCs w:val="22"/>
                    <w:lang w:eastAsia="lt-LT"/>
                  </w:rPr>
                </w:pPr>
                <w:r>
                  <w:rPr>
                    <w:color w:val="000000"/>
                    <w:sz w:val="22"/>
                    <w:szCs w:val="22"/>
                    <w:lang w:eastAsia="lt-LT"/>
                  </w:rPr>
                  <w:t>1. Valstybės narės užtikrina, kad įsigaliotų įstatymai ir kiti teisės aktai, būtini, kad 2–6 straipsnių, 8–31 straipsnių, 33 straipsnio, 35–38 straipsnių, 39 straipsnio 1 dalies a punkto, 39 straipsnio 3, 4, 7, 8 bei 9 dalių, 40 straipsnio 1 dalies, 41, 42 bei 43 straipsnių, 44 straipsnio 1, 2, 7 bei 8 dalių, 45 straipsnio, 46 straipsnio 2 bei 3 dalių, 50–59 straipsnių, 62 straipsnio, 64 straipsnio 11 dalies, 68–75 straipsnių, 76 straipsnio 5 dalies, 77, 78 bei 79 straipsnių, 81 straipsnio 1 bei 6 dalių, 82 bei 83 straipsnių ir I bei II priedų būtų laikomasi ne vėliau kaip 2026 m. rugpjūčio 5 d. Jos nedelsdamos pateikia Komisijai tų teisės aktų nuostatų tekstą.</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priimdamos tas priemones, daro jose nuorodą į šią direktyvą, arba tokia nuoroda daroma jas oficialiai skelbiant. Nuorodos darymo tvarką ir minėto teiginio redakciją nustato valstybės narės.</w:t>
                </w:r>
              </w:p>
            </w:tc>
            <w:tc>
              <w:tcPr>
                <w:tcW w:w="9297" w:type="dxa"/>
              </w:tcPr>
              <w:p>
                <w:pPr>
                  <w:ind w:firstLine="17"/>
                  <w:jc w:val="both"/>
                  <w:rPr>
                    <w:i/>
                    <w:color w:val="00B05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pateikia Komisijai šios direktyvos taikymo srityje priimtų nacionalinės teisės aktų pagrindinių nuostatų tekstus.</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95 straipsnis </w:t>
                </w:r>
              </w:p>
              <w:p>
                <w:pPr>
                  <w:shd w:val="clear" w:color="auto" w:fill="FFFFFF"/>
                  <w:jc w:val="both"/>
                  <w:rPr>
                    <w:i/>
                    <w:iCs/>
                    <w:color w:val="000000"/>
                    <w:sz w:val="22"/>
                    <w:szCs w:val="22"/>
                    <w:lang w:eastAsia="lt-LT"/>
                  </w:rPr>
                </w:pPr>
                <w:r>
                  <w:rPr>
                    <w:b/>
                    <w:bCs/>
                    <w:color w:val="000000"/>
                    <w:sz w:val="22"/>
                    <w:szCs w:val="22"/>
                    <w:lang w:eastAsia="lt-LT"/>
                  </w:rPr>
                  <w:t>Panaikinimas</w:t>
                </w:r>
              </w:p>
            </w:tc>
            <w:tc>
              <w:tcPr>
                <w:tcW w:w="9297" w:type="dxa"/>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su daliniais pakeitimais, padarytais aktais, nurodytais šios direktyvos III priedo A dalyje, panaikinama nuo 2024 m. rugpjūčio 4 d., nedarant poveikio valstybių narių pareigoms, susijusioms su direktyvų, nurodytų šios direktyvos III priedo B dalyje, perkėlimo į nacionalinę teisę terminais ir taikymo pradžios datomis. </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Nuorodos į panaikintą direktyvą laikomos nuorodomis į šią direktyvą ir aiškinamos pagal IV priede pateiktą atitikties lentelę.</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96 straipsnis </w:t>
                </w:r>
              </w:p>
              <w:p>
                <w:pPr>
                  <w:shd w:val="clear" w:color="auto" w:fill="FFFFFF"/>
                  <w:jc w:val="both"/>
                  <w:rPr>
                    <w:i/>
                    <w:iCs/>
                    <w:color w:val="000000"/>
                    <w:sz w:val="22"/>
                    <w:szCs w:val="22"/>
                    <w:lang w:eastAsia="lt-LT"/>
                  </w:rPr>
                </w:pPr>
                <w:r>
                  <w:rPr>
                    <w:b/>
                    <w:bCs/>
                    <w:color w:val="000000"/>
                    <w:sz w:val="22"/>
                    <w:szCs w:val="22"/>
                    <w:lang w:eastAsia="lt-LT"/>
                  </w:rPr>
                  <w:t xml:space="preserve">Įsigaliojimas ir taikymas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Ši direktyva įsigalioja dvidešimtą dieną po jos paskelbimo Europos Sąjungos oficialiajame leidinyje. </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93 straipsnis taikomas nuo 2026 m. rugpjūčio 5 d.</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97 straipsnis </w:t>
                </w:r>
              </w:p>
              <w:p>
                <w:pPr>
                  <w:shd w:val="clear" w:color="auto" w:fill="FFFFFF"/>
                  <w:jc w:val="both"/>
                  <w:rPr>
                    <w:i/>
                    <w:iCs/>
                    <w:color w:val="000000"/>
                    <w:sz w:val="22"/>
                    <w:szCs w:val="22"/>
                    <w:lang w:eastAsia="lt-LT"/>
                  </w:rPr>
                </w:pPr>
                <w:r>
                  <w:rPr>
                    <w:b/>
                    <w:bCs/>
                    <w:color w:val="000000"/>
                    <w:sz w:val="22"/>
                    <w:szCs w:val="22"/>
                    <w:lang w:eastAsia="lt-LT"/>
                  </w:rPr>
                  <w:t xml:space="preserve">Adresatai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 direktyva skirta valstybėms narėms. Priimta Briuselyje 2024 m. birželio 13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Minimalūs gamtinių dujų ir vandenilio sąskaitų ir jose pateikiamos informacijos reikalavimai</w:t>
                </w:r>
              </w:p>
            </w:tc>
            <w:tc>
              <w:tcPr>
                <w:tcW w:w="9297" w:type="dxa"/>
                <w:vAlign w:val="center"/>
              </w:tcPr>
              <w:p>
                <w:pPr>
                  <w:shd w:val="clear" w:color="auto" w:fill="FFFFFF"/>
                  <w:jc w:val="both"/>
                  <w:rPr>
                    <w:i/>
                    <w:iCs/>
                    <w:color w:val="000000"/>
                    <w:sz w:val="22"/>
                    <w:szCs w:val="22"/>
                    <w:shd w:val="clear" w:color="auto" w:fill="FFFFFF"/>
                    <w:lang w:eastAsia="lt-LT"/>
                  </w:rPr>
                </w:pPr>
                <w:r>
                  <w:rPr>
                    <w:i/>
                    <w:iCs/>
                    <w:color w:val="000000"/>
                    <w:sz w:val="22"/>
                    <w:szCs w:val="22"/>
                    <w:lang w:eastAsia="lt-LT"/>
                  </w:rPr>
                  <w:t>Pastaba. Visos Direktyvos I priedo nuostatos (tiek, kiek jos yra susijusios su vandenilio sektoriumi)</w:t>
                </w:r>
                <w:r>
                  <w:rPr>
                    <w:i/>
                    <w:iCs/>
                    <w:color w:val="000000"/>
                    <w:sz w:val="22"/>
                    <w:szCs w:val="22"/>
                    <w:shd w:val="clear" w:color="auto" w:fill="FFFFFF"/>
                    <w:lang w:eastAsia="lt-LT"/>
                  </w:rPr>
                  <w:t xml:space="preserve"> bus perkeltos į poįstatyminį teisės aktą, kurį parengs Energetikos ministerija - </w:t>
                </w:r>
                <w:r>
                  <w:rPr>
                    <w:i/>
                    <w:iCs/>
                    <w:color w:val="000000"/>
                    <w:sz w:val="22"/>
                    <w:szCs w:val="22"/>
                    <w:lang w:eastAsia="lt-LT"/>
                  </w:rPr>
                  <w:t>Vandenilio tiekimo ir vartojimo taisykles.</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Minimali informacija, pateiktina gamtinių dujų ir vandenilio sąskaitoje, ir tų sąskaitų informacija </w:t>
                </w:r>
              </w:p>
            </w:tc>
            <w:tc>
              <w:tcPr>
                <w:tcW w:w="9297" w:type="dxa"/>
                <w:vMerge w:val="restart"/>
                <w:vAlign w:val="center"/>
              </w:tcPr>
              <w:p>
                <w:pPr>
                  <w:shd w:val="clear" w:color="auto" w:fill="FFFFFF"/>
                  <w:jc w:val="both"/>
                  <w:rPr>
                    <w:b/>
                    <w:bCs/>
                    <w:i/>
                    <w:iCs/>
                    <w:color w:val="000000"/>
                    <w:sz w:val="22"/>
                    <w:szCs w:val="22"/>
                    <w:lang w:val="lt"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r>
                  <w:rPr>
                    <w:b/>
                    <w:bCs/>
                    <w:i/>
                    <w:iCs/>
                    <w:color w:val="000000"/>
                    <w:sz w:val="22"/>
                    <w:szCs w:val="22"/>
                    <w:lang w:val="lt" w:eastAsia="lt-LT"/>
                  </w:rPr>
                  <w:t xml:space="preserve"> </w:t>
                </w:r>
              </w:p>
              <w:p>
                <w:pPr>
                  <w:shd w:val="clear" w:color="auto" w:fill="FFFFFF"/>
                  <w:jc w:val="both"/>
                  <w:rPr>
                    <w:b/>
                    <w:bCs/>
                    <w:i/>
                    <w:iCs/>
                    <w:color w:val="000000"/>
                    <w:sz w:val="22"/>
                    <w:szCs w:val="22"/>
                    <w:lang w:val="lt"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i/>
                    <w:iCs/>
                    <w:color w:val="000000"/>
                    <w:sz w:val="22"/>
                    <w:szCs w:val="22"/>
                    <w:lang w:val="lt" w:eastAsia="lt-LT"/>
                  </w:rPr>
                </w:pP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spacing w:line="276" w:lineRule="auto"/>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spacing w:line="276" w:lineRule="auto"/>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spacing w:line="276" w:lineRule="auto"/>
                  <w:ind w:firstLine="57"/>
                  <w:jc w:val="both"/>
                  <w:rPr>
                    <w:b/>
                    <w:bCs/>
                    <w:color w:val="000000"/>
                    <w:sz w:val="22"/>
                    <w:szCs w:val="22"/>
                    <w:lang w:eastAsia="lt-LT"/>
                  </w:rPr>
                </w:pPr>
                <w:r>
                  <w:rPr>
                    <w:b/>
                    <w:bCs/>
                    <w:color w:val="000000"/>
                    <w:sz w:val="22"/>
                    <w:szCs w:val="22"/>
                    <w:lang w:eastAsia="lt-LT"/>
                  </w:rPr>
                  <w:t>su laisvai pasirinktu vandenilio tiekėju sudaryti sutartį;</w:t>
                </w:r>
              </w:p>
              <w:p>
                <w:pPr>
                  <w:spacing w:line="276" w:lineRule="auto"/>
                  <w:jc w:val="both"/>
                  <w:rPr>
                    <w:b/>
                    <w:bCs/>
                    <w:color w:val="000000"/>
                    <w:sz w:val="22"/>
                    <w:szCs w:val="22"/>
                    <w:lang w:eastAsia="lt-LT"/>
                  </w:rPr>
                </w:pPr>
                <w:r>
                  <w:rPr>
                    <w:b/>
                    <w:bCs/>
                    <w:color w:val="000000"/>
                    <w:sz w:val="22"/>
                    <w:szCs w:val="22"/>
                    <w:lang w:eastAsia="lt-LT"/>
                  </w:rPr>
                  <w:t>keisti vandenilio tiekėją nemokamai ir per Tarybos nustatytą terminą;</w:t>
                </w:r>
              </w:p>
              <w:p>
                <w:pPr>
                  <w:spacing w:line="276" w:lineRule="auto"/>
                  <w:jc w:val="both"/>
                  <w:rPr>
                    <w:b/>
                    <w:bCs/>
                    <w:color w:val="000000"/>
                    <w:sz w:val="22"/>
                    <w:szCs w:val="22"/>
                    <w:lang w:eastAsia="lt-LT"/>
                  </w:rPr>
                </w:pPr>
                <w:r>
                  <w:rPr>
                    <w:b/>
                    <w:bCs/>
                    <w:color w:val="000000"/>
                    <w:sz w:val="22"/>
                    <w:szCs w:val="22"/>
                    <w:lang w:eastAsia="lt-LT"/>
                  </w:rPr>
                  <w:t>iš vandenilio tiekėjo gauti aiškią informaciją apie taikomas kainas, tarifus ir apie standartines tiekimo sąlygas;</w:t>
                </w:r>
              </w:p>
              <w:p>
                <w:pPr>
                  <w:spacing w:line="276" w:lineRule="auto"/>
                  <w:jc w:val="both"/>
                  <w:rPr>
                    <w:b/>
                    <w:bCs/>
                    <w:color w:val="000000"/>
                    <w:sz w:val="22"/>
                    <w:szCs w:val="22"/>
                    <w:lang w:eastAsia="lt-LT"/>
                  </w:rPr>
                </w:pPr>
                <w:r>
                  <w:rPr>
                    <w:b/>
                    <w:bCs/>
                    <w:color w:val="000000"/>
                    <w:sz w:val="22"/>
                    <w:szCs w:val="22"/>
                    <w:lang w:eastAsia="lt-LT"/>
                  </w:rPr>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spacing w:line="276" w:lineRule="auto"/>
                  <w:jc w:val="both"/>
                  <w:rPr>
                    <w:b/>
                    <w:bCs/>
                    <w:color w:val="000000"/>
                    <w:sz w:val="22"/>
                    <w:szCs w:val="22"/>
                    <w:lang w:eastAsia="lt-LT"/>
                  </w:rPr>
                </w:pPr>
                <w:r>
                  <w:rPr>
                    <w:b/>
                    <w:bCs/>
                    <w:color w:val="000000"/>
                    <w:sz w:val="22"/>
                    <w:szCs w:val="22"/>
                    <w:lang w:eastAsia="lt-LT"/>
                  </w:rPr>
                  <w:t>5) būti tinkamai informuojami apie ketinimą pakeisti sutartines sąlygas, ir apie tai informuojant, jiems pranešama apie jų teisę nutraukti sutartį. Tiekėjai savo galutiniams vandenilio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pacing w:line="276" w:lineRule="auto"/>
                  <w:jc w:val="both"/>
                  <w:rPr>
                    <w:b/>
                    <w:bCs/>
                    <w:color w:val="000000"/>
                    <w:sz w:val="22"/>
                    <w:szCs w:val="22"/>
                    <w:lang w:eastAsia="lt-LT"/>
                  </w:rPr>
                </w:pPr>
                <w:r>
                  <w:rPr>
                    <w:b/>
                    <w:bCs/>
                    <w:color w:val="000000"/>
                    <w:sz w:val="22"/>
                    <w:szCs w:val="22"/>
                    <w:lang w:eastAsia="lt-LT"/>
                  </w:rPr>
                  <w:t>6) laisvai nutraukti sutartis, jei jie nesutinka su naujomis sutartinėmis sąlygomis arba tiekimo kainos pakeitimais, apie kuriuos jiems pranešė tiekėjas. Tiekėjai galutiniams vandenilio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spacing w:line="276" w:lineRule="auto"/>
                  <w:jc w:val="both"/>
                  <w:rPr>
                    <w:b/>
                    <w:bCs/>
                    <w:color w:val="000000"/>
                    <w:sz w:val="22"/>
                    <w:szCs w:val="22"/>
                    <w:lang w:eastAsia="lt-LT"/>
                  </w:rPr>
                </w:pPr>
                <w:r>
                  <w:rPr>
                    <w:b/>
                    <w:bCs/>
                    <w:color w:val="000000"/>
                    <w:sz w:val="22"/>
                    <w:szCs w:val="22"/>
                    <w:lang w:eastAsia="lt-LT"/>
                  </w:rPr>
                  <w:t>7) turėti tiekėjų sudarytą galimybę rinktis iš įvairių mokėjimo būdų ir tokiais mokėjimo būdais neturi būti diskriminuojami. Pažeidžiamiems vartotojams ir energijos nepriteklių patiriantiems asmenims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pacing w:line="276" w:lineRule="auto"/>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vandenilio vartotojams siūlo sąžiningas ir skaidrias bendrąsias sąlygas, kurios teikiamos paprasta ir nedviprasmiška kalba ir jose neturi būti nesutartinių kliūčių, įskaitant perteklinius sutarties dokumentus, trukdančių vartotojui pasinaudoti savo teisėmis;</w:t>
                </w:r>
              </w:p>
              <w:p>
                <w:pPr>
                  <w:spacing w:line="276" w:lineRule="auto"/>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spacing w:line="276" w:lineRule="auto"/>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spacing w:line="276" w:lineRule="auto"/>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pacing w:line="276" w:lineRule="auto"/>
                  <w:jc w:val="both"/>
                  <w:rPr>
                    <w:b/>
                    <w:bCs/>
                    <w:color w:val="000000"/>
                    <w:sz w:val="22"/>
                    <w:szCs w:val="22"/>
                    <w:lang w:eastAsia="lt-LT"/>
                  </w:rPr>
                </w:pPr>
                <w:r>
                  <w:rPr>
                    <w:b/>
                    <w:bCs/>
                    <w:color w:val="000000"/>
                    <w:sz w:val="22"/>
                    <w:szCs w:val="22"/>
                    <w:lang w:eastAsia="lt-LT"/>
                  </w:rPr>
                  <w:t xml:space="preserve">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 </w:t>
                </w:r>
              </w:p>
              <w:p>
                <w:pPr>
                  <w:spacing w:line="276" w:lineRule="auto"/>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spacing w:line="276" w:lineRule="auto"/>
                  <w:jc w:val="both"/>
                  <w:rPr>
                    <w:b/>
                    <w:bCs/>
                    <w:color w:val="000000"/>
                    <w:sz w:val="22"/>
                    <w:szCs w:val="22"/>
                    <w:lang w:eastAsia="lt-LT"/>
                  </w:rPr>
                </w:pPr>
                <w:r>
                  <w:rPr>
                    <w:b/>
                    <w:bCs/>
                    <w:color w:val="000000"/>
                    <w:sz w:val="22"/>
                    <w:szCs w:val="22"/>
                    <w:lang w:eastAsia="lt-LT"/>
                  </w:rPr>
                  <w:t xml:space="preserve">5. Vartotojų ginčai ir skundai nagrinėjami, vadovaujantis Energetikos įstatymo 34 ir 341 straipsnių nuostatomis. </w:t>
                </w:r>
              </w:p>
              <w:p>
                <w:pPr>
                  <w:spacing w:line="276" w:lineRule="auto"/>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spacing w:line="276" w:lineRule="auto"/>
                  <w:jc w:val="both"/>
                  <w:rPr>
                    <w:b/>
                    <w:bCs/>
                    <w:color w:val="000000"/>
                    <w:sz w:val="22"/>
                    <w:szCs w:val="22"/>
                    <w:lang w:eastAsia="lt-LT"/>
                  </w:rPr>
                </w:pPr>
                <w:r>
                  <w:rPr>
                    <w:b/>
                    <w:bCs/>
                    <w:color w:val="000000"/>
                    <w:sz w:val="22"/>
                    <w:szCs w:val="22"/>
                    <w:lang w:eastAsia="lt-LT"/>
                  </w:rPr>
                  <w:t>2) vartotojo sistema kelia grėsmę žmonių gyvybei, sveikatai ar turtui;</w:t>
                </w:r>
              </w:p>
              <w:p>
                <w:pPr>
                  <w:spacing w:line="276" w:lineRule="auto"/>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spacing w:line="276" w:lineRule="auto"/>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pacing w:line="276" w:lineRule="auto"/>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pacing w:line="276" w:lineRule="auto"/>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spacing w:line="276" w:lineRule="auto"/>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pacing w:line="276" w:lineRule="auto"/>
                  <w:jc w:val="both"/>
                  <w:rPr>
                    <w:b/>
                    <w:bCs/>
                    <w:color w:val="000000"/>
                    <w:sz w:val="22"/>
                    <w:szCs w:val="22"/>
                    <w:lang w:val="lt" w:eastAsia="lt-LT"/>
                  </w:rPr>
                </w:pPr>
              </w:p>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9"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1"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2" w:history="1">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jc w:val="both"/>
                  <w:rPr>
                    <w:color w:val="000000"/>
                    <w:sz w:val="22"/>
                    <w:szCs w:val="22"/>
                    <w:lang w:val="lt" w:eastAsia="lt-LT"/>
                  </w:rPr>
                </w:pPr>
              </w:p>
              <w:p>
                <w:pPr>
                  <w:jc w:val="both"/>
                  <w:rPr>
                    <w:b/>
                    <w:bCs/>
                    <w:color w:val="000000"/>
                    <w:sz w:val="22"/>
                    <w:szCs w:val="22"/>
                    <w:lang w:val="lt" w:eastAsia="lt-LT"/>
                  </w:rPr>
                </w:pPr>
                <w:r>
                  <w:rPr>
                    <w:color w:val="000000"/>
                    <w:sz w:val="22"/>
                    <w:szCs w:val="22"/>
                    <w:lang w:val="lt" w:eastAsia="lt-LT"/>
                  </w:rPr>
                  <w:t xml:space="preserve">10) pakeitus gamtinių dujų tiekėją, ne vėliau kaip per šešias savaites nuo tiekėjo pakeitimo gauti paskutinę sąskaitą; </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Sutarčių dėl tiekimo, perdavimo ir skirstymo standartinės sąlygos</w:t>
                </w:r>
              </w:p>
              <w:p>
                <w:pPr>
                  <w:jc w:val="both"/>
                  <w:rPr>
                    <w:color w:val="000000"/>
                    <w:sz w:val="22"/>
                    <w:szCs w:val="22"/>
                    <w:lang w:val="lt" w:eastAsia="lt-LT"/>
                  </w:rPr>
                </w:pPr>
                <w:r>
                  <w:rPr>
                    <w:color w:val="000000"/>
                    <w:sz w:val="22"/>
                    <w:szCs w:val="22"/>
                    <w:lang w:val="lt" w:eastAsia="lt-LT"/>
                  </w:rPr>
                  <w:t>1. Sutarčių su buitiniais vartotojais dėl gamtinių dujų tiekimo, perdavimo ir skirstymo standartinių sąlygų aprašas (toliau – Aprašas) nustato gamtinių dujų (toliau – dujų) pirkimo–pardavimo ir paslaugų teikimo sutarčių (toliau – sutartis) su buitiniais gamtinių dujų vartotojais (toliau – buitinis vartotojas) sudarymą, įsigaliojimą, nutraukimą, dujų tiekimo ir garantinio dujų tiekimo (toliau – garantinio tiekimo) tvarką ir sąlygas, dujų kokybės reikalavimus, dujų kiekio ir tarifų (kainų) nustatymo tvarką, buitinio vartotojo atsiskaitymo už dujas ir suteiktas paslaugas tvarką, šalių teises, pareigas ir atsakomybę už įsipareigojimų nevykdymą, prašymų ar skundų nagrinėjimo ir ginčų sprendimo tvarką, sutarties galiojimo terminą, jos keitimo ar nutraukimo sąlygas ir tvarką. Aprašo tikslas – nustatyti tvarką ir tipines sąlygas, kuomet buitinis vartotojas norėdamas įsigyti dujas sudaro su gamtinių dujų tiekimo įmone (toliau – tiekimo įmonė) dujų pirkimo–pardavimo ir paslaugų teikimo sutartį bei su tuo susijusius reikalavimus.</w:t>
                </w:r>
              </w:p>
              <w:p>
                <w:pPr>
                  <w:jc w:val="both"/>
                  <w:rPr>
                    <w:color w:val="000000"/>
                    <w:sz w:val="22"/>
                    <w:szCs w:val="22"/>
                    <w:lang w:val="lt" w:eastAsia="lt-LT"/>
                  </w:rPr>
                </w:pPr>
              </w:p>
              <w:p>
                <w:pPr>
                  <w:ind w:firstLine="17"/>
                  <w:jc w:val="both"/>
                  <w:rPr>
                    <w:color w:val="000000"/>
                    <w:sz w:val="22"/>
                    <w:szCs w:val="22"/>
                    <w:lang w:val="lt" w:eastAsia="lt-LT"/>
                  </w:rPr>
                </w:pPr>
              </w:p>
            </w:tc>
            <w:tc>
              <w:tcPr>
                <w:tcW w:w="1760" w:type="dxa"/>
                <w:vMerge w:val="restart"/>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Galutiniams vartotojams jų sąskaitose atskirai nuo kitų sąskaitos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mokėtina kaina ir, kai įmanoma, jos išskaidymas kartu su aiškiu teiginiu, kad dėl visų energijos šaltinių galima pasinaudoti paskatomis, kurios nebuvo finansuotos iš mokesčių, nurodytų kainos išskaidyme;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data, iki kurios reikia sumokėti.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Galutiniams vartotojams jų sąskaitose ir sąskaitos informacijoje atskirai nuo kitų sąskaitos ir sąskaitos informacijos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per atsiskaitomąjį laikotarpį suvartotų gamtinių dujų ir vandenilio kiekis;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tiekėjo pavadinimas ir kontaktiniai duomenys, įskaitant pagalbos vartotojams liniją ir e. pašto adresą;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 tarifo pavadinimas;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jei taikytina, sutarties galiojimo pabaigos data;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informacija apie galimybę pakeisti tiekėją ir to pakeitimo naudą;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f) galutinio vartotojo prijungimo kodas arba vartotojo unikalus skaitiklio identifikavimo kodas;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g) informacija apie galutinio vartotojo teises į neteisminį ginčų sprendimą, įskaitant pagal 25 straipsnį atsakingo subjekto kontaktinius duomenis;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h) 24 straipsnyje nurodytas bendras kontaktinis punktas;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tik gamtinėms dujoms – saitas arba nuoroda, pagal kuriuos galima rasti 14 straipsnyje nurodytas palyginimo priemones.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1.3. Kai sąskaitos grindžiamos faktiškai suvartotu kiekiu arba operatoriaus nuotoliniu būdu nuskaitomais rodmenimis, galutiniams vartotojams jų sąskaitose ir periodinio atsiskaitymo sąskaitose, su tomis sąskaitomis arba jose įterpiant nuorodą pateikiama ši informacija: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grafinis galutinio vartotojo suvartotų gamtinių dujų ir vandenilio kiekio palyginimas su tuo pačiu praėjusių metų laikotarpiu 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vartotojų įstaigų, energetikos agentūrų ar panašių įstaigų, iš kurių galima gauti informacijos apie galimas energiją vartojančių įrenginių energijos vartojimo efektyvumo didinimo priemones, kontaktinė informacija, įskaitant svetainių adresus;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palyginimai su vidutiniu norminiu arba lyginamuoju tos pačios kategorijos vartotoju.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Sąskaitų išrašymo dažnumas ir sąskaitų informacijos teikimas: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faktiškai suvartotu kiekiu grindžiamos sąskaitos išrašomos ne rečiau kaip kartą per metus;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kai galutinis vartotojas neturi skaitiklio, kurio rodmenis operatorius gali nuskaityti nuotoliniu būdu, arba kai galutinis vartotojas pagal nacionalinę teisę pats nusprendė išjungti nuotolinio nuskaitymo funkciją, tiksli faktiškai suvartotu kiekiu grindžiama sąskaitų informacija galutiniam vartotojui pateikiama ne rečiau kaip kas šešis mėnesius arba, jei to paprašoma arba jei galutinis vartotojas pasirinko galimybę gauti elektronines sąskaitas, – kas tris mėnesius;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kai galutinis vartotojas neturi skaitiklio, kurio rodmenis operatorius gali nuskaityti nuotoliniu būdu, arba kai galutinis vartotojas pagal nacionalinę teisę pats nusprendė išjungti nuotolinio nuskaitymo funkciją, a ir b punktuose nurodytos pareigos gali būti vykdomos taikant reguliaraus paties galutinio vartotojo atliekamo nuskaitymo sistemą, kai galutinis vartotojas praneša operatoriui skaitiklio rodmenis; sąskaitos arba sąskaitų informacija gali būti grindžiamos numatomu suvartoti kiekiu arba fiksuotąja norma tik jei galutinis vartotojas konkretaus atsiskaitymo laikotarpio skaitiklio rodmenų nepateikė. Numatomas suvartoti kiekis grindžiamas galutinio vartotojo ankstesniais metais suvartotu kiekiu arba palyginamo galutinio vartotojo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kai galutinis vartotojas turi skaitiklį, kurio rodmenis operatorius gali nuskaityti nuotoliniu būdu, faktiškai suvartotu kiekiu grindžiama tiksli sąskaitos informacija pateikiama ne rečiau kaip kartą per mėnesį; tokia informacija gali būti teikiama ir internetu ir turi būti atnaujinama taip dažnai, kaip leidžia naudojami apskaitos įtaisai ir sistemos.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Galutinio vartotojo kainos išskaidymas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Galutinio vartotojo kainą sudaro šių trijų komponentų suma: energijos ir tiekimo komponento, tinklo komponento (perdavimo, skirstymo, transportavimo) ir komponento, kurį sudaro mokesčiai, įmokos, rinkliavos ir išlaidos.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Kai sąskaitose pateikiama išskaidyta galutinio vartotojo kaina, trys jos komponentai nurodomi pagal visoje Sąjungoje bendras apibrėžtis, pateiktas Europos Parlamento ir Tarybos reglamente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 </w:t>
                </w:r>
                <w:r>
                  <w:rPr>
                    <w:color w:val="000000"/>
                    <w:sz w:val="22"/>
                    <w:szCs w:val="22"/>
                    <w:vertAlign w:val="superscript"/>
                    <w:lang w:eastAsia="lt-LT"/>
                  </w:rPr>
                  <w:t xml:space="preserve">1 </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 xml:space="preserve">1 </w:t>
                </w:r>
                <w:r>
                  <w:rPr>
                    <w:color w:val="000000"/>
                    <w:sz w:val="22"/>
                    <w:szCs w:val="22"/>
                    <w:lang w:eastAsia="lt-LT"/>
                  </w:rPr>
                  <w:t xml:space="preserve">) 2016 m. spalio 26 d. Europos Parlamento ir Tarybos reglamentas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dėl Europos gamtinių dujų ir elektros energijos kainų statistikos, kuriuo panaikinama Direktyva </w:t>
                </w:r>
                <w:fldSimple w:instr="HYPERLINK http://eur-lex.europa.eu/legal-content/LIT/TXT/?uri=CELEX:32008L0092&amp;locale=lt \t _blank">
                  <w:r>
                    <w:rPr>
                      <w:color w:val="0000FF" w:themeColor="hyperlink"/>
                      <w:sz w:val="22"/>
                      <w:szCs w:val="22"/>
                      <w:lang w:eastAsia="lt-LT"/>
                      <w:u w:val="single"/>
                    </w:rPr>
                    <w:t>2008/92/EB</w:t>
                  </w:r>
                </w:fldSimple>
                <w:r>
                  <w:rPr>
                    <w:color w:val="000000"/>
                    <w:sz w:val="22"/>
                    <w:szCs w:val="22"/>
                    <w:lang w:eastAsia="lt-LT"/>
                  </w:rPr>
                  <w:t xml:space="preserve"> (OL L 311, 2016 11 17,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Prieiga prie papildomos informacijos apie ankstesnį suvartojimą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reikalauja, kad informacija apie ankstesnį suvartojimą, kiek jos turima, galutinio vartotojo prašymu būtų prieinama galutinio vartotojo nurodytam tiekėjui ar paslaugos teikėjui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Kai galutinis vartotojas turi skaitiklį, kurio rodmenis operatorius gali nuskaityti nuotoliniu būdu, galutinis vartotojas turi turėti galimybę lengvai gauti papildomą informaciją apie ankstesnį suvartojimą, kad galėtų išsamiai jį pasitikrinti.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Papildoma informacija apie ankstesnį suvartojimą apima: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suvestinius bent trejų ankstesnių metų arba laikotarpio nuo dujų tiekimo sutarties įsigaliojimo, jei tas laikotarpis yra trumpesnis, duomenis. Duomenys turi atitikti dažno sąskaitų informacijos sudarymo intervalus ir</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išsamius duomenis pagal vartojimo laiką bet kurią dieną, savaitę, mėnesį ir metus, kurie galutiniam vartotojui nedelsiant prieinami internetu arba per skaitiklio sąsają, apimančius bent praėjusių 24 mėnesių laikotarpį arba laikotarpį nuo dujų tiekimo sutarties įsigaliojimo, jei tas laikotarpis yra trumpesnis.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Energijos išteklių atskleidimas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Tiekėjai sąskaitose nurodo galutinio vartotojo pagal gamtinių dujų ir vandenilio tiekimo sutartį perkamų dujų iš atsinaujinančiųjų išteklių ir atskirai mažo anglies dioksido pėdsako dujų dalį (produkto lygmens informacijos atskleidimas). Jei tiekiamas mišinys, tiekėjas tą pačią informaciją pateikia atskirai pagal skirtingas dujų kategorijas, įskaitant dujas iš atsinaujinančiųjų išteklių ar mažo anglies dioksido pėdsako dujas.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Galutiniams vartotojams jų sąskaitose ir sąskaitų informacijoje, su tomis sąskaitomis ir informacija arba jose įterpiant nuorodą pateikiama ši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suprantama ir lengvai palyginama informacija apie tai, kokią dalį tiekėjo mišinyje praėjusiais metais sudarė dujos iš atsinaujinančiųjų išteklių ir mažo anglies dioksido pėdsako dujos (nacionaliniu lygmeniu, t. y. valstybėje narėje, kurioje sudaryta dujų tiekimo sutartis, taip pat tiekėjo lygmeniu, jei tiekėjas veikia keliose valstybėse narėse);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informacija apie poveikį aplinkai, bent jau apie išmetamą anglies dioksido kiekį, susijusį su praėjusiais metais tiekėjo patiektomis gamtinėmis dujomis arba vandeniliu.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Taikant antros pastraipos a punktą, kai gamtinės dujos ir vandenilis įsigyjami per dujų biržą arba importuojami iš įmonės, esančios už Sąjungos ribų, gali būti pateikiami atitinkamos biržos arba įmonės pateikti praėjusių metų apibendrinti duomenys.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Atskleidžiant informaciją apie tai, kokią dalį galutinių vartotojų perkamų dujų sudaro dujos iš atsinaujinančiųjų išteklių, naudojamasi kilmės garantijomis remiantis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Kai vartotojas naudoja vandenilio arba gamtinių dujų tinklo gamtines dujas arba vandenilį, įskaitant dujinį atsinaujinančiųjų išteklių nebiologinės kilmės kurą ir biometaną, kaip nurodyta tiekėjo komerciniame pasiūlyme, valstybės narės užtikrina, kad panaikintos kilmės garantijos atitiktų atitinkamas tinklo charakteristikas.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ar kita kompetentinga nacionalinė institucija imasi reikiamų veiksmų siekdama užtikrinti, kad tiekėjų galutiniams vartotojams pagal šį punktą teikiama informacija būtų patikima ir teikiama nacionaliniu lygmeniu aiškiai palyginamu būdu.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Gamtinių dujų ir vandenilio išmaniosios apskaitos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užtikrina, kad išmaniosios apskaitos sistemos jų teritorijoje būtų diegiamos tik atlikus visų ilgalaikių išlaidų ir naudos rinkai ir individualiam vartotojui ekonominį vertinimą arba vertinimą, kokia išmanioji apskaita yra ekonomiškai pagrįsta bei efektyvi ir per kokį laikotarpį ją būtų galima įdiegti.</w:t>
                </w:r>
              </w:p>
            </w:tc>
            <w:tc>
              <w:tcPr>
                <w:tcW w:w="9297" w:type="dxa"/>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57 straipsnis. Vartotojų apsaugos priemonės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b/>
                    <w:bCs/>
                    <w:color w:val="000000"/>
                    <w:sz w:val="22"/>
                    <w:szCs w:val="22"/>
                    <w:lang w:eastAsia="lt-LT"/>
                  </w:rPr>
                </w:pPr>
                <w:r>
                  <w:rPr>
                    <w:b/>
                    <w:bCs/>
                    <w:i/>
                    <w:iCs/>
                    <w:color w:val="000000"/>
                    <w:sz w:val="22"/>
                    <w:szCs w:val="22"/>
                    <w:lang w:eastAsia="lt-LT"/>
                  </w:rPr>
                  <w:t>Straipsnio dalies pakeitimai:</w:t>
                </w:r>
              </w:p>
              <w:p>
                <w:pPr>
                  <w:jc w:val="both"/>
                  <w:rPr>
                    <w:b/>
                    <w:bCs/>
                    <w:i/>
                    <w:iCs/>
                    <w:color w:val="000000"/>
                    <w:sz w:val="22"/>
                    <w:szCs w:val="22"/>
                    <w:lang w:eastAsia="lt-LT"/>
                  </w:rPr>
                </w:pPr>
                <w:r>
                  <w:rPr>
                    <w:b/>
                    <w:bCs/>
                    <w:i/>
                    <w:iCs/>
                    <w:color w:val="000000"/>
                    <w:sz w:val="22"/>
                    <w:szCs w:val="22"/>
                    <w:lang w:eastAsia="lt-LT"/>
                  </w:rPr>
                  <w:t>Nr. </w:t>
                </w:r>
                <w:hyperlink r:id="rId15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jc w:val="both"/>
                  <w:rPr>
                    <w:b/>
                    <w:bCs/>
                    <w:color w:val="000000"/>
                    <w:sz w:val="22"/>
                    <w:szCs w:val="22"/>
                    <w:lang w:eastAsia="lt-LT"/>
                  </w:rPr>
                </w:pPr>
                <w:r>
                  <w:rPr>
                    <w:b/>
                    <w:bCs/>
                    <w:i/>
                    <w:i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jc w:val="both"/>
                  <w:rPr>
                    <w:color w:val="000000"/>
                    <w:spacing w:val="-2"/>
                    <w:sz w:val="22"/>
                    <w:szCs w:val="22"/>
                  </w:rPr>
                </w:pPr>
                <w:r>
                  <w:rPr>
                    <w:color w:val="000000"/>
                    <w:spacing w:val="-2"/>
                    <w:sz w:val="22"/>
                    <w:szCs w:val="22"/>
                  </w:rPr>
                  <w:t xml:space="preserve">1. Gamtinių dujų pažangiųjų matavimo sistemų ilgalaikės trukmės išlaidų ir naudos rinkai ekonominio vertinimo tvarkos aprašu (toliau – Aprašas) siekiama sudaryti prielaidas įgyvendinti 2009 m. liepos 13 d. Europos Parlamento ir Tarybos direktyvą </w:t>
                </w:r>
                <w:fldSimple w:instr="HYPERLINK http://eur-lex.europa.eu/legal-content/LIT/TXT/?uri=CELEX:32009L0073&amp;locale=lt \t _blank">
                  <w:r>
                    <w:rPr>
                      <w:color w:val="0000FF" w:themeColor="hyperlink"/>
                      <w:spacing w:val="-2"/>
                      <w:sz w:val="22"/>
                      <w:szCs w:val="22"/>
                      <w:u w:val="single"/>
                    </w:rPr>
                    <w:t>2009/73/EB</w:t>
                  </w:r>
                </w:fldSimple>
                <w:r>
                  <w:rPr>
                    <w:color w:val="000000"/>
                    <w:spacing w:val="-2"/>
                    <w:sz w:val="22"/>
                    <w:szCs w:val="22"/>
                  </w:rPr>
                  <w:t xml:space="preserve"> dėl gamtinių dujų vidaus rinkos bendrųjų taisyklių, panaikinančią Europos Parlamento ir Tarybos direktyvą </w:t>
                </w:r>
                <w:fldSimple w:instr="HYPERLINK http://eur-lex.europa.eu/legal-content/LIT/TXT/?uri=CELEX:32003L0055&amp;locale=lt \t _blank">
                  <w:r>
                    <w:rPr>
                      <w:color w:val="0000FF" w:themeColor="hyperlink"/>
                      <w:spacing w:val="-2"/>
                      <w:sz w:val="22"/>
                      <w:szCs w:val="22"/>
                      <w:u w:val="single"/>
                    </w:rPr>
                    <w:t>2003/55/EB</w:t>
                  </w:r>
                </w:fldSimple>
                <w:r>
                  <w:rPr>
                    <w:color w:val="000000"/>
                    <w:spacing w:val="-2"/>
                    <w:sz w:val="22"/>
                    <w:szCs w:val="22"/>
                  </w:rPr>
                  <w:t xml:space="preserve"> (OL 2009, L 211, p. 94), ir Lietuvos Respublikos gamtinių dujų įstatymą (Žin., 2000, Nr. </w:t>
                </w:r>
                <w:hyperlink r:id="rId154" w:tgtFrame="_blank" w:history="1">
                  <w:r>
                    <w:rPr>
                      <w:color w:val="0000FF"/>
                      <w:spacing w:val="-2"/>
                      <w:sz w:val="22"/>
                      <w:szCs w:val="22"/>
                      <w:u w:val="single"/>
                    </w:rPr>
                    <w:t>89-2743</w:t>
                  </w:r>
                </w:hyperlink>
                <w:r>
                  <w:rPr>
                    <w:color w:val="000000"/>
                    <w:spacing w:val="-2"/>
                    <w:sz w:val="22"/>
                    <w:szCs w:val="22"/>
                  </w:rPr>
                  <w:t>; 2011, Nr. </w:t>
                </w:r>
                <w:hyperlink r:id="rId155" w:tgtFrame="_blank" w:history="1">
                  <w:r>
                    <w:rPr>
                      <w:color w:val="0000FF"/>
                      <w:spacing w:val="-2"/>
                      <w:sz w:val="22"/>
                      <w:szCs w:val="22"/>
                      <w:u w:val="single"/>
                    </w:rPr>
                    <w:t>87-4186</w:t>
                  </w:r>
                </w:hyperlink>
                <w:r>
                  <w:rPr>
                    <w:color w:val="000000"/>
                    <w:spacing w:val="-2"/>
                    <w:sz w:val="22"/>
                    <w:szCs w:val="22"/>
                  </w:rPr>
                  <w:t>), apibrėžti aiškius ekonominio vertinimo kriterijus, reikalingus nustatyti gamtinių dujų pažangiųjų matavimo sistemų (toliau – pažangiosios sistemos) ilgalaikės trukmės išlaidų ir naudos rinkai santykį, padėsiantį priimti sprendimus dėl pažangiųjų sistemų, kuriomis būtų padedama vartotojams aktyviai dalyvauti gamtinių dujų tiekimo rinkoje, įdiegimo darbotvarkės.</w:t>
                </w:r>
              </w:p>
              <w:p>
                <w:pPr>
                  <w:jc w:val="both"/>
                  <w:rPr>
                    <w:color w:val="000000"/>
                    <w:sz w:val="22"/>
                    <w:szCs w:val="22"/>
                    <w:lang w:val="pt-BR" w:eastAsia="lt-LT"/>
                  </w:rPr>
                </w:pPr>
                <w:r>
                  <w:rPr>
                    <w:color w:val="000000"/>
                    <w:sz w:val="22"/>
                    <w:szCs w:val="22"/>
                    <w:lang w:val="pt-BR"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3) </w:t>
                </w:r>
                <w:r>
                  <w:rPr>
                    <w:b/>
                    <w:bCs/>
                    <w:color w:val="000000"/>
                    <w:sz w:val="22"/>
                    <w:szCs w:val="22"/>
                    <w:lang w:eastAsia="lt-LT"/>
                  </w:rPr>
                  <w:t xml:space="preserve"> 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7 straipsnis. Tarybos funkcijos vandenilio sektoriuje</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720"/>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6.</w:t>
                  <w:tab/>
                  <w:t>Taryba</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32) derina vandenilio perdavimo ir skirstymo tinklų operatorių atliktą ilgalaikės trukmės išlaidų ir naudos rinkai galutiniams vandenilio vartotojams ekonominį vertinimą arba vertinimą, kokia išmanioji apskaita yra ekonomiškai pagrįsta ir efektyvi ir per kokį laikotarpį ją galima būtų įdiegti dėl išmaniųjų apskaitos sistemų diegimo galimybės;</w:t>
                </w:r>
              </w:p>
              <w:p>
                <w:pPr>
                  <w:tabs>
                    <w:tab w:val="left" w:pos="993"/>
                    <w:tab w:val="left" w:pos="2694"/>
                    <w:tab w:val="left" w:pos="10992"/>
                    <w:tab w:val="left" w:pos="11908"/>
                    <w:tab w:val="left" w:pos="12824"/>
                    <w:tab w:val="left" w:pos="13740"/>
                    <w:tab w:val="left" w:pos="14656"/>
                  </w:tabs>
                  <w:spacing w:line="259" w:lineRule="auto"/>
                  <w:ind w:left="720"/>
                  <w:jc w:val="both"/>
                  <w:rPr>
                    <w:b/>
                    <w:bCs/>
                    <w:color w:val="000000"/>
                    <w:kern w:val="2"/>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 straipsnis. Vartotojų teisių apsaugos priemonės</w:t>
                </w:r>
              </w:p>
              <w:p>
                <w:pPr>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val="en-US"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sz w:val="22"/>
                    <w:szCs w:val="22"/>
                    <w:lang w:eastAsia="lt-LT"/>
                  </w:rPr>
                  <w:t>2. Atliekant tokį ekonominį vertinimą atsižvelgiama į tinklo plėtros planus, nurodytus 55 straipsnyje, visų pirma jo 2 dalies c punkte dėl tinklų eksploatavimo nutraukimo.</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kern w:val="2"/>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Atliekant tokį vertinimą atsižvelgiama į sąnaudų ir naudos analizės metodiką ir minimalias išmaniųjų apskaitos sistemų funkcijas, nustatytas Komisijos rekomendacijoje 2012/148/ES ( </w:t>
                </w:r>
                <w:r>
                  <w:rPr>
                    <w:color w:val="000000"/>
                    <w:sz w:val="22"/>
                    <w:szCs w:val="22"/>
                    <w:vertAlign w:val="superscript"/>
                    <w:lang w:eastAsia="lt-LT"/>
                  </w:rPr>
                  <w:t>1</w:t>
                </w:r>
                <w:r>
                  <w:rPr>
                    <w:color w:val="000000"/>
                    <w:sz w:val="22"/>
                    <w:szCs w:val="22"/>
                    <w:lang w:eastAsia="lt-LT"/>
                  </w:rPr>
                  <w:t>), tiek, kiek jos taikytinos gamtinėms dujoms ir vandeniliui, taip pat į geriausius turimus būdus, skirtus aukščiausio lygio kibernetiniam saugumui ir duomenų apsaugai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1</w:t>
                </w:r>
                <w:r>
                  <w:rPr>
                    <w:color w:val="000000"/>
                    <w:sz w:val="22"/>
                    <w:szCs w:val="22"/>
                    <w:lang w:eastAsia="lt-LT"/>
                  </w:rPr>
                  <w:t xml:space="preserve"> ) 2012 m. kovo 9 d. Komisijos rekomendacija 2012/148/ES dėl pasirengimo diegti pažangiąsias apskaitos sistemas (OL L 73, 2012 3 13, p. 9).</w:t>
                </w:r>
              </w:p>
            </w:tc>
            <w:tc>
              <w:tcPr>
                <w:tcW w:w="9297" w:type="dxa"/>
              </w:tcPr>
              <w:p>
                <w:pPr>
                  <w:spacing w:line="276" w:lineRule="auto"/>
                  <w:ind w:right="57"/>
                  <w:jc w:val="both"/>
                  <w:rPr>
                    <w:b/>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spacing w:line="276" w:lineRule="auto"/>
                  <w:ind w:right="57" w:firstLine="32"/>
                  <w:jc w:val="both"/>
                  <w:rPr>
                    <w:b/>
                    <w:bCs/>
                    <w:color w:val="000000"/>
                    <w:kern w:val="2"/>
                    <w:sz w:val="22"/>
                    <w:szCs w:val="22"/>
                    <w:lang w:eastAsia="lt-LT"/>
                  </w:rPr>
                </w:pPr>
                <w:r>
                  <w:rPr>
                    <w:b/>
                    <w:bCs/>
                    <w:color w:val="000000"/>
                    <w:kern w:val="2"/>
                    <w:sz w:val="22"/>
                    <w:szCs w:val="22"/>
                    <w:lang w:eastAsia="lt-LT"/>
                  </w:rPr>
                  <w:t>&lt;...&gt;</w:t>
                </w:r>
              </w:p>
              <w:p>
                <w:pPr>
                  <w:jc w:val="both"/>
                  <w:rPr>
                    <w:color w:val="000000"/>
                    <w:sz w:val="22"/>
                    <w:szCs w:val="22"/>
                    <w:lang w:eastAsia="lt-LT"/>
                  </w:rPr>
                </w:pPr>
              </w:p>
              <w:p>
                <w:pPr>
                  <w:jc w:val="both"/>
                  <w:rPr>
                    <w:b/>
                    <w:color w:val="000000"/>
                    <w:sz w:val="22"/>
                    <w:szCs w:val="22"/>
                    <w:lang w:eastAsia="lt-LT"/>
                  </w:rPr>
                </w:pPr>
                <w:r>
                  <w:rPr>
                    <w:b/>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Atliekant tokį vertinimą taip pat tinkamai atsižvelgiama į galimą sinergiją su jau įdiegta elektros energijos išmaniosios apskaitos infrastruktūra ar į atrankiojo diegimo galimybes atvejais, kai galima greitai gauti grynąją naudą ir apriboti sąnaudas.</w:t>
                </w:r>
              </w:p>
            </w:tc>
            <w:tc>
              <w:tcPr>
                <w:tcW w:w="9297" w:type="dxa"/>
              </w:tcPr>
              <w:p>
                <w:pPr>
                  <w:ind w:firstLine="17"/>
                  <w:jc w:val="both"/>
                  <w:rPr>
                    <w:b/>
                    <w:color w:val="000000"/>
                    <w:sz w:val="22"/>
                    <w:szCs w:val="22"/>
                    <w:lang w:eastAsia="lt-LT"/>
                  </w:rPr>
                </w:pPr>
                <w:r>
                  <w:rPr>
                    <w:b/>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ind w:firstLine="17"/>
                  <w:jc w:val="both"/>
                  <w:rPr>
                    <w:color w:val="000000"/>
                    <w:sz w:val="22"/>
                    <w:szCs w:val="22"/>
                    <w:lang w:eastAsia="lt-LT"/>
                  </w:rPr>
                </w:pPr>
                <w:r>
                  <w:rPr>
                    <w:color w:val="000000"/>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w:t>
                </w:r>
                <w:r>
                  <w:rPr>
                    <w:color w:val="000000"/>
                    <w:sz w:val="22"/>
                    <w:szCs w:val="22"/>
                    <w:lang w:eastAsia="lt-LT"/>
                  </w:rPr>
                  <w:t xml:space="preserve"> </w:t>
                </w:r>
                <w:r>
                  <w:rPr>
                    <w:b/>
                    <w:bCs/>
                    <w:color w:val="000000"/>
                    <w:sz w:val="22"/>
                    <w:szCs w:val="22"/>
                    <w:lang w:eastAsia="lt-LT"/>
                  </w:rPr>
                  <w:t>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w:t>
                </w:r>
              </w:p>
              <w:p>
                <w:pPr>
                  <w:spacing w:line="276" w:lineRule="auto"/>
                  <w:ind w:right="57" w:firstLine="32"/>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p>
                <w:pPr>
                  <w:jc w:val="both"/>
                  <w:rPr>
                    <w:b/>
                    <w:bCs/>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Remdamosi tuo vertinimu, valstybės narės parengia išmaniųjų apskaitos sistemų diegimo tvarkaraštį, kurio tikslinis terminas yra dešimt metų. Jei išmaniųjų apskaitos sistemų diegimas įvertinamas teigiamai, per septynerius metus nuo teigiamo įvertinimo dienos bent 80 % galutinių vartotojų įrengiami išmanieji skaitikliai.</w:t>
                </w:r>
              </w:p>
            </w:tc>
            <w:tc>
              <w:tcPr>
                <w:tcW w:w="9297" w:type="dxa"/>
              </w:tcPr>
              <w:p>
                <w:pPr>
                  <w:ind w:firstLine="17"/>
                  <w:jc w:val="both"/>
                  <w:rPr>
                    <w:b/>
                    <w:bCs/>
                    <w:sz w:val="22"/>
                    <w:szCs w:val="22"/>
                    <w:lang w:eastAsia="lt-LT"/>
                  </w:rPr>
                </w:pPr>
                <w:r>
                  <w:rPr>
                    <w:b/>
                    <w:bCs/>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ind w:firstLine="17"/>
                  <w:jc w:val="both"/>
                  <w:rPr>
                    <w:b/>
                    <w:bCs/>
                    <w:sz w:val="22"/>
                    <w:szCs w:val="22"/>
                    <w:lang w:eastAsia="lt-LT"/>
                  </w:rPr>
                </w:pPr>
              </w:p>
              <w:p>
                <w:pPr>
                  <w:ind w:firstLine="17"/>
                  <w:jc w:val="both"/>
                  <w:rPr>
                    <w:b/>
                    <w:bCs/>
                    <w:sz w:val="22"/>
                    <w:szCs w:val="22"/>
                    <w:lang w:eastAsia="lt-LT"/>
                  </w:rPr>
                </w:pPr>
                <w:r>
                  <w:rPr>
                    <w:b/>
                    <w:bCs/>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57 straipsnis. Vartotojų apsaugos priemonės</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r>
                  <w:rPr>
                    <w:i/>
                    <w:iCs/>
                    <w:color w:val="000000"/>
                    <w:sz w:val="22"/>
                    <w:szCs w:val="22"/>
                    <w:lang w:eastAsia="lt-LT"/>
                  </w:rPr>
                  <w:t>Straipsnio dalies pakeitimai:</w:t>
                </w:r>
              </w:p>
              <w:p>
                <w:pPr>
                  <w:jc w:val="both"/>
                  <w:rPr>
                    <w:i/>
                    <w:iCs/>
                    <w:color w:val="000000"/>
                    <w:sz w:val="22"/>
                    <w:szCs w:val="22"/>
                    <w:lang w:eastAsia="lt-LT"/>
                  </w:rPr>
                </w:pPr>
                <w:r>
                  <w:rPr>
                    <w:i/>
                    <w:iCs/>
                    <w:color w:val="000000"/>
                    <w:sz w:val="22"/>
                    <w:szCs w:val="22"/>
                    <w:lang w:eastAsia="lt-LT"/>
                  </w:rPr>
                  <w:t>Nr. </w:t>
                </w:r>
                <w:hyperlink r:id="rId15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13 d. įsakymas Nr. 1-250 „Dėl gamtinių dujų pažangių matavimo sistemų įdiegimo darbotvarkės patvirtinimo“</w:t>
                </w:r>
                <w:r>
                  <w:rPr>
                    <w:color w:val="000000"/>
                    <w:sz w:val="22"/>
                    <w:szCs w:val="22"/>
                    <w:lang w:eastAsia="lt-LT"/>
                  </w:rPr>
                  <w:t xml:space="preserve"> </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1. Gamtinių dujų pažangių matavimo sistemų (toliau – pažangios matavimo sistemos) įdiegimo darbotvarkė (toliau – darbotvarkė) nustato pažangių matavimo sistemų įdiegimo organizavimą, terminus ir koordinavimą.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kern w:val="2"/>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48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PRIEDAS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b/>
                    <w:bCs/>
                    <w:color w:val="000000"/>
                    <w:sz w:val="22"/>
                    <w:szCs w:val="22"/>
                    <w:lang w:eastAsia="lt-LT"/>
                  </w:rPr>
                </w:pPr>
                <w:r>
                  <w:rPr>
                    <w:b/>
                    <w:bCs/>
                    <w:color w:val="000000"/>
                    <w:sz w:val="22"/>
                    <w:szCs w:val="22"/>
                    <w:lang w:eastAsia="lt-LT"/>
                  </w:rPr>
                  <w:t>A dalis</w:t>
                </w:r>
              </w:p>
            </w:tc>
            <w:tc>
              <w:tcPr>
                <w:tcW w:w="9297" w:type="dxa"/>
                <w:vMerge w:val="restart"/>
                <w:vAlign w:val="center"/>
              </w:tcPr>
              <w:p>
                <w:pPr>
                  <w:ind w:firstLine="17"/>
                  <w:jc w:val="both"/>
                  <w:rPr>
                    <w:b/>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Panaikinama direktyva ir jos vėlesnių dalinių pakeitimų sąrašas (nurodyti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(OL L 211, 2009 8 14, p. 94</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(OL L 328, 2018 12 21, p. 1) - TIK 51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19L0692&amp;locale=lt \t _blank">
                  <w:r>
                    <w:rPr>
                      <w:color w:val="0000FF" w:themeColor="hyperlink"/>
                      <w:sz w:val="22"/>
                      <w:szCs w:val="22"/>
                      <w:lang w:eastAsia="lt-LT"/>
                      <w:u w:val="single"/>
                    </w:rPr>
                    <w:t>(ES) 2019/692</w:t>
                  </w:r>
                </w:fldSimple>
                <w:r>
                  <w:rPr>
                    <w:color w:val="000000"/>
                    <w:sz w:val="22"/>
                    <w:szCs w:val="22"/>
                    <w:lang w:eastAsia="lt-LT"/>
                  </w:rPr>
                  <w:t xml:space="preserve"> (OL L 117, 2019 5 3,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(OL L 152, 2022 6 3, p. 45) - 41 straipsnio 1 dalies v punktas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B dalis</w:t>
                </w:r>
              </w:p>
            </w:tc>
            <w:tc>
              <w:tcPr>
                <w:tcW w:w="9297" w:type="dxa"/>
                <w:vMerge w:val="restart"/>
                <w:vAlign w:val="center"/>
              </w:tcPr>
              <w:p>
                <w:pPr>
                  <w:ind w:firstLine="17"/>
                  <w:jc w:val="both"/>
                  <w:rPr>
                    <w:b/>
                    <w:b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Perkėlimo į nacionalinę teisę ir taikymo pradžios datos (nurodyta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val="en-US"/>
                  </w:rPr>
                  <w:drawing>
                    <wp:inline distT="0" distB="0" distL="0" distR="0" wp14:anchorId="6199B3F8" wp14:editId="609A1FD6">
                      <wp:extent cx="3707765" cy="888365"/>
                      <wp:effectExtent l="0" t="0" r="6985" b="6985"/>
                      <wp:docPr id="798576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576141" name=""/>
                              <pic:cNvPicPr/>
                            </pic:nvPicPr>
                            <pic:blipFill>
                              <a:blip r:embed="rId157"/>
                              <a:stretch>
                                <a:fillRect/>
                              </a:stretch>
                            </pic:blipFill>
                            <pic:spPr>
                              <a:xfrm>
                                <a:off x="0" y="0"/>
                                <a:ext cx="3707765" cy="888365"/>
                              </a:xfrm>
                              <a:prstGeom prst="rect">
                                <a:avLst/>
                              </a:prstGeom>
                            </pic:spPr>
                          </pic:pic>
                        </a:graphicData>
                      </a:graphic>
                    </wp:inline>
                  </w:drawing>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IV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Atitikties lentelė</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b/>
                    <w:bCs/>
                    <w:color w:val="000000"/>
                    <w:sz w:val="22"/>
                    <w:szCs w:val="22"/>
                    <w:lang w:eastAsia="lt-LT"/>
                  </w:rPr>
                </w:pPr>
              </w:p>
            </w:tc>
          </w:tr>
        </w:tbl>
        <w:sdt>
          <w:sdtPr>
            <w:alias w:val="pabaiga"/>
            <w:tag w:val="part_2133e3f6465f4fada782b1273947e8a5"/>
            <w:lock w:val="sdtLocked"/>
            <w:richText/>
          </w:sdtPr>
          <w:sdtContent>
            <w:p>
              <w:pPr>
                <w:jc w:val="center"/>
                <w:rPr>
                  <w:sz w:val="22"/>
                  <w:szCs w:val="22"/>
                </w:rPr>
              </w:pPr>
              <w:r>
                <w:rPr>
                  <w:sz w:val="22"/>
                  <w:szCs w:val="22"/>
                </w:rPr>
                <w:t>___________________</w:t>
              </w:r>
            </w:p>
          </w:sdtContent>
        </w:sdt>
      </w:sdtContent>
    </w:sdt>
    <w:sectPr>
      <w:headerReference w:type="even" r:id="rId158"/>
      <w:headerReference w:type="default" r:id="rId159"/>
      <w:footerReference w:type="even" r:id="rId160"/>
      <w:footerReference w:type="default" r:id="rId161"/>
      <w:headerReference w:type="first" r:id="rId162"/>
      <w:footerReference w:type="first" r:id="rId163"/>
      <w:pgSz w:w="16838" w:h="11906" w:orient="landscape"/>
      <w:pgMar w:top="1701" w:right="678"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Aptos">
    <w:altName w:val="Times New Roman"/>
    <w:panose1 w:val="00000000000000000000"/>
    <w:charset w:val="00"/>
    <w:family w:val="roman"/>
    <w:notTrueType/>
    <w:pitch w:val="default"/>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Shruti">
    <w:panose1 w:val="020B0502040204020203"/>
    <w:charset w:val="00"/>
    <w:family w:val="swiss"/>
    <w:pitch w:val="variable"/>
    <w:sig w:usb0="0004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 xml:space="preserve"> PAGE   \* MERGEFORMAT </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0DB"/>
  </w:rsids>
  <m:mathPr>
    <m:mathFont m:val="Cambria Math"/>
    <m:brkBin m:val="before"/>
    <m:brkBinSub m:val="--"/>
    <m:smallFrac m:val="0"/>
    <m:dispDef/>
    <m:lMargin m:val="0"/>
    <m:rMargin m:val="0"/>
    <m:defJc m:val="centerGroup"/>
    <m:wrapIndent m:val="1440"/>
    <m:intLim m:val="subSup"/>
    <m:naryLim m:val="undOvr"/>
  </m:mathPr>
  <w:themeFontLang w:val="lt-LT" w:eastAsia="ja-JP"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DFF141-4457-44EA-98C5-2268C6F72A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4785899">
      <w:bodyDiv w:val="1"/>
      <w:marLeft w:val="0"/>
      <w:marRight w:val="0"/>
      <w:marTop w:val="0"/>
      <w:marBottom w:val="0"/>
      <w:divBdr>
        <w:top w:val="none" w:sz="0" w:space="0" w:color="auto"/>
        <w:left w:val="none" w:sz="0" w:space="0" w:color="auto"/>
        <w:bottom w:val="none" w:sz="0" w:space="0" w:color="auto"/>
        <w:right w:val="none" w:sz="0" w:space="0" w:color="auto"/>
      </w:divBdr>
      <w:divsChild>
        <w:div w:id="688603187">
          <w:marLeft w:val="0"/>
          <w:marRight w:val="0"/>
          <w:marTop w:val="0"/>
          <w:marBottom w:val="0"/>
          <w:divBdr>
            <w:top w:val="none" w:sz="0" w:space="0" w:color="auto"/>
            <w:left w:val="none" w:sz="0" w:space="0" w:color="auto"/>
            <w:bottom w:val="none" w:sz="0" w:space="0" w:color="auto"/>
            <w:right w:val="none" w:sz="0" w:space="0" w:color="auto"/>
          </w:divBdr>
        </w:div>
        <w:div w:id="2129549162">
          <w:marLeft w:val="0"/>
          <w:marRight w:val="0"/>
          <w:marTop w:val="0"/>
          <w:marBottom w:val="0"/>
          <w:divBdr>
            <w:top w:val="none" w:sz="0" w:space="0" w:color="auto"/>
            <w:left w:val="none" w:sz="0" w:space="0" w:color="auto"/>
            <w:bottom w:val="none" w:sz="0" w:space="0" w:color="auto"/>
            <w:right w:val="none" w:sz="0" w:space="0" w:color="auto"/>
          </w:divBdr>
        </w:div>
      </w:divsChild>
    </w:div>
    <w:div w:id="291131903">
      <w:bodyDiv w:val="1"/>
      <w:marLeft w:val="0"/>
      <w:marRight w:val="0"/>
      <w:marTop w:val="0"/>
      <w:marBottom w:val="0"/>
      <w:divBdr>
        <w:top w:val="none" w:sz="0" w:space="0" w:color="auto"/>
        <w:left w:val="none" w:sz="0" w:space="0" w:color="auto"/>
        <w:bottom w:val="none" w:sz="0" w:space="0" w:color="auto"/>
        <w:right w:val="none" w:sz="0" w:space="0" w:color="auto"/>
      </w:divBdr>
      <w:divsChild>
        <w:div w:id="1296062664">
          <w:marLeft w:val="0"/>
          <w:marRight w:val="0"/>
          <w:marTop w:val="0"/>
          <w:marBottom w:val="0"/>
          <w:divBdr>
            <w:top w:val="none" w:sz="0" w:space="0" w:color="auto"/>
            <w:left w:val="none" w:sz="0" w:space="0" w:color="auto"/>
            <w:bottom w:val="none" w:sz="0" w:space="0" w:color="auto"/>
            <w:right w:val="none" w:sz="0" w:space="0" w:color="auto"/>
          </w:divBdr>
        </w:div>
        <w:div w:id="1650670601">
          <w:marLeft w:val="0"/>
          <w:marRight w:val="0"/>
          <w:marTop w:val="0"/>
          <w:marBottom w:val="0"/>
          <w:divBdr>
            <w:top w:val="none" w:sz="0" w:space="0" w:color="auto"/>
            <w:left w:val="none" w:sz="0" w:space="0" w:color="auto"/>
            <w:bottom w:val="none" w:sz="0" w:space="0" w:color="auto"/>
            <w:right w:val="none" w:sz="0" w:space="0" w:color="auto"/>
          </w:divBdr>
        </w:div>
      </w:divsChild>
    </w:div>
    <w:div w:id="675379836">
      <w:bodyDiv w:val="1"/>
      <w:marLeft w:val="0"/>
      <w:marRight w:val="0"/>
      <w:marTop w:val="0"/>
      <w:marBottom w:val="0"/>
      <w:divBdr>
        <w:top w:val="none" w:sz="0" w:space="0" w:color="auto"/>
        <w:left w:val="none" w:sz="0" w:space="0" w:color="auto"/>
        <w:bottom w:val="none" w:sz="0" w:space="0" w:color="auto"/>
        <w:right w:val="none" w:sz="0" w:space="0" w:color="auto"/>
      </w:divBdr>
      <w:divsChild>
        <w:div w:id="229730239">
          <w:marLeft w:val="0"/>
          <w:marRight w:val="0"/>
          <w:marTop w:val="0"/>
          <w:marBottom w:val="0"/>
          <w:divBdr>
            <w:top w:val="none" w:sz="0" w:space="0" w:color="auto"/>
            <w:left w:val="none" w:sz="0" w:space="0" w:color="auto"/>
            <w:bottom w:val="none" w:sz="0" w:space="0" w:color="auto"/>
            <w:right w:val="none" w:sz="0" w:space="0" w:color="auto"/>
          </w:divBdr>
        </w:div>
        <w:div w:id="590503956">
          <w:marLeft w:val="0"/>
          <w:marRight w:val="0"/>
          <w:marTop w:val="0"/>
          <w:marBottom w:val="0"/>
          <w:divBdr>
            <w:top w:val="none" w:sz="0" w:space="0" w:color="auto"/>
            <w:left w:val="none" w:sz="0" w:space="0" w:color="auto"/>
            <w:bottom w:val="none" w:sz="0" w:space="0" w:color="auto"/>
            <w:right w:val="none" w:sz="0" w:space="0" w:color="auto"/>
          </w:divBdr>
        </w:div>
        <w:div w:id="2109427959">
          <w:marLeft w:val="0"/>
          <w:marRight w:val="0"/>
          <w:marTop w:val="0"/>
          <w:marBottom w:val="0"/>
          <w:divBdr>
            <w:top w:val="none" w:sz="0" w:space="0" w:color="auto"/>
            <w:left w:val="none" w:sz="0" w:space="0" w:color="auto"/>
            <w:bottom w:val="none" w:sz="0" w:space="0" w:color="auto"/>
            <w:right w:val="none" w:sz="0" w:space="0" w:color="auto"/>
          </w:divBdr>
        </w:div>
      </w:divsChild>
    </w:div>
    <w:div w:id="902325599">
      <w:bodyDiv w:val="1"/>
      <w:marLeft w:val="0"/>
      <w:marRight w:val="0"/>
      <w:marTop w:val="0"/>
      <w:marBottom w:val="0"/>
      <w:divBdr>
        <w:top w:val="none" w:sz="0" w:space="0" w:color="auto"/>
        <w:left w:val="none" w:sz="0" w:space="0" w:color="auto"/>
        <w:bottom w:val="none" w:sz="0" w:space="0" w:color="auto"/>
        <w:right w:val="none" w:sz="0" w:space="0" w:color="auto"/>
      </w:divBdr>
      <w:divsChild>
        <w:div w:id="429008538">
          <w:marLeft w:val="0"/>
          <w:marRight w:val="0"/>
          <w:marTop w:val="0"/>
          <w:marBottom w:val="0"/>
          <w:divBdr>
            <w:top w:val="none" w:sz="0" w:space="0" w:color="auto"/>
            <w:left w:val="none" w:sz="0" w:space="0" w:color="auto"/>
            <w:bottom w:val="none" w:sz="0" w:space="0" w:color="auto"/>
            <w:right w:val="none" w:sz="0" w:space="0" w:color="auto"/>
          </w:divBdr>
        </w:div>
        <w:div w:id="1662923110">
          <w:marLeft w:val="0"/>
          <w:marRight w:val="0"/>
          <w:marTop w:val="0"/>
          <w:marBottom w:val="0"/>
          <w:divBdr>
            <w:top w:val="none" w:sz="0" w:space="0" w:color="auto"/>
            <w:left w:val="none" w:sz="0" w:space="0" w:color="auto"/>
            <w:bottom w:val="none" w:sz="0" w:space="0" w:color="auto"/>
            <w:right w:val="none" w:sz="0" w:space="0" w:color="auto"/>
          </w:divBdr>
        </w:div>
        <w:div w:id="2031488599">
          <w:marLeft w:val="0"/>
          <w:marRight w:val="0"/>
          <w:marTop w:val="0"/>
          <w:marBottom w:val="0"/>
          <w:divBdr>
            <w:top w:val="none" w:sz="0" w:space="0" w:color="auto"/>
            <w:left w:val="none" w:sz="0" w:space="0" w:color="auto"/>
            <w:bottom w:val="none" w:sz="0" w:space="0" w:color="auto"/>
            <w:right w:val="none" w:sz="0" w:space="0" w:color="auto"/>
          </w:divBdr>
        </w:div>
      </w:divsChild>
    </w:div>
    <w:div w:id="968703178">
      <w:bodyDiv w:val="1"/>
      <w:marLeft w:val="0"/>
      <w:marRight w:val="0"/>
      <w:marTop w:val="0"/>
      <w:marBottom w:val="0"/>
      <w:divBdr>
        <w:top w:val="none" w:sz="0" w:space="0" w:color="auto"/>
        <w:left w:val="none" w:sz="0" w:space="0" w:color="auto"/>
        <w:bottom w:val="none" w:sz="0" w:space="0" w:color="auto"/>
        <w:right w:val="none" w:sz="0" w:space="0" w:color="auto"/>
      </w:divBdr>
      <w:divsChild>
        <w:div w:id="400451039">
          <w:marLeft w:val="0"/>
          <w:marRight w:val="0"/>
          <w:marTop w:val="0"/>
          <w:marBottom w:val="0"/>
          <w:divBdr>
            <w:top w:val="none" w:sz="0" w:space="0" w:color="auto"/>
            <w:left w:val="none" w:sz="0" w:space="0" w:color="auto"/>
            <w:bottom w:val="none" w:sz="0" w:space="0" w:color="auto"/>
            <w:right w:val="none" w:sz="0" w:space="0" w:color="auto"/>
          </w:divBdr>
        </w:div>
        <w:div w:id="497617855">
          <w:marLeft w:val="0"/>
          <w:marRight w:val="0"/>
          <w:marTop w:val="0"/>
          <w:marBottom w:val="0"/>
          <w:divBdr>
            <w:top w:val="none" w:sz="0" w:space="0" w:color="auto"/>
            <w:left w:val="none" w:sz="0" w:space="0" w:color="auto"/>
            <w:bottom w:val="none" w:sz="0" w:space="0" w:color="auto"/>
            <w:right w:val="none" w:sz="0" w:space="0" w:color="auto"/>
          </w:divBdr>
          <w:divsChild>
            <w:div w:id="63064954">
              <w:marLeft w:val="0"/>
              <w:marRight w:val="0"/>
              <w:marTop w:val="0"/>
              <w:marBottom w:val="0"/>
              <w:divBdr>
                <w:top w:val="none" w:sz="0" w:space="0" w:color="auto"/>
                <w:left w:val="none" w:sz="0" w:space="0" w:color="auto"/>
                <w:bottom w:val="none" w:sz="0" w:space="0" w:color="auto"/>
                <w:right w:val="none" w:sz="0" w:space="0" w:color="auto"/>
              </w:divBdr>
            </w:div>
            <w:div w:id="65878769">
              <w:marLeft w:val="0"/>
              <w:marRight w:val="0"/>
              <w:marTop w:val="0"/>
              <w:marBottom w:val="0"/>
              <w:divBdr>
                <w:top w:val="none" w:sz="0" w:space="0" w:color="auto"/>
                <w:left w:val="none" w:sz="0" w:space="0" w:color="auto"/>
                <w:bottom w:val="none" w:sz="0" w:space="0" w:color="auto"/>
                <w:right w:val="none" w:sz="0" w:space="0" w:color="auto"/>
              </w:divBdr>
            </w:div>
            <w:div w:id="330060724">
              <w:marLeft w:val="0"/>
              <w:marRight w:val="0"/>
              <w:marTop w:val="0"/>
              <w:marBottom w:val="0"/>
              <w:divBdr>
                <w:top w:val="none" w:sz="0" w:space="0" w:color="auto"/>
                <w:left w:val="none" w:sz="0" w:space="0" w:color="auto"/>
                <w:bottom w:val="none" w:sz="0" w:space="0" w:color="auto"/>
                <w:right w:val="none" w:sz="0" w:space="0" w:color="auto"/>
              </w:divBdr>
            </w:div>
            <w:div w:id="425733120">
              <w:marLeft w:val="0"/>
              <w:marRight w:val="0"/>
              <w:marTop w:val="0"/>
              <w:marBottom w:val="0"/>
              <w:divBdr>
                <w:top w:val="none" w:sz="0" w:space="0" w:color="auto"/>
                <w:left w:val="none" w:sz="0" w:space="0" w:color="auto"/>
                <w:bottom w:val="none" w:sz="0" w:space="0" w:color="auto"/>
                <w:right w:val="none" w:sz="0" w:space="0" w:color="auto"/>
              </w:divBdr>
            </w:div>
            <w:div w:id="498889607">
              <w:marLeft w:val="0"/>
              <w:marRight w:val="0"/>
              <w:marTop w:val="0"/>
              <w:marBottom w:val="0"/>
              <w:divBdr>
                <w:top w:val="none" w:sz="0" w:space="0" w:color="auto"/>
                <w:left w:val="none" w:sz="0" w:space="0" w:color="auto"/>
                <w:bottom w:val="none" w:sz="0" w:space="0" w:color="auto"/>
                <w:right w:val="none" w:sz="0" w:space="0" w:color="auto"/>
              </w:divBdr>
            </w:div>
            <w:div w:id="591091076">
              <w:marLeft w:val="0"/>
              <w:marRight w:val="0"/>
              <w:marTop w:val="0"/>
              <w:marBottom w:val="0"/>
              <w:divBdr>
                <w:top w:val="none" w:sz="0" w:space="0" w:color="auto"/>
                <w:left w:val="none" w:sz="0" w:space="0" w:color="auto"/>
                <w:bottom w:val="none" w:sz="0" w:space="0" w:color="auto"/>
                <w:right w:val="none" w:sz="0" w:space="0" w:color="auto"/>
              </w:divBdr>
            </w:div>
            <w:div w:id="601380640">
              <w:marLeft w:val="0"/>
              <w:marRight w:val="0"/>
              <w:marTop w:val="0"/>
              <w:marBottom w:val="0"/>
              <w:divBdr>
                <w:top w:val="none" w:sz="0" w:space="0" w:color="auto"/>
                <w:left w:val="none" w:sz="0" w:space="0" w:color="auto"/>
                <w:bottom w:val="none" w:sz="0" w:space="0" w:color="auto"/>
                <w:right w:val="none" w:sz="0" w:space="0" w:color="auto"/>
              </w:divBdr>
            </w:div>
            <w:div w:id="917447302">
              <w:marLeft w:val="0"/>
              <w:marRight w:val="0"/>
              <w:marTop w:val="0"/>
              <w:marBottom w:val="0"/>
              <w:divBdr>
                <w:top w:val="none" w:sz="0" w:space="0" w:color="auto"/>
                <w:left w:val="none" w:sz="0" w:space="0" w:color="auto"/>
                <w:bottom w:val="none" w:sz="0" w:space="0" w:color="auto"/>
                <w:right w:val="none" w:sz="0" w:space="0" w:color="auto"/>
              </w:divBdr>
            </w:div>
            <w:div w:id="1047560157">
              <w:marLeft w:val="0"/>
              <w:marRight w:val="0"/>
              <w:marTop w:val="0"/>
              <w:marBottom w:val="0"/>
              <w:divBdr>
                <w:top w:val="none" w:sz="0" w:space="0" w:color="auto"/>
                <w:left w:val="none" w:sz="0" w:space="0" w:color="auto"/>
                <w:bottom w:val="none" w:sz="0" w:space="0" w:color="auto"/>
                <w:right w:val="none" w:sz="0" w:space="0" w:color="auto"/>
              </w:divBdr>
            </w:div>
            <w:div w:id="1082413849">
              <w:marLeft w:val="0"/>
              <w:marRight w:val="0"/>
              <w:marTop w:val="0"/>
              <w:marBottom w:val="0"/>
              <w:divBdr>
                <w:top w:val="none" w:sz="0" w:space="0" w:color="auto"/>
                <w:left w:val="none" w:sz="0" w:space="0" w:color="auto"/>
                <w:bottom w:val="none" w:sz="0" w:space="0" w:color="auto"/>
                <w:right w:val="none" w:sz="0" w:space="0" w:color="auto"/>
              </w:divBdr>
            </w:div>
            <w:div w:id="1132285832">
              <w:marLeft w:val="0"/>
              <w:marRight w:val="0"/>
              <w:marTop w:val="0"/>
              <w:marBottom w:val="0"/>
              <w:divBdr>
                <w:top w:val="none" w:sz="0" w:space="0" w:color="auto"/>
                <w:left w:val="none" w:sz="0" w:space="0" w:color="auto"/>
                <w:bottom w:val="none" w:sz="0" w:space="0" w:color="auto"/>
                <w:right w:val="none" w:sz="0" w:space="0" w:color="auto"/>
              </w:divBdr>
            </w:div>
            <w:div w:id="1192765130">
              <w:marLeft w:val="0"/>
              <w:marRight w:val="0"/>
              <w:marTop w:val="0"/>
              <w:marBottom w:val="0"/>
              <w:divBdr>
                <w:top w:val="none" w:sz="0" w:space="0" w:color="auto"/>
                <w:left w:val="none" w:sz="0" w:space="0" w:color="auto"/>
                <w:bottom w:val="none" w:sz="0" w:space="0" w:color="auto"/>
                <w:right w:val="none" w:sz="0" w:space="0" w:color="auto"/>
              </w:divBdr>
            </w:div>
            <w:div w:id="1234779411">
              <w:marLeft w:val="0"/>
              <w:marRight w:val="0"/>
              <w:marTop w:val="0"/>
              <w:marBottom w:val="0"/>
              <w:divBdr>
                <w:top w:val="none" w:sz="0" w:space="0" w:color="auto"/>
                <w:left w:val="none" w:sz="0" w:space="0" w:color="auto"/>
                <w:bottom w:val="none" w:sz="0" w:space="0" w:color="auto"/>
                <w:right w:val="none" w:sz="0" w:space="0" w:color="auto"/>
              </w:divBdr>
            </w:div>
            <w:div w:id="1361934904">
              <w:marLeft w:val="0"/>
              <w:marRight w:val="0"/>
              <w:marTop w:val="0"/>
              <w:marBottom w:val="0"/>
              <w:divBdr>
                <w:top w:val="none" w:sz="0" w:space="0" w:color="auto"/>
                <w:left w:val="none" w:sz="0" w:space="0" w:color="auto"/>
                <w:bottom w:val="none" w:sz="0" w:space="0" w:color="auto"/>
                <w:right w:val="none" w:sz="0" w:space="0" w:color="auto"/>
              </w:divBdr>
            </w:div>
            <w:div w:id="1501265134">
              <w:marLeft w:val="0"/>
              <w:marRight w:val="0"/>
              <w:marTop w:val="0"/>
              <w:marBottom w:val="0"/>
              <w:divBdr>
                <w:top w:val="none" w:sz="0" w:space="0" w:color="auto"/>
                <w:left w:val="none" w:sz="0" w:space="0" w:color="auto"/>
                <w:bottom w:val="none" w:sz="0" w:space="0" w:color="auto"/>
                <w:right w:val="none" w:sz="0" w:space="0" w:color="auto"/>
              </w:divBdr>
            </w:div>
            <w:div w:id="1667052067">
              <w:marLeft w:val="0"/>
              <w:marRight w:val="0"/>
              <w:marTop w:val="0"/>
              <w:marBottom w:val="0"/>
              <w:divBdr>
                <w:top w:val="none" w:sz="0" w:space="0" w:color="auto"/>
                <w:left w:val="none" w:sz="0" w:space="0" w:color="auto"/>
                <w:bottom w:val="none" w:sz="0" w:space="0" w:color="auto"/>
                <w:right w:val="none" w:sz="0" w:space="0" w:color="auto"/>
              </w:divBdr>
            </w:div>
            <w:div w:id="1751805135">
              <w:marLeft w:val="0"/>
              <w:marRight w:val="0"/>
              <w:marTop w:val="0"/>
              <w:marBottom w:val="0"/>
              <w:divBdr>
                <w:top w:val="none" w:sz="0" w:space="0" w:color="auto"/>
                <w:left w:val="none" w:sz="0" w:space="0" w:color="auto"/>
                <w:bottom w:val="none" w:sz="0" w:space="0" w:color="auto"/>
                <w:right w:val="none" w:sz="0" w:space="0" w:color="auto"/>
              </w:divBdr>
            </w:div>
            <w:div w:id="1918860702">
              <w:marLeft w:val="0"/>
              <w:marRight w:val="0"/>
              <w:marTop w:val="0"/>
              <w:marBottom w:val="0"/>
              <w:divBdr>
                <w:top w:val="none" w:sz="0" w:space="0" w:color="auto"/>
                <w:left w:val="none" w:sz="0" w:space="0" w:color="auto"/>
                <w:bottom w:val="none" w:sz="0" w:space="0" w:color="auto"/>
                <w:right w:val="none" w:sz="0" w:space="0" w:color="auto"/>
              </w:divBdr>
            </w:div>
            <w:div w:id="1951466966">
              <w:marLeft w:val="0"/>
              <w:marRight w:val="0"/>
              <w:marTop w:val="0"/>
              <w:marBottom w:val="0"/>
              <w:divBdr>
                <w:top w:val="none" w:sz="0" w:space="0" w:color="auto"/>
                <w:left w:val="none" w:sz="0" w:space="0" w:color="auto"/>
                <w:bottom w:val="none" w:sz="0" w:space="0" w:color="auto"/>
                <w:right w:val="none" w:sz="0" w:space="0" w:color="auto"/>
              </w:divBdr>
            </w:div>
            <w:div w:id="1986622440">
              <w:marLeft w:val="0"/>
              <w:marRight w:val="0"/>
              <w:marTop w:val="0"/>
              <w:marBottom w:val="0"/>
              <w:divBdr>
                <w:top w:val="none" w:sz="0" w:space="0" w:color="auto"/>
                <w:left w:val="none" w:sz="0" w:space="0" w:color="auto"/>
                <w:bottom w:val="none" w:sz="0" w:space="0" w:color="auto"/>
                <w:right w:val="none" w:sz="0" w:space="0" w:color="auto"/>
              </w:divBdr>
            </w:div>
          </w:divsChild>
        </w:div>
        <w:div w:id="1092317737">
          <w:marLeft w:val="0"/>
          <w:marRight w:val="0"/>
          <w:marTop w:val="0"/>
          <w:marBottom w:val="0"/>
          <w:divBdr>
            <w:top w:val="none" w:sz="0" w:space="0" w:color="auto"/>
            <w:left w:val="none" w:sz="0" w:space="0" w:color="auto"/>
            <w:bottom w:val="none" w:sz="0" w:space="0" w:color="auto"/>
            <w:right w:val="none" w:sz="0" w:space="0" w:color="auto"/>
          </w:divBdr>
        </w:div>
        <w:div w:id="1245066086">
          <w:marLeft w:val="0"/>
          <w:marRight w:val="0"/>
          <w:marTop w:val="0"/>
          <w:marBottom w:val="0"/>
          <w:divBdr>
            <w:top w:val="none" w:sz="0" w:space="0" w:color="auto"/>
            <w:left w:val="none" w:sz="0" w:space="0" w:color="auto"/>
            <w:bottom w:val="none" w:sz="0" w:space="0" w:color="auto"/>
            <w:right w:val="none" w:sz="0" w:space="0" w:color="auto"/>
          </w:divBdr>
        </w:div>
        <w:div w:id="1652903252">
          <w:marLeft w:val="0"/>
          <w:marRight w:val="0"/>
          <w:marTop w:val="0"/>
          <w:marBottom w:val="0"/>
          <w:divBdr>
            <w:top w:val="none" w:sz="0" w:space="0" w:color="auto"/>
            <w:left w:val="none" w:sz="0" w:space="0" w:color="auto"/>
            <w:bottom w:val="none" w:sz="0" w:space="0" w:color="auto"/>
            <w:right w:val="none" w:sz="0" w:space="0" w:color="auto"/>
          </w:divBdr>
        </w:div>
      </w:divsChild>
    </w:div>
    <w:div w:id="996226098">
      <w:bodyDiv w:val="1"/>
      <w:marLeft w:val="0"/>
      <w:marRight w:val="0"/>
      <w:marTop w:val="0"/>
      <w:marBottom w:val="0"/>
      <w:divBdr>
        <w:top w:val="none" w:sz="0" w:space="0" w:color="auto"/>
        <w:left w:val="none" w:sz="0" w:space="0" w:color="auto"/>
        <w:bottom w:val="none" w:sz="0" w:space="0" w:color="auto"/>
        <w:right w:val="none" w:sz="0" w:space="0" w:color="auto"/>
      </w:divBdr>
      <w:divsChild>
        <w:div w:id="312880853">
          <w:marLeft w:val="0"/>
          <w:marRight w:val="0"/>
          <w:marTop w:val="0"/>
          <w:marBottom w:val="0"/>
          <w:divBdr>
            <w:top w:val="none" w:sz="0" w:space="0" w:color="auto"/>
            <w:left w:val="none" w:sz="0" w:space="0" w:color="auto"/>
            <w:bottom w:val="none" w:sz="0" w:space="0" w:color="auto"/>
            <w:right w:val="none" w:sz="0" w:space="0" w:color="auto"/>
          </w:divBdr>
        </w:div>
        <w:div w:id="463668675">
          <w:marLeft w:val="0"/>
          <w:marRight w:val="0"/>
          <w:marTop w:val="0"/>
          <w:marBottom w:val="0"/>
          <w:divBdr>
            <w:top w:val="none" w:sz="0" w:space="0" w:color="auto"/>
            <w:left w:val="none" w:sz="0" w:space="0" w:color="auto"/>
            <w:bottom w:val="none" w:sz="0" w:space="0" w:color="auto"/>
            <w:right w:val="none" w:sz="0" w:space="0" w:color="auto"/>
          </w:divBdr>
        </w:div>
        <w:div w:id="825584145">
          <w:marLeft w:val="0"/>
          <w:marRight w:val="0"/>
          <w:marTop w:val="0"/>
          <w:marBottom w:val="0"/>
          <w:divBdr>
            <w:top w:val="none" w:sz="0" w:space="0" w:color="auto"/>
            <w:left w:val="none" w:sz="0" w:space="0" w:color="auto"/>
            <w:bottom w:val="none" w:sz="0" w:space="0" w:color="auto"/>
            <w:right w:val="none" w:sz="0" w:space="0" w:color="auto"/>
          </w:divBdr>
        </w:div>
        <w:div w:id="984967747">
          <w:marLeft w:val="0"/>
          <w:marRight w:val="0"/>
          <w:marTop w:val="0"/>
          <w:marBottom w:val="0"/>
          <w:divBdr>
            <w:top w:val="none" w:sz="0" w:space="0" w:color="auto"/>
            <w:left w:val="none" w:sz="0" w:space="0" w:color="auto"/>
            <w:bottom w:val="none" w:sz="0" w:space="0" w:color="auto"/>
            <w:right w:val="none" w:sz="0" w:space="0" w:color="auto"/>
          </w:divBdr>
        </w:div>
      </w:divsChild>
    </w:div>
    <w:div w:id="1435439104">
      <w:bodyDiv w:val="1"/>
      <w:marLeft w:val="0"/>
      <w:marRight w:val="0"/>
      <w:marTop w:val="0"/>
      <w:marBottom w:val="0"/>
      <w:divBdr>
        <w:top w:val="none" w:sz="0" w:space="0" w:color="auto"/>
        <w:left w:val="none" w:sz="0" w:space="0" w:color="auto"/>
        <w:bottom w:val="none" w:sz="0" w:space="0" w:color="auto"/>
        <w:right w:val="none" w:sz="0" w:space="0" w:color="auto"/>
      </w:divBdr>
    </w:div>
    <w:div w:id="1810397647">
      <w:bodyDiv w:val="1"/>
      <w:marLeft w:val="0"/>
      <w:marRight w:val="0"/>
      <w:marTop w:val="0"/>
      <w:marBottom w:val="0"/>
      <w:divBdr>
        <w:top w:val="none" w:sz="0" w:space="0" w:color="auto"/>
        <w:left w:val="none" w:sz="0" w:space="0" w:color="auto"/>
        <w:bottom w:val="none" w:sz="0" w:space="0" w:color="auto"/>
        <w:right w:val="none" w:sz="0" w:space="0" w:color="auto"/>
      </w:divBdr>
      <w:divsChild>
        <w:div w:id="367996525">
          <w:marLeft w:val="0"/>
          <w:marRight w:val="0"/>
          <w:marTop w:val="0"/>
          <w:marBottom w:val="0"/>
          <w:divBdr>
            <w:top w:val="none" w:sz="0" w:space="0" w:color="auto"/>
            <w:left w:val="none" w:sz="0" w:space="0" w:color="auto"/>
            <w:bottom w:val="none" w:sz="0" w:space="0" w:color="auto"/>
            <w:right w:val="none" w:sz="0" w:space="0" w:color="auto"/>
          </w:divBdr>
        </w:div>
        <w:div w:id="700667628">
          <w:marLeft w:val="0"/>
          <w:marRight w:val="0"/>
          <w:marTop w:val="0"/>
          <w:marBottom w:val="0"/>
          <w:divBdr>
            <w:top w:val="none" w:sz="0" w:space="0" w:color="auto"/>
            <w:left w:val="none" w:sz="0" w:space="0" w:color="auto"/>
            <w:bottom w:val="none" w:sz="0" w:space="0" w:color="auto"/>
            <w:right w:val="none" w:sz="0" w:space="0" w:color="auto"/>
          </w:divBdr>
        </w:div>
        <w:div w:id="1263876089">
          <w:marLeft w:val="0"/>
          <w:marRight w:val="0"/>
          <w:marTop w:val="0"/>
          <w:marBottom w:val="0"/>
          <w:divBdr>
            <w:top w:val="none" w:sz="0" w:space="0" w:color="auto"/>
            <w:left w:val="none" w:sz="0" w:space="0" w:color="auto"/>
            <w:bottom w:val="none" w:sz="0" w:space="0" w:color="auto"/>
            <w:right w:val="none" w:sz="0" w:space="0" w:color="auto"/>
          </w:divBdr>
        </w:div>
      </w:divsChild>
    </w:div>
    <w:div w:id="1977366359">
      <w:bodyDiv w:val="1"/>
      <w:marLeft w:val="0"/>
      <w:marRight w:val="0"/>
      <w:marTop w:val="0"/>
      <w:marBottom w:val="0"/>
      <w:divBdr>
        <w:top w:val="none" w:sz="0" w:space="0" w:color="auto"/>
        <w:left w:val="none" w:sz="0" w:space="0" w:color="auto"/>
        <w:bottom w:val="none" w:sz="0" w:space="0" w:color="auto"/>
        <w:right w:val="none" w:sz="0" w:space="0" w:color="auto"/>
      </w:divBdr>
      <w:divsChild>
        <w:div w:id="986473789">
          <w:marLeft w:val="0"/>
          <w:marRight w:val="0"/>
          <w:marTop w:val="0"/>
          <w:marBottom w:val="0"/>
          <w:divBdr>
            <w:top w:val="none" w:sz="0" w:space="0" w:color="auto"/>
            <w:left w:val="none" w:sz="0" w:space="0" w:color="auto"/>
            <w:bottom w:val="none" w:sz="0" w:space="0" w:color="auto"/>
            <w:right w:val="none" w:sz="0" w:space="0" w:color="auto"/>
          </w:divBdr>
        </w:div>
        <w:div w:id="1161851684">
          <w:marLeft w:val="0"/>
          <w:marRight w:val="0"/>
          <w:marTop w:val="0"/>
          <w:marBottom w:val="0"/>
          <w:divBdr>
            <w:top w:val="none" w:sz="0" w:space="0" w:color="auto"/>
            <w:left w:val="none" w:sz="0" w:space="0" w:color="auto"/>
            <w:bottom w:val="none" w:sz="0" w:space="0" w:color="auto"/>
            <w:right w:val="none" w:sz="0" w:space="0" w:color="auto"/>
          </w:divBdr>
        </w:div>
        <w:div w:id="1237976621">
          <w:marLeft w:val="0"/>
          <w:marRight w:val="0"/>
          <w:marTop w:val="0"/>
          <w:marBottom w:val="0"/>
          <w:divBdr>
            <w:top w:val="none" w:sz="0" w:space="0" w:color="auto"/>
            <w:left w:val="none" w:sz="0" w:space="0" w:color="auto"/>
            <w:bottom w:val="none" w:sz="0" w:space="0" w:color="auto"/>
            <w:right w:val="none" w:sz="0" w:space="0" w:color="auto"/>
          </w:divBdr>
        </w:div>
        <w:div w:id="1546025612">
          <w:marLeft w:val="0"/>
          <w:marRight w:val="0"/>
          <w:marTop w:val="0"/>
          <w:marBottom w:val="0"/>
          <w:divBdr>
            <w:top w:val="none" w:sz="0" w:space="0" w:color="auto"/>
            <w:left w:val="none" w:sz="0" w:space="0" w:color="auto"/>
            <w:bottom w:val="none" w:sz="0" w:space="0" w:color="auto"/>
            <w:right w:val="none" w:sz="0" w:space="0" w:color="auto"/>
          </w:divBdr>
        </w:div>
        <w:div w:id="1837380823">
          <w:marLeft w:val="0"/>
          <w:marRight w:val="0"/>
          <w:marTop w:val="0"/>
          <w:marBottom w:val="0"/>
          <w:divBdr>
            <w:top w:val="none" w:sz="0" w:space="0" w:color="auto"/>
            <w:left w:val="none" w:sz="0" w:space="0" w:color="auto"/>
            <w:bottom w:val="none" w:sz="0" w:space="0" w:color="auto"/>
            <w:right w:val="none" w:sz="0" w:space="0" w:color="auto"/>
          </w:divBdr>
        </w:div>
        <w:div w:id="1941600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8f9bd920703311eabee4a336e7e6fdab"/>
  <Relationship Id="rId100" Type="http://schemas.openxmlformats.org/officeDocument/2006/relationships/hyperlink" TargetMode="External" Target="https://www.e-tar.lt/portal/legalAct.html?documentId=5cfc7c50399211e99595d005d42b863e"/>
  <Relationship Id="rId101" Type="http://schemas.openxmlformats.org/officeDocument/2006/relationships/hyperlink" TargetMode="External" Target="https://www.e-tar.lt/portal/legalAct.html?documentId=45182880cad711e7910a89ac20768b0f"/>
  <Relationship Id="rId102" Type="http://schemas.openxmlformats.org/officeDocument/2006/relationships/hyperlink" TargetMode="External" Target="https://www.e-tar.lt/portal/legalAct.html?documentId=5cfc7c50399211e99595d005d42b863e"/>
  <Relationship Id="rId103" Type="http://schemas.openxmlformats.org/officeDocument/2006/relationships/hyperlink" TargetMode="External" Target="https://www.e-tar.lt/portal/legalAct.html?documentId=5cfc7c50399211e99595d005d42b863e"/>
  <Relationship Id="rId104" Type="http://schemas.openxmlformats.org/officeDocument/2006/relationships/hyperlink" TargetMode="External" Target="https://www.e-tar.lt/portal/legalAct.html?documentId=f7ad7790986d11eb9fecb5ecd3bd711c"/>
  <Relationship Id="rId105" Type="http://schemas.openxmlformats.org/officeDocument/2006/relationships/hyperlink" TargetMode="External" Target="https://www.e-tar.lt/portal/legalAct.html?documentId=86a0dea0fdf411ec8fa7d02a65c371ad"/>
  <Relationship Id="rId106" Type="http://schemas.openxmlformats.org/officeDocument/2006/relationships/hyperlink" TargetMode="External" Target="https://www.e-tar.lt/portal/legalAct.html?documentId=45182880cad711e7910a89ac20768b0f"/>
  <Relationship Id="rId107" Type="http://schemas.openxmlformats.org/officeDocument/2006/relationships/hyperlink" TargetMode="External" Target="https://www.e-tar.lt/portal/legalAct.html?documentId=45182880cad711e7910a89ac20768b0f"/>
  <Relationship Id="rId108" Type="http://schemas.openxmlformats.org/officeDocument/2006/relationships/hyperlink" TargetMode="External" Target="https://www.e-tar.lt/portal/legalAct.html?documentId=45182880cad711e7910a89ac20768b0f"/>
  <Relationship Id="rId109" Type="http://schemas.openxmlformats.org/officeDocument/2006/relationships/hyperlink" TargetMode="External" Target="https://www.e-tar.lt/portal/legalAct.html?documentId=5cfc7c50399211e99595d005d42b863e"/>
  <Relationship Id="rId11" Type="http://schemas.openxmlformats.org/officeDocument/2006/relationships/hyperlink" TargetMode="External" Target="https://www.e-tar.lt/portal/legalAct.html?documentId=a0fd49109d0511e69ad4c8713b612d0f"/>
  <Relationship Id="rId110" Type="http://schemas.openxmlformats.org/officeDocument/2006/relationships/hyperlink" TargetMode="External" Target="https://www.e-tar.lt/portal/legalAct.html?documentId=f7ad7790986d11eb9fecb5ecd3bd711c"/>
  <Relationship Id="rId111" Type="http://schemas.openxmlformats.org/officeDocument/2006/relationships/hyperlink" TargetMode="External" Target="https://www.e-tar.lt/portal/legalAct.html?documentId=86a0dea0fdf411ec8fa7d02a65c371ad"/>
  <Relationship Id="rId112" Type="http://schemas.openxmlformats.org/officeDocument/2006/relationships/hyperlink" TargetMode="External" Target="https://www.e-tar.lt/portal/legalAct.html?documentId=13bc9fc0ee6011e88568e724760eeafa"/>
  <Relationship Id="rId113" Type="http://schemas.openxmlformats.org/officeDocument/2006/relationships/hyperlink" TargetMode="External" Target="https://www.e-tar.lt/portal/legalAct.html?documentId=5cfc7c50399211e99595d005d42b863e"/>
  <Relationship Id="rId114" Type="http://schemas.openxmlformats.org/officeDocument/2006/relationships/hyperlink" TargetMode="External" Target="https://www.e-tar.lt/portal/legalAct.html?documentId=5cfc7c50399211e99595d005d42b863e"/>
  <Relationship Id="rId115" Type="http://schemas.openxmlformats.org/officeDocument/2006/relationships/hyperlink" TargetMode="External" Target="https://www.e-tar.lt/portal/legalAct.html?documentId=5cfc7c50399211e99595d005d42b863e"/>
  <Relationship Id="rId116" Type="http://schemas.openxmlformats.org/officeDocument/2006/relationships/hyperlink" TargetMode="External" Target="https://www.e-tar.lt/portal/legalAct.html?documentId=5cfc7c50399211e99595d005d42b863e"/>
  <Relationship Id="rId117" Type="http://schemas.openxmlformats.org/officeDocument/2006/relationships/hyperlink" TargetMode="External" Target="https://www.e-tar.lt/portal/legalAct.html?documentId=f7ad7790986d11eb9fecb5ecd3bd711c"/>
  <Relationship Id="rId118" Type="http://schemas.openxmlformats.org/officeDocument/2006/relationships/hyperlink" TargetMode="External" Target="https://www.e-tar.lt/portal/legalAct.html?documentId=86a0dea0fdf411ec8fa7d02a65c371ad"/>
  <Relationship Id="rId119" Type="http://schemas.openxmlformats.org/officeDocument/2006/relationships/hyperlink" TargetMode="External" Target="https://www.e-tar.lt/portal/legalAct.html?documentId=f7ad7790986d11eb9fecb5ecd3bd711c"/>
  <Relationship Id="rId12" Type="http://schemas.openxmlformats.org/officeDocument/2006/relationships/hyperlink" TargetMode="External" Target="https://www.e-tar.lt/portal/legalAct.html?documentId=ca0852506ab411e7827cd63159af616c"/>
  <Relationship Id="rId120" Type="http://schemas.openxmlformats.org/officeDocument/2006/relationships/hyperlink" TargetMode="External" Target="https://www.e-tar.lt/portal/legalAct.html?documentId=86a0dea0fdf411ec8fa7d02a65c371ad"/>
  <Relationship Id="rId121" Type="http://schemas.openxmlformats.org/officeDocument/2006/relationships/hyperlink" TargetMode="External" Target="http://www3.lrs.lt/cgi-bin/preps2?a=427222&amp;b="/>
  <Relationship Id="rId122" Type="http://schemas.openxmlformats.org/officeDocument/2006/relationships/hyperlink" TargetMode="External" Target="https://www.e-tar.lt/portal/legalAct.html?documentId=f7ad7790986d11eb9fecb5ecd3bd711c"/>
  <Relationship Id="rId123" Type="http://schemas.openxmlformats.org/officeDocument/2006/relationships/hyperlink" TargetMode="External" Target="https://www.e-tar.lt/portal/legalAct.html?documentId=86a0dea0fdf411ec8fa7d02a65c371ad"/>
  <Relationship Id="rId124" Type="http://schemas.openxmlformats.org/officeDocument/2006/relationships/hyperlink" TargetMode="External" Target="http://www3.lrs.lt/cgi-bin/preps2?a=427222&amp;b="/>
  <Relationship Id="rId125" Type="http://schemas.openxmlformats.org/officeDocument/2006/relationships/hyperlink" TargetMode="External" Target="https://www.e-tar.lt/portal/legalAct.html?documentId=5cfc7c50399211e99595d005d42b863e"/>
  <Relationship Id="rId126" Type="http://schemas.openxmlformats.org/officeDocument/2006/relationships/hyperlink" TargetMode="External" Target="http://www3.lrs.lt/cgi-bin/preps2?a=427222&amp;b="/>
  <Relationship Id="rId127" Type="http://schemas.openxmlformats.org/officeDocument/2006/relationships/hyperlink" TargetMode="External" Target="https://www.e-tar.lt/portal/legalAct.html?documentId=5cfc7c50399211e99595d005d42b863e"/>
  <Relationship Id="rId128" Type="http://schemas.openxmlformats.org/officeDocument/2006/relationships/hyperlink" TargetMode="External" Target="http://www3.lrs.lt/cgi-bin/preps2?a=427222&amp;b="/>
  <Relationship Id="rId129" Type="http://schemas.openxmlformats.org/officeDocument/2006/relationships/hyperlink" TargetMode="External" Target="https://www.e-tar.lt/portal/legalAct.html?documentId=5cfc7c50399211e99595d005d42b863e"/>
  <Relationship Id="rId13" Type="http://schemas.openxmlformats.org/officeDocument/2006/relationships/hyperlink" TargetMode="External" Target="https://www.e-tar.lt/portal/legalAct.html?documentId=c382e3304dbf11ec862fdcbc8b3e3e05"/>
  <Relationship Id="rId130" Type="http://schemas.openxmlformats.org/officeDocument/2006/relationships/hyperlink" TargetMode="External" Target="http://www3.lrs.lt/cgi-bin/preps2?a=427222&amp;b="/>
  <Relationship Id="rId131" Type="http://schemas.openxmlformats.org/officeDocument/2006/relationships/hyperlink" TargetMode="External" Target="https://www.e-tar.lt/portal/legalAct.html?documentId=5cfc7c50399211e99595d005d42b863e"/>
  <Relationship Id="rId133" Type="http://schemas.openxmlformats.org/officeDocument/2006/relationships/hyperlink" TargetMode="External" Target="https://www.e-tar.lt/portal/legalAct.html?documentId=5cfc7c50399211e99595d005d42b863e"/>
  <Relationship Id="rId134" Type="http://schemas.openxmlformats.org/officeDocument/2006/relationships/hyperlink" TargetMode="External" Target="https://www.e-tar.lt/portal/legalAct.html?documentId=13bc9fc0ee6011e88568e724760eeafa"/>
  <Relationship Id="rId135" Type="http://schemas.openxmlformats.org/officeDocument/2006/relationships/hyperlink" TargetMode="External" Target="https://www.e-tar.lt/portal/legalAct.html?documentId=c382e3304dbf11ec862fdcbc8b3e3e05"/>
  <Relationship Id="rId136" Type="http://schemas.openxmlformats.org/officeDocument/2006/relationships/hyperlink" TargetMode="External" Target="https://www.e-tar.lt/portal/legalAct.html?documentId=4e4d1f00bab711eab9d9cd0c85e0b745"/>
  <Relationship Id="rId137" Type="http://schemas.openxmlformats.org/officeDocument/2006/relationships/hyperlink" TargetMode="External" Target="https://www.e-tar.lt/portal/legalAct.html?documentId=6a3e8e2070ca11e9a13eeecaacbc653f"/>
  <Relationship Id="rId138" Type="http://schemas.openxmlformats.org/officeDocument/2006/relationships/hyperlink" TargetMode="External" Target="https://www.e-tar.lt/portal/legalAct.html?documentId=6a3e8e2070ca11e9a13eeecaacbc653f"/>
  <Relationship Id="rId139" Type="http://schemas.openxmlformats.org/officeDocument/2006/relationships/hyperlink" TargetMode="External" Target="https://www.e-tar.lt/portal/legalAct.html?documentId=6a3e8e2070ca11e9a13eeecaacbc653f"/>
  <Relationship Id="rId140" Type="http://schemas.openxmlformats.org/officeDocument/2006/relationships/hyperlink" TargetMode="External" Target="https://www.e-tar.lt/portal/legalAct.html?documentId=0f3fa6c05d8611e79198ffdb108a3753"/>
  <Relationship Id="rId141" Type="http://schemas.openxmlformats.org/officeDocument/2006/relationships/hyperlink" TargetMode="External" Target="https://www.e-tar.lt/portal/legalAct.html?documentId=54687140778511edbc04912defe897d1"/>
  <Relationship Id="rId142" Type="http://schemas.openxmlformats.org/officeDocument/2006/relationships/hyperlink" TargetMode="External" Target="https://www.e-tar.lt/portal/legalAct.html?documentId=5bc0a460bd2611eab9d9cd0c85e0b745"/>
  <Relationship Id="rId143" Type="http://schemas.openxmlformats.org/officeDocument/2006/relationships/hyperlink" TargetMode="External" Target="https://www.e-tar.lt/portal/legalAct.html?documentId=d6d5787021ca11f08fdabd4950271e2c"/>
  <Relationship Id="rId144" Type="http://schemas.openxmlformats.org/officeDocument/2006/relationships/hyperlink" TargetMode="External" Target="https://www.e-tar.lt/portal/legalAct.html?documentId=5cfc7c50399211e99595d005d42b863e"/>
  <Relationship Id="rId145" Type="http://schemas.openxmlformats.org/officeDocument/2006/relationships/hyperlink" TargetMode="External" Target="https://www.e-tar.lt/portal/legalAct.html?documentId=5bc0a460bd2611eab9d9cd0c85e0b745"/>
  <Relationship Id="rId146" Type="http://schemas.openxmlformats.org/officeDocument/2006/relationships/hyperlink" TargetMode="External" Target="https://www.e-tar.lt/portal/legalAct.html?documentId=5cfc7c50399211e99595d005d42b863e"/>
  <Relationship Id="rId147" Type="http://schemas.openxmlformats.org/officeDocument/2006/relationships/hyperlink" TargetMode="External" Target="https://www.e-tar.lt/portal/legalAct.html?documentId=5cfc7c50399211e99595d005d42b863e"/>
  <Relationship Id="rId148" Type="http://schemas.openxmlformats.org/officeDocument/2006/relationships/hyperlink" TargetMode="External" Target="https://www.e-tar.lt/portal/legalAct.html?documentId=5cfc7c50399211e99595d005d42b863e"/>
  <Relationship Id="rId149" Type="http://schemas.openxmlformats.org/officeDocument/2006/relationships/hyperlink" TargetMode="External" Target="https://www.e-tar.lt/portal/legalAct.html?documentId=5cfc7c50399211e99595d005d42b863e"/>
  <Relationship Id="rId150" Type="http://schemas.openxmlformats.org/officeDocument/2006/relationships/hyperlink" TargetMode="External" Target="https://www.e-tar.lt/portal/legalAct.html?documentId=5cfc7c50399211e99595d005d42b863e"/>
  <Relationship Id="rId151" Type="http://schemas.openxmlformats.org/officeDocument/2006/relationships/hyperlink" TargetMode="External" Target="https://www.e-tar.lt/portal/legalAct.html?documentId=5cfc7c50399211e99595d005d42b863e"/>
  <Relationship Id="rId152" Type="http://schemas.openxmlformats.org/officeDocument/2006/relationships/hyperlink" TargetMode="External" Target="https://www.e-tar.lt/portal/legalAct.html?documentId=9458f700a67d11e69ad4c8713b612d0f"/>
  <Relationship Id="rId153" Type="http://schemas.openxmlformats.org/officeDocument/2006/relationships/hyperlink" TargetMode="External" Target="https://www.e-tar.lt/portal/legalAct.html?documentId=5cfc7c50399211e99595d005d42b863e"/>
  <Relationship Id="rId154" Type="http://schemas.openxmlformats.org/officeDocument/2006/relationships/hyperlink" TargetMode="External" Target="https://www.e-tar.lt/portal/lt/legalAct/TAR.0C5C33AA865C"/>
  <Relationship Id="rId155" Type="http://schemas.openxmlformats.org/officeDocument/2006/relationships/hyperlink" TargetMode="External" Target="https://www.e-tar.lt/portal/lt/legalAct/TAR.7866845DACE5"/>
  <Relationship Id="rId156" Type="http://schemas.openxmlformats.org/officeDocument/2006/relationships/hyperlink" TargetMode="External" Target="https://www.e-tar.lt/portal/legalAct.html?documentId=5cfc7c50399211e99595d005d42b863e"/>
  <Relationship Id="rId157" Type="http://schemas.openxmlformats.org/officeDocument/2006/relationships/image" Target="media/image1.png"/>
  <Relationship Id="rId158" Type="http://schemas.openxmlformats.org/officeDocument/2006/relationships/header" Target="header1.xml"/>
  <Relationship Id="rId159" Type="http://schemas.openxmlformats.org/officeDocument/2006/relationships/header" Target="header2.xml"/>
  <Relationship Id="rId160" Type="http://schemas.openxmlformats.org/officeDocument/2006/relationships/footer" Target="footer1.xml"/>
  <Relationship Id="rId161" Type="http://schemas.openxmlformats.org/officeDocument/2006/relationships/footer" Target="footer2.xml"/>
  <Relationship Id="rId162" Type="http://schemas.openxmlformats.org/officeDocument/2006/relationships/header" Target="header3.xml"/>
  <Relationship Id="rId163" Type="http://schemas.openxmlformats.org/officeDocument/2006/relationships/footer" Target="footer3.xml"/>
  <Relationship Id="rId164" Type="http://schemas.openxmlformats.org/officeDocument/2006/relationships/fontTable" Target="fontTable.xml"/>
  <Relationship Id="rId165" Type="http://schemas.openxmlformats.org/officeDocument/2006/relationships/theme" Target="theme/theme1.xml"/>
  <Relationship Id="rId166" Type="http://schemas.openxmlformats.org/officeDocument/2006/relationships/customXml" Target="../customXml/item2.xml"/>
  <Relationship Id="rId2" Type="http://schemas.openxmlformats.org/officeDocument/2006/relationships/styles" Target="styles.xml"/>
  <Relationship Id="rId27" Type="http://schemas.openxmlformats.org/officeDocument/2006/relationships/hyperlink" TargetMode="External" Target="https://www.e-tar.lt/portal/legalAct.html?documentId=a0fd49109d0511e69ad4c8713b612d0f"/>
  <Relationship Id="rId28" Type="http://schemas.openxmlformats.org/officeDocument/2006/relationships/hyperlink" TargetMode="External" Target="https://www.e-tar.lt/portal/legalAct.html?documentId=TAR.DF90582EC212"/>
  <Relationship Id="rId29" Type="http://schemas.openxmlformats.org/officeDocument/2006/relationships/hyperlink" TargetMode="External" Target="https://www.e-tar.lt/portal/legalAct.html?documentId=a0fd49109d0511e69ad4c8713b612d0f"/>
  <Relationship Id="rId3" Type="http://schemas.openxmlformats.org/officeDocument/2006/relationships/settings" Target="settings.xml"/>
  <Relationship Id="rId30" Type="http://schemas.openxmlformats.org/officeDocument/2006/relationships/hyperlink" TargetMode="External" Target="https://www.e-tar.lt/portal/legalAct.html?documentId=31427ad000e311ed8fa7d02a65c371ad"/>
  <Relationship Id="rId31" Type="http://schemas.openxmlformats.org/officeDocument/2006/relationships/hyperlink" TargetMode="External" Target="https://www.e-tar.lt/portal/legalAct.html?documentId=31427ad000e311ed8fa7d02a65c371ad"/>
  <Relationship Id="rId32" Type="http://schemas.openxmlformats.org/officeDocument/2006/relationships/hyperlink" TargetMode="External" Target="https://www.e-tar.lt/portal/legalAct.html?documentId=18a57ad0399111e99595d005d42b863e"/>
  <Relationship Id="rId33" Type="http://schemas.openxmlformats.org/officeDocument/2006/relationships/hyperlink" TargetMode="External" Target="https://www.e-tar.lt/portal/legalAct.html?documentId=33f49d908f5611ea9515f752ff221ec9"/>
  <Relationship Id="rId34" Type="http://schemas.openxmlformats.org/officeDocument/2006/relationships/hyperlink" TargetMode="External" Target="https://www.e-tar.lt/portal/legalAct.html?documentId=5bc0a460bd2611eab9d9cd0c85e0b745"/>
  <Relationship Id="rId35" Type="http://schemas.openxmlformats.org/officeDocument/2006/relationships/hyperlink" TargetMode="External" Target="https://www.e-tar.lt/portal/legalAct.html?documentId=d6d5787021ca11f08fdabd4950271e2c"/>
  <Relationship Id="rId36" Type="http://schemas.openxmlformats.org/officeDocument/2006/relationships/hyperlink" TargetMode="External" Target="https://www.e-tar.lt/portal/legalAct.html?documentId=5bc0a460bd2611eab9d9cd0c85e0b745"/>
  <Relationship Id="rId37" Type="http://schemas.openxmlformats.org/officeDocument/2006/relationships/hyperlink" TargetMode="External" Target="https://www.e-tar.lt/portal/legalAct.html?documentId=31d1c3d04c2f11f0b070ee7f1ceefc75"/>
  <Relationship Id="rId38" Type="http://schemas.openxmlformats.org/officeDocument/2006/relationships/hyperlink" TargetMode="External" Target="https://www.e-tar.lt/portal/legalAct.html?documentId=8c6e9de03aa111efbdaea558de59136c"/>
  <Relationship Id="rId39" Type="http://schemas.openxmlformats.org/officeDocument/2006/relationships/hyperlink" TargetMode="External" Target="https://www.e-tar.lt/portal/legalAct.html?documentId=31427ad000e311ed8fa7d02a65c371ad"/>
  <Relationship Id="rId4" Type="http://schemas.openxmlformats.org/officeDocument/2006/relationships/webSettings" Target="webSettings.xml"/>
  <Relationship Id="rId40" Type="http://schemas.openxmlformats.org/officeDocument/2006/relationships/hyperlink" TargetMode="External" Target="http://www3.lrs.lt/cgi-bin/preps2?a=427222&amp;b="/>
  <Relationship Id="rId41" Type="http://schemas.openxmlformats.org/officeDocument/2006/relationships/hyperlink" TargetMode="External" Target="https://www.e-tar.lt/portal/legalAct.html?documentId=4f41331043b411ec992fe4cdfceb5666"/>
  <Relationship Id="rId42" Type="http://schemas.openxmlformats.org/officeDocument/2006/relationships/hyperlink" TargetMode="External" Target="https://www.e-tar.lt/portal/legalAct.html?documentId=40beed50051411e9a5eaf2cd290f1944"/>
  <Relationship Id="rId43" Type="http://schemas.openxmlformats.org/officeDocument/2006/relationships/hyperlink" TargetMode="External" Target="https://www.e-tar.lt/portal/legalAct.html?documentId=5cfc7c50399211e99595d005d42b863e"/>
  <Relationship Id="rId44" Type="http://schemas.openxmlformats.org/officeDocument/2006/relationships/hyperlink" TargetMode="External" Target="https://www.e-tar.lt/portal/legalAct.html?documentId=f32ecd80828711ed8df094f359a60216"/>
  <Relationship Id="rId45" Type="http://schemas.openxmlformats.org/officeDocument/2006/relationships/hyperlink" TargetMode="External" Target="https://www.e-tar.lt/portal/legalAct.html?documentId=5cfc7c50399211e99595d005d42b863e"/>
  <Relationship Id="rId46" Type="http://schemas.openxmlformats.org/officeDocument/2006/relationships/hyperlink" TargetMode="External" Target="https://www.e-tar.lt/portal/legalAct.html?documentId=5cfc7c50399211e99595d005d42b863e"/>
  <Relationship Id="rId47" Type="http://schemas.openxmlformats.org/officeDocument/2006/relationships/hyperlink" TargetMode="External" Target="https://www.e-tar.lt/portal/legalAct.html?documentId=5cfc7c50399211e99595d005d42b863e"/>
  <Relationship Id="rId48" Type="http://schemas.openxmlformats.org/officeDocument/2006/relationships/hyperlink" TargetMode="External" Target="https://www.e-tar.lt/portal/legalAct.html?documentId=45182880cad711e7910a89ac20768b0f"/>
  <Relationship Id="rId49" Type="http://schemas.openxmlformats.org/officeDocument/2006/relationships/hyperlink" TargetMode="External" Target="https://www.e-tar.lt/portal/legalAct.html?documentId=45182880cad711e7910a89ac20768b0f"/>
  <Relationship Id="rId5" Type="http://schemas.openxmlformats.org/officeDocument/2006/relationships/footnotes" Target="footnotes.xml"/>
  <Relationship Id="rId50" Type="http://schemas.openxmlformats.org/officeDocument/2006/relationships/hyperlink" TargetMode="External" Target="https://www.e-tar.lt/portal/legalAct.html?documentId=45182880cad711e7910a89ac20768b0f"/>
  <Relationship Id="rId51" Type="http://schemas.openxmlformats.org/officeDocument/2006/relationships/hyperlink" TargetMode="External" Target="https://www.e-tar.lt/portal/legalAct.html?documentId=5cfc7c50399211e99595d005d42b863e"/>
  <Relationship Id="rId52" Type="http://schemas.openxmlformats.org/officeDocument/2006/relationships/hyperlink" TargetMode="External" Target="http://www3.lrs.lt/cgi-bin/preps2?a=427222&amp;b="/>
  <Relationship Id="rId53" Type="http://schemas.openxmlformats.org/officeDocument/2006/relationships/hyperlink" TargetMode="External" Target="https://www.e-tar.lt/portal/legalAct.html?documentId=45182880cad711e7910a89ac20768b0f"/>
  <Relationship Id="rId54" Type="http://schemas.openxmlformats.org/officeDocument/2006/relationships/hyperlink" TargetMode="External" Target="https://www.e-tar.lt/portal/legalAct.html?documentId=5cfc7c50399211e99595d005d42b863e"/>
  <Relationship Id="rId55" Type="http://schemas.openxmlformats.org/officeDocument/2006/relationships/hyperlink" TargetMode="External" Target="http://www3.lrs.lt/cgi-bin/preps2?a=427222&amp;b="/>
  <Relationship Id="rId56" Type="http://schemas.openxmlformats.org/officeDocument/2006/relationships/hyperlink" TargetMode="External" Target="https://www.e-tar.lt/portal/legalAct.html?documentId=40beed50051411e9a5eaf2cd290f1944"/>
  <Relationship Id="rId57" Type="http://schemas.openxmlformats.org/officeDocument/2006/relationships/hyperlink" TargetMode="External" Target="https://www.e-tar.lt/portal/legalAct.html?documentId=45182880cad711e7910a89ac20768b0f"/>
  <Relationship Id="rId58" Type="http://schemas.openxmlformats.org/officeDocument/2006/relationships/hyperlink" TargetMode="External" Target="https://www.e-tar.lt/portal/legalAct.html?documentId=45182880cad711e7910a89ac20768b0f"/>
  <Relationship Id="rId59" Type="http://schemas.openxmlformats.org/officeDocument/2006/relationships/hyperlink" TargetMode="External" Target="https://www.e-tar.lt/portal/legalAct.html?documentId=5cfc7c50399211e99595d005d42b863e"/>
  <Relationship Id="rId6" Type="http://schemas.openxmlformats.org/officeDocument/2006/relationships/endnotes" Target="endnotes.xml"/>
  <Relationship Id="rId60" Type="http://schemas.openxmlformats.org/officeDocument/2006/relationships/hyperlink" TargetMode="External" Target="https://www.e-tar.lt/portal/legalAct.html?documentId=5cfc7c50399211e99595d005d42b863e"/>
  <Relationship Id="rId61" Type="http://schemas.openxmlformats.org/officeDocument/2006/relationships/hyperlink" TargetMode="External" Target="https://www.e-tar.lt/portal/legalAct.html?documentId=5cfc7c50399211e99595d005d42b863e"/>
  <Relationship Id="rId62" Type="http://schemas.openxmlformats.org/officeDocument/2006/relationships/hyperlink" TargetMode="External" Target="https://www.e-tar.lt/portal/legalAct.html?documentId=5cfc7c50399211e99595d005d42b863e"/>
  <Relationship Id="rId63" Type="http://schemas.openxmlformats.org/officeDocument/2006/relationships/hyperlink" TargetMode="External" Target="https://www.e-tar.lt/portal/legalAct.html?documentId=9458f700a67d11e69ad4c8713b612d0f"/>
  <Relationship Id="rId64" Type="http://schemas.openxmlformats.org/officeDocument/2006/relationships/hyperlink" TargetMode="External" Target="https://www.e-tar.lt/portal/legalAct.html?documentId=f0f9a990cfeb11eba2bad9a0748ee64d"/>
  <Relationship Id="rId65" Type="http://schemas.openxmlformats.org/officeDocument/2006/relationships/hyperlink" TargetMode="External" Target="https://www.e-tar.lt/portal/legalAct.html?documentId=96f454443bcb11f0b070ee7f1ceefc75"/>
  <Relationship Id="rId66" Type="http://schemas.openxmlformats.org/officeDocument/2006/relationships/hyperlink" TargetMode="External" Target="https://www.e-tar.lt/portal/legalAct.html?documentId=f0f9a990cfeb11eba2bad9a0748ee64d"/>
  <Relationship Id="rId67" Type="http://schemas.openxmlformats.org/officeDocument/2006/relationships/hyperlink" TargetMode="External" Target="https://www.e-tar.lt/portal/legalAct.html?documentId=0a0b893064b011e8acbae39398545bed"/>
  <Relationship Id="rId68" Type="http://schemas.openxmlformats.org/officeDocument/2006/relationships/hyperlink" TargetMode="External" Target="https://www.e-tar.lt/portal/legalAct.html?documentId=f0f9a990cfeb11eba2bad9a0748ee64d"/>
  <Relationship Id="rId69" Type="http://schemas.openxmlformats.org/officeDocument/2006/relationships/hyperlink" TargetMode="External" Target="https://www.e-tar.lt/portal/legalAct.html?documentId=f0f9a990cfeb11eba2bad9a0748ee64d"/>
  <Relationship Id="rId7" Type="http://schemas.openxmlformats.org/officeDocument/2006/relationships/hyperlink" TargetMode="External" Target="https://www.e-tar.lt/portal/legalAct.html?documentId=39d4d540eb1a11ed9978886e85107ab2"/>
  <Relationship Id="rId70" Type="http://schemas.openxmlformats.org/officeDocument/2006/relationships/hyperlink" TargetMode="External" Target="https://www.e-tar.lt/portal/legalAct.html?documentId=303f8940dbc311eead77e967e3995264"/>
  <Relationship Id="rId72" Type="http://schemas.openxmlformats.org/officeDocument/2006/relationships/hyperlink" TargetMode="External" Target="https://www.e-tar.lt/portal/legalAct.html?documentId=31427ad000e311ed8fa7d02a65c371ad"/>
  <Relationship Id="rId73" Type="http://schemas.openxmlformats.org/officeDocument/2006/relationships/hyperlink" TargetMode="External" Target="https://www.e-tar.lt/portal/legalAct.html?documentId=31427ad000e311ed8fa7d02a65c371ad"/>
  <Relationship Id="rId74" Type="http://schemas.openxmlformats.org/officeDocument/2006/relationships/hyperlink" TargetMode="External" Target="https://www.e-tar.lt/portal/legalAct.html?documentId=5cfc7c50399211e99595d005d42b863e"/>
  <Relationship Id="rId75" Type="http://schemas.openxmlformats.org/officeDocument/2006/relationships/hyperlink" TargetMode="External" Target="https://www.e-tar.lt/portal/legalAct.html?documentId=40beed50051411e9a5eaf2cd290f1944"/>
  <Relationship Id="rId76" Type="http://schemas.openxmlformats.org/officeDocument/2006/relationships/hyperlink" TargetMode="External" Target="https://www.e-tar.lt/portal/legalAct.html?documentId=40beed50051411e9a5eaf2cd290f1944"/>
  <Relationship Id="rId77" Type="http://schemas.openxmlformats.org/officeDocument/2006/relationships/hyperlink" TargetMode="External" Target="https://www.e-tar.lt/portal/legalAct.html?documentId=40beed50051411e9a5eaf2cd290f1944"/>
  <Relationship Id="rId78" Type="http://schemas.openxmlformats.org/officeDocument/2006/relationships/hyperlink" TargetMode="External" Target="https://www.e-tar.lt/portal/legalAct.html?documentId=45182880cad711e7910a89ac20768b0f"/>
  <Relationship Id="rId79" Type="http://schemas.openxmlformats.org/officeDocument/2006/relationships/hyperlink" TargetMode="External" Target="https://www.e-tar.lt/portal/legalAct.html?documentId=5cfc7c50399211e99595d005d42b863e"/>
  <Relationship Id="rId8" Type="http://schemas.openxmlformats.org/officeDocument/2006/relationships/hyperlink" TargetMode="External" Target="https://www.e-tar.lt/portal/legalAct.html?documentId=40beed50051411e9a5eaf2cd290f1944"/>
  <Relationship Id="rId80" Type="http://schemas.openxmlformats.org/officeDocument/2006/relationships/hyperlink" TargetMode="External" Target="https://www.e-tar.lt/portal/legalAct.html?documentId=40beed50051411e9a5eaf2cd290f1944"/>
  <Relationship Id="rId81" Type="http://schemas.openxmlformats.org/officeDocument/2006/relationships/hyperlink" TargetMode="External" Target="https://www.e-tar.lt/portal/legalAct.html?documentId=40beed50051411e9a5eaf2cd290f1944"/>
  <Relationship Id="rId82" Type="http://schemas.openxmlformats.org/officeDocument/2006/relationships/hyperlink" TargetMode="External" Target="https://www.e-tar.lt/portal/legalAct.html?documentId=40beed50051411e9a5eaf2cd290f1944"/>
  <Relationship Id="rId83" Type="http://schemas.openxmlformats.org/officeDocument/2006/relationships/hyperlink" TargetMode="External" Target="https://www.e-tar.lt/portal/legalAct.html?documentId=45182880cad711e7910a89ac20768b0f"/>
  <Relationship Id="rId84" Type="http://schemas.openxmlformats.org/officeDocument/2006/relationships/hyperlink" TargetMode="External" Target="https://www.e-tar.lt/portal/legalAct.html?documentId=40beed50051411e9a5eaf2cd290f1944"/>
  <Relationship Id="rId85" Type="http://schemas.openxmlformats.org/officeDocument/2006/relationships/hyperlink" TargetMode="External" Target="https://www.e-tar.lt/portal/legalAct.html?documentId=40beed50051411e9a5eaf2cd290f1944"/>
  <Relationship Id="rId86" Type="http://schemas.openxmlformats.org/officeDocument/2006/relationships/hyperlink" TargetMode="External" Target="https://www.e-tar.lt/portal/legalAct.html?documentId=40beed50051411e9a5eaf2cd290f1944"/>
  <Relationship Id="rId88" Type="http://schemas.openxmlformats.org/officeDocument/2006/relationships/hyperlink" TargetMode="External" Target="https://www.e-tar.lt/portal/legalAct.html?documentId=5cfc7c50399211e99595d005d42b863e"/>
  <Relationship Id="rId89" Type="http://schemas.openxmlformats.org/officeDocument/2006/relationships/hyperlink" TargetMode="External" Target="http://www3.lrs.lt/cgi-bin/preps2?a=427222&amp;b="/>
  <Relationship Id="rId9" Type="http://schemas.openxmlformats.org/officeDocument/2006/relationships/hyperlink" TargetMode="External" Target="https://www.e-tar.lt/portal/legalAct.html?documentId=9bd78a80903811e4bb408baba2bdddf3"/>
  <Relationship Id="rId90" Type="http://schemas.openxmlformats.org/officeDocument/2006/relationships/hyperlink" TargetMode="External" Target="https://www.e-tar.lt/portal/legalAct.html?documentId=5cfc7c50399211e99595d005d42b863e"/>
  <Relationship Id="rId91" Type="http://schemas.openxmlformats.org/officeDocument/2006/relationships/hyperlink" TargetMode="External" Target="https://www.e-tar.lt/portal/legalAct.html?documentId=5bc0a460bd2611eab9d9cd0c85e0b745"/>
  <Relationship Id="rId92" Type="http://schemas.openxmlformats.org/officeDocument/2006/relationships/hyperlink" TargetMode="External" Target="https://www.e-tar.lt/portal/legalAct.html?documentId=5cfc7c50399211e99595d005d42b863e"/>
  <Relationship Id="rId93" Type="http://schemas.openxmlformats.org/officeDocument/2006/relationships/hyperlink" TargetMode="External" Target="https://www.e-tar.lt/portal/legalAct.html?documentId=5cfc7c50399211e99595d005d42b863e"/>
  <Relationship Id="rId94" Type="http://schemas.openxmlformats.org/officeDocument/2006/relationships/hyperlink" TargetMode="External" Target="https://www.e-tar.lt/portal/legalAct.html?documentId=5cfc7c50399211e99595d005d42b863e"/>
  <Relationship Id="rId95" Type="http://schemas.openxmlformats.org/officeDocument/2006/relationships/hyperlink" TargetMode="External" Target="https://www.e-tar.lt/portal/legalAct.html?documentId=31427ad000e311ed8fa7d02a65c371ad"/>
  <Relationship Id="rId96" Type="http://schemas.openxmlformats.org/officeDocument/2006/relationships/hyperlink" TargetMode="External" Target="https://www.e-tar.lt/portal/legalAct.html?documentId=d6d5787021ca11f08fdabd4950271e2c"/>
  <Relationship Id="rId97" Type="http://schemas.openxmlformats.org/officeDocument/2006/relationships/hyperlink" TargetMode="External" Target="https://www.e-tar.lt/portal/legalAct.html?documentId=5cfc7c50399211e99595d005d42b863e"/>
  <Relationship Id="rId98" Type="http://schemas.openxmlformats.org/officeDocument/2006/relationships/hyperlink" TargetMode="External" Target="https://www.e-tar.lt/portal/legalAct.html?documentId=31427ad000e311ed8fa7d02a65c371ad"/>
  <Relationship Id="rId99" Type="http://schemas.openxmlformats.org/officeDocument/2006/relationships/hyperlink" TargetMode="External" Target="http://www3.lrs.lt/cgi-bin/preps2?a=427222&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2ce29c9706614307abc5ca4e69ef095b" PartId="9a0ec30f9f324b43b006e3a977784343"/>
  <Part Type="lentele" DocPartId="fbf473266b13489b9a4fefabf74e27ec" PartId="8b81f2285a5e4ac5ab9b56f485f71f97">
    <Part Type="pabaiga" DocPartId="b9ea0ad66f914bd0ac1017ee040af539" PartId="2133e3f6465f4fada782b1273947e8a5"/>
  </Part>
</Parts>
</file>

<file path=customXml/itemProps1.xml><?xml version="1.0" encoding="utf-8"?>
<ds:datastoreItem xmlns:ds="http://schemas.openxmlformats.org/officeDocument/2006/customXml" ds:itemID="{059EEDEA-9FF3-4043-8E31-DE34904A575A}">
  <ds:schemaRefs>
    <ds:schemaRef ds:uri="http://schemas.openxmlformats.org/officeDocument/2006/bibliography"/>
  </ds:schemaRefs>
</ds:datastoreItem>
</file>

<file path=customXml/itemProps2.xml><?xml version="1.0" encoding="utf-8"?>
<ds:datastoreItem xmlns:ds="http://schemas.openxmlformats.org/officeDocument/2006/customXml" ds:itemID="{F27BBEC4-9E42-4701-B51F-D0268248649F}">
  <ds:schemaRefs>
    <ds:schemaRef ds:uri="http://lrs.lt/TAIS/DocParts"/>
  </ds:schemaRefs>
</ds:datastoreItem>
</file>

<file path=docMetadata/LabelInfo.xml><?xml version="1.0" encoding="utf-8"?>
<clbl:labelList xmlns:clbl="http://schemas.microsoft.com/office/2020/mipLabelMetadata">
  <clbl:label id="{25d43cbe-1d34-4aee-b177-a8008a220178}" enabled="1" method="Privileged" siteId="{e54289c6-b630-4215-acc5-57eec01212d6}"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146353</Words>
  <Characters>1044968</Characters>
  <Application>Microsoft Office Word</Application>
  <DocSecurity>4</DocSecurity>
  <Lines>24880</Lines>
  <Paragraphs>8632</Paragraphs>
  <ScaleCrop>false</ScaleCrop>
  <Company/>
  <LinksUpToDate>false</LinksUpToDate>
  <CharactersWithSpaces>1182689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2026-07-10T05:33:00Z</dcterms:created>
  <dc:creator>Silvija Čibirienė</dc:creator>
  <lastModifiedBy>adlibuser</lastModifiedBy>
  <dcterms:modified xsi:type="dcterms:W3CDTF">2026-07-10T05:33:00Z</dcterms:modified>
  <revision>2</revision>
</coreProperties>
</file>