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93fe2c51dc1403d8844d59591587366"/>
        <w:lock w:val="sdtLocked"/>
        <w:richText/>
      </w:sdtPr>
      <w:sdtContent>
        <w:p>
          <w:pPr>
            <w:suppressAutoHyphens/>
            <w:jc w:val="center"/>
            <w:rPr>
              <w:rFonts w:eastAsia="Arial Unicode MS"/>
              <w:b/>
              <w:bCs/>
              <w:szCs w:val="24"/>
              <w:lang w:eastAsia="lt-LT"/>
            </w:rPr>
          </w:pPr>
          <w:r>
            <w:rPr>
              <w:rFonts w:eastAsia="Arial Unicode MS"/>
              <w:b/>
              <w:bCs/>
              <w:caps/>
              <w:szCs w:val="24"/>
              <w:lang w:eastAsia="lt-LT"/>
            </w:rPr>
            <w:t>Direktyvos</w:t>
          </w:r>
          <w:r>
            <w:rPr>
              <w:rFonts w:eastAsia="Arial Unicode MS"/>
              <w:b/>
              <w:bCs/>
              <w:szCs w:val="24"/>
              <w:lang w:eastAsia="lt-LT"/>
            </w:rPr>
            <w:t xml:space="preserve"> </w:t>
          </w:r>
          <w:fldSimple w:instr="HYPERLINK http://eur-lex.europa.eu/legal-content/LIT/TXT/?uri=CELEX:32024L3237&amp;locale=lt \t _blank">
            <w:r>
              <w:rPr>
                <w:rFonts w:eastAsia="Arial Unicode MS"/>
                <w:b/>
                <w:bCs/>
                <w:szCs w:val="24"/>
                <w:lang w:eastAsia="lt-LT"/>
                <w:u w:val="single"/>
                <w:color w:val="0000FF" w:themeColor="hyperlink"/>
              </w:rPr>
              <w:t>(ES) 2024/3237</w:t>
            </w:r>
          </w:fldSimple>
          <w:r>
            <w:rPr>
              <w:rFonts w:eastAsia="Arial Unicode MS"/>
              <w:b/>
              <w:bCs/>
              <w:szCs w:val="24"/>
              <w:lang w:eastAsia="lt-LT"/>
            </w:rPr>
            <w:t xml:space="preserve"> IR LIETUVOS RESPUBLIKOS </w:t>
          </w:r>
          <w:r>
            <w:rPr>
              <w:rFonts w:eastAsia="Arial Unicode MS"/>
              <w:b/>
              <w:szCs w:val="24"/>
              <w:lang w:eastAsia="lt-LT"/>
            </w:rPr>
            <w:t xml:space="preserve">ADMINISTRACINIŲ NUSIŽENGIMŲ REGISTRO </w:t>
          </w:r>
          <w:r>
            <w:rPr>
              <w:rFonts w:eastAsia="Calibri"/>
              <w:b/>
              <w:bCs/>
              <w:caps/>
              <w:szCs w:val="24"/>
              <w:lang w:eastAsia="lt-LT"/>
            </w:rPr>
            <w:t xml:space="preserve">įstatymo </w:t>
          </w:r>
          <w:r>
            <w:rPr>
              <w:rFonts w:eastAsia="Arial Unicode MS"/>
              <w:b/>
              <w:szCs w:val="24"/>
              <w:lang w:eastAsia="lt-LT"/>
            </w:rPr>
            <w:t xml:space="preserve">NR. </w:t>
          </w:r>
          <w:r>
            <w:rPr>
              <w:rFonts w:eastAsia="Arial Unicode MS"/>
              <w:b/>
              <w:bCs/>
              <w:szCs w:val="24"/>
              <w:lang w:eastAsia="lt-LT"/>
            </w:rPr>
            <w:t>XII-603</w:t>
          </w:r>
          <w:r>
            <w:rPr>
              <w:rFonts w:eastAsia="Arial Unicode MS"/>
              <w:b/>
              <w:szCs w:val="24"/>
              <w:lang w:eastAsia="lt-LT"/>
            </w:rPr>
            <w:t xml:space="preserve"> PAKEITIMO</w:t>
          </w:r>
          <w:r>
            <w:rPr>
              <w:rFonts w:eastAsia="Arial Unicode MS"/>
              <w:b/>
              <w:bCs/>
              <w:szCs w:val="24"/>
              <w:lang w:eastAsia="lt-LT"/>
            </w:rPr>
            <w:t xml:space="preserve"> </w:t>
          </w:r>
          <w:r>
            <w:rPr>
              <w:rFonts w:eastAsia="Calibri"/>
              <w:b/>
              <w:bCs/>
              <w:caps/>
              <w:szCs w:val="24"/>
              <w:lang w:eastAsia="lt-LT"/>
            </w:rPr>
            <w:t>įstatymo</w:t>
          </w:r>
          <w:r>
            <w:rPr>
              <w:rFonts w:eastAsia="Arial Unicode MS"/>
              <w:b/>
              <w:bCs/>
              <w:szCs w:val="24"/>
              <w:lang w:eastAsia="lt-LT"/>
            </w:rPr>
            <w:t xml:space="preserve"> PROJEKTO ATITIKTIES LENTELĖ</w:t>
          </w:r>
        </w:p>
        <w:p>
          <w:pPr>
            <w:widowControl w:val="0"/>
            <w:suppressAutoHyphens/>
            <w:jc w:val="center"/>
            <w:rPr>
              <w:rFonts w:eastAsia="Arial Unicode MS"/>
              <w:b/>
              <w:bCs/>
              <w:szCs w:val="24"/>
              <w:lang w:eastAsia="lt-LT"/>
            </w:rPr>
          </w:pPr>
        </w:p>
        <w:p>
          <w:pPr>
            <w:rPr>
              <w:sz w:val="10"/>
              <w:szCs w:val="10"/>
            </w:rPr>
          </w:pPr>
        </w:p>
        <w:tbl>
          <w:tblPr>
            <w:tblW w:w="50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5" w:type="dxa"/>
              <w:left w:w="55" w:type="dxa"/>
              <w:bottom w:w="55" w:type="dxa"/>
              <w:right w:w="55" w:type="dxa"/>
            </w:tblCellMar>
            <w:tblLook w:val="0000" w:firstRow="0" w:lastRow="0" w:firstColumn="0" w:lastColumn="0" w:noHBand="0" w:noVBand="0"/>
          </w:tblPr>
          <w:tblGrid>
            <w:gridCol w:w="5303"/>
            <w:gridCol w:w="7622"/>
            <w:gridCol w:w="1670"/>
          </w:tblGrid>
          <w:tr>
            <w:trPr>
              <w:trHeight w:val="114"/>
            </w:trPr>
            <w:tc>
              <w:tcPr>
                <w:tcW w:w="1817" w:type="pct"/>
              </w:tcPr>
              <w:p>
                <w:pPr>
                  <w:widowControl w:val="0"/>
                  <w:suppressAutoHyphens/>
                  <w:ind w:right="42"/>
                  <w:jc w:val="both"/>
                  <w:rPr>
                    <w:b/>
                    <w:bCs/>
                    <w:szCs w:val="24"/>
                    <w:lang w:eastAsia="ar-SA"/>
                  </w:rPr>
                </w:pPr>
                <w:r>
                  <w:rPr>
                    <w:rFonts w:eastAsia="Arial Unicode MS"/>
                    <w:b/>
                    <w:bCs/>
                    <w:szCs w:val="24"/>
                    <w:lang w:eastAsia="lt-LT"/>
                  </w:rPr>
                  <w:t xml:space="preserve">2024 m. gruodžio 19 d. Europos Parlamento ir Tarybos direktyva </w:t>
                </w:r>
                <w:fldSimple w:instr="HYPERLINK http://eur-lex.europa.eu/legal-content/LIT/TXT/?uri=CELEX:32024L3237&amp;locale=lt \t _blank">
                  <w:r>
                    <w:rPr>
                      <w:rFonts w:eastAsia="Arial Unicode MS"/>
                      <w:b/>
                      <w:bCs/>
                      <w:szCs w:val="24"/>
                      <w:lang w:eastAsia="lt-LT"/>
                      <w:u w:val="single"/>
                      <w:color w:val="0000FF" w:themeColor="hyperlink"/>
                    </w:rPr>
                    <w:t>(ES) 2024/3237</w:t>
                  </w:r>
                </w:fldSimple>
                <w:r>
                  <w:rPr>
                    <w:rFonts w:eastAsia="Arial Unicode MS"/>
                    <w:b/>
                    <w:bCs/>
                    <w:szCs w:val="24"/>
                    <w:lang w:eastAsia="lt-LT"/>
                  </w:rPr>
                  <w:t xml:space="preserve">, kuria iš dalies keičiama Direktyva </w:t>
                </w:r>
                <w:fldSimple w:instr="HYPERLINK http://eur-lex.europa.eu/legal-content/LIT/TXT/?uri=CELEX:32015L0413&amp;locale=lt \t _blank">
                  <w:r>
                    <w:rPr>
                      <w:rFonts w:eastAsia="Arial Unicode MS"/>
                      <w:b/>
                      <w:bCs/>
                      <w:szCs w:val="24"/>
                      <w:lang w:eastAsia="lt-LT"/>
                      <w:u w:val="single"/>
                      <w:color w:val="0000FF" w:themeColor="hyperlink"/>
                    </w:rPr>
                    <w:t>(ES) 2015/413</w:t>
                  </w:r>
                </w:fldSimple>
                <w:r>
                  <w:rPr>
                    <w:rFonts w:eastAsia="Arial Unicode MS"/>
                    <w:b/>
                    <w:bCs/>
                    <w:szCs w:val="24"/>
                    <w:lang w:eastAsia="lt-LT"/>
                  </w:rPr>
                  <w:t>, kuria sudaromos palankesnės sąlygos keistis informacija tarpvalstybiniu lygmeniu apie kelių eismo saugumo taisyklių pažeidimus</w:t>
                </w:r>
              </w:p>
            </w:tc>
            <w:tc>
              <w:tcPr>
                <w:tcW w:w="2611" w:type="pct"/>
              </w:tcPr>
              <w:p>
                <w:pPr>
                  <w:widowControl w:val="0"/>
                  <w:suppressAutoHyphens/>
                  <w:ind w:left="135"/>
                  <w:jc w:val="both"/>
                  <w:rPr>
                    <w:rFonts w:eastAsia="Arial Unicode MS"/>
                    <w:b/>
                    <w:szCs w:val="24"/>
                    <w:lang w:eastAsia="lt-LT"/>
                  </w:rPr>
                </w:pPr>
                <w:r>
                  <w:rPr>
                    <w:rFonts w:eastAsia="Arial Unicode MS"/>
                    <w:b/>
                    <w:bCs/>
                    <w:color w:val="000000"/>
                    <w:szCs w:val="24"/>
                    <w:lang w:eastAsia="lt-LT"/>
                  </w:rPr>
                  <w:t xml:space="preserve">Lietuvos Respublikos </w:t>
                </w:r>
                <w:r>
                  <w:rPr>
                    <w:rFonts w:eastAsia="Arial Unicode MS"/>
                    <w:b/>
                    <w:bCs/>
                    <w:szCs w:val="24"/>
                    <w:lang w:eastAsia="lt-LT"/>
                  </w:rPr>
                  <w:t>administracinių nusižengimų registro įstatymo Nr. XII-603 pakeitimo įstatymo</w:t>
                </w:r>
                <w:r>
                  <w:rPr>
                    <w:rFonts w:eastAsia="Arial Unicode MS"/>
                    <w:szCs w:val="24"/>
                    <w:lang w:eastAsia="lt-LT"/>
                  </w:rPr>
                  <w:t xml:space="preserve"> </w:t>
                </w:r>
                <w:r>
                  <w:rPr>
                    <w:rFonts w:eastAsia="Arial Unicode MS"/>
                    <w:b/>
                    <w:szCs w:val="24"/>
                    <w:lang w:eastAsia="lt-LT"/>
                  </w:rPr>
                  <w:t xml:space="preserve">projektas </w:t>
                </w:r>
              </w:p>
            </w:tc>
            <w:tc>
              <w:tcPr>
                <w:tcW w:w="572" w:type="pct"/>
              </w:tcPr>
              <w:p>
                <w:pPr>
                  <w:widowControl w:val="0"/>
                  <w:suppressAutoHyphens/>
                  <w:ind w:left="135"/>
                  <w:jc w:val="both"/>
                  <w:rPr>
                    <w:rFonts w:eastAsia="Arial Unicode MS"/>
                    <w:b/>
                    <w:bCs/>
                    <w:color w:val="000000"/>
                    <w:szCs w:val="24"/>
                    <w:lang w:eastAsia="lt-LT"/>
                  </w:rPr>
                </w:pPr>
                <w:r>
                  <w:rPr>
                    <w:rFonts w:eastAsia="Arial Unicode MS"/>
                    <w:b/>
                    <w:bCs/>
                    <w:color w:val="000000"/>
                    <w:szCs w:val="24"/>
                    <w:lang w:eastAsia="lt-LT"/>
                  </w:rPr>
                  <w:t>Direktyvos perkėlimo ir įgyvendinimo lygis</w:t>
                </w:r>
              </w:p>
            </w:tc>
          </w:tr>
          <w:tr>
            <w:trPr>
              <w:trHeight w:val="1361"/>
            </w:trPr>
            <w:tc>
              <w:tcPr>
                <w:tcW w:w="1817" w:type="pct"/>
              </w:tcPr>
              <w:p>
                <w:pPr>
                  <w:widowControl w:val="0"/>
                  <w:suppressAutoHyphens/>
                  <w:jc w:val="both"/>
                  <w:rPr>
                    <w:rFonts w:eastAsia="Arial Unicode MS"/>
                    <w:b/>
                    <w:bCs/>
                    <w:i/>
                    <w:iCs/>
                    <w:color w:val="000000"/>
                    <w:szCs w:val="24"/>
                    <w:shd w:val="clear" w:color="auto" w:fill="FFFFFF"/>
                    <w:lang w:eastAsia="lt-LT"/>
                  </w:rPr>
                </w:pPr>
                <w:r>
                  <w:rPr>
                    <w:rFonts w:eastAsia="Arial Unicode MS"/>
                    <w:b/>
                    <w:bCs/>
                    <w:i/>
                    <w:iCs/>
                    <w:color w:val="000000"/>
                    <w:szCs w:val="24"/>
                    <w:shd w:val="clear" w:color="auto" w:fill="FFFFFF"/>
                    <w:lang w:eastAsia="lt-LT"/>
                  </w:rPr>
                  <w:t>1 straipsnis</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&lt;...&gt;</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 xml:space="preserve">2) 1 straipsnis pakeičiamas taip: </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„1 straipsnis. Tikslas</w:t>
                </w:r>
              </w:p>
              <w:p>
                <w:pPr>
                  <w:widowControl w:val="0"/>
                  <w:suppressAutoHyphens/>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Šia direktyva siekiama užtikrinti visų eismo dalyvių aukšto lygio apsaugą Sąjungoje, sudarant palankesnes sąlygas keistis informacija tarp valstybių apie kelių eismo saugumo taisyklių pažeidimus ir sudarant palankesnes sąlygas sankcijų, kai tie pažeidimai padaromi kitoje valstybėje narėje nei pažeidimo vietos valstybė narė registruota transporto priemone, vykdymui užtikrinti.“;</w:t>
                </w:r>
              </w:p>
              <w:p>
                <w:pPr>
                  <w:widowControl w:val="0"/>
                  <w:suppressAutoHyphens/>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&lt;...&gt;</w:t>
                </w:r>
              </w:p>
            </w:tc>
            <w:tc>
              <w:tcPr>
                <w:tcW w:w="2611" w:type="pct"/>
              </w:tcPr>
              <w:p>
                <w:pPr>
                  <w:widowControl w:val="0"/>
                  <w:suppressAutoHyphens/>
                  <w:jc w:val="both"/>
                  <w:rPr>
                    <w:rFonts w:eastAsia="Arial Unicode MS"/>
                    <w:b/>
                    <w:szCs w:val="24"/>
                    <w:lang w:eastAsia="lt-LT"/>
                  </w:rPr>
                </w:pPr>
                <w:r>
                  <w:rPr>
                    <w:rFonts w:eastAsia="Arial Unicode MS"/>
                    <w:b/>
                    <w:szCs w:val="24"/>
                    <w:lang w:eastAsia="lt-LT"/>
                  </w:rPr>
                  <w:t>2 straipsnis. Įstatymo įsigaliojimas ir įgyvendinimas</w:t>
                </w:r>
              </w:p>
              <w:p>
                <w:pPr>
                  <w:widowControl w:val="0"/>
                  <w:suppressAutoHyphens/>
                  <w:jc w:val="both"/>
                  <w:rPr>
                    <w:rFonts w:eastAsia="Arial Unicode MS"/>
                    <w:b/>
                    <w:szCs w:val="24"/>
                    <w:lang w:eastAsia="lt-LT"/>
                  </w:rPr>
                </w:pPr>
                <w:r>
                  <w:rPr>
                    <w:rFonts w:eastAsia="Arial Unicode MS"/>
                    <w:b/>
                    <w:szCs w:val="24"/>
                    <w:lang w:eastAsia="lt-LT"/>
                  </w:rPr>
                  <w:t>&lt;...&gt;</w:t>
                </w:r>
              </w:p>
              <w:p>
                <w:pPr>
                  <w:widowControl w:val="0"/>
                  <w:spacing w:line="276" w:lineRule="auto"/>
                  <w:jc w:val="both"/>
                  <w:rPr>
                    <w:rFonts w:eastAsia="Arial Unicode MS"/>
                    <w:b/>
                    <w:bCs/>
                    <w:szCs w:val="24"/>
                    <w:lang w:eastAsia="lt-LT"/>
                  </w:rPr>
                </w:pPr>
                <w:r>
                  <w:rPr>
                    <w:rFonts w:eastAsia="Arial Unicode MS"/>
                    <w:b/>
                    <w:bCs/>
                    <w:szCs w:val="24"/>
                    <w:lang w:eastAsia="lt-LT"/>
                  </w:rPr>
                  <w:t>1. Šis įstatymas, išskyrus šio straipsnio 3 dalį, įsigalioja 2027 m. sausio 1 d.</w:t>
                </w:r>
              </w:p>
              <w:p>
                <w:pPr>
                  <w:widowControl w:val="0"/>
                  <w:spacing w:line="276" w:lineRule="auto"/>
                  <w:jc w:val="both"/>
                  <w:rPr>
                    <w:b/>
                    <w:bCs/>
                    <w:szCs w:val="24"/>
                    <w:lang w:eastAsia="lt-LT"/>
                  </w:rPr>
                </w:pPr>
                <w:r>
                  <w:rPr>
                    <w:b/>
                    <w:bCs/>
                    <w:szCs w:val="24"/>
                    <w:lang w:eastAsia="lt-LT"/>
                  </w:rPr>
                  <w:t>2. 2027 m. liepos 20 d.:</w:t>
                </w:r>
              </w:p>
              <w:p>
                <w:pPr>
                  <w:widowControl w:val="0"/>
                  <w:suppressAutoHyphens/>
                  <w:spacing w:line="259" w:lineRule="auto"/>
                  <w:jc w:val="both"/>
                  <w:rPr>
                    <w:rFonts w:eastAsia="Arial Unicode MS"/>
                    <w:b/>
                    <w:bCs/>
                    <w:szCs w:val="24"/>
                    <w:lang w:eastAsia="lt-LT"/>
                  </w:rPr>
                </w:pPr>
                <w:r>
                  <w:rPr>
                    <w:rFonts w:eastAsia="Arial Unicode MS"/>
                    <w:b/>
                    <w:bCs/>
                    <w:szCs w:val="24"/>
                    <w:lang w:eastAsia="lt-LT"/>
                  </w:rPr>
                  <w:t>1) šio įstatymo 1 straipsnyje išdėstyto Lietuvos Respublikos administracinių nusižengimų registro įstatymo 1 straipsnis papildomas 3 dalimi:</w:t>
                </w:r>
              </w:p>
              <w:p>
                <w:pPr>
                  <w:widowControl w:val="0"/>
                  <w:suppressAutoHyphens/>
                  <w:jc w:val="both"/>
                  <w:rPr>
                    <w:rFonts w:eastAsia="Arial Unicode MS"/>
                    <w:b/>
                    <w:bCs/>
                    <w:szCs w:val="24"/>
                    <w:lang w:eastAsia="lt-LT"/>
                  </w:rPr>
                </w:pPr>
                <w:r>
                  <w:rPr>
                    <w:rFonts w:eastAsia="Arial Unicode MS"/>
                    <w:b/>
                    <w:bCs/>
                    <w:szCs w:val="24"/>
                    <w:lang w:eastAsia="lt-LT"/>
                  </w:rPr>
                  <w:t xml:space="preserve">„3. Šio įstatymo nuostatos suderintos su Europos Sąjungos teisės aktu, nurodytu šio įstatymo priede.“ </w:t>
                </w:r>
              </w:p>
              <w:p>
                <w:pPr>
                  <w:widowControl w:val="0"/>
                  <w:spacing w:line="276" w:lineRule="auto"/>
                  <w:jc w:val="both"/>
                  <w:rPr>
                    <w:b/>
                    <w:bCs/>
                    <w:szCs w:val="24"/>
                    <w:lang w:eastAsia="lt-LT"/>
                  </w:rPr>
                </w:pPr>
                <w:r>
                  <w:rPr>
                    <w:b/>
                    <w:bCs/>
                    <w:szCs w:val="24"/>
                    <w:lang w:eastAsia="lt-LT"/>
                  </w:rPr>
                  <w:t>2) įsigalioja tokia šio įstatymo 1 straipsnyje išdėstyto Lietuvos Respublikos administracinių nusižengimų registro įstatymo 2 straipsnio 2 dalies redakcija:</w:t>
                </w:r>
              </w:p>
              <w:p>
                <w:pPr>
                  <w:widowControl w:val="0"/>
                  <w:spacing w:line="276" w:lineRule="auto"/>
                  <w:jc w:val="both"/>
                  <w:rPr>
                    <w:b/>
                    <w:bCs/>
                    <w:szCs w:val="24"/>
                    <w:lang w:eastAsia="lt-LT"/>
                  </w:rPr>
                </w:pPr>
                <w:r>
                  <w:rPr>
                    <w:b/>
                    <w:bCs/>
                    <w:szCs w:val="24"/>
                    <w:lang w:eastAsia="lt-LT"/>
                  </w:rPr>
                  <w:t>„2. Registro objektai yra:</w:t>
                </w:r>
              </w:p>
              <w:p>
                <w:pPr>
                  <w:widowControl w:val="0"/>
                  <w:spacing w:line="276" w:lineRule="auto"/>
                  <w:jc w:val="both"/>
                  <w:rPr>
                    <w:b/>
                    <w:bCs/>
                    <w:szCs w:val="24"/>
                    <w:lang w:eastAsia="lt-LT"/>
                  </w:rPr>
                </w:pPr>
                <w:r>
                  <w:rPr>
                    <w:b/>
                    <w:bCs/>
                    <w:szCs w:val="24"/>
                    <w:lang w:eastAsia="lt-LT"/>
                  </w:rPr>
                  <w:t>1) Lietuvos Respublikos administracinių nusižengimų kodekso nustatyta tvarka užfiksuoti administraciniai nusižengimai;</w:t>
                </w:r>
              </w:p>
              <w:p>
                <w:pPr>
                  <w:widowControl w:val="0"/>
                  <w:spacing w:line="276" w:lineRule="auto"/>
                  <w:jc w:val="both"/>
                  <w:rPr>
                    <w:b/>
                    <w:bCs/>
                    <w:szCs w:val="24"/>
                    <w:lang w:eastAsia="lt-LT"/>
                  </w:rPr>
                </w:pPr>
                <w:r>
                  <w:rPr>
                    <w:b/>
                    <w:bCs/>
                    <w:szCs w:val="24"/>
                    <w:lang w:eastAsia="lt-LT"/>
                  </w:rPr>
                  <w:t xml:space="preserve">2) ūkio subjektų veiklą reglamentuojančių teisės aktų nustatyta tvarka užfiksuoti ūkio subjektų padaryti teisės aktų pažeidimai </w:t>
                </w:r>
                <w:r>
                  <w:rPr>
                    <w:rFonts w:eastAsia="Arial Unicode MS"/>
                    <w:b/>
                    <w:bCs/>
                    <w:szCs w:val="24"/>
                    <w:lang w:eastAsia="lt-LT"/>
                  </w:rPr>
                  <w:t>(toliau ˗ teisės pažeidimai)</w:t>
                </w:r>
                <w:r>
                  <w:rPr>
                    <w:b/>
                    <w:bCs/>
                    <w:szCs w:val="24"/>
                    <w:lang w:eastAsia="lt-LT"/>
                  </w:rPr>
                  <w:t xml:space="preserve">, už kuriuos </w:t>
                </w:r>
                <w:r>
                  <w:rPr>
                    <w:rFonts w:eastAsia="Arial Unicode MS"/>
                    <w:b/>
                    <w:bCs/>
                    <w:szCs w:val="24"/>
                    <w:lang w:eastAsia="lt-LT"/>
                  </w:rPr>
                  <w:t xml:space="preserve">ūkio subjektų veiklos </w:t>
                </w:r>
                <w:r>
                  <w:rPr>
                    <w:b/>
                    <w:bCs/>
                    <w:szCs w:val="24"/>
                    <w:lang w:eastAsia="lt-LT"/>
                  </w:rPr>
                  <w:t xml:space="preserve">priežiūrą </w:t>
                </w:r>
                <w:r>
                  <w:rPr>
                    <w:rFonts w:eastAsia="Arial Unicode MS"/>
                    <w:b/>
                    <w:bCs/>
                    <w:szCs w:val="24"/>
                    <w:lang w:eastAsia="lt-LT"/>
                  </w:rPr>
                  <w:t>atliekantys subjektai</w:t>
                </w:r>
                <w:r>
                  <w:rPr>
                    <w:b/>
                    <w:bCs/>
                    <w:szCs w:val="24"/>
                    <w:lang w:eastAsia="lt-LT"/>
                  </w:rPr>
                  <w:t xml:space="preserve"> skiria ūkio subjektams šiuose teisės aktuose nustatytas poveikio priemones;</w:t>
                </w:r>
              </w:p>
              <w:p>
                <w:pPr>
                  <w:widowControl w:val="0"/>
                  <w:spacing w:line="276" w:lineRule="auto"/>
                  <w:jc w:val="both"/>
                  <w:rPr>
                    <w:b/>
                    <w:bCs/>
                    <w:szCs w:val="24"/>
                    <w:lang w:eastAsia="lt-LT"/>
                  </w:rPr>
                </w:pPr>
                <w:r>
                  <w:rPr>
                    <w:b/>
                    <w:bCs/>
                    <w:szCs w:val="24"/>
                    <w:lang w:eastAsia="lt-LT"/>
                  </w:rPr>
                  <w:t xml:space="preserve">3) </w:t>
                </w:r>
                <w:r>
                  <w:rPr>
                    <w:rFonts w:eastAsia="Arial Unicode MS"/>
                    <w:b/>
                    <w:bCs/>
                    <w:szCs w:val="24"/>
                    <w:lang w:eastAsia="lt-LT"/>
                  </w:rPr>
                  <w:t xml:space="preserve">kitoje Europos Sąjungos valstybėje narėje ar Europos ekonominės erdvės valstybėje nustatyti kelių eismo saugumo taisyklių pažeidimai, kuriems taikoma 2015 m. kovo 11 d. Europos Parlamento ir Tarybos direktyva </w:t>
                </w:r>
                <w:fldSimple w:instr="HYPERLINK http://eur-lex.europa.eu/legal-content/LIT/TXT/?uri=CELEX:32015L0413&amp;locale=lt \t _blank">
                  <w:r>
                    <w:rPr>
                      <w:rFonts w:eastAsia="Arial Unicode MS"/>
                      <w:b/>
                      <w:bCs/>
                      <w:szCs w:val="24"/>
                      <w:lang w:eastAsia="lt-LT"/>
                      <w:u w:val="single"/>
                      <w:color w:val="0000FF" w:themeColor="hyperlink"/>
                    </w:rPr>
                    <w:t>(ES) 2015/413</w:t>
                  </w:r>
                </w:fldSimple>
                <w:r>
                  <w:rPr>
                    <w:rFonts w:eastAsia="Arial Unicode MS"/>
                    <w:b/>
                    <w:bCs/>
                    <w:szCs w:val="24"/>
                    <w:lang w:eastAsia="lt-LT"/>
                  </w:rPr>
                  <w:t xml:space="preserve">, kuria sudaromos palankesnės sąlygos keistis informacija tarpvalstybiniu lygmeniu apie kelių eismo saugumo taisyklių pažeidimus ir teikti su jais susijusią savitarpio pagalbą (toliau – kelių eismo saugumo taisyklių pažeidimai), ir kurių duomenys </w:t>
                </w:r>
                <w:r>
                  <w:rPr>
                    <w:rFonts w:eastAsia="SimSun"/>
                    <w:b/>
                    <w:bCs/>
                    <w:szCs w:val="24"/>
                    <w:lang w:eastAsia="lt-LT" w:bidi="hi-IN"/>
                  </w:rPr>
                  <w:t xml:space="preserve">gauti </w:t>
                </w:r>
                <w:r>
                  <w:rPr>
                    <w:rFonts w:eastAsia="Arial Unicode MS"/>
                    <w:b/>
                    <w:bCs/>
                    <w:szCs w:val="24"/>
                    <w:lang w:eastAsia="lt-LT"/>
                  </w:rPr>
                  <w:t>sprendimų dėl baudų, paskirtų už kelių eismo saugumo taisyklių pažeidimus, vykdymui užtikrinti</w:t>
                </w:r>
                <w:r>
                  <w:rPr>
                    <w:b/>
                    <w:bCs/>
                    <w:szCs w:val="24"/>
                    <w:lang w:eastAsia="lt-LT"/>
                  </w:rPr>
                  <w:t>.“;</w:t>
                </w:r>
              </w:p>
              <w:p>
                <w:pPr>
                  <w:widowControl w:val="0"/>
                  <w:suppressAutoHyphens/>
                  <w:spacing w:line="259" w:lineRule="auto"/>
                  <w:jc w:val="both"/>
                  <w:rPr>
                    <w:rFonts w:eastAsia="Arial Unicode MS"/>
                    <w:b/>
                    <w:bCs/>
                    <w:szCs w:val="24"/>
                    <w:lang w:eastAsia="lt-LT"/>
                  </w:rPr>
                </w:pPr>
                <w:r>
                  <w:rPr>
                    <w:rFonts w:eastAsia="Arial Unicode MS"/>
                    <w:b/>
                    <w:bCs/>
                    <w:szCs w:val="24"/>
                    <w:lang w:eastAsia="lt-LT"/>
                  </w:rPr>
                  <w:t>3) įsigalioja tokia šio įstatymo 1 straipsnyje išdėstyto Lietuvos Respublikos administracinių nusižengimų registro įstatymo 6 straipsnio 1 dalies redakcija:</w:t>
                </w:r>
              </w:p>
              <w:p>
                <w:pPr>
                  <w:widowControl w:val="0"/>
                  <w:spacing w:line="276" w:lineRule="auto"/>
                  <w:jc w:val="both"/>
                  <w:rPr>
                    <w:rFonts w:eastAsia="SimSun"/>
                    <w:bCs/>
                    <w:szCs w:val="24"/>
                    <w:lang w:eastAsia="lt-LT" w:bidi="hi-IN"/>
                  </w:rPr>
                </w:pPr>
                <w:r>
                  <w:rPr>
                    <w:rFonts w:eastAsia="Arial Unicode MS"/>
                    <w:b/>
                    <w:bCs/>
                    <w:szCs w:val="24"/>
                    <w:lang w:eastAsia="lt-LT"/>
                  </w:rPr>
                  <w:t>„1. Registro objektai registruojami užfiksavus administracinį nusižengimą ar teisės pažeidimą, ar gavus atitinkamos Europos Sąjungos valstybės narės ar Europos ekonominės erdvės valstybės kompetentingos institucijos sprendimą dėl baudos už kelių eismo saugumo taisyklių pažeidimą skyrimo su prašymu užtikrinti jo vykdymą.“;</w:t>
                </w:r>
              </w:p>
            </w:tc>
            <w:tc>
              <w:tcPr>
                <w:tcW w:w="572" w:type="pct"/>
              </w:tcPr>
              <w:p>
                <w:pPr>
                  <w:widowControl w:val="0"/>
                  <w:suppressAutoHyphens/>
                  <w:jc w:val="both"/>
                  <w:rPr>
                    <w:rFonts w:eastAsia="Arial Unicode MS"/>
                    <w:b/>
                    <w:szCs w:val="24"/>
                    <w:lang w:eastAsia="lt-LT"/>
                  </w:rPr>
                </w:pPr>
                <w:r>
                  <w:rPr>
                    <w:rFonts w:eastAsia="Arial Unicode MS"/>
                    <w:b/>
                    <w:szCs w:val="24"/>
                    <w:lang w:eastAsia="lt-LT"/>
                  </w:rPr>
                  <w:t>Dalinis</w:t>
                </w:r>
              </w:p>
              <w:p>
                <w:pPr>
                  <w:widowControl w:val="0"/>
                  <w:suppressAutoHyphens/>
                  <w:jc w:val="both"/>
                  <w:rPr>
                    <w:rFonts w:eastAsia="Arial Unicode MS"/>
                    <w:b/>
                    <w:szCs w:val="24"/>
                    <w:lang w:eastAsia="lt-LT"/>
                  </w:rPr>
                </w:pPr>
                <w:r>
                  <w:rPr>
                    <w:rFonts w:eastAsia="Arial Unicode MS"/>
                    <w:szCs w:val="24"/>
                    <w:lang w:eastAsia="lt-LT"/>
                  </w:rPr>
                  <w:t xml:space="preserve">Informatikos ir ryšių departamento prie Lietuvos Respublikos vidaus reikalų ministerijos direktoriaus </w:t>
                </w:r>
                <w:r>
                  <w:rPr>
                    <w:rFonts w:eastAsia="Arial Unicode MS"/>
                    <w:szCs w:val="24"/>
                    <w:shd w:val="clear" w:color="auto" w:fill="FFFFFF"/>
                    <w:lang w:eastAsia="lt-LT"/>
                  </w:rPr>
                  <w:t xml:space="preserve">įsakymu iki </w:t>
                </w:r>
                <w:r>
                  <w:rPr>
                    <w:rFonts w:eastAsia="Arial Unicode MS"/>
                    <w:szCs w:val="24"/>
                    <w:lang w:eastAsia="lt-LT"/>
                  </w:rPr>
                  <w:t xml:space="preserve">2027 m. liepos 20 d. </w:t>
                </w:r>
                <w:r>
                  <w:rPr>
                    <w:rFonts w:eastAsia="Arial Unicode MS"/>
                    <w:szCs w:val="24"/>
                    <w:shd w:val="clear" w:color="auto" w:fill="FFFFFF"/>
                    <w:lang w:eastAsia="lt-LT"/>
                  </w:rPr>
                  <w:t>bus keičiami Administracinių nusižengimų registro informacinės sistemos nuostatai.</w:t>
                </w:r>
              </w:p>
            </w:tc>
          </w:tr>
          <w:tr>
            <w:trPr>
              <w:trHeight w:val="4764"/>
            </w:trPr>
            <w:tc>
              <w:tcPr>
                <w:tcW w:w="1817" w:type="pct"/>
              </w:tcPr>
              <w:p>
                <w:pPr>
                  <w:widowControl w:val="0"/>
                  <w:suppressAutoHyphens/>
                  <w:jc w:val="both"/>
                  <w:rPr>
                    <w:rFonts w:eastAsia="Arial Unicode MS"/>
                    <w:b/>
                    <w:bCs/>
                    <w:i/>
                    <w:iCs/>
                    <w:color w:val="000000"/>
                    <w:szCs w:val="24"/>
                    <w:shd w:val="clear" w:color="auto" w:fill="FFFFFF"/>
                    <w:lang w:eastAsia="lt-LT"/>
                  </w:rPr>
                </w:pPr>
                <w:r>
                  <w:rPr>
                    <w:rFonts w:eastAsia="Arial Unicode MS"/>
                    <w:b/>
                    <w:bCs/>
                    <w:i/>
                    <w:iCs/>
                    <w:color w:val="000000"/>
                    <w:szCs w:val="24"/>
                    <w:shd w:val="clear" w:color="auto" w:fill="FFFFFF"/>
                    <w:lang w:eastAsia="lt-LT"/>
                  </w:rPr>
                  <w:t>2 straipsnis</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Perkėlimas į nacionalinę teisę</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1.   Valstybės narės užtikrina, kad įsigaliotų įstatymai ir kiti teisės aktai, būtini, kad šios direktyvos būtų laikomasi ne vėliau kaip 2027 m. liepos 20 d. Jos nedelsdamos pateikia Komisijai tų teisės aktų nuostatų tekstą.</w:t>
                </w:r>
              </w:p>
              <w:p>
                <w:pPr>
                  <w:widowControl w:val="0"/>
                  <w:suppressAutoHyphens/>
                  <w:jc w:val="both"/>
                  <w:rPr>
                    <w:rFonts w:eastAsia="Arial Unicode MS"/>
                    <w:b/>
                    <w:bCs/>
                    <w:color w:val="000000"/>
                    <w:szCs w:val="24"/>
                    <w:shd w:val="clear" w:color="auto" w:fill="FFFFFF"/>
                    <w:lang w:eastAsia="lt-LT"/>
                  </w:rPr>
                </w:pPr>
                <w:r>
                  <w:rPr>
                    <w:rFonts w:eastAsia="Arial Unicode MS"/>
                    <w:b/>
                    <w:bCs/>
                    <w:color w:val="000000"/>
                    <w:szCs w:val="24"/>
                    <w:shd w:val="clear" w:color="auto" w:fill="FFFFFF"/>
                    <w:lang w:eastAsia="lt-LT"/>
                  </w:rPr>
                  <w:t>Valstybės narės, priimdamos tas nuostatas, daro jose nuorodą į šią direktyvą arba tokia nuoroda daroma jas oficialiai skelbiant. Nuorodos darymo tvarką nustato valstybės narės.</w:t>
                </w:r>
              </w:p>
              <w:p>
                <w:pPr>
                  <w:widowControl w:val="0"/>
                  <w:suppressAutoHyphens/>
                  <w:jc w:val="both"/>
                  <w:rPr>
                    <w:rFonts w:eastAsia="Arial Unicode MS"/>
                    <w:b/>
                    <w:bCs/>
                    <w:color w:val="000000"/>
                    <w:szCs w:val="24"/>
                    <w:shd w:val="clear" w:color="auto" w:fill="FFFFFF"/>
                    <w:lang w:val="en-US" w:eastAsia="lt-LT"/>
                  </w:rPr>
                </w:pPr>
              </w:p>
            </w:tc>
            <w:tc>
              <w:tcPr>
                <w:tcW w:w="2611" w:type="pct"/>
              </w:tcPr>
              <w:p>
                <w:pPr>
                  <w:widowControl w:val="0"/>
                  <w:suppressAutoHyphens/>
                  <w:spacing w:line="259" w:lineRule="auto"/>
                  <w:jc w:val="both"/>
                  <w:rPr>
                    <w:rFonts w:eastAsia="Arial Unicode MS"/>
                    <w:b/>
                    <w:szCs w:val="24"/>
                    <w:lang w:eastAsia="lt-LT"/>
                  </w:rPr>
                </w:pPr>
                <w:r>
                  <w:rPr>
                    <w:rFonts w:eastAsia="Arial Unicode MS"/>
                    <w:b/>
                    <w:szCs w:val="24"/>
                    <w:lang w:eastAsia="lt-LT"/>
                  </w:rPr>
                  <w:t>2 straipsnis. Įstatymo įsigaliojimas ir įgyvendinimas</w:t>
                </w:r>
              </w:p>
              <w:p>
                <w:pPr>
                  <w:widowControl w:val="0"/>
                  <w:suppressAutoHyphens/>
                  <w:spacing w:line="259" w:lineRule="auto"/>
                  <w:jc w:val="both"/>
                  <w:rPr>
                    <w:rFonts w:eastAsia="Arial Unicode MS"/>
                    <w:szCs w:val="24"/>
                    <w:lang w:eastAsia="lt-LT"/>
                  </w:rPr>
                </w:pPr>
                <w:r>
                  <w:rPr>
                    <w:rFonts w:eastAsia="Arial Unicode MS"/>
                    <w:b/>
                    <w:szCs w:val="24"/>
                    <w:lang w:eastAsia="lt-LT"/>
                  </w:rPr>
                  <w:t>&lt;...&gt;</w:t>
                </w:r>
              </w:p>
              <w:p>
                <w:pPr>
                  <w:widowControl w:val="0"/>
                  <w:suppressAutoHyphens/>
                  <w:jc w:val="both"/>
                  <w:rPr>
                    <w:rFonts w:eastAsia="Arial Unicode MS"/>
                    <w:b/>
                    <w:szCs w:val="24"/>
                    <w:lang w:eastAsia="lt-LT"/>
                  </w:rPr>
                </w:pPr>
                <w:r>
                  <w:rPr>
                    <w:rFonts w:eastAsia="Arial Unicode MS"/>
                    <w:szCs w:val="24"/>
                    <w:lang w:eastAsia="lt-LT"/>
                  </w:rPr>
                  <w:t>„</w:t>
                </w:r>
                <w:r>
                  <w:rPr>
                    <w:rFonts w:eastAsia="Arial Unicode MS"/>
                    <w:b/>
                    <w:bCs/>
                    <w:szCs w:val="24"/>
                    <w:lang w:eastAsia="lt-LT"/>
                  </w:rPr>
                  <w:t>8 straipsnis. Įstatymo priedas</w:t>
                </w:r>
              </w:p>
              <w:p>
                <w:pPr>
                  <w:widowControl w:val="0"/>
                  <w:suppressAutoHyphens/>
                  <w:jc w:val="both"/>
                  <w:rPr>
                    <w:rFonts w:eastAsia="Arial Unicode MS"/>
                    <w:b/>
                    <w:szCs w:val="24"/>
                    <w:lang w:eastAsia="lt-LT"/>
                  </w:rPr>
                </w:pPr>
                <w:r>
                  <w:rPr>
                    <w:rFonts w:eastAsia="Arial Unicode MS"/>
                    <w:b/>
                    <w:szCs w:val="24"/>
                    <w:lang w:eastAsia="lt-LT"/>
                  </w:rPr>
                  <w:t xml:space="preserve">Lietuvos Respublikos </w:t>
                </w:r>
              </w:p>
              <w:p>
                <w:pPr>
                  <w:widowControl w:val="0"/>
                  <w:suppressAutoHyphens/>
                  <w:jc w:val="both"/>
                  <w:rPr>
                    <w:rFonts w:eastAsia="Arial Unicode MS"/>
                    <w:b/>
                    <w:szCs w:val="24"/>
                    <w:lang w:eastAsia="lt-LT"/>
                  </w:rPr>
                </w:pPr>
                <w:r>
                  <w:rPr>
                    <w:rFonts w:eastAsia="Arial Unicode MS"/>
                    <w:b/>
                    <w:szCs w:val="24"/>
                    <w:lang w:eastAsia="lt-LT"/>
                  </w:rPr>
                  <w:t>administracinių nusižengimų</w:t>
                </w:r>
              </w:p>
              <w:p>
                <w:pPr>
                  <w:widowControl w:val="0"/>
                  <w:suppressAutoHyphens/>
                  <w:jc w:val="both"/>
                  <w:rPr>
                    <w:rFonts w:eastAsia="Arial Unicode MS"/>
                    <w:b/>
                    <w:szCs w:val="24"/>
                    <w:lang w:eastAsia="lt-LT"/>
                  </w:rPr>
                </w:pPr>
                <w:r>
                  <w:rPr>
                    <w:rFonts w:eastAsia="Arial Unicode MS"/>
                    <w:b/>
                    <w:szCs w:val="24"/>
                    <w:lang w:eastAsia="lt-LT"/>
                  </w:rPr>
                  <w:t>registro įstatymo</w:t>
                </w:r>
              </w:p>
              <w:p>
                <w:pPr>
                  <w:widowControl w:val="0"/>
                  <w:suppressAutoHyphens/>
                  <w:jc w:val="both"/>
                  <w:rPr>
                    <w:rFonts w:eastAsia="Arial Unicode MS"/>
                    <w:b/>
                    <w:szCs w:val="24"/>
                    <w:lang w:eastAsia="lt-LT"/>
                  </w:rPr>
                </w:pPr>
                <w:r>
                  <w:rPr>
                    <w:rFonts w:eastAsia="Arial Unicode MS"/>
                    <w:b/>
                    <w:szCs w:val="24"/>
                    <w:lang w:eastAsia="lt-LT"/>
                  </w:rPr>
                  <w:t>priedas</w:t>
                </w:r>
              </w:p>
              <w:p>
                <w:pPr>
                  <w:widowControl w:val="0"/>
                  <w:suppressAutoHyphens/>
                  <w:jc w:val="both"/>
                  <w:rPr>
                    <w:rFonts w:eastAsia="Arial Unicode MS"/>
                    <w:b/>
                    <w:szCs w:val="24"/>
                    <w:lang w:eastAsia="lt-LT"/>
                  </w:rPr>
                </w:pPr>
              </w:p>
              <w:p>
                <w:pPr>
                  <w:widowControl w:val="0"/>
                  <w:suppressAutoHyphens/>
                  <w:jc w:val="both"/>
                  <w:rPr>
                    <w:rFonts w:eastAsia="Arial Unicode MS"/>
                    <w:b/>
                    <w:szCs w:val="24"/>
                    <w:lang w:eastAsia="lt-LT"/>
                  </w:rPr>
                </w:pPr>
              </w:p>
              <w:p>
                <w:pPr>
                  <w:widowControl w:val="0"/>
                  <w:suppressAutoHyphens/>
                  <w:jc w:val="both"/>
                  <w:rPr>
                    <w:rFonts w:eastAsia="Arial Unicode MS"/>
                    <w:b/>
                    <w:szCs w:val="24"/>
                    <w:lang w:eastAsia="lt-LT"/>
                  </w:rPr>
                </w:pPr>
                <w:r>
                  <w:rPr>
                    <w:rFonts w:eastAsia="Arial Unicode MS"/>
                    <w:b/>
                    <w:szCs w:val="24"/>
                    <w:lang w:eastAsia="lt-LT"/>
                  </w:rPr>
                  <w:t>ĮGYVENDINAMI EUROPOS SĄJUNGOS TEISĖS AKTAI</w:t>
                </w:r>
              </w:p>
              <w:p>
                <w:pPr>
                  <w:widowControl w:val="0"/>
                  <w:suppressAutoHyphens/>
                  <w:jc w:val="both"/>
                  <w:rPr>
                    <w:rFonts w:eastAsia="Arial Unicode MS"/>
                    <w:b/>
                    <w:szCs w:val="24"/>
                    <w:lang w:eastAsia="lt-LT"/>
                  </w:rPr>
                </w:pPr>
              </w:p>
              <w:p>
                <w:pPr>
                  <w:widowControl w:val="0"/>
                  <w:suppressAutoHyphens/>
                  <w:jc w:val="both"/>
                  <w:rPr>
                    <w:rFonts w:eastAsia="Arial Unicode MS"/>
                    <w:b/>
                    <w:szCs w:val="24"/>
                    <w:lang w:eastAsia="lt-LT"/>
                  </w:rPr>
                </w:pPr>
                <w:r>
                  <w:rPr>
                    <w:rFonts w:eastAsia="Arial Unicode MS"/>
                    <w:b/>
                    <w:szCs w:val="24"/>
                    <w:lang w:eastAsia="lt-LT"/>
                  </w:rPr>
                  <w:t xml:space="preserve">2024 m. gruodžio 19 d. Europos Parlamento ir Tarybos direktyva </w:t>
                </w:r>
                <w:fldSimple w:instr="HYPERLINK http://eur-lex.europa.eu/legal-content/LIT/TXT/?uri=CELEX:32024L3237&amp;locale=lt \t _blank">
                  <w:r>
                    <w:rPr>
                      <w:rFonts w:eastAsia="Arial Unicode MS"/>
                      <w:b/>
                      <w:szCs w:val="24"/>
                      <w:lang w:eastAsia="lt-LT"/>
                      <w:u w:val="single"/>
                      <w:color w:val="0000FF" w:themeColor="hyperlink"/>
                    </w:rPr>
                    <w:t>(ES) 2024/3237</w:t>
                  </w:r>
                </w:fldSimple>
                <w:r>
                  <w:rPr>
                    <w:rFonts w:eastAsia="Arial Unicode MS"/>
                    <w:b/>
                    <w:szCs w:val="24"/>
                    <w:lang w:eastAsia="lt-LT"/>
                  </w:rPr>
                  <w:t xml:space="preserve">, kuria iš dalies keičiama Direktyva </w:t>
                </w:r>
                <w:fldSimple w:instr="HYPERLINK http://eur-lex.europa.eu/legal-content/LIT/TXT/?uri=CELEX:32015L0413&amp;locale=lt \t _blank">
                  <w:r>
                    <w:rPr>
                      <w:rFonts w:eastAsia="Arial Unicode MS"/>
                      <w:b/>
                      <w:szCs w:val="24"/>
                      <w:lang w:eastAsia="lt-LT"/>
                      <w:u w:val="single"/>
                      <w:color w:val="0000FF" w:themeColor="hyperlink"/>
                    </w:rPr>
                    <w:t>(ES) 2015/413</w:t>
                  </w:r>
                </w:fldSimple>
                <w:r>
                  <w:rPr>
                    <w:rFonts w:eastAsia="Arial Unicode MS"/>
                    <w:b/>
                    <w:szCs w:val="24"/>
                    <w:lang w:eastAsia="lt-LT"/>
                  </w:rPr>
                  <w:t>, kuria sudaromos palankesnės sąlygos keistis informacija tarpvalstybiniu lygmeniu apie kelių eismo saugumo taisyklių pažeidimus.“</w:t>
                </w:r>
              </w:p>
              <w:p>
                <w:pPr>
                  <w:widowControl w:val="0"/>
                  <w:suppressAutoHyphens/>
                  <w:jc w:val="both"/>
                  <w:rPr>
                    <w:rFonts w:eastAsia="Arial Unicode MS"/>
                    <w:b/>
                    <w:szCs w:val="24"/>
                    <w:lang w:eastAsia="lt-LT"/>
                  </w:rPr>
                </w:pPr>
              </w:p>
            </w:tc>
            <w:tc>
              <w:tcPr>
                <w:tcW w:w="572" w:type="pct"/>
              </w:tcPr>
              <w:p>
                <w:pPr>
                  <w:widowControl w:val="0"/>
                  <w:suppressAutoHyphens/>
                  <w:jc w:val="both"/>
                  <w:rPr>
                    <w:rFonts w:eastAsia="Arial Unicode MS"/>
                    <w:b/>
                    <w:szCs w:val="24"/>
                    <w:lang w:eastAsia="lt-LT"/>
                  </w:rPr>
                </w:pPr>
              </w:p>
            </w:tc>
          </w:tr>
        </w:tbl>
        <w:sdt>
          <w:sdtPr>
            <w:alias w:val="pabaiga"/>
            <w:tag w:val="part_79396b58cd9f4d39b3e8f844eb08d8f5"/>
            <w:lock w:val="sdtLocked"/>
            <w:richText/>
          </w:sdtPr>
          <w:sdtContent>
            <w:p>
              <w:pPr>
                <w:widowControl w:val="0"/>
                <w:suppressAutoHyphens/>
                <w:jc w:val="center"/>
                <w:rPr>
                  <w:rFonts w:eastAsia="Arial Unicode MS"/>
                  <w:szCs w:val="24"/>
                  <w:lang w:eastAsia="lt-LT"/>
                </w:rPr>
              </w:pPr>
              <w:r>
                <w:rPr>
                  <w:rFonts w:eastAsia="Arial Unicode MS"/>
                  <w:szCs w:val="24"/>
                  <w:lang w:eastAsia="lt-LT"/>
                </w:rPr>
                <w:t>_________________</w:t>
              </w:r>
            </w:p>
          </w:sdtContent>
        </w:sdt>
      </w:sdtContent>
    </w:sdt>
    <w:sectPr>
      <w:pgSz w:w="16838" w:h="11906" w:orient="landscape"/>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989C05-31A5-4B05-8481-A25CAA1076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6377021">
      <w:bodyDiv w:val="1"/>
      <w:marLeft w:val="0"/>
      <w:marRight w:val="0"/>
      <w:marTop w:val="0"/>
      <w:marBottom w:val="0"/>
      <w:divBdr>
        <w:top w:val="none" w:sz="0" w:space="0" w:color="auto"/>
        <w:left w:val="none" w:sz="0" w:space="0" w:color="auto"/>
        <w:bottom w:val="none" w:sz="0" w:space="0" w:color="auto"/>
        <w:right w:val="none" w:sz="0" w:space="0" w:color="auto"/>
      </w:divBdr>
    </w:div>
    <w:div w:id="355740232">
      <w:bodyDiv w:val="1"/>
      <w:marLeft w:val="0"/>
      <w:marRight w:val="0"/>
      <w:marTop w:val="0"/>
      <w:marBottom w:val="0"/>
      <w:divBdr>
        <w:top w:val="none" w:sz="0" w:space="0" w:color="auto"/>
        <w:left w:val="none" w:sz="0" w:space="0" w:color="auto"/>
        <w:bottom w:val="none" w:sz="0" w:space="0" w:color="auto"/>
        <w:right w:val="none" w:sz="0" w:space="0" w:color="auto"/>
      </w:divBdr>
    </w:div>
    <w:div w:id="973677778">
      <w:bodyDiv w:val="1"/>
      <w:marLeft w:val="0"/>
      <w:marRight w:val="0"/>
      <w:marTop w:val="0"/>
      <w:marBottom w:val="0"/>
      <w:divBdr>
        <w:top w:val="none" w:sz="0" w:space="0" w:color="auto"/>
        <w:left w:val="none" w:sz="0" w:space="0" w:color="auto"/>
        <w:bottom w:val="none" w:sz="0" w:space="0" w:color="auto"/>
        <w:right w:val="none" w:sz="0" w:space="0" w:color="auto"/>
      </w:divBdr>
    </w:div>
    <w:div w:id="1021979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fc1fa11ab69b44c58b59a67214c61423" PartId="e93fe2c51dc1403d8844d59591587366">
    <Part Type="pabaiga" DocPartId="5ad5064e58d549f2a7123c8ec172fb78" PartId="79396b58cd9f4d39b3e8f844eb08d8f5"/>
  </Part>
</Parts>
</file>

<file path=customXml/itemProps1.xml><?xml version="1.0" encoding="utf-8"?>
<ds:datastoreItem xmlns:ds="http://schemas.openxmlformats.org/officeDocument/2006/customXml" ds:itemID="{3581C5BE-DE38-404D-B201-CF5CD5B56C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535</Words>
  <Characters>3731</Characters>
  <Application>Microsoft Office Word</Application>
  <DocSecurity>4</DocSecurity>
  <Lines>116</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2026-07-03T07:28:00Z</dcterms:created>
  <dc:creator>Janina Gudonė</dc:creator>
  <lastModifiedBy>adlibuser</lastModifiedBy>
  <dcterms:modified xsi:type="dcterms:W3CDTF">2026-07-03T07:28:00Z</dcterms:modified>
  <revision>2</revision>
</coreProperties>
</file>