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de19c0dfb7f401d9768c4ebd388ab4d"/>
        <w:lock w:val="sdtLocked"/>
        <w:richText/>
      </w:sdtPr>
      <w:sdtContent>
        <w:p>
          <w:pPr>
            <w:ind w:left="7230"/>
            <w:rPr>
              <w:b/>
              <w:szCs w:val="24"/>
            </w:rPr>
          </w:pPr>
          <w:r>
            <w:rPr>
              <w:b/>
              <w:szCs w:val="24"/>
            </w:rPr>
            <w:t xml:space="preserve">Projekto </w:t>
          </w:r>
        </w:p>
        <w:p>
          <w:pPr>
            <w:ind w:left="7230"/>
            <w:rPr>
              <w:b/>
              <w:szCs w:val="24"/>
            </w:rPr>
          </w:pPr>
          <w:r>
            <w:rPr>
              <w:b/>
              <w:szCs w:val="24"/>
            </w:rPr>
            <w:t xml:space="preserve">lyginamasis variantas                                  </w:t>
          </w:r>
        </w:p>
        <w:p>
          <w:pPr>
            <w:tabs>
              <w:tab w:val="center" w:pos="4819"/>
              <w:tab w:val="right" w:pos="9638"/>
            </w:tabs>
            <w:jc w:val="right"/>
            <w:rPr>
              <w:kern w:val="2"/>
              <w:szCs w:val="24"/>
              <w:lang w:val="en-US"/>
            </w:rPr>
          </w:pPr>
        </w:p>
        <w:p>
          <w:pPr>
            <w:rPr>
              <w:sz w:val="8"/>
              <w:szCs w:val="8"/>
            </w:rPr>
          </w:pPr>
        </w:p>
      </w:sdtContent>
    </w:sdt>
    <w:sdt>
      <w:sdtPr>
        <w:alias w:val="patvirtinta"/>
        <w:tag w:val="part_e2e637e472e34150b0af7ee2ffdf0fe5"/>
        <w:lock w:val="sdtLocked"/>
        <w:richText/>
      </w:sdtPr>
      <w:sdtContent>
        <w:p>
          <w:pPr>
            <w:tabs>
              <w:tab w:val="center" w:pos="4819"/>
              <w:tab w:val="right" w:pos="9638"/>
            </w:tabs>
            <w:ind w:left="5812"/>
            <w:rPr>
              <w:kern w:val="2"/>
              <w:szCs w:val="24"/>
            </w:rPr>
          </w:pPr>
          <w:r>
            <w:rPr>
              <w:kern w:val="2"/>
              <w:szCs w:val="24"/>
            </w:rPr>
            <w:t>PATVIRTINTA</w:t>
          </w:r>
        </w:p>
        <w:p>
          <w:pPr>
            <w:tabs>
              <w:tab w:val="center" w:pos="4819"/>
              <w:tab w:val="right" w:pos="9638"/>
            </w:tabs>
            <w:ind w:left="5812"/>
            <w:rPr>
              <w:kern w:val="2"/>
              <w:szCs w:val="24"/>
            </w:rPr>
          </w:pPr>
          <w:r>
            <w:rPr>
              <w:kern w:val="2"/>
              <w:szCs w:val="24"/>
            </w:rPr>
            <w:t>Šiaulių miesto savivaldybės tarybos</w:t>
          </w:r>
        </w:p>
        <w:p>
          <w:pPr>
            <w:tabs>
              <w:tab w:val="center" w:pos="4819"/>
              <w:tab w:val="right" w:pos="9638"/>
            </w:tabs>
            <w:ind w:left="5812"/>
            <w:rPr>
              <w:b/>
              <w:bCs/>
              <w:kern w:val="2"/>
              <w:szCs w:val="24"/>
            </w:rPr>
          </w:pPr>
          <w:r>
            <w:rPr>
              <w:kern w:val="2"/>
              <w:szCs w:val="24"/>
            </w:rPr>
            <w:t xml:space="preserve">2024 m. birželio 6 d. sprendimu Nr. T-215                                                                                                        </w:t>
          </w:r>
        </w:p>
        <w:sdt>
          <w:sdtPr>
            <w:alias w:val="Pavadinimas"/>
            <w:tag w:val="title_e2e637e472e34150b0af7ee2ffdf0fe5"/>
            <w:lock w:val="sdtLocked"/>
            <w:richText/>
          </w:sdtPr>
          <w:sdtContent>
            <w:p>
              <w:pPr>
                <w:tabs>
                  <w:tab w:val="left" w:pos="5245"/>
                </w:tabs>
                <w:ind w:firstLine="6014"/>
                <w:jc w:val="both"/>
                <w:rPr>
                  <w:kern w:val="2"/>
                  <w:szCs w:val="24"/>
                </w:rPr>
              </w:pPr>
              <w:r>
                <w:rPr>
                  <w:b/>
                  <w:bCs/>
                  <w:szCs w:val="24"/>
                </w:rPr>
                <w:t xml:space="preserve">(Šiaulių miesto savivaldybės tarybos                   </w:t>
              </w:r>
            </w:p>
            <w:p>
              <w:pPr>
                <w:tabs>
                  <w:tab w:val="left" w:pos="5245"/>
                </w:tabs>
                <w:ind w:firstLine="6076"/>
                <w:jc w:val="both"/>
                <w:rPr>
                  <w:b/>
                  <w:bCs/>
                  <w:szCs w:val="24"/>
                </w:rPr>
              </w:pPr>
              <w:r>
                <w:rPr>
                  <w:b/>
                  <w:bCs/>
                  <w:szCs w:val="24"/>
                </w:rPr>
                <w:t xml:space="preserve">2025 m. vasario    d. sprendimo Nr. T- </w:t>
              </w:r>
            </w:p>
            <w:p>
              <w:pPr>
                <w:ind w:firstLine="2976"/>
                <w:jc w:val="center"/>
                <w:rPr>
                  <w:b/>
                  <w:szCs w:val="24"/>
                  <w:lang w:eastAsia="lt-LT"/>
                </w:rPr>
              </w:pPr>
              <w:r>
                <w:rPr>
                  <w:b/>
                  <w:bCs/>
                  <w:szCs w:val="24"/>
                </w:rPr>
                <w:t>redakcija)</w:t>
              </w:r>
            </w:p>
          </w:sdtContent>
        </w:sdt>
        <w:p>
          <w:pPr>
            <w:jc w:val="center"/>
            <w:rPr>
              <w:b/>
              <w:szCs w:val="24"/>
              <w:lang w:eastAsia="lt-LT"/>
            </w:rPr>
          </w:pPr>
        </w:p>
        <w:sdt>
          <w:sdtPr>
            <w:alias w:val="lentele"/>
            <w:tag w:val="part_33086675c15d4bc38fb3e5371f3a59af"/>
            <w:lock w:val="sdtLocked"/>
            <w:richText/>
          </w:sdtPr>
          <w:sdtContent>
            <w:sdt>
              <w:sdtPr>
                <w:alias w:val="Pavadinimas"/>
                <w:tag w:val="title_33086675c15d4bc38fb3e5371f3a59af"/>
                <w:lock w:val="sdtLocked"/>
                <w:richText/>
              </w:sdtPr>
              <w:sdtContent>
                <w:p>
                  <w:pPr>
                    <w:jc w:val="center"/>
                    <w:rPr>
                      <w:b/>
                      <w:szCs w:val="24"/>
                      <w:lang w:eastAsia="lt-LT"/>
                    </w:rPr>
                  </w:pPr>
                  <w:r>
                    <w:rPr>
                      <w:b/>
                      <w:szCs w:val="24"/>
                      <w:lang w:eastAsia="lt-LT"/>
                    </w:rPr>
                    <w:t xml:space="preserve">ŠIAULIŲ DAILĖS GALERIJOS </w:t>
                  </w:r>
                </w:p>
                <w:p>
                  <w:pPr>
                    <w:jc w:val="center"/>
                    <w:rPr>
                      <w:szCs w:val="24"/>
                      <w:lang w:eastAsia="lt-LT"/>
                    </w:rPr>
                  </w:pPr>
                  <w:r>
                    <w:rPr>
                      <w:b/>
                      <w:szCs w:val="24"/>
                      <w:lang w:eastAsia="lt-LT"/>
                    </w:rPr>
                    <w:t xml:space="preserve">TEIKIAMŲ ATLYGINTINŲ PASLAUGŲ SĄRAŠAS </w:t>
                  </w:r>
                </w:p>
              </w:sdtContent>
            </w:sdt>
            <w:p>
              <w:pPr>
                <w:rPr>
                  <w:szCs w:val="24"/>
                  <w:lang w:eastAsia="lt-LT"/>
                </w:rPr>
              </w:pPr>
            </w:p>
            <w:tbl>
              <w:tblPr>
                <w:tblW w:w="9921" w:type="dxa"/>
                <w:tblInd w:w="-3" w:type="dxa"/>
                <w:tblLayout w:type="fixed"/>
                <w:tblCellMar>
                  <w:left w:w="0" w:type="dxa"/>
                  <w:right w:w="0" w:type="dxa"/>
                </w:tblCellMar>
                <w:tblLook w:val="0000" w:firstRow="0" w:lastRow="0" w:firstColumn="0" w:lastColumn="0" w:noHBand="0" w:noVBand="0"/>
              </w:tblPr>
              <w:tblGrid>
                <w:gridCol w:w="717"/>
                <w:gridCol w:w="5103"/>
                <w:gridCol w:w="1549"/>
                <w:gridCol w:w="10"/>
                <w:gridCol w:w="2542"/>
              </w:tblGrid>
              <w:tr>
                <w:trPr>
                  <w:trHeight w:val="375"/>
                </w:trPr>
                <w:tc>
                  <w:tcPr>
                    <w:tcW w:w="717" w:type="dxa"/>
                    <w:tcBorders>
                      <w:top w:val="single" w:sz="4" w:space="0" w:color="000000"/>
                      <w:left w:val="single" w:sz="4" w:space="0" w:color="000000"/>
                    </w:tcBorders>
                  </w:tcPr>
                  <w:p>
                    <w:pPr>
                      <w:suppressAutoHyphens/>
                      <w:snapToGrid w:val="0"/>
                      <w:jc w:val="center"/>
                      <w:rPr>
                        <w:bCs/>
                        <w:szCs w:val="24"/>
                        <w:lang w:eastAsia="ar-SA"/>
                      </w:rPr>
                    </w:pPr>
                    <w:r>
                      <w:rPr>
                        <w:bCs/>
                        <w:szCs w:val="24"/>
                        <w:lang w:eastAsia="ar-SA"/>
                      </w:rPr>
                      <w:t>Eil. Nr.</w:t>
                    </w:r>
                  </w:p>
                </w:tc>
                <w:tc>
                  <w:tcPr>
                    <w:tcW w:w="5103" w:type="dxa"/>
                    <w:tcBorders>
                      <w:top w:val="single" w:sz="4" w:space="0" w:color="000000"/>
                      <w:left w:val="single" w:sz="4" w:space="0" w:color="000000"/>
                    </w:tcBorders>
                  </w:tcPr>
                  <w:p>
                    <w:pPr>
                      <w:suppressAutoHyphens/>
                      <w:snapToGrid w:val="0"/>
                      <w:ind w:firstLine="62"/>
                      <w:rPr>
                        <w:szCs w:val="24"/>
                        <w:lang w:eastAsia="ar-SA"/>
                      </w:rPr>
                    </w:pPr>
                    <w:r>
                      <w:rPr>
                        <w:szCs w:val="24"/>
                        <w:lang w:eastAsia="ar-SA"/>
                      </w:rPr>
                      <w:t>Pavadinimas</w:t>
                    </w:r>
                  </w:p>
                </w:tc>
                <w:tc>
                  <w:tcPr>
                    <w:tcW w:w="1559" w:type="dxa"/>
                    <w:gridSpan w:val="2"/>
                    <w:tcBorders>
                      <w:top w:val="single" w:sz="4" w:space="0" w:color="000000"/>
                      <w:left w:val="single" w:sz="4" w:space="0" w:color="000000"/>
                    </w:tcBorders>
                  </w:tcPr>
                  <w:p>
                    <w:pPr>
                      <w:suppressAutoHyphens/>
                      <w:snapToGrid w:val="0"/>
                      <w:jc w:val="center"/>
                      <w:rPr>
                        <w:szCs w:val="24"/>
                        <w:lang w:eastAsia="ar-SA"/>
                      </w:rPr>
                    </w:pPr>
                    <w:r>
                      <w:rPr>
                        <w:szCs w:val="24"/>
                        <w:lang w:eastAsia="ar-SA"/>
                      </w:rPr>
                      <w:t>Mato vnt.</w:t>
                    </w:r>
                  </w:p>
                </w:tc>
                <w:tc>
                  <w:tcPr>
                    <w:tcW w:w="2542" w:type="dxa"/>
                    <w:tcBorders>
                      <w:top w:val="single" w:sz="4" w:space="0" w:color="000000"/>
                      <w:left w:val="single" w:sz="4" w:space="0" w:color="000000"/>
                      <w:right w:val="single" w:sz="4" w:space="0" w:color="000000"/>
                    </w:tcBorders>
                  </w:tcPr>
                  <w:p>
                    <w:pPr>
                      <w:suppressAutoHyphens/>
                      <w:snapToGrid w:val="0"/>
                      <w:jc w:val="center"/>
                      <w:rPr>
                        <w:szCs w:val="24"/>
                        <w:lang w:eastAsia="ar-SA"/>
                      </w:rPr>
                    </w:pPr>
                    <w:r>
                      <w:rPr>
                        <w:szCs w:val="24"/>
                        <w:lang w:eastAsia="ar-SA"/>
                      </w:rPr>
                      <w:t>Kaina eurais / antkainis procentais</w:t>
                    </w:r>
                  </w:p>
                </w:tc>
              </w:tr>
              <w:tr>
                <w:trPr>
                  <w:trHeight w:val="276"/>
                </w:trPr>
                <w:tc>
                  <w:tcPr>
                    <w:tcW w:w="717" w:type="dxa"/>
                    <w:tcBorders>
                      <w:top w:val="single" w:sz="4" w:space="0" w:color="000000"/>
                      <w:left w:val="single" w:sz="4" w:space="0" w:color="000000"/>
                    </w:tcBorders>
                  </w:tcPr>
                  <w:p>
                    <w:pPr>
                      <w:suppressAutoHyphens/>
                      <w:snapToGrid w:val="0"/>
                      <w:jc w:val="center"/>
                      <w:rPr>
                        <w:bCs/>
                        <w:szCs w:val="24"/>
                        <w:lang w:eastAsia="ar-SA"/>
                      </w:rPr>
                    </w:pPr>
                    <w:r>
                      <w:rPr>
                        <w:bCs/>
                        <w:szCs w:val="24"/>
                        <w:lang w:eastAsia="ar-SA"/>
                      </w:rPr>
                      <w:t>1.</w:t>
                    </w:r>
                  </w:p>
                </w:tc>
                <w:tc>
                  <w:tcPr>
                    <w:tcW w:w="9204" w:type="dxa"/>
                    <w:gridSpan w:val="4"/>
                    <w:tcBorders>
                      <w:top w:val="single" w:sz="4" w:space="0" w:color="000000"/>
                      <w:left w:val="single" w:sz="4" w:space="0" w:color="000000"/>
                      <w:right w:val="single" w:sz="4" w:space="0" w:color="000000"/>
                    </w:tcBorders>
                  </w:tcPr>
                  <w:p>
                    <w:pPr>
                      <w:suppressAutoHyphens/>
                      <w:snapToGrid w:val="0"/>
                      <w:rPr>
                        <w:szCs w:val="24"/>
                        <w:lang w:eastAsia="ar-SA"/>
                      </w:rPr>
                    </w:pPr>
                    <w:r>
                      <w:rPr>
                        <w:szCs w:val="24"/>
                        <w:lang w:eastAsia="ar-SA"/>
                      </w:rPr>
                      <w:t>Salių nuoma:</w:t>
                    </w:r>
                  </w:p>
                </w:tc>
              </w:tr>
              <w:tr>
                <w:trPr>
                  <w:trHeight w:val="338"/>
                </w:trPr>
                <w:tc>
                  <w:tcPr>
                    <w:tcW w:w="717" w:type="dxa"/>
                    <w:tcBorders>
                      <w:top w:val="single" w:sz="4" w:space="0" w:color="000000"/>
                      <w:left w:val="single" w:sz="4" w:space="0" w:color="000000"/>
                    </w:tcBorders>
                    <w:vAlign w:val="center"/>
                  </w:tcPr>
                  <w:p>
                    <w:pPr>
                      <w:suppressAutoHyphens/>
                      <w:snapToGrid w:val="0"/>
                      <w:jc w:val="center"/>
                      <w:rPr>
                        <w:szCs w:val="24"/>
                        <w:lang w:eastAsia="ar-SA"/>
                      </w:rPr>
                    </w:pPr>
                    <w:r>
                      <w:rPr>
                        <w:szCs w:val="24"/>
                        <w:lang w:eastAsia="ar-SA"/>
                      </w:rPr>
                      <w:t>1.1.</w:t>
                    </w:r>
                  </w:p>
                </w:tc>
                <w:tc>
                  <w:tcPr>
                    <w:tcW w:w="5103" w:type="dxa"/>
                    <w:tcBorders>
                      <w:top w:val="single" w:sz="4" w:space="0" w:color="000000"/>
                      <w:left w:val="single" w:sz="4" w:space="0" w:color="000000"/>
                    </w:tcBorders>
                    <w:shd w:val="clear" w:color="auto" w:fill="FFFFFF"/>
                    <w:vAlign w:val="center"/>
                  </w:tcPr>
                  <w:p>
                    <w:pPr>
                      <w:suppressAutoHyphens/>
                      <w:snapToGrid w:val="0"/>
                      <w:rPr>
                        <w:szCs w:val="24"/>
                        <w:lang w:eastAsia="ar-SA"/>
                      </w:rPr>
                    </w:pPr>
                    <w:r>
                      <w:rPr>
                        <w:szCs w:val="24"/>
                        <w:lang w:eastAsia="ar-SA"/>
                      </w:rPr>
                      <w:t>didžioji salė</w:t>
                    </w:r>
                  </w:p>
                </w:tc>
                <w:tc>
                  <w:tcPr>
                    <w:tcW w:w="1559" w:type="dxa"/>
                    <w:gridSpan w:val="2"/>
                    <w:tcBorders>
                      <w:top w:val="single" w:sz="4" w:space="0" w:color="000000"/>
                      <w:left w:val="single" w:sz="4" w:space="0" w:color="000000"/>
                    </w:tcBorders>
                    <w:shd w:val="clear" w:color="auto" w:fill="FFFFFF"/>
                    <w:vAlign w:val="center"/>
                  </w:tcPr>
                  <w:p>
                    <w:pPr>
                      <w:suppressAutoHyphens/>
                      <w:snapToGrid w:val="0"/>
                      <w:jc w:val="center"/>
                      <w:rPr>
                        <w:szCs w:val="24"/>
                        <w:lang w:eastAsia="ar-SA"/>
                      </w:rPr>
                    </w:pPr>
                    <w:r>
                      <w:rPr>
                        <w:szCs w:val="24"/>
                        <w:lang w:eastAsia="ar-SA"/>
                      </w:rPr>
                      <w:t>1 valanda</w:t>
                    </w:r>
                  </w:p>
                </w:tc>
                <w:tc>
                  <w:tcPr>
                    <w:tcW w:w="2542" w:type="dxa"/>
                    <w:tcBorders>
                      <w:top w:val="single" w:sz="4" w:space="0" w:color="000000"/>
                      <w:left w:val="single" w:sz="4" w:space="0" w:color="000000"/>
                      <w:right w:val="single" w:sz="4" w:space="0" w:color="000000"/>
                    </w:tcBorders>
                    <w:shd w:val="clear" w:color="auto" w:fill="FFFFFF"/>
                    <w:vAlign w:val="center"/>
                  </w:tcPr>
                  <w:p>
                    <w:pPr>
                      <w:suppressAutoHyphens/>
                      <w:snapToGrid w:val="0"/>
                      <w:ind w:left="142" w:right="142"/>
                      <w:jc w:val="center"/>
                      <w:rPr>
                        <w:strike/>
                        <w:szCs w:val="24"/>
                        <w:vertAlign w:val="superscript"/>
                        <w:lang w:val="en-US" w:eastAsia="ar-SA"/>
                      </w:rPr>
                    </w:pPr>
                    <w:r>
                      <w:rPr>
                        <w:szCs w:val="24"/>
                        <w:lang w:eastAsia="ar-SA"/>
                      </w:rPr>
                      <w:t>73</w:t>
                    </w:r>
                    <w:r>
                      <w:rPr>
                        <w:szCs w:val="24"/>
                        <w:vertAlign w:val="superscript"/>
                        <w:lang w:eastAsia="ar-SA"/>
                      </w:rPr>
                      <w:t>1</w:t>
                    </w:r>
                    <w:r>
                      <w:rPr>
                        <w:szCs w:val="24"/>
                        <w:lang w:eastAsia="ar-SA"/>
                      </w:rPr>
                      <w:t xml:space="preserve"> / 3,5</w:t>
                    </w:r>
                    <w:r>
                      <w:rPr>
                        <w:szCs w:val="24"/>
                        <w:vertAlign w:val="superscript"/>
                        <w:lang w:val="en-US" w:eastAsia="ar-SA"/>
                      </w:rPr>
                      <w:t>2</w:t>
                    </w:r>
                    <w:r>
                      <w:rPr>
                        <w:szCs w:val="24"/>
                        <w:lang w:val="en-US" w:eastAsia="ar-SA"/>
                      </w:rPr>
                      <w:t xml:space="preserve"> / 38</w:t>
                    </w:r>
                    <w:r>
                      <w:rPr>
                        <w:szCs w:val="24"/>
                        <w:vertAlign w:val="superscript"/>
                        <w:lang w:val="en-US" w:eastAsia="ar-SA"/>
                      </w:rPr>
                      <w:t>3</w:t>
                    </w:r>
                  </w:p>
                </w:tc>
              </w:tr>
              <w:tr>
                <w:trPr>
                  <w:trHeight w:val="276"/>
                </w:trPr>
                <w:tc>
                  <w:tcPr>
                    <w:tcW w:w="717" w:type="dxa"/>
                    <w:tcBorders>
                      <w:top w:val="single" w:sz="4" w:space="0" w:color="000000"/>
                      <w:left w:val="single" w:sz="4" w:space="0" w:color="000000"/>
                      <w:bottom w:val="single" w:sz="4" w:space="0" w:color="000000"/>
                    </w:tcBorders>
                    <w:vAlign w:val="center"/>
                  </w:tcPr>
                  <w:p>
                    <w:pPr>
                      <w:suppressAutoHyphens/>
                      <w:snapToGrid w:val="0"/>
                      <w:jc w:val="center"/>
                      <w:rPr>
                        <w:szCs w:val="24"/>
                        <w:lang w:eastAsia="ar-SA"/>
                      </w:rPr>
                    </w:pPr>
                    <w:r>
                      <w:rPr>
                        <w:szCs w:val="24"/>
                        <w:lang w:eastAsia="ar-SA"/>
                      </w:rPr>
                      <w:t>1.2.</w:t>
                    </w:r>
                  </w:p>
                </w:tc>
                <w:tc>
                  <w:tcPr>
                    <w:tcW w:w="5103" w:type="dxa"/>
                    <w:tcBorders>
                      <w:top w:val="single" w:sz="4" w:space="0" w:color="000000"/>
                      <w:left w:val="single" w:sz="4" w:space="0" w:color="000000"/>
                      <w:bottom w:val="single" w:sz="4" w:space="0" w:color="000000"/>
                    </w:tcBorders>
                    <w:shd w:val="clear" w:color="auto" w:fill="FFFFFF"/>
                    <w:vAlign w:val="center"/>
                  </w:tcPr>
                  <w:p>
                    <w:pPr>
                      <w:suppressAutoHyphens/>
                      <w:snapToGrid w:val="0"/>
                      <w:rPr>
                        <w:szCs w:val="24"/>
                        <w:lang w:eastAsia="ar-SA"/>
                      </w:rPr>
                    </w:pPr>
                    <w:r>
                      <w:rPr>
                        <w:szCs w:val="24"/>
                        <w:lang w:eastAsia="ar-SA"/>
                      </w:rPr>
                      <w:t>mažosios salės (2 salės)</w:t>
                    </w:r>
                  </w:p>
                </w:tc>
                <w:tc>
                  <w:tcPr>
                    <w:tcW w:w="1559" w:type="dxa"/>
                    <w:gridSpan w:val="2"/>
                    <w:tcBorders>
                      <w:top w:val="single" w:sz="4" w:space="0" w:color="000000"/>
                      <w:left w:val="single" w:sz="4" w:space="0" w:color="000000"/>
                      <w:bottom w:val="single" w:sz="4" w:space="0" w:color="000000"/>
                    </w:tcBorders>
                    <w:shd w:val="clear" w:color="auto" w:fill="FFFFFF"/>
                    <w:vAlign w:val="center"/>
                  </w:tcPr>
                  <w:p>
                    <w:pPr>
                      <w:suppressAutoHyphens/>
                      <w:snapToGrid w:val="0"/>
                      <w:jc w:val="center"/>
                      <w:rPr>
                        <w:szCs w:val="24"/>
                        <w:lang w:eastAsia="ar-SA"/>
                      </w:rPr>
                    </w:pPr>
                    <w:r>
                      <w:rPr>
                        <w:szCs w:val="24"/>
                        <w:lang w:eastAsia="ar-SA"/>
                      </w:rPr>
                      <w:t>1 valanda</w:t>
                    </w:r>
                  </w:p>
                </w:tc>
                <w:tc>
                  <w:tcPr>
                    <w:tcW w:w="2542" w:type="dxa"/>
                    <w:tcBorders>
                      <w:top w:val="single" w:sz="4" w:space="0" w:color="000000"/>
                      <w:left w:val="single" w:sz="4" w:space="0" w:color="000000"/>
                      <w:bottom w:val="single" w:sz="4" w:space="0" w:color="000000"/>
                      <w:right w:val="single" w:sz="4" w:space="0" w:color="000000"/>
                    </w:tcBorders>
                    <w:shd w:val="clear" w:color="auto" w:fill="FFFFFF"/>
                    <w:vAlign w:val="center"/>
                  </w:tcPr>
                  <w:p>
                    <w:pPr>
                      <w:suppressAutoHyphens/>
                      <w:snapToGrid w:val="0"/>
                      <w:ind w:left="142" w:right="142"/>
                      <w:jc w:val="center"/>
                      <w:rPr>
                        <w:szCs w:val="24"/>
                        <w:vertAlign w:val="superscript"/>
                        <w:lang w:eastAsia="ar-SA"/>
                      </w:rPr>
                    </w:pPr>
                    <w:r>
                      <w:rPr>
                        <w:szCs w:val="24"/>
                        <w:lang w:eastAsia="ar-SA"/>
                      </w:rPr>
                      <w:t>47</w:t>
                    </w:r>
                    <w:r>
                      <w:rPr>
                        <w:szCs w:val="24"/>
                        <w:vertAlign w:val="superscript"/>
                        <w:lang w:eastAsia="ar-SA"/>
                      </w:rPr>
                      <w:t>1</w:t>
                    </w:r>
                    <w:r>
                      <w:rPr>
                        <w:szCs w:val="24"/>
                        <w:lang w:eastAsia="ar-SA"/>
                      </w:rPr>
                      <w:t xml:space="preserve"> / 2</w:t>
                    </w:r>
                    <w:r>
                      <w:rPr>
                        <w:szCs w:val="24"/>
                        <w:vertAlign w:val="superscript"/>
                        <w:lang w:eastAsia="ar-SA"/>
                      </w:rPr>
                      <w:t>2</w:t>
                    </w:r>
                    <w:r>
                      <w:rPr>
                        <w:szCs w:val="24"/>
                        <w:lang w:eastAsia="ar-SA"/>
                      </w:rPr>
                      <w:t xml:space="preserve"> / 25</w:t>
                    </w:r>
                    <w:r>
                      <w:rPr>
                        <w:szCs w:val="24"/>
                        <w:vertAlign w:val="superscript"/>
                        <w:lang w:eastAsia="ar-SA"/>
                      </w:rPr>
                      <w:t>3</w:t>
                    </w: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1.3.</w:t>
                    </w:r>
                  </w:p>
                </w:tc>
                <w:tc>
                  <w:tcPr>
                    <w:tcW w:w="5103" w:type="dxa"/>
                    <w:tcBorders>
                      <w:top w:val="single" w:sz="4" w:space="0" w:color="000000"/>
                      <w:left w:val="single" w:sz="4" w:space="0" w:color="000000"/>
                      <w:bottom w:val="single" w:sz="4" w:space="0" w:color="000000"/>
                    </w:tcBorders>
                    <w:shd w:val="clear" w:color="auto" w:fill="FFFFFF"/>
                  </w:tcPr>
                  <w:p>
                    <w:pPr>
                      <w:suppressAutoHyphens/>
                      <w:snapToGrid w:val="0"/>
                      <w:rPr>
                        <w:szCs w:val="24"/>
                        <w:lang w:eastAsia="ar-SA"/>
                      </w:rPr>
                    </w:pPr>
                    <w:r>
                      <w:rPr>
                        <w:szCs w:val="24"/>
                        <w:lang w:eastAsia="ar-SA"/>
                      </w:rPr>
                      <w:t>renginiams su kitų organizacijų bilietais</w:t>
                    </w:r>
                  </w:p>
                </w:tc>
                <w:tc>
                  <w:tcPr>
                    <w:tcW w:w="1559" w:type="dxa"/>
                    <w:gridSpan w:val="2"/>
                    <w:tcBorders>
                      <w:top w:val="single" w:sz="4" w:space="0" w:color="000000"/>
                      <w:left w:val="single" w:sz="4" w:space="0" w:color="000000"/>
                      <w:bottom w:val="single" w:sz="4" w:space="0" w:color="000000"/>
                    </w:tcBorders>
                    <w:shd w:val="clear" w:color="auto" w:fill="FFFFFF"/>
                  </w:tcPr>
                  <w:p>
                    <w:pPr>
                      <w:suppressAutoHyphens/>
                      <w:snapToGrid w:val="0"/>
                      <w:jc w:val="center"/>
                      <w:rPr>
                        <w:szCs w:val="24"/>
                        <w:lang w:eastAsia="ar-SA"/>
                      </w:rPr>
                    </w:pPr>
                    <w:r>
                      <w:rPr>
                        <w:szCs w:val="24"/>
                        <w:lang w:eastAsia="ar-SA"/>
                      </w:rPr>
                      <w:t>1 renginys</w:t>
                    </w:r>
                  </w:p>
                </w:tc>
                <w:tc>
                  <w:tcPr>
                    <w:tcW w:w="2542" w:type="dxa"/>
                    <w:tcBorders>
                      <w:top w:val="single" w:sz="4" w:space="0" w:color="000000"/>
                      <w:left w:val="single" w:sz="4" w:space="0" w:color="000000"/>
                      <w:bottom w:val="single" w:sz="4" w:space="0" w:color="000000"/>
                      <w:right w:val="single" w:sz="4" w:space="0" w:color="000000"/>
                    </w:tcBorders>
                    <w:shd w:val="clear" w:color="auto" w:fill="FFFFFF"/>
                    <w:vAlign w:val="center"/>
                  </w:tcPr>
                  <w:p>
                    <w:pPr>
                      <w:suppressAutoHyphens/>
                      <w:snapToGrid w:val="0"/>
                      <w:ind w:left="142" w:right="142"/>
                      <w:jc w:val="center"/>
                      <w:rPr>
                        <w:szCs w:val="24"/>
                        <w:lang w:eastAsia="ar-SA"/>
                      </w:rPr>
                    </w:pPr>
                    <w:r>
                      <w:rPr>
                        <w:szCs w:val="24"/>
                        <w:lang w:eastAsia="ar-SA"/>
                      </w:rPr>
                      <w:t>50 proc. nuo parduotų bilietų</w:t>
                    </w:r>
                  </w:p>
                </w:tc>
              </w:tr>
              <w:tr>
                <w:trPr>
                  <w:trHeight w:val="276"/>
                </w:trPr>
                <w:tc>
                  <w:tcPr>
                    <w:tcW w:w="717" w:type="dxa"/>
                    <w:tcBorders>
                      <w:top w:val="single" w:sz="4" w:space="0" w:color="000000"/>
                      <w:left w:val="single" w:sz="4" w:space="0" w:color="000000"/>
                      <w:bottom w:val="single" w:sz="4" w:space="0" w:color="000000"/>
                    </w:tcBorders>
                    <w:vAlign w:val="center"/>
                  </w:tcPr>
                  <w:p>
                    <w:pPr>
                      <w:suppressAutoHyphens/>
                      <w:snapToGrid w:val="0"/>
                      <w:jc w:val="center"/>
                      <w:rPr>
                        <w:szCs w:val="24"/>
                        <w:lang w:eastAsia="ar-SA"/>
                      </w:rPr>
                    </w:pPr>
                    <w:r>
                      <w:rPr>
                        <w:szCs w:val="24"/>
                        <w:lang w:eastAsia="ar-SA"/>
                      </w:rPr>
                      <w:t>2.</w:t>
                    </w:r>
                  </w:p>
                </w:tc>
                <w:tc>
                  <w:tcPr>
                    <w:tcW w:w="9204"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pPr>
                      <w:suppressAutoHyphens/>
                      <w:snapToGrid w:val="0"/>
                      <w:rPr>
                        <w:szCs w:val="24"/>
                        <w:lang w:eastAsia="ar-SA"/>
                      </w:rPr>
                    </w:pPr>
                    <w:r>
                      <w:rPr>
                        <w:szCs w:val="24"/>
                        <w:lang w:eastAsia="ar-SA"/>
                      </w:rPr>
                      <w:t>Bilietų pardavimas:</w:t>
                    </w:r>
                  </w:p>
                </w:tc>
              </w:tr>
              <w:tr>
                <w:trPr>
                  <w:trHeight w:val="276"/>
                </w:trPr>
                <w:tc>
                  <w:tcPr>
                    <w:tcW w:w="717" w:type="dxa"/>
                    <w:tcBorders>
                      <w:top w:val="single" w:sz="4" w:space="0" w:color="000000"/>
                      <w:left w:val="single" w:sz="4" w:space="0" w:color="000000"/>
                      <w:bottom w:val="single" w:sz="4" w:space="0" w:color="000000"/>
                    </w:tcBorders>
                    <w:vAlign w:val="center"/>
                  </w:tcPr>
                  <w:p>
                    <w:pPr>
                      <w:suppressAutoHyphens/>
                      <w:snapToGrid w:val="0"/>
                      <w:jc w:val="center"/>
                      <w:rPr>
                        <w:szCs w:val="24"/>
                        <w:lang w:eastAsia="ar-SA"/>
                      </w:rPr>
                    </w:pPr>
                    <w:r>
                      <w:rPr>
                        <w:szCs w:val="24"/>
                        <w:lang w:eastAsia="ar-SA"/>
                      </w:rPr>
                      <w:t>2.1.</w:t>
                    </w:r>
                  </w:p>
                </w:tc>
                <w:tc>
                  <w:tcPr>
                    <w:tcW w:w="5103" w:type="dxa"/>
                    <w:tcBorders>
                      <w:top w:val="single" w:sz="4" w:space="0" w:color="000000"/>
                      <w:left w:val="single" w:sz="4" w:space="0" w:color="000000"/>
                      <w:bottom w:val="single" w:sz="4" w:space="0" w:color="000000"/>
                    </w:tcBorders>
                    <w:shd w:val="clear" w:color="auto" w:fill="FFFFFF"/>
                    <w:vAlign w:val="center"/>
                  </w:tcPr>
                  <w:p>
                    <w:pPr>
                      <w:suppressAutoHyphens/>
                      <w:snapToGrid w:val="0"/>
                      <w:rPr>
                        <w:szCs w:val="24"/>
                        <w:lang w:eastAsia="ar-SA"/>
                      </w:rPr>
                    </w:pPr>
                    <w:r>
                      <w:rPr>
                        <w:szCs w:val="24"/>
                        <w:lang w:eastAsia="ar-SA"/>
                      </w:rPr>
                      <w:t>į parodas:</w:t>
                    </w:r>
                  </w:p>
                </w:tc>
                <w:tc>
                  <w:tcPr>
                    <w:tcW w:w="1549" w:type="dxa"/>
                    <w:tcBorders>
                      <w:top w:val="single" w:sz="4" w:space="0" w:color="000000"/>
                      <w:left w:val="single" w:sz="4" w:space="0" w:color="000000"/>
                      <w:bottom w:val="single" w:sz="4" w:space="0" w:color="000000"/>
                    </w:tcBorders>
                    <w:shd w:val="clear" w:color="auto" w:fill="FFFFFF"/>
                    <w:vAlign w:val="center"/>
                  </w:tcPr>
                  <w:p>
                    <w:pPr>
                      <w:suppressAutoHyphens/>
                      <w:snapToGrid w:val="0"/>
                      <w:jc w:val="center"/>
                      <w:rPr>
                        <w:strike/>
                        <w:szCs w:val="24"/>
                        <w:lang w:eastAsia="ar-SA"/>
                      </w:rPr>
                    </w:pPr>
                  </w:p>
                </w:tc>
                <w:tc>
                  <w:tcPr>
                    <w:tcW w:w="255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suppressAutoHyphens/>
                      <w:snapToGrid w:val="0"/>
                      <w:ind w:left="142" w:right="142"/>
                      <w:jc w:val="center"/>
                      <w:rPr>
                        <w:strike/>
                        <w:szCs w:val="24"/>
                        <w:lang w:eastAsia="ar-SA"/>
                      </w:rPr>
                    </w:pPr>
                  </w:p>
                </w:tc>
              </w:tr>
              <w:tr>
                <w:trPr>
                  <w:trHeight w:val="751"/>
                </w:trPr>
                <w:tc>
                  <w:tcPr>
                    <w:tcW w:w="717" w:type="dxa"/>
                    <w:tcBorders>
                      <w:top w:val="single" w:sz="4" w:space="0" w:color="000000"/>
                      <w:left w:val="single" w:sz="4" w:space="0" w:color="000000"/>
                      <w:bottom w:val="single" w:sz="4" w:space="0" w:color="000000"/>
                    </w:tcBorders>
                    <w:vAlign w:val="center"/>
                  </w:tcPr>
                  <w:p>
                    <w:pPr>
                      <w:suppressAutoHyphens/>
                      <w:snapToGrid w:val="0"/>
                      <w:jc w:val="center"/>
                      <w:rPr>
                        <w:szCs w:val="24"/>
                        <w:lang w:eastAsia="ar-SA"/>
                      </w:rPr>
                    </w:pPr>
                    <w:r>
                      <w:rPr>
                        <w:szCs w:val="24"/>
                        <w:lang w:eastAsia="ar-SA"/>
                      </w:rPr>
                      <w:t>2.1.1.</w:t>
                    </w:r>
                  </w:p>
                </w:tc>
                <w:tc>
                  <w:tcPr>
                    <w:tcW w:w="5103" w:type="dxa"/>
                    <w:tcBorders>
                      <w:top w:val="single" w:sz="4" w:space="0" w:color="000000"/>
                      <w:left w:val="single" w:sz="4" w:space="0" w:color="000000"/>
                      <w:bottom w:val="single" w:sz="4" w:space="0" w:color="000000"/>
                    </w:tcBorders>
                    <w:shd w:val="clear" w:color="auto" w:fill="FFFFFF"/>
                    <w:vAlign w:val="center"/>
                  </w:tcPr>
                  <w:p>
                    <w:pPr>
                      <w:suppressAutoHyphens/>
                      <w:snapToGrid w:val="0"/>
                      <w:rPr>
                        <w:szCs w:val="24"/>
                        <w:lang w:eastAsia="ar-SA"/>
                      </w:rPr>
                    </w:pPr>
                    <w:r>
                      <w:rPr>
                        <w:szCs w:val="24"/>
                        <w:lang w:eastAsia="ar-SA"/>
                      </w:rPr>
                      <w:t xml:space="preserve">suaugusiesiems </w:t>
                    </w:r>
                  </w:p>
                </w:tc>
                <w:tc>
                  <w:tcPr>
                    <w:tcW w:w="1549" w:type="dxa"/>
                    <w:tcBorders>
                      <w:top w:val="single" w:sz="4" w:space="0" w:color="000000"/>
                      <w:left w:val="single" w:sz="4" w:space="0" w:color="000000"/>
                      <w:bottom w:val="single" w:sz="4" w:space="0" w:color="000000"/>
                    </w:tcBorders>
                    <w:shd w:val="clear" w:color="auto" w:fill="FFFFFF"/>
                    <w:vAlign w:val="center"/>
                  </w:tcPr>
                  <w:p>
                    <w:pPr>
                      <w:suppressAutoHyphens/>
                      <w:snapToGrid w:val="0"/>
                      <w:jc w:val="center"/>
                      <w:rPr>
                        <w:szCs w:val="24"/>
                        <w:lang w:eastAsia="ar-SA"/>
                      </w:rPr>
                    </w:pPr>
                    <w:r>
                      <w:rPr>
                        <w:szCs w:val="24"/>
                        <w:lang w:eastAsia="ar-SA"/>
                      </w:rPr>
                      <w:t>1 asmeniui</w:t>
                    </w:r>
                  </w:p>
                </w:tc>
                <w:tc>
                  <w:tcPr>
                    <w:tcW w:w="255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suppressAutoHyphens/>
                      <w:snapToGrid w:val="0"/>
                      <w:ind w:right="142"/>
                      <w:jc w:val="center"/>
                      <w:rPr>
                        <w:rFonts w:eastAsia="HG Mincho Light J"/>
                        <w:color w:val="000000"/>
                        <w:szCs w:val="24"/>
                        <w:lang w:eastAsia="lt-LT"/>
                      </w:rPr>
                    </w:pPr>
                  </w:p>
                  <w:p>
                    <w:pPr>
                      <w:suppressAutoHyphens/>
                      <w:snapToGrid w:val="0"/>
                      <w:ind w:right="142"/>
                      <w:jc w:val="center"/>
                      <w:rPr>
                        <w:rFonts w:eastAsia="HG Mincho Light J"/>
                        <w:color w:val="000000"/>
                        <w:szCs w:val="24"/>
                        <w:vertAlign w:val="superscript"/>
                        <w:lang w:eastAsia="lt-LT"/>
                      </w:rPr>
                    </w:pPr>
                    <w:r>
                      <w:rPr>
                        <w:rFonts w:eastAsia="HG Mincho Light J"/>
                        <w:color w:val="000000"/>
                        <w:szCs w:val="24"/>
                        <w:lang w:eastAsia="lt-LT"/>
                      </w:rPr>
                      <w:t>2</w:t>
                    </w:r>
                    <w:r>
                      <w:rPr>
                        <w:rFonts w:eastAsia="HG Mincho Light J"/>
                        <w:color w:val="000000"/>
                        <w:szCs w:val="24"/>
                        <w:vertAlign w:val="superscript"/>
                        <w:lang w:eastAsia="lt-LT"/>
                      </w:rPr>
                      <w:t>4</w:t>
                    </w:r>
                    <w:r>
                      <w:rPr>
                        <w:rFonts w:eastAsia="HG Mincho Light J"/>
                        <w:color w:val="000000"/>
                        <w:szCs w:val="24"/>
                        <w:lang w:eastAsia="lt-LT"/>
                      </w:rPr>
                      <w:t xml:space="preserve"> / 1,5</w:t>
                    </w:r>
                    <w:r>
                      <w:rPr>
                        <w:rFonts w:eastAsia="HG Mincho Light J"/>
                        <w:color w:val="000000"/>
                        <w:szCs w:val="24"/>
                        <w:vertAlign w:val="superscript"/>
                        <w:lang w:eastAsia="lt-LT"/>
                      </w:rPr>
                      <w:t>5</w:t>
                    </w:r>
                  </w:p>
                  <w:p>
                    <w:pPr>
                      <w:suppressAutoHyphens/>
                      <w:snapToGrid w:val="0"/>
                      <w:ind w:right="142"/>
                      <w:jc w:val="center"/>
                      <w:rPr>
                        <w:rFonts w:eastAsia="HG Mincho Light J"/>
                        <w:strike/>
                        <w:color w:val="000000"/>
                        <w:szCs w:val="24"/>
                        <w:lang w:eastAsia="lt-LT"/>
                      </w:rPr>
                    </w:pPr>
                  </w:p>
                </w:tc>
              </w:tr>
              <w:tr>
                <w:trPr>
                  <w:trHeight w:val="473"/>
                </w:trPr>
                <w:tc>
                  <w:tcPr>
                    <w:tcW w:w="717" w:type="dxa"/>
                    <w:tcBorders>
                      <w:top w:val="single" w:sz="4" w:space="0" w:color="000000"/>
                      <w:left w:val="single" w:sz="4" w:space="0" w:color="000000"/>
                      <w:bottom w:val="single" w:sz="4" w:space="0" w:color="000000"/>
                    </w:tcBorders>
                    <w:vAlign w:val="center"/>
                  </w:tcPr>
                  <w:p>
                    <w:pPr>
                      <w:suppressAutoHyphens/>
                      <w:snapToGrid w:val="0"/>
                      <w:jc w:val="center"/>
                      <w:rPr>
                        <w:szCs w:val="24"/>
                        <w:lang w:eastAsia="ar-SA"/>
                      </w:rPr>
                    </w:pPr>
                    <w:r>
                      <w:rPr>
                        <w:szCs w:val="24"/>
                        <w:lang w:eastAsia="ar-SA"/>
                      </w:rPr>
                      <w:t>2.1.2.</w:t>
                    </w:r>
                  </w:p>
                </w:tc>
                <w:tc>
                  <w:tcPr>
                    <w:tcW w:w="5103" w:type="dxa"/>
                    <w:tcBorders>
                      <w:top w:val="single" w:sz="4" w:space="0" w:color="000000"/>
                      <w:left w:val="single" w:sz="4" w:space="0" w:color="000000"/>
                      <w:bottom w:val="single" w:sz="4" w:space="0" w:color="000000"/>
                    </w:tcBorders>
                    <w:shd w:val="clear" w:color="auto" w:fill="FFFFFF"/>
                    <w:vAlign w:val="center"/>
                  </w:tcPr>
                  <w:p>
                    <w:pPr>
                      <w:suppressAutoHyphens/>
                      <w:snapToGrid w:val="0"/>
                      <w:rPr>
                        <w:szCs w:val="24"/>
                        <w:lang w:eastAsia="ar-SA"/>
                      </w:rPr>
                    </w:pPr>
                    <w:r>
                      <w:rPr>
                        <w:szCs w:val="24"/>
                        <w:lang w:eastAsia="ar-SA"/>
                      </w:rPr>
                      <w:t>moksleiviams, studentams, pensininkams</w:t>
                    </w:r>
                  </w:p>
                </w:tc>
                <w:tc>
                  <w:tcPr>
                    <w:tcW w:w="1549" w:type="dxa"/>
                    <w:tcBorders>
                      <w:top w:val="single" w:sz="4" w:space="0" w:color="000000"/>
                      <w:left w:val="single" w:sz="4" w:space="0" w:color="000000"/>
                      <w:bottom w:val="single" w:sz="4" w:space="0" w:color="000000"/>
                    </w:tcBorders>
                    <w:shd w:val="clear" w:color="auto" w:fill="FFFFFF"/>
                    <w:vAlign w:val="center"/>
                  </w:tcPr>
                  <w:p>
                    <w:pPr>
                      <w:suppressAutoHyphens/>
                      <w:snapToGrid w:val="0"/>
                      <w:jc w:val="center"/>
                      <w:rPr>
                        <w:szCs w:val="24"/>
                        <w:lang w:eastAsia="ar-SA"/>
                      </w:rPr>
                    </w:pPr>
                    <w:r>
                      <w:rPr>
                        <w:szCs w:val="24"/>
                        <w:lang w:eastAsia="ar-SA"/>
                      </w:rPr>
                      <w:t>1 asmeniui</w:t>
                    </w:r>
                  </w:p>
                </w:tc>
                <w:tc>
                  <w:tcPr>
                    <w:tcW w:w="255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suppressAutoHyphens/>
                      <w:snapToGrid w:val="0"/>
                      <w:ind w:right="142"/>
                      <w:rPr>
                        <w:strike/>
                        <w:szCs w:val="24"/>
                        <w:lang w:eastAsia="ar-SA"/>
                      </w:rPr>
                    </w:pPr>
                  </w:p>
                  <w:p>
                    <w:pPr>
                      <w:suppressAutoHyphens/>
                      <w:snapToGrid w:val="0"/>
                      <w:ind w:left="142" w:right="142"/>
                      <w:jc w:val="center"/>
                      <w:rPr>
                        <w:szCs w:val="24"/>
                        <w:lang w:eastAsia="ar-SA"/>
                      </w:rPr>
                    </w:pPr>
                    <w:r>
                      <w:rPr>
                        <w:szCs w:val="24"/>
                        <w:lang w:eastAsia="ar-SA"/>
                      </w:rPr>
                      <w:t>1</w:t>
                    </w:r>
                  </w:p>
                  <w:p>
                    <w:pPr>
                      <w:suppressAutoHyphens/>
                      <w:snapToGrid w:val="0"/>
                      <w:ind w:left="142" w:right="142"/>
                      <w:jc w:val="center"/>
                      <w:rPr>
                        <w:strike/>
                        <w:szCs w:val="24"/>
                        <w:lang w:eastAsia="ar-SA"/>
                      </w:rPr>
                    </w:pP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2.1.3.</w:t>
                    </w:r>
                  </w:p>
                </w:tc>
                <w:tc>
                  <w:tcPr>
                    <w:tcW w:w="5103" w:type="dxa"/>
                    <w:tcBorders>
                      <w:top w:val="single" w:sz="4" w:space="0" w:color="000000"/>
                      <w:left w:val="single" w:sz="4" w:space="0" w:color="000000"/>
                      <w:bottom w:val="single" w:sz="4" w:space="0" w:color="000000"/>
                    </w:tcBorders>
                    <w:shd w:val="clear" w:color="auto" w:fill="FFFFFF"/>
                    <w:vAlign w:val="center"/>
                  </w:tcPr>
                  <w:p>
                    <w:pPr>
                      <w:suppressAutoHyphens/>
                      <w:snapToGrid w:val="0"/>
                      <w:ind w:right="142"/>
                      <w:rPr>
                        <w:szCs w:val="24"/>
                        <w:lang w:eastAsia="ar-SA"/>
                      </w:rPr>
                    </w:pPr>
                    <w:r>
                      <w:rPr>
                        <w:szCs w:val="24"/>
                        <w:lang w:eastAsia="ar-SA"/>
                      </w:rPr>
                      <w:t xml:space="preserve">lankytojų grupėms (ne mažiau kaip 10 asmenų), sudarius bendradarbiavimo sutartį </w:t>
                    </w:r>
                  </w:p>
                </w:tc>
                <w:tc>
                  <w:tcPr>
                    <w:tcW w:w="1549" w:type="dxa"/>
                    <w:tcBorders>
                      <w:top w:val="single" w:sz="4" w:space="0" w:color="000000"/>
                      <w:left w:val="single" w:sz="4" w:space="0" w:color="000000"/>
                      <w:bottom w:val="single" w:sz="4" w:space="0" w:color="000000"/>
                    </w:tcBorders>
                    <w:shd w:val="clear" w:color="auto" w:fill="FFFFFF"/>
                  </w:tcPr>
                  <w:p>
                    <w:pPr>
                      <w:suppressAutoHyphens/>
                      <w:snapToGrid w:val="0"/>
                      <w:jc w:val="center"/>
                      <w:rPr>
                        <w:szCs w:val="24"/>
                        <w:lang w:eastAsia="ar-SA"/>
                      </w:rPr>
                    </w:pPr>
                    <w:r>
                      <w:rPr>
                        <w:szCs w:val="24"/>
                        <w:lang w:eastAsia="ar-SA"/>
                      </w:rPr>
                      <w:t>1 asmeniui</w:t>
                    </w:r>
                  </w:p>
                </w:tc>
                <w:tc>
                  <w:tcPr>
                    <w:tcW w:w="2552" w:type="dxa"/>
                    <w:gridSpan w:val="2"/>
                    <w:tcBorders>
                      <w:top w:val="single" w:sz="4" w:space="0" w:color="000000"/>
                      <w:left w:val="single" w:sz="4" w:space="0" w:color="000000"/>
                      <w:bottom w:val="single" w:sz="4" w:space="0" w:color="000000"/>
                      <w:right w:val="single" w:sz="4" w:space="0" w:color="000000"/>
                    </w:tcBorders>
                    <w:shd w:val="clear" w:color="auto" w:fill="FFFFFF"/>
                  </w:tcPr>
                  <w:p>
                    <w:pPr>
                      <w:suppressAutoHyphens/>
                      <w:snapToGrid w:val="0"/>
                      <w:ind w:left="142" w:right="142"/>
                      <w:jc w:val="center"/>
                      <w:rPr>
                        <w:szCs w:val="24"/>
                        <w:vertAlign w:val="superscript"/>
                        <w:lang w:eastAsia="ar-SA"/>
                      </w:rPr>
                    </w:pPr>
                    <w:r>
                      <w:rPr>
                        <w:szCs w:val="24"/>
                        <w:lang w:eastAsia="ar-SA"/>
                      </w:rPr>
                      <w:t>0,5</w:t>
                    </w:r>
                  </w:p>
                </w:tc>
              </w:tr>
              <w:tr>
                <w:trPr>
                  <w:trHeight w:val="276"/>
                </w:trPr>
                <w:tc>
                  <w:tcPr>
                    <w:tcW w:w="717" w:type="dxa"/>
                    <w:tcBorders>
                      <w:top w:val="single" w:sz="4" w:space="0" w:color="000000"/>
                      <w:left w:val="single" w:sz="4" w:space="0" w:color="000000"/>
                      <w:bottom w:val="single" w:sz="4" w:space="0" w:color="000000"/>
                    </w:tcBorders>
                    <w:vAlign w:val="center"/>
                  </w:tcPr>
                  <w:p>
                    <w:pPr>
                      <w:suppressAutoHyphens/>
                      <w:snapToGrid w:val="0"/>
                      <w:jc w:val="center"/>
                      <w:rPr>
                        <w:szCs w:val="24"/>
                        <w:lang w:eastAsia="ar-SA"/>
                      </w:rPr>
                    </w:pPr>
                    <w:r>
                      <w:rPr>
                        <w:szCs w:val="24"/>
                        <w:lang w:eastAsia="ar-SA"/>
                      </w:rPr>
                      <w:t>2.2.</w:t>
                    </w:r>
                  </w:p>
                </w:tc>
                <w:tc>
                  <w:tcPr>
                    <w:tcW w:w="5103" w:type="dxa"/>
                    <w:tcBorders>
                      <w:top w:val="single" w:sz="4" w:space="0" w:color="000000"/>
                      <w:left w:val="single" w:sz="4" w:space="0" w:color="000000"/>
                      <w:bottom w:val="single" w:sz="4" w:space="0" w:color="000000"/>
                    </w:tcBorders>
                  </w:tcPr>
                  <w:p>
                    <w:pPr>
                      <w:suppressAutoHyphens/>
                      <w:rPr>
                        <w:szCs w:val="24"/>
                        <w:lang w:eastAsia="ar-SA"/>
                      </w:rPr>
                    </w:pPr>
                    <w:r>
                      <w:rPr>
                        <w:szCs w:val="24"/>
                        <w:lang w:eastAsia="ar-SA"/>
                      </w:rPr>
                      <w:t>į renginius:</w:t>
                    </w:r>
                  </w:p>
                </w:tc>
                <w:tc>
                  <w:tcPr>
                    <w:tcW w:w="1549" w:type="dxa"/>
                    <w:tcBorders>
                      <w:top w:val="single" w:sz="4" w:space="0" w:color="000000"/>
                      <w:left w:val="single" w:sz="4" w:space="0" w:color="000000"/>
                      <w:bottom w:val="single" w:sz="4" w:space="0" w:color="000000"/>
                    </w:tcBorders>
                    <w:vAlign w:val="center"/>
                  </w:tcPr>
                  <w:p>
                    <w:pPr>
                      <w:suppressAutoHyphens/>
                      <w:snapToGrid w:val="0"/>
                      <w:jc w:val="center"/>
                      <w:rPr>
                        <w:strike/>
                        <w:szCs w:val="24"/>
                        <w:lang w:eastAsia="ar-SA"/>
                      </w:rPr>
                    </w:pP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pPr>
                      <w:suppressAutoHyphens/>
                      <w:snapToGrid w:val="0"/>
                      <w:ind w:left="142" w:right="142"/>
                      <w:jc w:val="center"/>
                      <w:rPr>
                        <w:strike/>
                        <w:szCs w:val="24"/>
                        <w:lang w:eastAsia="ar-SA"/>
                      </w:rPr>
                    </w:pP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2.2.1.</w:t>
                    </w:r>
                  </w:p>
                </w:tc>
                <w:tc>
                  <w:tcPr>
                    <w:tcW w:w="5103" w:type="dxa"/>
                    <w:tcBorders>
                      <w:top w:val="single" w:sz="4" w:space="0" w:color="000000"/>
                      <w:left w:val="single" w:sz="4" w:space="0" w:color="000000"/>
                      <w:bottom w:val="single" w:sz="4" w:space="0" w:color="000000"/>
                    </w:tcBorders>
                  </w:tcPr>
                  <w:p>
                    <w:pPr>
                      <w:suppressAutoHyphens/>
                      <w:rPr>
                        <w:szCs w:val="24"/>
                        <w:lang w:eastAsia="ar-SA"/>
                      </w:rPr>
                    </w:pPr>
                    <w:r>
                      <w:rPr>
                        <w:szCs w:val="24"/>
                        <w:lang w:eastAsia="ar-SA"/>
                      </w:rPr>
                      <w:t>vaizdo, kino filmų, kino filmų programų peržiūra</w:t>
                    </w:r>
                  </w:p>
                </w:tc>
                <w:tc>
                  <w:tcPr>
                    <w:tcW w:w="1549" w:type="dxa"/>
                    <w:tcBorders>
                      <w:top w:val="single" w:sz="4" w:space="0" w:color="000000"/>
                      <w:left w:val="single" w:sz="4" w:space="0" w:color="000000"/>
                      <w:bottom w:val="single" w:sz="4" w:space="0" w:color="000000"/>
                    </w:tcBorders>
                    <w:shd w:val="clear" w:color="auto" w:fill="auto"/>
                  </w:tcPr>
                  <w:p>
                    <w:pPr>
                      <w:rPr>
                        <w:sz w:val="8"/>
                        <w:szCs w:val="8"/>
                      </w:rPr>
                    </w:pPr>
                  </w:p>
                  <w:p>
                    <w:pPr>
                      <w:suppressAutoHyphens/>
                      <w:jc w:val="center"/>
                      <w:rPr>
                        <w:szCs w:val="24"/>
                        <w:vertAlign w:val="superscript"/>
                        <w:lang w:eastAsia="lt-LT"/>
                      </w:rPr>
                    </w:pPr>
                    <w:r>
                      <w:rPr>
                        <w:szCs w:val="24"/>
                        <w:lang w:eastAsia="lt-LT"/>
                      </w:rPr>
                      <w:t>1 asmeniui</w:t>
                    </w: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pPr>
                      <w:rPr>
                        <w:sz w:val="8"/>
                        <w:szCs w:val="8"/>
                      </w:rPr>
                    </w:pPr>
                  </w:p>
                  <w:p>
                    <w:pPr>
                      <w:suppressAutoHyphens/>
                      <w:ind w:left="142" w:right="142"/>
                      <w:jc w:val="center"/>
                      <w:rPr>
                        <w:szCs w:val="24"/>
                        <w:lang w:eastAsia="ar-SA"/>
                      </w:rPr>
                    </w:pPr>
                    <w:r>
                      <w:rPr>
                        <w:szCs w:val="24"/>
                        <w:lang w:eastAsia="ar-SA"/>
                      </w:rPr>
                      <w:t>1,5</w:t>
                    </w:r>
                    <w:r>
                      <w:rPr>
                        <w:szCs w:val="24"/>
                        <w:vertAlign w:val="superscript"/>
                        <w:lang w:eastAsia="ar-SA"/>
                      </w:rPr>
                      <w:t>6</w:t>
                    </w:r>
                    <w:r>
                      <w:rPr>
                        <w:szCs w:val="24"/>
                        <w:lang w:eastAsia="ar-SA"/>
                      </w:rPr>
                      <w:br/>
                      <w:t>3</w:t>
                      <w:br/>
                      <w:t>5</w:t>
                    </w: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2.2.2.</w:t>
                    </w:r>
                  </w:p>
                </w:tc>
                <w:tc>
                  <w:tcPr>
                    <w:tcW w:w="5103" w:type="dxa"/>
                    <w:tcBorders>
                      <w:top w:val="single" w:sz="4" w:space="0" w:color="000000"/>
                      <w:left w:val="single" w:sz="4" w:space="0" w:color="000000"/>
                      <w:bottom w:val="single" w:sz="4" w:space="0" w:color="000000"/>
                    </w:tcBorders>
                  </w:tcPr>
                  <w:p>
                    <w:pPr>
                      <w:suppressAutoHyphens/>
                      <w:rPr>
                        <w:szCs w:val="24"/>
                        <w:lang w:eastAsia="ar-SA"/>
                      </w:rPr>
                    </w:pPr>
                    <w:r>
                      <w:rPr>
                        <w:szCs w:val="24"/>
                        <w:lang w:eastAsia="ar-SA"/>
                      </w:rPr>
                      <w:t>vaizdo, kino filmų, kino filmų programų peržiūra moksleiviams, studentams, pensininkams, neįgaliesiems</w:t>
                    </w:r>
                  </w:p>
                </w:tc>
                <w:tc>
                  <w:tcPr>
                    <w:tcW w:w="1549" w:type="dxa"/>
                    <w:tcBorders>
                      <w:top w:val="single" w:sz="4" w:space="0" w:color="000000"/>
                      <w:left w:val="single" w:sz="4" w:space="0" w:color="000000"/>
                      <w:bottom w:val="single" w:sz="4" w:space="0" w:color="000000"/>
                    </w:tcBorders>
                    <w:shd w:val="clear" w:color="auto" w:fill="auto"/>
                  </w:tcPr>
                  <w:p>
                    <w:pPr>
                      <w:rPr>
                        <w:sz w:val="8"/>
                        <w:szCs w:val="8"/>
                      </w:rPr>
                    </w:pPr>
                  </w:p>
                  <w:p>
                    <w:pPr>
                      <w:suppressAutoHyphens/>
                      <w:jc w:val="center"/>
                      <w:rPr>
                        <w:szCs w:val="24"/>
                        <w:vertAlign w:val="superscript"/>
                        <w:lang w:eastAsia="lt-LT"/>
                      </w:rPr>
                    </w:pPr>
                    <w:r>
                      <w:rPr>
                        <w:szCs w:val="24"/>
                        <w:lang w:eastAsia="lt-LT"/>
                      </w:rPr>
                      <w:t>1 asmeniui</w:t>
                    </w: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pPr>
                      <w:rPr>
                        <w:sz w:val="8"/>
                        <w:szCs w:val="8"/>
                      </w:rPr>
                    </w:pPr>
                  </w:p>
                  <w:p>
                    <w:pPr>
                      <w:suppressAutoHyphens/>
                      <w:ind w:left="142" w:right="142" w:firstLine="62"/>
                      <w:jc w:val="center"/>
                      <w:rPr>
                        <w:szCs w:val="24"/>
                        <w:lang w:eastAsia="ar-SA"/>
                      </w:rPr>
                    </w:pPr>
                    <w:r>
                      <w:rPr>
                        <w:szCs w:val="24"/>
                        <w:lang w:eastAsia="ar-SA"/>
                      </w:rPr>
                      <w:t>1</w:t>
                    </w:r>
                    <w:r>
                      <w:rPr>
                        <w:szCs w:val="24"/>
                        <w:vertAlign w:val="superscript"/>
                        <w:lang w:eastAsia="ar-SA"/>
                      </w:rPr>
                      <w:t>6</w:t>
                    </w:r>
                    <w:r>
                      <w:rPr>
                        <w:szCs w:val="24"/>
                        <w:lang w:eastAsia="ar-SA"/>
                      </w:rPr>
                      <w:br/>
                      <w:t>2</w:t>
                      <w:br/>
                      <w:t>3</w:t>
                    </w: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2.2.3.</w:t>
                    </w:r>
                  </w:p>
                </w:tc>
                <w:tc>
                  <w:tcPr>
                    <w:tcW w:w="5103" w:type="dxa"/>
                    <w:tcBorders>
                      <w:top w:val="single" w:sz="4" w:space="0" w:color="000000"/>
                      <w:left w:val="single" w:sz="4" w:space="0" w:color="000000"/>
                      <w:bottom w:val="single" w:sz="4" w:space="0" w:color="000000"/>
                    </w:tcBorders>
                  </w:tcPr>
                  <w:p>
                    <w:pPr>
                      <w:suppressAutoHyphens/>
                      <w:rPr>
                        <w:szCs w:val="24"/>
                        <w:lang w:eastAsia="ar-SA"/>
                      </w:rPr>
                    </w:pPr>
                    <w:r>
                      <w:rPr>
                        <w:szCs w:val="24"/>
                        <w:lang w:eastAsia="ar-SA"/>
                      </w:rPr>
                      <w:t xml:space="preserve">scenos meno renginys (koncertas, šokis, teatras ir kt.) </w:t>
                    </w:r>
                  </w:p>
                </w:tc>
                <w:tc>
                  <w:tcPr>
                    <w:tcW w:w="1549" w:type="dxa"/>
                    <w:tcBorders>
                      <w:top w:val="single" w:sz="4" w:space="0" w:color="000000"/>
                      <w:left w:val="single" w:sz="4" w:space="0" w:color="000000"/>
                      <w:bottom w:val="single" w:sz="4" w:space="0" w:color="000000"/>
                    </w:tcBorders>
                    <w:shd w:val="clear" w:color="auto" w:fill="auto"/>
                  </w:tcPr>
                  <w:p>
                    <w:pPr>
                      <w:rPr>
                        <w:sz w:val="8"/>
                        <w:szCs w:val="8"/>
                      </w:rPr>
                    </w:pPr>
                  </w:p>
                  <w:p>
                    <w:pPr>
                      <w:suppressAutoHyphens/>
                      <w:jc w:val="center"/>
                      <w:rPr>
                        <w:szCs w:val="24"/>
                        <w:vertAlign w:val="superscript"/>
                        <w:lang w:eastAsia="lt-LT"/>
                      </w:rPr>
                    </w:pPr>
                    <w:r>
                      <w:rPr>
                        <w:szCs w:val="24"/>
                        <w:lang w:eastAsia="lt-LT"/>
                      </w:rPr>
                      <w:t>1 asmeniui</w:t>
                    </w: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pPr>
                      <w:rPr>
                        <w:sz w:val="8"/>
                        <w:szCs w:val="8"/>
                      </w:rPr>
                    </w:pPr>
                  </w:p>
                  <w:p>
                    <w:pPr>
                      <w:suppressAutoHyphens/>
                      <w:ind w:left="142" w:right="142" w:firstLine="62"/>
                      <w:jc w:val="center"/>
                      <w:rPr>
                        <w:szCs w:val="24"/>
                        <w:lang w:eastAsia="lt-LT"/>
                      </w:rPr>
                    </w:pPr>
                    <w:r>
                      <w:rPr>
                        <w:szCs w:val="24"/>
                        <w:lang w:eastAsia="lt-LT"/>
                      </w:rPr>
                      <w:t>3</w:t>
                    </w:r>
                    <w:r>
                      <w:rPr>
                        <w:szCs w:val="24"/>
                        <w:vertAlign w:val="superscript"/>
                        <w:lang w:eastAsia="lt-LT"/>
                      </w:rPr>
                      <w:t>6</w:t>
                    </w:r>
                    <w:r>
                      <w:rPr>
                        <w:szCs w:val="24"/>
                        <w:lang w:eastAsia="lt-LT"/>
                      </w:rPr>
                      <w:br/>
                      <w:t>5</w:t>
                      <w:br/>
                      <w:t>7</w:t>
                    </w:r>
                  </w:p>
                </w:tc>
              </w:tr>
              <w:tr>
                <w:trPr>
                  <w:trHeight w:val="793"/>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2.2.4.</w:t>
                    </w:r>
                  </w:p>
                </w:tc>
                <w:tc>
                  <w:tcPr>
                    <w:tcW w:w="5103" w:type="dxa"/>
                    <w:tcBorders>
                      <w:top w:val="single" w:sz="4" w:space="0" w:color="000000"/>
                      <w:left w:val="single" w:sz="4" w:space="0" w:color="000000"/>
                      <w:bottom w:val="single" w:sz="4" w:space="0" w:color="000000"/>
                    </w:tcBorders>
                  </w:tcPr>
                  <w:p>
                    <w:pPr>
                      <w:suppressAutoHyphens/>
                      <w:rPr>
                        <w:szCs w:val="24"/>
                        <w:lang w:eastAsia="ar-SA"/>
                      </w:rPr>
                    </w:pPr>
                    <w:r>
                      <w:rPr>
                        <w:szCs w:val="24"/>
                        <w:lang w:eastAsia="ar-SA"/>
                      </w:rPr>
                      <w:t xml:space="preserve">scenos meno renginys (koncertas, šokis, teatras ir kt.) moksleiviams, studentams,  pensininkams, neįgaliesiems</w:t>
                    </w:r>
                  </w:p>
                </w:tc>
                <w:tc>
                  <w:tcPr>
                    <w:tcW w:w="1549" w:type="dxa"/>
                    <w:tcBorders>
                      <w:top w:val="single" w:sz="4" w:space="0" w:color="000000"/>
                      <w:left w:val="single" w:sz="4" w:space="0" w:color="000000"/>
                      <w:bottom w:val="single" w:sz="4" w:space="0" w:color="000000"/>
                    </w:tcBorders>
                    <w:shd w:val="clear" w:color="auto" w:fill="auto"/>
                  </w:tcPr>
                  <w:p>
                    <w:pPr>
                      <w:rPr>
                        <w:sz w:val="8"/>
                        <w:szCs w:val="8"/>
                      </w:rPr>
                    </w:pPr>
                  </w:p>
                  <w:p>
                    <w:pPr>
                      <w:suppressAutoHyphens/>
                      <w:jc w:val="center"/>
                      <w:rPr>
                        <w:szCs w:val="24"/>
                        <w:vertAlign w:val="superscript"/>
                        <w:lang w:eastAsia="lt-LT"/>
                      </w:rPr>
                    </w:pPr>
                    <w:r>
                      <w:rPr>
                        <w:szCs w:val="24"/>
                        <w:lang w:eastAsia="lt-LT"/>
                      </w:rPr>
                      <w:t>1 asmeniui</w:t>
                    </w:r>
                  </w:p>
                </w:tc>
                <w:tc>
                  <w:tcPr>
                    <w:tcW w:w="2552" w:type="dxa"/>
                    <w:gridSpan w:val="2"/>
                    <w:tcBorders>
                      <w:top w:val="single" w:sz="4" w:space="0" w:color="000000"/>
                      <w:left w:val="single" w:sz="4" w:space="0" w:color="000000"/>
                      <w:bottom w:val="single" w:sz="4" w:space="0" w:color="000000"/>
                      <w:right w:val="single" w:sz="4" w:space="0" w:color="000000"/>
                    </w:tcBorders>
                  </w:tcPr>
                  <w:p>
                    <w:pPr>
                      <w:rPr>
                        <w:sz w:val="8"/>
                        <w:szCs w:val="8"/>
                      </w:rPr>
                    </w:pPr>
                  </w:p>
                  <w:p>
                    <w:pPr>
                      <w:suppressAutoHyphens/>
                      <w:ind w:left="142" w:right="142" w:firstLine="62"/>
                      <w:jc w:val="center"/>
                      <w:rPr>
                        <w:szCs w:val="24"/>
                        <w:lang w:eastAsia="lt-LT"/>
                      </w:rPr>
                    </w:pPr>
                    <w:r>
                      <w:rPr>
                        <w:szCs w:val="24"/>
                        <w:lang w:eastAsia="lt-LT"/>
                      </w:rPr>
                      <w:t>2</w:t>
                    </w:r>
                    <w:r>
                      <w:rPr>
                        <w:szCs w:val="24"/>
                        <w:vertAlign w:val="superscript"/>
                        <w:lang w:eastAsia="lt-LT"/>
                      </w:rPr>
                      <w:t>6</w:t>
                    </w:r>
                    <w:r>
                      <w:rPr>
                        <w:szCs w:val="24"/>
                        <w:lang w:eastAsia="lt-LT"/>
                      </w:rPr>
                      <w:br/>
                      <w:t>3</w:t>
                      <w:br/>
                      <w:t>5</w:t>
                    </w: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2.2.5.</w:t>
                    </w:r>
                  </w:p>
                </w:tc>
                <w:tc>
                  <w:tcPr>
                    <w:tcW w:w="5103" w:type="dxa"/>
                    <w:tcBorders>
                      <w:top w:val="single" w:sz="4" w:space="0" w:color="000000"/>
                      <w:left w:val="single" w:sz="4" w:space="0" w:color="000000"/>
                      <w:bottom w:val="single" w:sz="4" w:space="0" w:color="000000"/>
                    </w:tcBorders>
                  </w:tcPr>
                  <w:p>
                    <w:pPr>
                      <w:suppressAutoHyphens/>
                      <w:rPr>
                        <w:szCs w:val="24"/>
                        <w:lang w:eastAsia="ar-SA"/>
                      </w:rPr>
                    </w:pPr>
                    <w:r>
                      <w:rPr>
                        <w:szCs w:val="24"/>
                        <w:lang w:eastAsia="ar-SA"/>
                      </w:rPr>
                      <w:t>tarpdisciplininio meno renginys</w:t>
                    </w:r>
                  </w:p>
                </w:tc>
                <w:tc>
                  <w:tcPr>
                    <w:tcW w:w="1549" w:type="dxa"/>
                    <w:tcBorders>
                      <w:top w:val="single" w:sz="4" w:space="0" w:color="000000"/>
                      <w:left w:val="single" w:sz="4" w:space="0" w:color="000000"/>
                      <w:bottom w:val="single" w:sz="4" w:space="0" w:color="000000"/>
                    </w:tcBorders>
                    <w:shd w:val="clear" w:color="auto" w:fill="auto"/>
                  </w:tcPr>
                  <w:p>
                    <w:pPr>
                      <w:rPr>
                        <w:sz w:val="8"/>
                        <w:szCs w:val="8"/>
                      </w:rPr>
                    </w:pPr>
                  </w:p>
                  <w:p>
                    <w:pPr>
                      <w:suppressAutoHyphens/>
                      <w:jc w:val="center"/>
                      <w:rPr>
                        <w:szCs w:val="24"/>
                        <w:lang w:eastAsia="lt-LT"/>
                      </w:rPr>
                    </w:pPr>
                    <w:r>
                      <w:rPr>
                        <w:szCs w:val="24"/>
                        <w:lang w:eastAsia="ar-SA"/>
                      </w:rPr>
                      <w:t>1 asmeniui</w:t>
                    </w: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pPr>
                      <w:rPr>
                        <w:sz w:val="8"/>
                        <w:szCs w:val="8"/>
                      </w:rPr>
                    </w:pPr>
                  </w:p>
                  <w:p>
                    <w:pPr>
                      <w:suppressAutoHyphens/>
                      <w:ind w:left="142" w:right="142"/>
                      <w:jc w:val="center"/>
                      <w:rPr>
                        <w:szCs w:val="24"/>
                        <w:lang w:eastAsia="lt-LT"/>
                      </w:rPr>
                    </w:pPr>
                    <w:r>
                      <w:rPr>
                        <w:szCs w:val="24"/>
                        <w:lang w:eastAsia="lt-LT"/>
                      </w:rPr>
                      <w:t>10</w:t>
                    </w:r>
                  </w:p>
                </w:tc>
              </w:tr>
              <w:tr>
                <w:trPr>
                  <w:trHeight w:val="55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2.2.6.</w:t>
                    </w:r>
                  </w:p>
                </w:tc>
                <w:tc>
                  <w:tcPr>
                    <w:tcW w:w="5103" w:type="dxa"/>
                    <w:tcBorders>
                      <w:top w:val="single" w:sz="4" w:space="0" w:color="000000"/>
                      <w:left w:val="single" w:sz="4" w:space="0" w:color="000000"/>
                      <w:bottom w:val="single" w:sz="4" w:space="0" w:color="000000"/>
                    </w:tcBorders>
                  </w:tcPr>
                  <w:p>
                    <w:pPr>
                      <w:suppressAutoHyphens/>
                      <w:rPr>
                        <w:szCs w:val="24"/>
                        <w:lang w:eastAsia="ar-SA"/>
                      </w:rPr>
                    </w:pPr>
                    <w:r>
                      <w:rPr>
                        <w:szCs w:val="24"/>
                        <w:lang w:eastAsia="ar-SA"/>
                      </w:rPr>
                      <w:t>tarpdisciplininio meno renginys moksleiviams, studentams ir pensininkams, neįgaliesiems</w:t>
                    </w:r>
                  </w:p>
                </w:tc>
                <w:tc>
                  <w:tcPr>
                    <w:tcW w:w="1549" w:type="dxa"/>
                    <w:tcBorders>
                      <w:top w:val="single" w:sz="4" w:space="0" w:color="000000"/>
                      <w:left w:val="single" w:sz="4" w:space="0" w:color="000000"/>
                      <w:bottom w:val="single" w:sz="4" w:space="0" w:color="000000"/>
                    </w:tcBorders>
                    <w:shd w:val="clear" w:color="auto" w:fill="auto"/>
                  </w:tcPr>
                  <w:p>
                    <w:pPr>
                      <w:rPr>
                        <w:sz w:val="8"/>
                        <w:szCs w:val="8"/>
                      </w:rPr>
                    </w:pPr>
                  </w:p>
                  <w:p>
                    <w:pPr>
                      <w:suppressAutoHyphens/>
                      <w:jc w:val="center"/>
                      <w:rPr>
                        <w:szCs w:val="24"/>
                        <w:lang w:eastAsia="ar-SA"/>
                      </w:rPr>
                    </w:pPr>
                    <w:r>
                      <w:rPr>
                        <w:szCs w:val="24"/>
                        <w:lang w:eastAsia="ar-SA"/>
                      </w:rPr>
                      <w:t>1 asmeniui</w:t>
                    </w:r>
                  </w:p>
                </w:tc>
                <w:tc>
                  <w:tcPr>
                    <w:tcW w:w="2552" w:type="dxa"/>
                    <w:gridSpan w:val="2"/>
                    <w:tcBorders>
                      <w:top w:val="single" w:sz="4" w:space="0" w:color="000000"/>
                      <w:left w:val="single" w:sz="4" w:space="0" w:color="000000"/>
                      <w:bottom w:val="single" w:sz="4" w:space="0" w:color="000000"/>
                      <w:right w:val="single" w:sz="4" w:space="0" w:color="000000"/>
                    </w:tcBorders>
                  </w:tcPr>
                  <w:p>
                    <w:pPr>
                      <w:rPr>
                        <w:sz w:val="8"/>
                        <w:szCs w:val="8"/>
                      </w:rPr>
                    </w:pPr>
                  </w:p>
                  <w:p>
                    <w:pPr>
                      <w:suppressAutoHyphens/>
                      <w:ind w:left="142" w:right="142"/>
                      <w:jc w:val="center"/>
                      <w:rPr>
                        <w:szCs w:val="24"/>
                        <w:lang w:eastAsia="lt-LT"/>
                      </w:rPr>
                    </w:pPr>
                    <w:r>
                      <w:rPr>
                        <w:szCs w:val="24"/>
                        <w:lang w:eastAsia="lt-LT"/>
                      </w:rPr>
                      <w:t>7</w:t>
                    </w:r>
                  </w:p>
                </w:tc>
              </w:tr>
              <w:tr>
                <w:trPr>
                  <w:trHeight w:val="81"/>
                </w:trPr>
                <w:tc>
                  <w:tcPr>
                    <w:tcW w:w="717" w:type="dxa"/>
                    <w:tcBorders>
                      <w:top w:val="single" w:sz="4" w:space="0" w:color="000000"/>
                      <w:left w:val="single" w:sz="4" w:space="0" w:color="000000"/>
                      <w:bottom w:val="single" w:sz="4" w:space="0" w:color="000000"/>
                    </w:tcBorders>
                    <w:vAlign w:val="center"/>
                  </w:tcPr>
                  <w:p>
                    <w:pPr>
                      <w:suppressAutoHyphens/>
                      <w:snapToGrid w:val="0"/>
                      <w:jc w:val="center"/>
                      <w:rPr>
                        <w:szCs w:val="24"/>
                        <w:lang w:eastAsia="ar-SA"/>
                      </w:rPr>
                    </w:pPr>
                    <w:r>
                      <w:rPr>
                        <w:szCs w:val="24"/>
                        <w:lang w:eastAsia="ar-SA"/>
                      </w:rPr>
                      <w:t>2.3.</w:t>
                    </w:r>
                  </w:p>
                </w:tc>
                <w:tc>
                  <w:tcPr>
                    <w:tcW w:w="5103" w:type="dxa"/>
                    <w:tcBorders>
                      <w:top w:val="single" w:sz="4" w:space="0" w:color="000000"/>
                      <w:left w:val="single" w:sz="4" w:space="0" w:color="000000"/>
                      <w:bottom w:val="single" w:sz="4" w:space="0" w:color="000000"/>
                    </w:tcBorders>
                    <w:vAlign w:val="center"/>
                  </w:tcPr>
                  <w:p>
                    <w:pPr>
                      <w:suppressAutoHyphens/>
                      <w:snapToGrid w:val="0"/>
                      <w:rPr>
                        <w:szCs w:val="24"/>
                        <w:lang w:eastAsia="ar-SA"/>
                      </w:rPr>
                    </w:pPr>
                    <w:r>
                      <w:rPr>
                        <w:szCs w:val="24"/>
                        <w:lang w:eastAsia="ar-SA"/>
                      </w:rPr>
                      <w:t>į edukacines programas:</w:t>
                    </w:r>
                  </w:p>
                </w:tc>
                <w:tc>
                  <w:tcPr>
                    <w:tcW w:w="1549" w:type="dxa"/>
                    <w:tcBorders>
                      <w:top w:val="single" w:sz="4" w:space="0" w:color="000000"/>
                      <w:left w:val="single" w:sz="4" w:space="0" w:color="000000"/>
                      <w:bottom w:val="single" w:sz="4" w:space="0" w:color="000000"/>
                    </w:tcBorders>
                    <w:shd w:val="clear" w:color="auto" w:fill="auto"/>
                    <w:vAlign w:val="center"/>
                  </w:tcPr>
                  <w:p>
                    <w:pPr>
                      <w:suppressAutoHyphens/>
                      <w:snapToGrid w:val="0"/>
                      <w:jc w:val="center"/>
                      <w:rPr>
                        <w:szCs w:val="24"/>
                        <w:lang w:eastAsia="ar-SA"/>
                      </w:rPr>
                    </w:pP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pPr>
                      <w:suppressAutoHyphens/>
                      <w:snapToGrid w:val="0"/>
                      <w:ind w:left="142" w:right="142"/>
                      <w:jc w:val="center"/>
                      <w:rPr>
                        <w:strike/>
                        <w:szCs w:val="24"/>
                        <w:lang w:eastAsia="ar-SA"/>
                      </w:rPr>
                    </w:pPr>
                  </w:p>
                </w:tc>
              </w:tr>
              <w:tr>
                <w:trPr>
                  <w:trHeight w:val="815"/>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2.3.1.</w:t>
                    </w:r>
                  </w:p>
                </w:tc>
                <w:tc>
                  <w:tcPr>
                    <w:tcW w:w="5103" w:type="dxa"/>
                    <w:tcBorders>
                      <w:top w:val="single" w:sz="4" w:space="0" w:color="000000"/>
                      <w:left w:val="single" w:sz="4" w:space="0" w:color="000000"/>
                      <w:bottom w:val="single" w:sz="4" w:space="0" w:color="000000"/>
                    </w:tcBorders>
                  </w:tcPr>
                  <w:p>
                    <w:pPr>
                      <w:suppressAutoHyphens/>
                      <w:snapToGrid w:val="0"/>
                      <w:rPr>
                        <w:szCs w:val="24"/>
                        <w:lang w:eastAsia="ar-SA"/>
                      </w:rPr>
                    </w:pPr>
                    <w:r>
                      <w:rPr>
                        <w:szCs w:val="24"/>
                        <w:lang w:eastAsia="ar-SA"/>
                      </w:rPr>
                      <w:t>edukacinės dirbtuvės</w:t>
                    </w:r>
                  </w:p>
                </w:tc>
                <w:tc>
                  <w:tcPr>
                    <w:tcW w:w="1549" w:type="dxa"/>
                    <w:tcBorders>
                      <w:top w:val="single" w:sz="4" w:space="0" w:color="000000"/>
                      <w:left w:val="single" w:sz="4" w:space="0" w:color="000000"/>
                      <w:bottom w:val="single" w:sz="4" w:space="0" w:color="000000"/>
                    </w:tcBorders>
                    <w:shd w:val="clear" w:color="auto" w:fill="auto"/>
                  </w:tcPr>
                  <w:p>
                    <w:pPr>
                      <w:suppressAutoHyphens/>
                      <w:snapToGrid w:val="0"/>
                      <w:jc w:val="center"/>
                      <w:rPr>
                        <w:szCs w:val="24"/>
                        <w:vertAlign w:val="superscript"/>
                        <w:lang w:eastAsia="ar-SA"/>
                      </w:rPr>
                    </w:pPr>
                    <w:r>
                      <w:rPr>
                        <w:szCs w:val="24"/>
                        <w:lang w:eastAsia="ar-SA"/>
                      </w:rPr>
                      <w:t>1 asmeniui</w:t>
                    </w:r>
                  </w:p>
                </w:tc>
                <w:tc>
                  <w:tcPr>
                    <w:tcW w:w="2552" w:type="dxa"/>
                    <w:gridSpan w:val="2"/>
                    <w:tcBorders>
                      <w:top w:val="single" w:sz="4" w:space="0" w:color="000000"/>
                      <w:left w:val="single" w:sz="4" w:space="0" w:color="000000"/>
                      <w:bottom w:val="single" w:sz="4" w:space="0" w:color="000000"/>
                      <w:right w:val="single" w:sz="4" w:space="0" w:color="000000"/>
                    </w:tcBorders>
                  </w:tcPr>
                  <w:p>
                    <w:pPr>
                      <w:suppressAutoHyphens/>
                      <w:snapToGrid w:val="0"/>
                      <w:ind w:right="142" w:firstLine="124"/>
                      <w:jc w:val="center"/>
                      <w:rPr>
                        <w:szCs w:val="24"/>
                        <w:lang w:eastAsia="lt-LT"/>
                      </w:rPr>
                    </w:pPr>
                    <w:r>
                      <w:rPr>
                        <w:szCs w:val="24"/>
                        <w:lang w:eastAsia="lt-LT"/>
                      </w:rPr>
                      <w:t>3</w:t>
                    </w:r>
                    <w:r>
                      <w:rPr>
                        <w:szCs w:val="24"/>
                        <w:vertAlign w:val="superscript"/>
                        <w:lang w:eastAsia="lt-LT"/>
                      </w:rPr>
                      <w:t>6</w:t>
                    </w:r>
                    <w:r>
                      <w:rPr>
                        <w:szCs w:val="24"/>
                        <w:lang w:eastAsia="lt-LT"/>
                      </w:rPr>
                      <w:br/>
                      <w:t xml:space="preserve"> 5</w:t>
                      <w:br/>
                      <w:t xml:space="preserve"> 7</w:t>
                    </w:r>
                  </w:p>
                </w:tc>
              </w:tr>
              <w:tr>
                <w:trPr>
                  <w:trHeight w:val="276"/>
                </w:trPr>
                <w:tc>
                  <w:tcPr>
                    <w:tcW w:w="717" w:type="dxa"/>
                    <w:tcBorders>
                      <w:top w:val="single" w:sz="4" w:space="0" w:color="000000"/>
                      <w:left w:val="single" w:sz="4" w:space="0" w:color="000000"/>
                      <w:bottom w:val="single" w:sz="4" w:space="0" w:color="000000"/>
                    </w:tcBorders>
                    <w:vAlign w:val="center"/>
                  </w:tcPr>
                  <w:p>
                    <w:pPr>
                      <w:suppressAutoHyphens/>
                      <w:snapToGrid w:val="0"/>
                      <w:jc w:val="center"/>
                      <w:rPr>
                        <w:szCs w:val="24"/>
                        <w:lang w:eastAsia="ar-SA"/>
                      </w:rPr>
                    </w:pPr>
                    <w:r>
                      <w:rPr>
                        <w:szCs w:val="24"/>
                        <w:lang w:eastAsia="ar-SA"/>
                      </w:rPr>
                      <w:t>2.3.2.</w:t>
                    </w:r>
                  </w:p>
                </w:tc>
                <w:tc>
                  <w:tcPr>
                    <w:tcW w:w="5103" w:type="dxa"/>
                    <w:tcBorders>
                      <w:top w:val="single" w:sz="4" w:space="0" w:color="000000"/>
                      <w:left w:val="single" w:sz="4" w:space="0" w:color="000000"/>
                      <w:bottom w:val="single" w:sz="4" w:space="0" w:color="000000"/>
                    </w:tcBorders>
                  </w:tcPr>
                  <w:p>
                    <w:pPr>
                      <w:suppressAutoHyphens/>
                      <w:snapToGrid w:val="0"/>
                      <w:rPr>
                        <w:szCs w:val="24"/>
                        <w:lang w:eastAsia="ar-SA"/>
                      </w:rPr>
                    </w:pPr>
                    <w:r>
                      <w:rPr>
                        <w:szCs w:val="24"/>
                        <w:lang w:eastAsia="ar-SA"/>
                      </w:rPr>
                      <w:t>edukacinis užsiėmimas</w:t>
                    </w:r>
                  </w:p>
                </w:tc>
                <w:tc>
                  <w:tcPr>
                    <w:tcW w:w="1549"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1 asmeniui</w:t>
                    </w:r>
                  </w:p>
                </w:tc>
                <w:tc>
                  <w:tcPr>
                    <w:tcW w:w="2552" w:type="dxa"/>
                    <w:gridSpan w:val="2"/>
                    <w:tcBorders>
                      <w:top w:val="single" w:sz="4" w:space="0" w:color="000000"/>
                      <w:left w:val="single" w:sz="4" w:space="0" w:color="000000"/>
                      <w:bottom w:val="single" w:sz="4" w:space="0" w:color="000000"/>
                      <w:right w:val="single" w:sz="4" w:space="0" w:color="000000"/>
                    </w:tcBorders>
                  </w:tcPr>
                  <w:p>
                    <w:pPr>
                      <w:suppressAutoHyphens/>
                      <w:snapToGrid w:val="0"/>
                      <w:ind w:left="142" w:right="142"/>
                      <w:jc w:val="center"/>
                      <w:rPr>
                        <w:szCs w:val="24"/>
                        <w:lang w:eastAsia="ar-SA"/>
                      </w:rPr>
                    </w:pPr>
                    <w:r>
                      <w:rPr>
                        <w:szCs w:val="24"/>
                        <w:lang w:eastAsia="ar-SA"/>
                      </w:rPr>
                      <w:t>1,5</w:t>
                    </w: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2.3.3.</w:t>
                    </w:r>
                  </w:p>
                </w:tc>
                <w:tc>
                  <w:tcPr>
                    <w:tcW w:w="5103" w:type="dxa"/>
                    <w:tcBorders>
                      <w:top w:val="single" w:sz="4" w:space="0" w:color="000000"/>
                      <w:left w:val="single" w:sz="4" w:space="0" w:color="000000"/>
                      <w:bottom w:val="single" w:sz="4" w:space="0" w:color="000000"/>
                    </w:tcBorders>
                  </w:tcPr>
                  <w:p>
                    <w:pPr>
                      <w:suppressAutoHyphens/>
                      <w:snapToGrid w:val="0"/>
                      <w:rPr>
                        <w:strike/>
                        <w:szCs w:val="24"/>
                        <w:lang w:eastAsia="ar-SA"/>
                      </w:rPr>
                    </w:pPr>
                    <w:r>
                      <w:rPr>
                        <w:szCs w:val="24"/>
                        <w:lang w:eastAsia="ar-SA"/>
                      </w:rPr>
                      <w:t>edukacinis užsiėmimas grupei (ne mažiau kaip 10 asmenų)</w:t>
                    </w:r>
                  </w:p>
                </w:tc>
                <w:tc>
                  <w:tcPr>
                    <w:tcW w:w="1549"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1 asmeniui</w:t>
                    </w: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pPr>
                      <w:suppressAutoHyphens/>
                      <w:snapToGrid w:val="0"/>
                      <w:ind w:left="142" w:right="142"/>
                      <w:jc w:val="center"/>
                      <w:rPr>
                        <w:szCs w:val="24"/>
                        <w:lang w:eastAsia="ar-SA"/>
                      </w:rPr>
                    </w:pPr>
                    <w:r>
                      <w:rPr>
                        <w:szCs w:val="24"/>
                        <w:lang w:eastAsia="ar-SA"/>
                      </w:rPr>
                      <w:t>1</w:t>
                    </w: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2.</w:t>
                    </w:r>
                    <w:r>
                      <w:rPr>
                        <w:strike/>
                        <w:szCs w:val="24"/>
                        <w:lang w:eastAsia="ar-SA"/>
                      </w:rPr>
                      <w:t>4</w:t>
                    </w:r>
                    <w:r>
                      <w:rPr>
                        <w:szCs w:val="24"/>
                        <w:lang w:eastAsia="ar-SA"/>
                      </w:rPr>
                      <w:t>.</w:t>
                    </w:r>
                  </w:p>
                </w:tc>
                <w:tc>
                  <w:tcPr>
                    <w:tcW w:w="5103" w:type="dxa"/>
                    <w:tcBorders>
                      <w:top w:val="single" w:sz="4" w:space="0" w:color="000000"/>
                      <w:left w:val="single" w:sz="4" w:space="0" w:color="000000"/>
                      <w:bottom w:val="single" w:sz="4" w:space="0" w:color="000000"/>
                    </w:tcBorders>
                  </w:tcPr>
                  <w:p>
                    <w:pPr>
                      <w:suppressAutoHyphens/>
                      <w:snapToGrid w:val="0"/>
                      <w:rPr>
                        <w:szCs w:val="24"/>
                        <w:lang w:eastAsia="ar-SA"/>
                      </w:rPr>
                    </w:pPr>
                    <w:r>
                      <w:rPr>
                        <w:szCs w:val="24"/>
                        <w:lang w:eastAsia="ar-SA"/>
                      </w:rPr>
                      <w:t>gido paslauga vykstančios parodos apžvalgai (iš anksto užsiregistravus)</w:t>
                    </w:r>
                  </w:p>
                </w:tc>
                <w:tc>
                  <w:tcPr>
                    <w:tcW w:w="1549"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1 valanda</w:t>
                    </w:r>
                  </w:p>
                </w:tc>
                <w:tc>
                  <w:tcPr>
                    <w:tcW w:w="2552" w:type="dxa"/>
                    <w:gridSpan w:val="2"/>
                    <w:tcBorders>
                      <w:top w:val="single" w:sz="4" w:space="0" w:color="000000"/>
                      <w:left w:val="single" w:sz="4" w:space="0" w:color="000000"/>
                      <w:bottom w:val="single" w:sz="4" w:space="0" w:color="000000"/>
                      <w:right w:val="single" w:sz="4" w:space="0" w:color="000000"/>
                    </w:tcBorders>
                    <w:vAlign w:val="center"/>
                  </w:tcPr>
                  <w:p>
                    <w:pPr>
                      <w:suppressAutoHyphens/>
                      <w:snapToGrid w:val="0"/>
                      <w:ind w:left="142" w:right="142"/>
                      <w:jc w:val="center"/>
                      <w:rPr>
                        <w:strike/>
                        <w:szCs w:val="24"/>
                        <w:lang w:eastAsia="ar-SA"/>
                      </w:rPr>
                    </w:pPr>
                    <w:r>
                      <w:rPr>
                        <w:szCs w:val="24"/>
                        <w:lang w:eastAsia="ar-SA"/>
                      </w:rPr>
                      <w:t>5</w:t>
                    </w: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3.</w:t>
                    </w:r>
                  </w:p>
                </w:tc>
                <w:tc>
                  <w:tcPr>
                    <w:tcW w:w="5103" w:type="dxa"/>
                    <w:tcBorders>
                      <w:top w:val="single" w:sz="4" w:space="0" w:color="000000"/>
                      <w:left w:val="single" w:sz="4" w:space="0" w:color="000000"/>
                      <w:bottom w:val="single" w:sz="4" w:space="0" w:color="000000"/>
                      <w:right w:val="single" w:sz="4" w:space="0" w:color="auto"/>
                    </w:tcBorders>
                  </w:tcPr>
                  <w:p>
                    <w:pPr>
                      <w:suppressAutoHyphens/>
                      <w:snapToGrid w:val="0"/>
                      <w:rPr>
                        <w:szCs w:val="24"/>
                        <w:lang w:eastAsia="ar-SA"/>
                      </w:rPr>
                    </w:pPr>
                    <w:r>
                      <w:rPr>
                        <w:szCs w:val="24"/>
                        <w:lang w:eastAsia="ar-SA"/>
                      </w:rPr>
                      <w:t>Konferencijų įrangos nuoma: komplektas (nešiojamasis kompiuteris, projektorius ir kt.)</w:t>
                    </w:r>
                  </w:p>
                </w:tc>
                <w:tc>
                  <w:tcPr>
                    <w:tcW w:w="1549" w:type="dxa"/>
                    <w:tcBorders>
                      <w:top w:val="single" w:sz="4" w:space="0" w:color="000000"/>
                      <w:left w:val="single" w:sz="4" w:space="0" w:color="auto"/>
                      <w:bottom w:val="single" w:sz="4" w:space="0" w:color="000000"/>
                      <w:right w:val="single" w:sz="4" w:space="0" w:color="auto"/>
                    </w:tcBorders>
                  </w:tcPr>
                  <w:p>
                    <w:pPr>
                      <w:suppressAutoHyphens/>
                      <w:snapToGrid w:val="0"/>
                      <w:jc w:val="center"/>
                      <w:rPr>
                        <w:strike/>
                        <w:szCs w:val="24"/>
                        <w:lang w:eastAsia="ar-SA"/>
                      </w:rPr>
                    </w:pPr>
                    <w:r>
                      <w:rPr>
                        <w:szCs w:val="24"/>
                        <w:lang w:eastAsia="ar-SA"/>
                      </w:rPr>
                      <w:t>1 valanda</w:t>
                    </w:r>
                  </w:p>
                </w:tc>
                <w:tc>
                  <w:tcPr>
                    <w:tcW w:w="2552" w:type="dxa"/>
                    <w:gridSpan w:val="2"/>
                    <w:tcBorders>
                      <w:top w:val="single" w:sz="4" w:space="0" w:color="000000"/>
                      <w:left w:val="single" w:sz="4" w:space="0" w:color="auto"/>
                      <w:bottom w:val="single" w:sz="4" w:space="0" w:color="000000"/>
                      <w:right w:val="single" w:sz="4" w:space="0" w:color="000000"/>
                    </w:tcBorders>
                  </w:tcPr>
                  <w:p>
                    <w:pPr>
                      <w:suppressAutoHyphens/>
                      <w:snapToGrid w:val="0"/>
                      <w:ind w:left="72" w:right="-108" w:hanging="72"/>
                      <w:jc w:val="center"/>
                      <w:rPr>
                        <w:strike/>
                        <w:szCs w:val="24"/>
                        <w:lang w:eastAsia="ar-SA"/>
                      </w:rPr>
                    </w:pPr>
                    <w:r>
                      <w:rPr>
                        <w:szCs w:val="24"/>
                        <w:lang w:eastAsia="ar-SA"/>
                      </w:rPr>
                      <w:t>15</w:t>
                    </w:r>
                  </w:p>
                </w:tc>
              </w:tr>
              <w:tr>
                <w:trPr>
                  <w:trHeight w:val="276"/>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4.</w:t>
                    </w:r>
                  </w:p>
                </w:tc>
                <w:tc>
                  <w:tcPr>
                    <w:tcW w:w="5103" w:type="dxa"/>
                    <w:tcBorders>
                      <w:top w:val="single" w:sz="4" w:space="0" w:color="000000"/>
                      <w:left w:val="single" w:sz="4" w:space="0" w:color="000000"/>
                      <w:bottom w:val="single" w:sz="4" w:space="0" w:color="000000"/>
                      <w:right w:val="single" w:sz="4" w:space="0" w:color="auto"/>
                    </w:tcBorders>
                  </w:tcPr>
                  <w:p>
                    <w:pPr>
                      <w:suppressAutoHyphens/>
                      <w:snapToGrid w:val="0"/>
                      <w:rPr>
                        <w:szCs w:val="24"/>
                        <w:lang w:eastAsia="ar-SA"/>
                      </w:rPr>
                    </w:pPr>
                    <w:r>
                      <w:rPr>
                        <w:szCs w:val="24"/>
                        <w:lang w:eastAsia="ar-SA"/>
                      </w:rPr>
                      <w:t>Meno kūrinių pardavimas</w:t>
                    </w:r>
                  </w:p>
                </w:tc>
                <w:tc>
                  <w:tcPr>
                    <w:tcW w:w="1549" w:type="dxa"/>
                    <w:tcBorders>
                      <w:top w:val="single" w:sz="4" w:space="0" w:color="000000"/>
                      <w:left w:val="single" w:sz="4" w:space="0" w:color="auto"/>
                      <w:bottom w:val="single" w:sz="4" w:space="0" w:color="000000"/>
                      <w:right w:val="single" w:sz="4" w:space="0" w:color="auto"/>
                    </w:tcBorders>
                  </w:tcPr>
                  <w:p>
                    <w:pPr>
                      <w:suppressAutoHyphens/>
                      <w:snapToGrid w:val="0"/>
                      <w:jc w:val="center"/>
                      <w:rPr>
                        <w:szCs w:val="24"/>
                        <w:lang w:eastAsia="ar-SA"/>
                      </w:rPr>
                    </w:pPr>
                    <w:r>
                      <w:rPr>
                        <w:szCs w:val="24"/>
                        <w:lang w:eastAsia="ar-SA"/>
                      </w:rPr>
                      <w:t xml:space="preserve">1 kūrinys </w:t>
                    </w:r>
                  </w:p>
                </w:tc>
                <w:tc>
                  <w:tcPr>
                    <w:tcW w:w="2552" w:type="dxa"/>
                    <w:gridSpan w:val="2"/>
                    <w:tcBorders>
                      <w:top w:val="single" w:sz="4" w:space="0" w:color="000000"/>
                      <w:left w:val="single" w:sz="4" w:space="0" w:color="auto"/>
                      <w:bottom w:val="single" w:sz="4" w:space="0" w:color="000000"/>
                      <w:right w:val="single" w:sz="4" w:space="0" w:color="000000"/>
                    </w:tcBorders>
                  </w:tcPr>
                  <w:p>
                    <w:pPr>
                      <w:suppressAutoHyphens/>
                      <w:snapToGrid w:val="0"/>
                      <w:ind w:left="72" w:right="-108" w:hanging="72"/>
                      <w:rPr>
                        <w:szCs w:val="24"/>
                        <w:lang w:eastAsia="ar-SA"/>
                      </w:rPr>
                    </w:pPr>
                    <w:r>
                      <w:rPr>
                        <w:szCs w:val="24"/>
                        <w:lang w:eastAsia="ar-SA"/>
                      </w:rPr>
                      <w:t>20 proc. nuo kūrinio pardavimo kainos</w:t>
                    </w:r>
                  </w:p>
                </w:tc>
              </w:tr>
              <w:tr>
                <w:trPr>
                  <w:trHeight w:val="2542"/>
                </w:trPr>
                <w:tc>
                  <w:tcPr>
                    <w:tcW w:w="717"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szCs w:val="24"/>
                        <w:lang w:eastAsia="ar-SA"/>
                      </w:rPr>
                    </w:pPr>
                    <w:r>
                      <w:rPr>
                        <w:szCs w:val="24"/>
                        <w:lang w:eastAsia="ar-SA"/>
                      </w:rPr>
                      <w:t>5.</w:t>
                    </w:r>
                  </w:p>
                </w:tc>
                <w:tc>
                  <w:tcPr>
                    <w:tcW w:w="510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bCs/>
                        <w:szCs w:val="24"/>
                        <w:lang w:eastAsia="ar-SA"/>
                      </w:rPr>
                      <w:t xml:space="preserve">Kultūros produktų  (leidinių, kompaktinių plokštelių, suvenyrų ir kt.), prekių su Šiaulių dailės galerijos simbolika (pieštukų, tušinukų, atvirukų, magnetukų, padėkliukų, raktų pakabukų, ženkliukų, sagių, molinukų, maišelių, kalendorių, marškinėlių, nedidelių leidinių, kompaktinių plokštelių ir pan.) pardavimo paslauga</w:t>
                    </w:r>
                  </w:p>
                </w:tc>
                <w:tc>
                  <w:tcPr>
                    <w:tcW w:w="1549" w:type="dxa"/>
                    <w:tcBorders>
                      <w:top w:val="single" w:sz="4" w:space="0" w:color="000000"/>
                      <w:left w:val="single" w:sz="4" w:space="0" w:color="000000"/>
                      <w:bottom w:val="single" w:sz="4" w:space="0" w:color="000000"/>
                      <w:right w:val="single" w:sz="4" w:space="0" w:color="000000"/>
                    </w:tcBorders>
                  </w:tcPr>
                  <w:p>
                    <w:pPr>
                      <w:suppressAutoHyphens/>
                      <w:jc w:val="center"/>
                      <w:rPr>
                        <w:szCs w:val="24"/>
                        <w:lang w:eastAsia="ar-SA"/>
                      </w:rPr>
                    </w:pPr>
                    <w:r>
                      <w:rPr>
                        <w:szCs w:val="24"/>
                        <w:lang w:eastAsia="ar-SA"/>
                      </w:rPr>
                      <w:t>1 paslauga</w:t>
                    </w:r>
                  </w:p>
                </w:tc>
                <w:tc>
                  <w:tcPr>
                    <w:tcW w:w="2552" w:type="dxa"/>
                    <w:gridSpan w:val="2"/>
                    <w:tcBorders>
                      <w:top w:val="single" w:sz="4" w:space="0" w:color="000000"/>
                      <w:left w:val="single" w:sz="4" w:space="0" w:color="000000"/>
                      <w:bottom w:val="single" w:sz="4" w:space="0" w:color="000000"/>
                      <w:right w:val="single" w:sz="4" w:space="0" w:color="000000"/>
                    </w:tcBorders>
                  </w:tcPr>
                  <w:p>
                    <w:pPr>
                      <w:suppressAutoHyphens/>
                      <w:rPr>
                        <w:bCs/>
                        <w:szCs w:val="24"/>
                        <w:lang w:eastAsia="ar-SA"/>
                      </w:rPr>
                    </w:pPr>
                    <w:r>
                      <w:rPr>
                        <w:bCs/>
                        <w:szCs w:val="24"/>
                        <w:lang w:eastAsia="ar-SA"/>
                      </w:rPr>
                      <w:t>Prekių savikaina (su PVM) nuo 1 ct iki 10 Eur – 40 proc.;</w:t>
                      <w:br/>
                      <w:t>prekių savikaina (su PVM) nuo 10,01 Eur iki 20 Eur – 30 proc.;</w:t>
                      <w:br/>
                      <w:t>prekių savikaina (su PVM) nuo 20,01 Eur – 20 proc.</w:t>
                    </w:r>
                  </w:p>
                </w:tc>
              </w:tr>
              <w:tr>
                <w:trPr>
                  <w:trHeight w:val="789"/>
                </w:trPr>
                <w:tc>
                  <w:tcPr>
                    <w:tcW w:w="717" w:type="dxa"/>
                    <w:tcBorders>
                      <w:top w:val="single" w:sz="4" w:space="0" w:color="000000"/>
                      <w:left w:val="single" w:sz="4" w:space="0" w:color="000000"/>
                      <w:bottom w:val="single" w:sz="4" w:space="0" w:color="000000"/>
                    </w:tcBorders>
                  </w:tcPr>
                  <w:p>
                    <w:pPr>
                      <w:suppressAutoHyphens/>
                      <w:snapToGrid w:val="0"/>
                      <w:jc w:val="center"/>
                      <w:rPr>
                        <w:szCs w:val="24"/>
                        <w:lang w:eastAsia="ar-SA"/>
                      </w:rPr>
                    </w:pPr>
                    <w:r>
                      <w:rPr>
                        <w:szCs w:val="24"/>
                        <w:lang w:eastAsia="ar-SA"/>
                      </w:rPr>
                      <w:t>6.</w:t>
                    </w:r>
                  </w:p>
                </w:tc>
                <w:tc>
                  <w:tcPr>
                    <w:tcW w:w="5103" w:type="dxa"/>
                    <w:tcBorders>
                      <w:top w:val="single" w:sz="4" w:space="0" w:color="000000"/>
                      <w:left w:val="single" w:sz="4" w:space="0" w:color="000000"/>
                      <w:bottom w:val="single" w:sz="4" w:space="0" w:color="000000"/>
                      <w:right w:val="single" w:sz="4" w:space="0" w:color="auto"/>
                    </w:tcBorders>
                  </w:tcPr>
                  <w:p>
                    <w:pPr>
                      <w:suppressAutoHyphens/>
                      <w:snapToGrid w:val="0"/>
                      <w:rPr>
                        <w:szCs w:val="24"/>
                        <w:lang w:eastAsia="ar-SA"/>
                      </w:rPr>
                    </w:pPr>
                    <w:r>
                      <w:rPr>
                        <w:szCs w:val="24"/>
                        <w:lang w:eastAsia="ar-SA"/>
                      </w:rPr>
                      <w:t xml:space="preserve">Renginio (seminaro, paskaitų ciklo  ir pan.) priežiūros paslauga: įgarsinimas, multimedija, konferencijos stendai, priemonės ir kt.)</w:t>
                    </w:r>
                  </w:p>
                </w:tc>
                <w:tc>
                  <w:tcPr>
                    <w:tcW w:w="1549" w:type="dxa"/>
                    <w:tcBorders>
                      <w:top w:val="single" w:sz="4" w:space="0" w:color="000000"/>
                      <w:left w:val="single" w:sz="4" w:space="0" w:color="auto"/>
                      <w:bottom w:val="single" w:sz="4" w:space="0" w:color="000000"/>
                      <w:right w:val="single" w:sz="4" w:space="0" w:color="auto"/>
                    </w:tcBorders>
                  </w:tcPr>
                  <w:p>
                    <w:pPr>
                      <w:suppressAutoHyphens/>
                      <w:snapToGrid w:val="0"/>
                      <w:jc w:val="center"/>
                      <w:rPr>
                        <w:szCs w:val="24"/>
                        <w:lang w:eastAsia="ar-SA"/>
                      </w:rPr>
                    </w:pPr>
                    <w:r>
                      <w:rPr>
                        <w:szCs w:val="24"/>
                        <w:lang w:eastAsia="ar-SA"/>
                      </w:rPr>
                      <w:t>1 paslauga</w:t>
                    </w:r>
                  </w:p>
                </w:tc>
                <w:tc>
                  <w:tcPr>
                    <w:tcW w:w="2552" w:type="dxa"/>
                    <w:gridSpan w:val="2"/>
                    <w:tcBorders>
                      <w:top w:val="single" w:sz="4" w:space="0" w:color="000000"/>
                      <w:left w:val="single" w:sz="4" w:space="0" w:color="auto"/>
                      <w:bottom w:val="single" w:sz="4" w:space="0" w:color="000000"/>
                      <w:right w:val="single" w:sz="4" w:space="0" w:color="000000"/>
                    </w:tcBorders>
                  </w:tcPr>
                  <w:p>
                    <w:pPr>
                      <w:suppressAutoHyphens/>
                      <w:snapToGrid w:val="0"/>
                      <w:ind w:left="72" w:right="-108" w:hanging="72"/>
                      <w:jc w:val="center"/>
                      <w:rPr>
                        <w:szCs w:val="24"/>
                        <w:lang w:eastAsia="ar-SA"/>
                      </w:rPr>
                    </w:pPr>
                    <w:r>
                      <w:rPr>
                        <w:szCs w:val="24"/>
                        <w:lang w:eastAsia="ar-SA"/>
                      </w:rPr>
                      <w:t>50</w:t>
                    </w:r>
                  </w:p>
                </w:tc>
              </w:tr>
            </w:tbl>
            <w:p>
              <w:pPr>
                <w:suppressAutoHyphens/>
                <w:ind w:firstLine="567"/>
                <w:jc w:val="both"/>
                <w:rPr>
                  <w:szCs w:val="24"/>
                  <w:lang w:eastAsia="ar-SA"/>
                </w:rPr>
              </w:pPr>
            </w:p>
          </w:sdtContent>
        </w:sdt>
        <w:sdt>
          <w:sdtPr>
            <w:alias w:val="pastraipa"/>
            <w:tag w:val="part_39beed10f8a642359b8e1fe91f44f38b"/>
            <w:lock w:val="sdtLocked"/>
            <w:richText/>
          </w:sdtPr>
          <w:sdtContent>
            <w:p>
              <w:pPr>
                <w:suppressAutoHyphens/>
                <w:ind w:firstLine="567"/>
                <w:jc w:val="both"/>
                <w:rPr>
                  <w:szCs w:val="24"/>
                  <w:lang w:eastAsia="ar-SA"/>
                </w:rPr>
              </w:pPr>
              <w:r>
                <w:rPr>
                  <w:szCs w:val="24"/>
                  <w:lang w:eastAsia="ar-SA"/>
                </w:rPr>
                <w:t>Pastaba. Šeštadieniai – šeimų diena: šeimoms su vaikais iki 16 m. Šiaulių dailės galerijos parodų lankymas nemokamas.</w:t>
              </w:r>
            </w:p>
          </w:sdtContent>
        </w:sdt>
        <w:sdt>
          <w:sdtPr>
            <w:alias w:val="pastraipa"/>
            <w:tag w:val="part_eef9880d9cd740638885d64e52967a5d"/>
            <w:lock w:val="sdtLocked"/>
            <w:richText/>
          </w:sdtPr>
          <w:sdtContent>
            <w:p>
              <w:pPr>
                <w:ind w:firstLine="567"/>
                <w:rPr>
                  <w:kern w:val="2"/>
                  <w:szCs w:val="24"/>
                  <w:lang w:val="pt-BR"/>
                </w:rPr>
              </w:pPr>
              <w:r>
                <w:rPr>
                  <w:kern w:val="2"/>
                  <w:szCs w:val="24"/>
                  <w:vertAlign w:val="superscript"/>
                  <w:lang w:val="pt-BR"/>
                </w:rPr>
                <w:t xml:space="preserve">1 </w:t>
              </w:r>
              <w:r>
                <w:rPr>
                  <w:kern w:val="2"/>
                  <w:szCs w:val="24"/>
                  <w:lang w:val="pt-BR"/>
                </w:rPr>
                <w:t>Paslaugų kainos dydis apskaičiuojamas pagal formulę:</w:t>
              </w:r>
            </w:p>
          </w:sdtContent>
        </w:sdt>
        <w:sdt>
          <w:sdtPr>
            <w:alias w:val="pastraipa"/>
            <w:tag w:val="part_f61ae8ed5c5043cfaa625826a09c155f"/>
            <w:lock w:val="sdtLocked"/>
            <w:richText/>
          </w:sdtPr>
          <w:sdtContent>
            <w:p>
              <w:pPr>
                <w:ind w:firstLine="709"/>
                <w:rPr>
                  <w:kern w:val="2"/>
                  <w:szCs w:val="24"/>
                  <w:lang w:val="pt-BR"/>
                </w:rPr>
              </w:pPr>
              <w:r>
                <w:rPr>
                  <w:kern w:val="2"/>
                  <w:szCs w:val="24"/>
                  <w:lang w:val="pt-BR"/>
                </w:rPr>
                <w:t>((DS + ES) x Ki x V)/P(b) x P(n)/M = N, kur:</w:t>
              </w:r>
            </w:p>
          </w:sdtContent>
        </w:sdt>
        <w:sdt>
          <w:sdtPr>
            <w:alias w:val="pastraipa"/>
            <w:tag w:val="part_be5c30862ecb4be7857c86a3b4377450"/>
            <w:lock w:val="sdtLocked"/>
            <w:richText/>
          </w:sdtPr>
          <w:sdtContent>
            <w:p>
              <w:pPr>
                <w:ind w:firstLine="709"/>
                <w:rPr>
                  <w:kern w:val="2"/>
                  <w:szCs w:val="24"/>
                  <w:lang w:val="pt-BR"/>
                </w:rPr>
              </w:pPr>
              <w:r>
                <w:rPr>
                  <w:kern w:val="2"/>
                  <w:szCs w:val="24"/>
                  <w:lang w:val="pt-BR"/>
                </w:rPr>
                <w:t>N – vieno objekto paslaugos 1 val. kaina eurais;</w:t>
              </w:r>
            </w:p>
          </w:sdtContent>
        </w:sdt>
        <w:sdt>
          <w:sdtPr>
            <w:alias w:val="pastraipa"/>
            <w:tag w:val="part_50502df570b743489b7ac21000ac7a75"/>
            <w:lock w:val="sdtLocked"/>
            <w:richText/>
          </w:sdtPr>
          <w:sdtContent>
            <w:p>
              <w:pPr>
                <w:ind w:firstLine="709"/>
                <w:jc w:val="both"/>
                <w:rPr>
                  <w:kern w:val="2"/>
                  <w:szCs w:val="24"/>
                  <w:lang w:val="pt-BR"/>
                </w:rPr>
              </w:pPr>
              <w:r>
                <w:rPr>
                  <w:kern w:val="2"/>
                  <w:szCs w:val="24"/>
                  <w:lang w:val="pt-BR"/>
                </w:rPr>
                <w:t>Ki – turto valdytojo (nuomotojo) parinktas nuompinigių dydžio koregavimo koeficientas, priklausomai nuo turto būklės:</w:t>
              </w:r>
            </w:p>
          </w:sdtContent>
        </w:sdt>
        <w:sdt>
          <w:sdtPr>
            <w:alias w:val="pastraipa"/>
            <w:tag w:val="part_27f181bec6f84c0c83478a0dab60b4f6"/>
            <w:lock w:val="sdtLocked"/>
            <w:richText/>
          </w:sdtPr>
          <w:sdtContent>
            <w:p>
              <w:pPr>
                <w:tabs>
                  <w:tab w:val="left" w:pos="360"/>
                </w:tabs>
                <w:ind w:firstLine="709"/>
                <w:jc w:val="both"/>
                <w:rPr>
                  <w:kern w:val="2"/>
                  <w:szCs w:val="24"/>
                  <w:lang w:val="pt-BR"/>
                </w:rPr>
              </w:pPr>
              <w:r>
                <w:rPr>
                  <w:kern w:val="2"/>
                  <w:szCs w:val="24"/>
                  <w:lang w:val="pt-BR"/>
                </w:rPr>
                <w:t>Ki = 1,3–1 (taikomas labai geros ir geros būklės turtui, kurio nusidėvėjimas neviršija 30 proc.);</w:t>
              </w:r>
            </w:p>
          </w:sdtContent>
        </w:sdt>
        <w:sdt>
          <w:sdtPr>
            <w:alias w:val="pastraipa"/>
            <w:tag w:val="part_6b64142f58484dd88707d07662c7632e"/>
            <w:lock w:val="sdtLocked"/>
            <w:richText/>
          </w:sdtPr>
          <w:sdtContent>
            <w:p>
              <w:pPr>
                <w:tabs>
                  <w:tab w:val="left" w:pos="360"/>
                </w:tabs>
                <w:ind w:firstLine="709"/>
                <w:jc w:val="both"/>
                <w:rPr>
                  <w:kern w:val="2"/>
                  <w:szCs w:val="24"/>
                  <w:lang w:val="pt-BR"/>
                </w:rPr>
              </w:pPr>
              <w:r>
                <w:rPr>
                  <w:kern w:val="2"/>
                  <w:szCs w:val="24"/>
                  <w:lang w:val="pt-BR"/>
                </w:rPr>
                <w:t>Ki = 1–0,7 (taikomas vidutinės būklės turtui, kurio nusidėvėjimas viršija 30 proc., bet neviršija 60 proc.);</w:t>
              </w:r>
            </w:p>
          </w:sdtContent>
        </w:sdt>
        <w:sdt>
          <w:sdtPr>
            <w:alias w:val="pastraipa"/>
            <w:tag w:val="part_2d63864f9a6c46b6991d9ce3767a1495"/>
            <w:lock w:val="sdtLocked"/>
            <w:richText/>
          </w:sdtPr>
          <w:sdtContent>
            <w:p>
              <w:pPr>
                <w:tabs>
                  <w:tab w:val="left" w:pos="360"/>
                </w:tabs>
                <w:ind w:firstLine="709"/>
                <w:jc w:val="both"/>
                <w:rPr>
                  <w:kern w:val="2"/>
                  <w:szCs w:val="24"/>
                  <w:lang w:val="pt-BR"/>
                </w:rPr>
              </w:pPr>
              <w:r>
                <w:rPr>
                  <w:kern w:val="2"/>
                  <w:szCs w:val="24"/>
                  <w:lang w:val="pt-BR"/>
                </w:rPr>
                <w:t>Ki = 0,7–0,1 (taikomas patenkinamos ir blogos būklės turtui, kurio nusidėvėjimas viršija 60 proc.);</w:t>
              </w:r>
            </w:p>
          </w:sdtContent>
        </w:sdt>
        <w:sdt>
          <w:sdtPr>
            <w:alias w:val="pastraipa"/>
            <w:tag w:val="part_e01b3d50dc174bac839681fb24e89570"/>
            <w:lock w:val="sdtLocked"/>
            <w:richText/>
          </w:sdtPr>
          <w:sdtContent>
            <w:p>
              <w:pPr>
                <w:tabs>
                  <w:tab w:val="left" w:pos="567"/>
                </w:tabs>
                <w:ind w:firstLine="709"/>
                <w:jc w:val="both"/>
                <w:rPr>
                  <w:kern w:val="2"/>
                  <w:szCs w:val="24"/>
                  <w:lang w:val="pt-BR"/>
                </w:rPr>
              </w:pPr>
              <w:r>
                <w:rPr>
                  <w:kern w:val="2"/>
                  <w:szCs w:val="24"/>
                  <w:lang w:val="pt-BR"/>
                </w:rPr>
                <w:t>V – turto valdytojo (nuomotojo) parinktas nuompinigių dydžio koregavimo koeficientas, priklausomai nuo turto patrauklumo, užimtumo ir veiklos pobūdžio:</w:t>
              </w:r>
            </w:p>
          </w:sdtContent>
        </w:sdt>
        <w:sdt>
          <w:sdtPr>
            <w:alias w:val="pastraipa"/>
            <w:tag w:val="part_8274227fcd1d4162b0e9d88c8c79bfd5"/>
            <w:lock w:val="sdtLocked"/>
            <w:richText/>
          </w:sdtPr>
          <w:sdtContent>
            <w:p>
              <w:pPr>
                <w:tabs>
                  <w:tab w:val="left" w:pos="360"/>
                </w:tabs>
                <w:ind w:firstLine="709"/>
                <w:jc w:val="both"/>
                <w:rPr>
                  <w:kern w:val="2"/>
                  <w:szCs w:val="24"/>
                  <w:lang w:val="pt-BR"/>
                </w:rPr>
              </w:pPr>
              <w:r>
                <w:rPr>
                  <w:kern w:val="2"/>
                  <w:szCs w:val="24"/>
                  <w:lang w:val="pt-BR"/>
                </w:rPr>
                <w:t>V = 1–5 – atviros erdvės;</w:t>
              </w:r>
            </w:p>
          </w:sdtContent>
        </w:sdt>
        <w:sdt>
          <w:sdtPr>
            <w:alias w:val="pastraipa"/>
            <w:tag w:val="part_626c131d2a9f4227b2ebb222d8430ed4"/>
            <w:lock w:val="sdtLocked"/>
            <w:richText/>
          </w:sdtPr>
          <w:sdtContent>
            <w:p>
              <w:pPr>
                <w:tabs>
                  <w:tab w:val="left" w:pos="360"/>
                </w:tabs>
                <w:ind w:firstLine="709"/>
                <w:jc w:val="both"/>
                <w:rPr>
                  <w:kern w:val="2"/>
                  <w:szCs w:val="24"/>
                  <w:lang w:val="pt-BR"/>
                </w:rPr>
              </w:pPr>
              <w:r>
                <w:rPr>
                  <w:kern w:val="2"/>
                  <w:szCs w:val="24"/>
                  <w:lang w:val="pt-BR"/>
                </w:rPr>
                <w:t>V = 6–10 – objekto įstaigų, kurių komercinis užimtumas yra iki 50 proc. viso užimtumo;</w:t>
              </w:r>
            </w:p>
          </w:sdtContent>
        </w:sdt>
        <w:sdt>
          <w:sdtPr>
            <w:alias w:val="pastraipa"/>
            <w:tag w:val="part_bb4976eac7b7460995977b4361a0d5ca"/>
            <w:lock w:val="sdtLocked"/>
            <w:richText/>
          </w:sdtPr>
          <w:sdtContent>
            <w:p>
              <w:pPr>
                <w:tabs>
                  <w:tab w:val="left" w:pos="360"/>
                </w:tabs>
                <w:ind w:firstLine="709"/>
                <w:jc w:val="both"/>
                <w:rPr>
                  <w:kern w:val="2"/>
                  <w:szCs w:val="24"/>
                  <w:lang w:val="pt-BR"/>
                </w:rPr>
              </w:pPr>
              <w:r>
                <w:rPr>
                  <w:kern w:val="2"/>
                  <w:szCs w:val="24"/>
                  <w:lang w:val="pt-BR"/>
                </w:rPr>
                <w:t>V = 11–20 – ne pagrindinis objekto įstaigų, kurių komercinis užimtumas yra daugiau nei 51 proc. viso objekto užimtumo;</w:t>
              </w:r>
            </w:p>
          </w:sdtContent>
        </w:sdt>
        <w:sdt>
          <w:sdtPr>
            <w:alias w:val="pastraipa"/>
            <w:tag w:val="part_b081f0a0e14e47b1a8ed78d77d6c616b"/>
            <w:lock w:val="sdtLocked"/>
            <w:richText/>
          </w:sdtPr>
          <w:sdtContent>
            <w:p>
              <w:pPr>
                <w:tabs>
                  <w:tab w:val="left" w:pos="360"/>
                </w:tabs>
                <w:ind w:firstLine="709"/>
                <w:jc w:val="both"/>
                <w:rPr>
                  <w:kern w:val="2"/>
                  <w:szCs w:val="24"/>
                  <w:lang w:val="pt-BR"/>
                </w:rPr>
              </w:pPr>
              <w:r>
                <w:rPr>
                  <w:kern w:val="2"/>
                  <w:szCs w:val="24"/>
                  <w:lang w:val="pt-BR"/>
                </w:rPr>
                <w:t>V = 21–30 – pagrindinis objekto įstaigų, kurių komercinis užimtumas yra daugiau nei 51 proc. viso objekto užimtumo;</w:t>
              </w:r>
            </w:p>
          </w:sdtContent>
        </w:sdt>
        <w:sdt>
          <w:sdtPr>
            <w:alias w:val="pastraipa"/>
            <w:tag w:val="part_69f4d30dfabf4ece921f211e9305347c"/>
            <w:lock w:val="sdtLocked"/>
            <w:richText/>
          </w:sdtPr>
          <w:sdtContent>
            <w:p>
              <w:pPr>
                <w:tabs>
                  <w:tab w:val="left" w:pos="360"/>
                </w:tabs>
                <w:ind w:firstLine="709"/>
                <w:jc w:val="both"/>
                <w:rPr>
                  <w:kern w:val="2"/>
                  <w:szCs w:val="24"/>
                  <w:lang w:val="pt-BR"/>
                </w:rPr>
              </w:pPr>
              <w:r>
                <w:rPr>
                  <w:kern w:val="2"/>
                  <w:szCs w:val="24"/>
                  <w:lang w:val="pt-BR"/>
                </w:rPr>
                <w:t>DS – viso administracinio, ūkinio ir aptarnaujančio personalo, susijusio su paslaugos teikimu, darbo užmokesčio ir socialinio draudimo sąnaudų metinė suma (1 pareigybė – 1 etatas);</w:t>
              </w:r>
            </w:p>
          </w:sdtContent>
        </w:sdt>
        <w:sdt>
          <w:sdtPr>
            <w:alias w:val="pastraipa"/>
            <w:tag w:val="part_b19590e92e904451aa4ad94f2ecd423f"/>
            <w:lock w:val="sdtLocked"/>
            <w:richText/>
          </w:sdtPr>
          <w:sdtContent>
            <w:p>
              <w:pPr>
                <w:tabs>
                  <w:tab w:val="left" w:pos="360"/>
                </w:tabs>
                <w:ind w:firstLine="709"/>
                <w:jc w:val="both"/>
                <w:rPr>
                  <w:kern w:val="2"/>
                  <w:szCs w:val="24"/>
                  <w:lang w:val="pt-BR"/>
                </w:rPr>
              </w:pPr>
              <w:r>
                <w:rPr>
                  <w:kern w:val="2"/>
                  <w:szCs w:val="24"/>
                  <w:lang w:val="pt-BR"/>
                </w:rPr>
                <w:t>ES – vieno objekto (treniruoklių salės, stadiono, salės ir kt.) visų su paslaugos teikimu susijusių sąnaudų, t. y. šildymo ir sistemos priežiūros, elektros, vandentiekio, kanalizacijos, komunalinių atliekų tvarkymo, priešgaisrinės ir turto apsaugos, turto draudimo, einamojo remonto, kitų paslaugų ir panaudotų prekių, susijusių su objekto (treniruoklių salės, stadiono, salės) priežiūra ir paslaugos teikimu, metinė suma;</w:t>
              </w:r>
            </w:p>
          </w:sdtContent>
        </w:sdt>
        <w:sdt>
          <w:sdtPr>
            <w:alias w:val="pastraipa"/>
            <w:tag w:val="part_a6e486cb5929489b8662b43f71c0a856"/>
            <w:lock w:val="sdtLocked"/>
            <w:richText/>
          </w:sdtPr>
          <w:sdtContent>
            <w:p>
              <w:pPr>
                <w:ind w:firstLine="851"/>
                <w:jc w:val="both"/>
                <w:rPr>
                  <w:kern w:val="2"/>
                  <w:szCs w:val="24"/>
                  <w:lang w:val="pt-BR"/>
                </w:rPr>
              </w:pPr>
              <w:r>
                <w:rPr>
                  <w:kern w:val="2"/>
                  <w:szCs w:val="24"/>
                  <w:lang w:val="pt-BR"/>
                </w:rPr>
                <w:t>P(b) – viso objekto, kuriame yra objektas (treniruoklių salė, stadionas, salė ir kt.), bendras plotas kv. m;</w:t>
              </w:r>
            </w:p>
          </w:sdtContent>
        </w:sdt>
        <w:sdt>
          <w:sdtPr>
            <w:alias w:val="pastraipa"/>
            <w:tag w:val="part_5d8724e4da824894a71c96c5c0c7b7a9"/>
            <w:lock w:val="sdtLocked"/>
            <w:richText/>
          </w:sdtPr>
          <w:sdtContent>
            <w:p>
              <w:pPr>
                <w:tabs>
                  <w:tab w:val="left" w:pos="360"/>
                </w:tabs>
                <w:ind w:firstLine="851"/>
                <w:jc w:val="both"/>
                <w:rPr>
                  <w:kern w:val="2"/>
                  <w:szCs w:val="24"/>
                  <w:lang w:val="pt-BR"/>
                </w:rPr>
              </w:pPr>
              <w:r>
                <w:rPr>
                  <w:kern w:val="2"/>
                  <w:szCs w:val="24"/>
                  <w:lang w:val="pt-BR"/>
                </w:rPr>
                <w:t>P(n) – objekto (treniruoklių salės, stadiono, salės ir kt.) plotas kv. m;</w:t>
                <w:tab/>
              </w:r>
            </w:p>
          </w:sdtContent>
        </w:sdt>
        <w:sdt>
          <w:sdtPr>
            <w:alias w:val="pastraipa"/>
            <w:tag w:val="part_1945f2e6da5f46f6adca64352c75a2e2"/>
            <w:lock w:val="sdtLocked"/>
            <w:richText/>
          </w:sdtPr>
          <w:sdtContent>
            <w:p>
              <w:pPr>
                <w:tabs>
                  <w:tab w:val="left" w:pos="360"/>
                </w:tabs>
                <w:ind w:firstLine="851"/>
                <w:jc w:val="both"/>
                <w:rPr>
                  <w:kern w:val="2"/>
                  <w:szCs w:val="24"/>
                  <w:lang w:val="pt-BR"/>
                </w:rPr>
              </w:pPr>
              <w:r>
                <w:rPr>
                  <w:kern w:val="2"/>
                  <w:szCs w:val="24"/>
                  <w:lang w:val="pt-BR"/>
                </w:rPr>
                <w:t xml:space="preserve">M – patvirtintas vidutinis darbo valandų skaičius per metus – 2010 val. </w:t>
              </w:r>
            </w:p>
          </w:sdtContent>
        </w:sdt>
        <w:sdt>
          <w:sdtPr>
            <w:alias w:val="pastraipa"/>
            <w:tag w:val="part_4b0d8309a314452384c06a13eaa828a2"/>
            <w:lock w:val="sdtLocked"/>
            <w:richText/>
          </w:sdtPr>
          <w:sdtContent>
            <w:p>
              <w:pPr>
                <w:tabs>
                  <w:tab w:val="left" w:pos="360"/>
                </w:tabs>
                <w:ind w:firstLine="851"/>
                <w:jc w:val="both"/>
                <w:rPr>
                  <w:kern w:val="2"/>
                  <w:szCs w:val="24"/>
                  <w:lang w:val="pt-BR"/>
                </w:rPr>
              </w:pPr>
              <w:r>
                <w:rPr>
                  <w:kern w:val="2"/>
                  <w:szCs w:val="24"/>
                  <w:lang w:val="pt-BR"/>
                </w:rPr>
                <w:t>* – objekto kaina be apšvietimo, dauginama iš 0,7 koeficiento.“</w:t>
              </w:r>
            </w:p>
          </w:sdtContent>
        </w:sdt>
        <w:sdt>
          <w:sdtPr>
            <w:alias w:val="pastraipa"/>
            <w:tag w:val="part_fab6a2b715bd45ef826dc49d9c298f3d"/>
            <w:lock w:val="sdtLocked"/>
            <w:richText/>
          </w:sdtPr>
          <w:sdtContent>
            <w:p>
              <w:pPr>
                <w:suppressAutoHyphens/>
                <w:ind w:firstLine="567"/>
                <w:jc w:val="both"/>
                <w:rPr>
                  <w:szCs w:val="24"/>
                  <w:lang w:eastAsia="lt-LT"/>
                </w:rPr>
              </w:pPr>
              <w:r>
                <w:rPr>
                  <w:szCs w:val="24"/>
                  <w:vertAlign w:val="superscript"/>
                  <w:lang w:eastAsia="lt-LT"/>
                </w:rPr>
                <w:t xml:space="preserve">2 </w:t>
              </w:r>
              <w:r>
                <w:rPr>
                  <w:szCs w:val="24"/>
                  <w:lang w:eastAsia="lt-LT"/>
                </w:rPr>
                <w:t>Nuolaida taikoma Šiaulių miesto savivaldybės biudžetinių įstaigų, kūrybinių sąjungų, nevyriausybinių organizacijų, asociacijų kultūrinio, socialinio pobūdžio nekomerciniams renginiams darbo dienomis 8–17 val.</w:t>
              </w:r>
            </w:p>
          </w:sdtContent>
        </w:sdt>
        <w:sdt>
          <w:sdtPr>
            <w:alias w:val="pastraipa"/>
            <w:tag w:val="part_6b92077185784467a60676befcbfb10b"/>
            <w:lock w:val="sdtLocked"/>
            <w:richText/>
          </w:sdtPr>
          <w:sdtContent>
            <w:p>
              <w:pPr>
                <w:suppressAutoHyphens/>
                <w:ind w:firstLine="567"/>
                <w:jc w:val="both"/>
                <w:rPr>
                  <w:szCs w:val="24"/>
                  <w:lang w:eastAsia="lt-LT"/>
                </w:rPr>
              </w:pPr>
              <w:r>
                <w:rPr>
                  <w:szCs w:val="24"/>
                  <w:vertAlign w:val="superscript"/>
                  <w:lang w:eastAsia="ar-SA"/>
                </w:rPr>
                <w:t xml:space="preserve">3 </w:t>
              </w:r>
              <w:r>
                <w:rPr>
                  <w:szCs w:val="24"/>
                  <w:lang w:eastAsia="ar-SA"/>
                </w:rPr>
                <w:t xml:space="preserve">Nuolaida taikoma </w:t>
              </w:r>
              <w:r>
                <w:rPr>
                  <w:szCs w:val="24"/>
                  <w:lang w:eastAsia="lt-LT"/>
                </w:rPr>
                <w:t>Šiaulių miesto savivaldybės biudžetinių įstaigų, kūrybinių sąjungų, nevyriausybinių organizacijų, asociacijų kultūrinio, socialinio pobūdžio nekomerciniams renginiams darbo dienomis nuo 17 val., savaitgaliais ir švenčių dienomis.</w:t>
              </w:r>
            </w:p>
          </w:sdtContent>
        </w:sdt>
        <w:sdt>
          <w:sdtPr>
            <w:alias w:val="pastraipa"/>
            <w:tag w:val="part_6ceea57fea494a5db3090c8d636a8ae2"/>
            <w:lock w:val="sdtLocked"/>
            <w:richText/>
          </w:sdtPr>
          <w:sdtContent>
            <w:p>
              <w:pPr>
                <w:ind w:firstLine="567"/>
                <w:jc w:val="both"/>
                <w:rPr>
                  <w:bCs/>
                  <w:kern w:val="2"/>
                  <w:szCs w:val="24"/>
                  <w:lang w:val="pt-BR"/>
                </w:rPr>
              </w:pPr>
              <w:r>
                <w:rPr>
                  <w:bCs/>
                  <w:kern w:val="2"/>
                  <w:szCs w:val="24"/>
                  <w:vertAlign w:val="superscript"/>
                  <w:lang w:eastAsia="lt-LT"/>
                </w:rPr>
                <w:t xml:space="preserve">4 </w:t>
              </w:r>
              <w:r>
                <w:rPr>
                  <w:bCs/>
                  <w:kern w:val="2"/>
                  <w:szCs w:val="24"/>
                  <w:lang w:val="pt-BR"/>
                </w:rPr>
                <w:t>Bilieto kaina apskaičiuojama pagal formulę: B = ((DS + ES x P(n) / P(b))/M x H + R) x V/S, kur:</w:t>
              </w:r>
            </w:p>
          </w:sdtContent>
        </w:sdt>
        <w:sdt>
          <w:sdtPr>
            <w:alias w:val="pastraipa"/>
            <w:tag w:val="part_fd216b39581e4df88678288bf2a38e88"/>
            <w:lock w:val="sdtLocked"/>
            <w:richText/>
          </w:sdtPr>
          <w:sdtContent>
            <w:p>
              <w:pPr>
                <w:ind w:firstLine="567"/>
                <w:jc w:val="both"/>
                <w:rPr>
                  <w:bCs/>
                  <w:kern w:val="2"/>
                  <w:szCs w:val="24"/>
                  <w:highlight w:val="white"/>
                  <w:lang w:val="pt-BR"/>
                </w:rPr>
              </w:pPr>
              <w:r>
                <w:rPr>
                  <w:bCs/>
                  <w:kern w:val="2"/>
                  <w:szCs w:val="24"/>
                  <w:lang w:val="pt-BR"/>
                </w:rPr>
                <w:t>B – bilieto kaina;</w:t>
                <w:tab/>
                <w:tab/>
                <w:tab/>
                <w:tab/>
                <w:tab/>
                <w:tab/>
              </w:r>
            </w:p>
          </w:sdtContent>
        </w:sdt>
        <w:sdt>
          <w:sdtPr>
            <w:alias w:val="pastraipa"/>
            <w:tag w:val="part_bfbf1159da0745c680ff5aa6ba4adf31"/>
            <w:lock w:val="sdtLocked"/>
            <w:richText/>
          </w:sdtPr>
          <w:sdtContent>
            <w:p>
              <w:pPr>
                <w:ind w:firstLine="567"/>
                <w:jc w:val="both"/>
                <w:rPr>
                  <w:bCs/>
                  <w:kern w:val="2"/>
                  <w:szCs w:val="24"/>
                  <w:lang w:val="pt-BR"/>
                </w:rPr>
              </w:pPr>
              <w:r>
                <w:rPr>
                  <w:bCs/>
                  <w:kern w:val="2"/>
                  <w:szCs w:val="24"/>
                  <w:lang w:val="pt-BR"/>
                </w:rPr>
                <w:t>DS – administracinio, ūkinio ir aptarnaujančiojo personalo, prižiūrinčio konkretų renginį, darbo užmokesčio ir socialinio draudimo sąnaudų metinė suma (1 pareigybė – 1 etatas);</w:t>
                <w:tab/>
              </w:r>
            </w:p>
          </w:sdtContent>
        </w:sdt>
        <w:sdt>
          <w:sdtPr>
            <w:alias w:val="pastraipa"/>
            <w:tag w:val="part_f83108ce212d45ec9fbd0fddc3e4c545"/>
            <w:lock w:val="sdtLocked"/>
            <w:richText/>
          </w:sdtPr>
          <w:sdtContent>
            <w:p>
              <w:pPr>
                <w:ind w:firstLine="567"/>
                <w:jc w:val="both"/>
                <w:rPr>
                  <w:bCs/>
                  <w:kern w:val="2"/>
                  <w:szCs w:val="24"/>
                  <w:lang w:val="pt-BR"/>
                </w:rPr>
              </w:pPr>
              <w:r>
                <w:rPr>
                  <w:bCs/>
                  <w:kern w:val="2"/>
                  <w:szCs w:val="24"/>
                  <w:lang w:val="pt-BR"/>
                </w:rPr>
                <w:t xml:space="preserve">ES – vienos salės / patalpų visų su paslaugos teikimu susijusių sąnaudų (šildymo ir šildymo  sistemos priežiūros, elektros, vandentiekio, kanalizacijos, komunalinių atliekų tvarkymo, priešgaisrinės ir turto apsaugos, turto draudimo, einamojo remonto, kitų paslaugų ir panaudotų prekių, susijusių su sale, kurioje vyksta renginys) metinė suma;</w:t>
                <w:tab/>
                <w:tab/>
              </w:r>
            </w:p>
          </w:sdtContent>
        </w:sdt>
        <w:sdt>
          <w:sdtPr>
            <w:alias w:val="pastraipa"/>
            <w:tag w:val="part_12563821216a431583957657761808b0"/>
            <w:lock w:val="sdtLocked"/>
            <w:richText/>
          </w:sdtPr>
          <w:sdtContent>
            <w:p>
              <w:pPr>
                <w:ind w:firstLine="567"/>
                <w:jc w:val="both"/>
                <w:rPr>
                  <w:bCs/>
                  <w:kern w:val="2"/>
                  <w:szCs w:val="24"/>
                  <w:lang w:val="pt-BR"/>
                </w:rPr>
              </w:pPr>
              <w:r>
                <w:rPr>
                  <w:bCs/>
                  <w:kern w:val="2"/>
                  <w:szCs w:val="24"/>
                  <w:lang w:val="pt-BR"/>
                </w:rPr>
                <w:t>P(b) – viso pastato, kuriame yra salė / patalpa, bendras plotas kv. m;</w:t>
                <w:tab/>
                <w:tab/>
              </w:r>
            </w:p>
          </w:sdtContent>
        </w:sdt>
        <w:sdt>
          <w:sdtPr>
            <w:alias w:val="pastraipa"/>
            <w:tag w:val="part_69513d55d433484b99b53d8c754faf07"/>
            <w:lock w:val="sdtLocked"/>
            <w:richText/>
          </w:sdtPr>
          <w:sdtContent>
            <w:p>
              <w:pPr>
                <w:ind w:firstLine="567"/>
                <w:jc w:val="both"/>
                <w:rPr>
                  <w:bCs/>
                  <w:kern w:val="2"/>
                  <w:szCs w:val="24"/>
                  <w:lang w:val="pt-BR"/>
                </w:rPr>
              </w:pPr>
              <w:r>
                <w:rPr>
                  <w:bCs/>
                  <w:kern w:val="2"/>
                  <w:szCs w:val="24"/>
                  <w:lang w:val="pt-BR"/>
                </w:rPr>
                <w:t>P(n) – salės / patalpos plotas kv. m.;</w:t>
                <w:tab/>
                <w:tab/>
              </w:r>
            </w:p>
          </w:sdtContent>
        </w:sdt>
        <w:sdt>
          <w:sdtPr>
            <w:alias w:val="pastraipa"/>
            <w:tag w:val="part_b557a1a4cb0b4b74ad88f04936be5c33"/>
            <w:lock w:val="sdtLocked"/>
            <w:richText/>
          </w:sdtPr>
          <w:sdtContent>
            <w:p>
              <w:pPr>
                <w:ind w:firstLine="567"/>
                <w:jc w:val="both"/>
                <w:rPr>
                  <w:bCs/>
                  <w:kern w:val="2"/>
                  <w:szCs w:val="24"/>
                  <w:lang w:val="pt-BR"/>
                </w:rPr>
              </w:pPr>
              <w:r>
                <w:rPr>
                  <w:bCs/>
                  <w:kern w:val="2"/>
                  <w:szCs w:val="24"/>
                  <w:lang w:val="pt-BR"/>
                </w:rPr>
                <w:t>M – darbo valandų skaičius per metus – 2010;</w:t>
                <w:tab/>
                <w:tab/>
                <w:tab/>
              </w:r>
            </w:p>
          </w:sdtContent>
        </w:sdt>
        <w:sdt>
          <w:sdtPr>
            <w:alias w:val="pastraipa"/>
            <w:tag w:val="part_9c3578ad03c34947b5346f086ce5b6dc"/>
            <w:lock w:val="sdtLocked"/>
            <w:richText/>
          </w:sdtPr>
          <w:sdtContent>
            <w:p>
              <w:pPr>
                <w:ind w:firstLine="567"/>
                <w:jc w:val="both"/>
                <w:rPr>
                  <w:bCs/>
                  <w:kern w:val="2"/>
                  <w:szCs w:val="24"/>
                  <w:lang w:val="pt-BR"/>
                </w:rPr>
              </w:pPr>
              <w:r>
                <w:rPr>
                  <w:bCs/>
                  <w:kern w:val="2"/>
                  <w:szCs w:val="24"/>
                  <w:lang w:val="pt-BR"/>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r>
            </w:p>
          </w:sdtContent>
        </w:sdt>
        <w:sdt>
          <w:sdtPr>
            <w:alias w:val="pastraipa"/>
            <w:tag w:val="part_235047ffa1ef4c8b9d79f5e3db7ff29f"/>
            <w:lock w:val="sdtLocked"/>
            <w:richText/>
          </w:sdtPr>
          <w:sdtContent>
            <w:p>
              <w:pPr>
                <w:ind w:firstLine="567"/>
                <w:jc w:val="both"/>
                <w:rPr>
                  <w:bCs/>
                  <w:kern w:val="2"/>
                  <w:szCs w:val="24"/>
                  <w:lang w:val="pt-BR"/>
                </w:rPr>
              </w:pPr>
              <w:r>
                <w:rPr>
                  <w:bCs/>
                  <w:kern w:val="2"/>
                  <w:szCs w:val="24"/>
                  <w:lang w:val="pt-BR"/>
                </w:rPr>
                <w:t>V – renginio patrauklumo koeficientas:</w:t>
                <w:tab/>
                <w:tab/>
                <w:tab/>
                <w:tab/>
              </w:r>
            </w:p>
          </w:sdtContent>
        </w:sdt>
        <w:sdt>
          <w:sdtPr>
            <w:alias w:val="pastraipa"/>
            <w:tag w:val="part_e2df90392cfd458b91b77091b92aa834"/>
            <w:lock w:val="sdtLocked"/>
            <w:richText/>
          </w:sdtPr>
          <w:sdtContent>
            <w:p>
              <w:pPr>
                <w:ind w:firstLine="567"/>
                <w:jc w:val="both"/>
                <w:rPr>
                  <w:b/>
                  <w:bCs/>
                  <w:kern w:val="2"/>
                  <w:szCs w:val="24"/>
                  <w:lang w:val="pt-BR"/>
                </w:rPr>
              </w:pPr>
              <w:r>
                <w:rPr>
                  <w:bCs/>
                  <w:kern w:val="2"/>
                  <w:szCs w:val="24"/>
                  <w:lang w:val="pt-BR"/>
                </w:rPr>
                <w:t>1–2 – profesionaliojo meno atlikėjų pasirodymas (renginio turinio, salės, vietos patrauklumas ir pan.);</w:t>
                <w:tab/>
                <w:tab/>
                <w:tab/>
              </w:r>
              <w:r>
                <w:rPr>
                  <w:b/>
                  <w:bCs/>
                  <w:kern w:val="2"/>
                  <w:szCs w:val="24"/>
                  <w:lang w:val="pt-BR"/>
                </w:rPr>
                <w:tab/>
                <w:tab/>
              </w:r>
            </w:p>
          </w:sdtContent>
        </w:sdt>
        <w:sdt>
          <w:sdtPr>
            <w:alias w:val="pastraipa"/>
            <w:tag w:val="part_2959bbd2d05f43328c89b1cc7ca00c3d"/>
            <w:lock w:val="sdtLocked"/>
            <w:richText/>
          </w:sdtPr>
          <w:sdtContent>
            <w:p>
              <w:pPr>
                <w:ind w:firstLine="567"/>
                <w:jc w:val="both"/>
                <w:rPr>
                  <w:kern w:val="2"/>
                  <w:szCs w:val="24"/>
                  <w:lang w:val="pt-BR"/>
                </w:rPr>
              </w:pPr>
              <w:r>
                <w:rPr>
                  <w:kern w:val="2"/>
                  <w:szCs w:val="24"/>
                  <w:lang w:val="pt-BR"/>
                </w:rPr>
                <w:t>0,1–0,9 – mėgėjų meno atlikėjų pasirodymas, edukacinės programos (veiklos turinio, patalpos, salės, vietos patrauklumas ir pan.);</w:t>
                <w:tab/>
                <w:tab/>
                <w:tab/>
                <w:tab/>
              </w:r>
            </w:p>
          </w:sdtContent>
        </w:sdt>
        <w:sdt>
          <w:sdtPr>
            <w:alias w:val="pastraipa"/>
            <w:tag w:val="part_a1f53d8c6f7048d0bf106b9e43bc9c11"/>
            <w:lock w:val="sdtLocked"/>
            <w:richText/>
          </w:sdtPr>
          <w:sdtContent>
            <w:p>
              <w:pPr>
                <w:ind w:firstLine="567"/>
                <w:jc w:val="both"/>
                <w:rPr>
                  <w:kern w:val="2"/>
                  <w:szCs w:val="24"/>
                  <w:lang w:val="pt-BR"/>
                </w:rPr>
              </w:pPr>
              <w:r>
                <w:rPr>
                  <w:kern w:val="2"/>
                  <w:szCs w:val="24"/>
                  <w:lang w:val="pt-BR"/>
                </w:rPr>
                <w:t>S – vidutinis renginio lankytojų skaičius;</w:t>
                <w:tab/>
                <w:tab/>
                <w:tab/>
                <w:tab/>
              </w:r>
            </w:p>
          </w:sdtContent>
        </w:sdt>
        <w:sdt>
          <w:sdtPr>
            <w:alias w:val="pastraipa"/>
            <w:tag w:val="part_85e4484722cb4aa1b003f47759c16e6d"/>
            <w:lock w:val="sdtLocked"/>
            <w:richText/>
          </w:sdtPr>
          <w:sdtContent>
            <w:p>
              <w:pPr>
                <w:ind w:firstLine="567"/>
                <w:jc w:val="both"/>
                <w:rPr>
                  <w:kern w:val="2"/>
                  <w:szCs w:val="24"/>
                  <w:lang w:val="pt-BR"/>
                </w:rPr>
              </w:pPr>
              <w:r>
                <w:rPr>
                  <w:kern w:val="2"/>
                  <w:szCs w:val="24"/>
                  <w:lang w:val="pt-BR"/>
                </w:rPr>
                <w:t>H – renginio trukmė valandomis.</w:t>
              </w:r>
            </w:p>
          </w:sdtContent>
        </w:sdt>
        <w:sdt>
          <w:sdtPr>
            <w:alias w:val="pastraipa"/>
            <w:tag w:val="part_93b8da9ee0ba4ff1bca2f25c714bcf80"/>
            <w:lock w:val="sdtLocked"/>
            <w:richText/>
          </w:sdtPr>
          <w:sdtContent>
            <w:p>
              <w:pPr>
                <w:ind w:firstLine="567"/>
                <w:jc w:val="both"/>
                <w:rPr>
                  <w:kern w:val="2"/>
                  <w:szCs w:val="24"/>
                  <w:lang w:val="pt-BR"/>
                </w:rPr>
              </w:pPr>
              <w:r>
                <w:rPr>
                  <w:kern w:val="2"/>
                  <w:szCs w:val="24"/>
                  <w:vertAlign w:val="superscript"/>
                  <w:lang w:val="pt-BR"/>
                </w:rPr>
                <w:t xml:space="preserve">5 </w:t>
              </w:r>
              <w:r>
                <w:rPr>
                  <w:bCs/>
                </w:rPr>
                <w:t xml:space="preserve">Nuolaida taikoma Šiaulių miesto savivaldybėje gyvenamąją vietą deklaravusiam asmeniui, </w:t>
              </w:r>
              <w:r>
                <w:rPr>
                  <w:bCs/>
                  <w:strike/>
                </w:rPr>
                <w:t>kuris, naudodamasis mobiliąja programėle „Šiauliai“, pateikia virtualiąją šiauliečio kortelę.</w:t>
              </w:r>
              <w:r>
                <w:rPr>
                  <w:bCs/>
                </w:rPr>
                <w:t xml:space="preserve"> </w:t>
              </w:r>
              <w:r>
                <w:rPr>
                  <w:b/>
                </w:rPr>
                <w:t>kuris pateikia fizinę plastikinę šiauliečio kortelę arba naudodamasis mobiliąja programėle „Šiauliai“ pateikia virtualiąją šiauliečio kortelę.</w:t>
              </w:r>
            </w:p>
          </w:sdtContent>
        </w:sdt>
        <w:sdt>
          <w:sdtPr>
            <w:alias w:val="pastraipa"/>
            <w:tag w:val="part_45a08cae4ce64afe9868a18bbd066bcc"/>
            <w:lock w:val="sdtLocked"/>
            <w:richText/>
          </w:sdtPr>
          <w:sdtContent>
            <w:p>
              <w:pPr>
                <w:ind w:firstLine="567"/>
                <w:jc w:val="both"/>
                <w:rPr>
                  <w:kern w:val="2"/>
                  <w:szCs w:val="24"/>
                  <w:lang w:val="pt-BR"/>
                </w:rPr>
              </w:pPr>
              <w:r>
                <w:rPr>
                  <w:kern w:val="2"/>
                  <w:szCs w:val="24"/>
                  <w:vertAlign w:val="superscript"/>
                  <w:lang w:val="pt-BR"/>
                </w:rPr>
                <w:t xml:space="preserve">6 </w:t>
              </w:r>
              <w:r>
                <w:rPr>
                  <w:kern w:val="2"/>
                  <w:szCs w:val="24"/>
                  <w:lang w:val="pt-BR"/>
                </w:rPr>
                <w:t>Bilieto kaina skaičiuojama pagal renginio trukmę ir pobūdį (profesionalusis, mėgėjų menas ir kt.).</w:t>
              </w:r>
            </w:p>
            <w:p>
              <w:pPr>
                <w:ind w:firstLine="567"/>
                <w:jc w:val="both"/>
                <w:rPr>
                  <w:kern w:val="2"/>
                  <w:szCs w:val="24"/>
                  <w:lang w:val="pt-BR"/>
                </w:rPr>
              </w:pPr>
            </w:p>
          </w:sdtContent>
        </w:sdt>
        <w:sdt>
          <w:sdtPr>
            <w:alias w:val="pastraipa"/>
            <w:tag w:val="part_b4863c4f27bb4921abf870552615e813"/>
            <w:lock w:val="sdtLocked"/>
            <w:richText/>
          </w:sdtPr>
          <w:sdtContent>
            <w:p>
              <w:pPr>
                <w:ind w:firstLine="567"/>
                <w:jc w:val="center"/>
                <w:rPr>
                  <w:kern w:val="2"/>
                  <w:szCs w:val="24"/>
                  <w:lang w:val="pt-BR"/>
                </w:rPr>
              </w:pPr>
              <w:r>
                <w:rPr>
                  <w:kern w:val="2"/>
                  <w:szCs w:val="24"/>
                  <w:lang w:val="pt-BR"/>
                </w:rPr>
                <w:t>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lang w:val="en-US"/>
        </w:rPr>
      </w:pPr>
      <w:r>
        <w:rPr>
          <w:kern w:val="2"/>
          <w:szCs w:val="24"/>
          <w:lang w:val="en-US"/>
        </w:rPr>
        <w:separator/>
      </w:r>
    </w:p>
  </w:endnote>
  <w:endnote w:type="continuationSeparator" w:id="0">
    <w:p>
      <w:pPr>
        <w:rPr>
          <w:kern w:val="2"/>
          <w:szCs w:val="24"/>
          <w:lang w:val="en-US"/>
        </w:rPr>
      </w:pPr>
      <w:r>
        <w:rPr>
          <w:kern w:val="2"/>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lang w:val="en-US"/>
        </w:rPr>
      </w:pPr>
      <w:r>
        <w:rPr>
          <w:kern w:val="2"/>
          <w:szCs w:val="24"/>
          <w:lang w:val="en-US"/>
        </w:rPr>
        <w:separator/>
      </w:r>
    </w:p>
  </w:footnote>
  <w:footnote w:type="continuationSeparator" w:id="0">
    <w:p>
      <w:pPr>
        <w:rPr>
          <w:kern w:val="2"/>
          <w:szCs w:val="24"/>
          <w:lang w:val="en-US"/>
        </w:rPr>
      </w:pPr>
      <w:r>
        <w:rPr>
          <w:kern w:val="2"/>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t xml:space="preserve">                                                                                                                     </w:t>
    </w:r>
  </w:p>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E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9936CE-A76E-4386-9B3C-6382A515C2A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f8ca2c49a7431096f710a5f94198f9" PartId="cde19c0dfb7f401d9768c4ebd388ab4d"/>
  <Part Type="patvirtinta" Title="(Šiaulių miesto savivaldybės tarybos 2025 m. vasario d. sprendimo Nr. T- redakcija)" DocPartId="10b2fe4fb86940f9940f37ce7acff35d" PartId="e2e637e472e34150b0af7ee2ffdf0fe5">
    <Part Type="lentele" Title="ŠIAULIŲ DAILĖS GALERIJOS TEIKIAMŲ ATLYGINTINŲ PASLAUGŲ SĄRAŠAS" DocPartId="4e02d2f9bf2a44168a7b99e6d6207da2" PartId="33086675c15d4bc38fb3e5371f3a59af"/>
    <Part Type="pastraipa" DocPartId="f64ea7e368fd4ca193be49c44ef48f13" PartId="39beed10f8a642359b8e1fe91f44f38b"/>
    <Part Type="pastraipa" DocPartId="0e6667b11b3340159321f8ec051adb41" PartId="eef9880d9cd740638885d64e52967a5d"/>
    <Part Type="pastraipa" DocPartId="0ea1db196f37474eb794d8c24b80dcbf" PartId="f61ae8ed5c5043cfaa625826a09c155f"/>
    <Part Type="pastraipa" DocPartId="a9a9370c4d1b416798eeaf2815a43444" PartId="be5c30862ecb4be7857c86a3b4377450"/>
    <Part Type="pastraipa" DocPartId="14d7f5a2438f4cd9aa3070cb244095de" PartId="50502df570b743489b7ac21000ac7a75"/>
    <Part Type="pastraipa" DocPartId="7fb0d9c31fc54164bb6702d6b068dcca" PartId="27f181bec6f84c0c83478a0dab60b4f6"/>
    <Part Type="pastraipa" DocPartId="12e45cfb3d8542d3a238a4c52283a8f2" PartId="6b64142f58484dd88707d07662c7632e"/>
    <Part Type="pastraipa" DocPartId="0e990fde99c14b1a8676920fce8b9d99" PartId="2d63864f9a6c46b6991d9ce3767a1495"/>
    <Part Type="pastraipa" DocPartId="1a276b8734bf42e99177cfc4fee7d4c0" PartId="e01b3d50dc174bac839681fb24e89570"/>
    <Part Type="pastraipa" DocPartId="19f03d5112f647918e6cbb88de486955" PartId="8274227fcd1d4162b0e9d88c8c79bfd5"/>
    <Part Type="pastraipa" DocPartId="93d78b03e6914ec29b9fe8610ac47ba7" PartId="626c131d2a9f4227b2ebb222d8430ed4"/>
    <Part Type="pastraipa" DocPartId="996cd5bfea1548fb8e062abb37c6ceae" PartId="bb4976eac7b7460995977b4361a0d5ca"/>
    <Part Type="pastraipa" DocPartId="0bb4f6e605d842fcad3611a8d6a7bc1b" PartId="b081f0a0e14e47b1a8ed78d77d6c616b"/>
    <Part Type="pastraipa" DocPartId="ce61c05c23bc4957bcced4c54f237c40" PartId="69f4d30dfabf4ece921f211e9305347c"/>
    <Part Type="pastraipa" DocPartId="b80af6aca2b349ed8c6350a745aeb39a" PartId="b19590e92e904451aa4ad94f2ecd423f"/>
    <Part Type="pastraipa" DocPartId="d6360c10d56b4d7f954e4c44f9a13760" PartId="a6e486cb5929489b8662b43f71c0a856"/>
    <Part Type="pastraipa" DocPartId="9c6ef823c49d4a22a6be962e31f44b23" PartId="5d8724e4da824894a71c96c5c0c7b7a9"/>
    <Part Type="pastraipa" DocPartId="4728ccd7f96547ea948cb19b488d97df" PartId="1945f2e6da5f46f6adca64352c75a2e2"/>
    <Part Type="pastraipa" DocPartId="32856be658a94d33aee0d4caedc26779" PartId="4b0d8309a314452384c06a13eaa828a2"/>
    <Part Type="pastraipa" DocPartId="40693b7908214528b3462f589c19a463" PartId="fab6a2b715bd45ef826dc49d9c298f3d"/>
    <Part Type="pastraipa" DocPartId="ef2da282f3474a9292d32c13c377b545" PartId="6b92077185784467a60676befcbfb10b"/>
    <Part Type="pastraipa" DocPartId="9d1396b66c5b48799802174da8f3be7f" PartId="6ceea57fea494a5db3090c8d636a8ae2"/>
    <Part Type="pastraipa" DocPartId="ff161ef59f0548d69e7cdec5f3dea721" PartId="fd216b39581e4df88678288bf2a38e88"/>
    <Part Type="pastraipa" DocPartId="0ca27984bbf54222971e07f7fec03abf" PartId="bfbf1159da0745c680ff5aa6ba4adf31"/>
    <Part Type="pastraipa" DocPartId="6ea195aef2b94037ae5fec43a2159a1d" PartId="f83108ce212d45ec9fbd0fddc3e4c545"/>
    <Part Type="pastraipa" DocPartId="033df9ce88f24ecb80cbf8b9a8bb8dc5" PartId="12563821216a431583957657761808b0"/>
    <Part Type="pastraipa" DocPartId="ff7711b590ed4feba875070f4a3cd60b" PartId="69513d55d433484b99b53d8c754faf07"/>
    <Part Type="pastraipa" DocPartId="46d68fad96a546f3892d64102eaa180d" PartId="b557a1a4cb0b4b74ad88f04936be5c33"/>
    <Part Type="pastraipa" DocPartId="5f0c7f9cdf5d415290fbdce22718bd69" PartId="9c3578ad03c34947b5346f086ce5b6dc"/>
    <Part Type="pastraipa" DocPartId="5224b59e42da4a11a890d82f6754d1a2" PartId="235047ffa1ef4c8b9d79f5e3db7ff29f"/>
    <Part Type="pastraipa" DocPartId="31c453a4dd8248bd9c97b9b4d587f523" PartId="e2df90392cfd458b91b77091b92aa834"/>
    <Part Type="pastraipa" DocPartId="e6d3b93677d3469ca84227a7c987cb7e" PartId="2959bbd2d05f43328c89b1cc7ca00c3d"/>
    <Part Type="pastraipa" DocPartId="e29441293a31492a849c14c2b60bb446" PartId="a1f53d8c6f7048d0bf106b9e43bc9c11"/>
    <Part Type="pastraipa" DocPartId="0018464cba5f4a078fb682b935200575" PartId="85e4484722cb4aa1b003f47759c16e6d"/>
    <Part Type="pastraipa" DocPartId="2c0acf784f9f4e1b94a6b6cf94fc7a7a" PartId="93b8da9ee0ba4ff1bca2f25c714bcf80"/>
    <Part Type="pastraipa" DocPartId="47e834b75b9b47f9b3718d67e36b730d" PartId="45a08cae4ce64afe9868a18bbd066bcc"/>
    <Part Type="pastraipa" DocPartId="5d6524aa34e24df5888ff9c81ee41de6" PartId="b4863c4f27bb4921abf870552615e813"/>
  </Part>
</Parts>
</file>

<file path=customXml/itemProps1.xml><?xml version="1.0" encoding="utf-8"?>
<ds:datastoreItem xmlns:ds="http://schemas.openxmlformats.org/officeDocument/2006/customXml" ds:itemID="{E75AFCE1-48DE-423E-B444-D4DA694CD7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999</Words>
  <Characters>6338</Characters>
  <Application>Microsoft Office Word</Application>
  <DocSecurity>4</DocSecurity>
  <Lines>253</Lines>
  <Paragraphs>166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7171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2025-01-13T12:05:00Z</dcterms:created>
  <dc:creator>Saulė Laurinaitytė</dc:creator>
  <lastModifiedBy>adlibuser</lastModifiedBy>
  <lastPrinted>2024-04-26T06:37:00Z</lastPrinted>
  <dcterms:modified xsi:type="dcterms:W3CDTF">2025-01-13T12:05:00Z</dcterms:modified>
  <revision>2</revision>
</coreProperties>
</file>