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lang w:eastAsia="lt-LT"/>
        </w:rPr>
      </w:pPr>
    </w:p>
    <w:p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NUMATOMO TEISINIO REGULIAVIMO POVEIKIO VERTINIMO PAŽYMA</w:t>
      </w:r>
    </w:p>
    <w:p>
      <w:pPr>
        <w:rPr>
          <w:lang w:eastAsia="lt-LT"/>
        </w:rPr>
      </w:pPr>
    </w:p>
    <w:p>
      <w:pPr>
        <w:rPr>
          <w:lang w:eastAsia="lt-L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204"/>
        <w:gridCol w:w="7402"/>
      </w:tblGrid>
      <w:tr>
        <w:tc>
          <w:tcPr>
            <w:tcW w:w="2204" w:type="dxa"/>
            <w:shd w:val="clear" w:color="auto" w:fill="DBE5F1"/>
            <w:hideMark/>
          </w:tcPr>
          <w:p>
            <w:pPr>
              <w:rPr>
                <w:szCs w:val="24"/>
                <w:shd w:val="clear" w:color="auto" w:fill="DBE5F1"/>
                <w:lang w:eastAsia="lt-LT"/>
              </w:rPr>
            </w:pPr>
            <w:r>
              <w:rPr>
                <w:b/>
                <w:szCs w:val="24"/>
                <w:shd w:val="clear" w:color="auto" w:fill="DBE5F1"/>
                <w:lang w:eastAsia="lt-LT"/>
              </w:rPr>
              <w:t>Projekto pavadinimas</w:t>
            </w:r>
          </w:p>
        </w:tc>
        <w:tc>
          <w:tcPr>
            <w:tcW w:w="7402" w:type="dxa"/>
            <w:shd w:val="clear" w:color="auto" w:fill="DBE5F1"/>
          </w:tcPr>
          <w:p>
            <w:pPr>
              <w:suppressAutoHyphens/>
              <w:ind w:firstLine="357"/>
              <w:jc w:val="both"/>
              <w:rPr>
                <w:lang w:eastAsia="lt-LT"/>
              </w:rPr>
            </w:pPr>
            <w:r>
              <w:rPr>
                <w:lang w:eastAsia="lt-LT"/>
              </w:rPr>
              <w:t>1.</w:t>
              <w:tab/>
              <w:t>Lietuvos Respublikos aplinkos ministro įsakymas „Dėl Lietuvos Respublikos aplinkos ministro 2017 m. spalio 31 d. įsakymo Nr. D1-885 „</w:t>
            </w:r>
            <w:r>
              <w:rPr>
                <w:color w:val="000000"/>
                <w:lang w:eastAsia="lt-LT"/>
              </w:rPr>
              <w:t xml:space="preserve">Dėl </w:t>
            </w:r>
            <w:r>
              <w:rPr>
                <w:color w:val="000000"/>
                <w:szCs w:val="24"/>
                <w:lang w:eastAsia="lt-LT"/>
              </w:rPr>
              <w:t xml:space="preserve">Planuojamos ūkinės veiklos poveikio aplinkai vertinimo tvarkos </w:t>
            </w:r>
            <w:r>
              <w:rPr>
                <w:color w:val="000000"/>
                <w:lang w:eastAsia="lt-LT"/>
              </w:rPr>
              <w:t xml:space="preserve"> aprašo patvirtinimo</w:t>
            </w:r>
            <w:r>
              <w:rPr>
                <w:lang w:eastAsia="lt-LT"/>
              </w:rPr>
              <w:t>“ pakeitimo“ (Projektas 1)</w:t>
            </w:r>
          </w:p>
          <w:p>
            <w:pPr>
              <w:suppressAutoHyphens/>
              <w:ind w:firstLine="357"/>
              <w:jc w:val="both"/>
              <w:rPr>
                <w:lang w:eastAsia="lt-LT"/>
              </w:rPr>
            </w:pPr>
            <w:r>
              <w:rPr>
                <w:lang w:eastAsia="lt-LT"/>
              </w:rPr>
              <w:t>2.</w:t>
              <w:tab/>
              <w:t>Lietuvos Respublikos aplinkos ministro įsakymas „</w:t>
            </w:r>
            <w:r>
              <w:rPr>
                <w:bCs/>
                <w:lang w:eastAsia="lt-LT"/>
              </w:rPr>
              <w:t xml:space="preserve">Dėl </w:t>
            </w:r>
            <w:r>
              <w:rPr>
                <w:color w:val="000000"/>
                <w:lang w:eastAsia="lt-LT"/>
              </w:rPr>
              <w:t>Lietuvos Respublikos aplinkos ministro 2003 m. liepos 31 d. įsakymo Nr. 406 „</w:t>
            </w:r>
            <w:r>
              <w:rPr>
                <w:bCs/>
                <w:caps/>
                <w:color w:val="000000"/>
                <w:lang w:eastAsia="lt-LT"/>
              </w:rPr>
              <w:t>D</w:t>
            </w:r>
            <w:r>
              <w:rPr>
                <w:bCs/>
                <w:color w:val="000000"/>
                <w:lang w:eastAsia="lt-LT"/>
              </w:rPr>
              <w:t>ėl Planuojamos ūkinės veiklos (vėjo jėgainių įrengimo) poveikio aplinkai vertinimo rekomendacijų R 44-03 patvirtinimo</w:t>
            </w:r>
            <w:r>
              <w:rPr>
                <w:lang w:eastAsia="lt-LT"/>
              </w:rPr>
              <w:t>“ pripažinimo netekusiu galios (Projektas 2)</w:t>
            </w:r>
          </w:p>
          <w:p>
            <w:pPr>
              <w:suppressAutoHyphens/>
              <w:ind w:firstLine="357"/>
              <w:jc w:val="both"/>
              <w:rPr>
                <w:lang w:eastAsia="lt-LT"/>
              </w:rPr>
            </w:pPr>
            <w:r>
              <w:rPr>
                <w:lang w:eastAsia="lt-LT"/>
              </w:rPr>
              <w:t>3.</w:t>
              <w:tab/>
              <w:t>Lietuvos Respublikos aplinkos ministro įsakymas „</w:t>
            </w:r>
            <w:r>
              <w:rPr>
                <w:bCs/>
                <w:lang w:eastAsia="lt-LT"/>
              </w:rPr>
              <w:t xml:space="preserve">Dėl </w:t>
            </w:r>
            <w:r>
              <w:rPr>
                <w:lang w:eastAsia="lt-LT"/>
              </w:rPr>
              <w:t xml:space="preserve">Lietuvos Respublikos aplinkos ministro 2003 m. liepos 9 d. įsakymo Nr. 351 „Dėl Planuojamos ūkinės veiklos </w:t>
            </w:r>
            <w:r>
              <w:rPr>
                <w:color w:val="000000"/>
                <w:lang w:eastAsia="lt-LT"/>
              </w:rPr>
              <w:t xml:space="preserve">(hidroelektrinių įrengimo) poveikio aplinkai vertinimo rekomendacijų R 43-03 </w:t>
            </w:r>
            <w:r>
              <w:rPr>
                <w:lang w:eastAsia="lt-LT"/>
              </w:rPr>
              <w:t>patvirtinimo“ pripažinimo netekusiu galios (Projektas 3)</w:t>
            </w:r>
          </w:p>
          <w:p>
            <w:pPr>
              <w:suppressAutoHyphens/>
              <w:ind w:firstLine="357"/>
              <w:jc w:val="both"/>
              <w:rPr>
                <w:lang w:eastAsia="lt-LT"/>
              </w:rPr>
            </w:pPr>
            <w:r>
              <w:rPr>
                <w:lang w:eastAsia="lt-LT"/>
              </w:rPr>
              <w:t>4.</w:t>
              <w:tab/>
              <w:t>Lietuvos Respublikos aplinkos ministro įsakymas „</w:t>
            </w:r>
            <w:r>
              <w:rPr>
                <w:bCs/>
                <w:lang w:eastAsia="lt-LT"/>
              </w:rPr>
              <w:t xml:space="preserve">Dėl Lietuvos Respublikos aplinkos ministro 2002 m. liepos 16 d. </w:t>
            </w:r>
            <w:r>
              <w:rPr>
                <w:rFonts w:hint="cs"/>
                <w:bCs/>
                <w:lang w:eastAsia="lt-LT"/>
              </w:rPr>
              <w:t>į</w:t>
            </w:r>
            <w:r>
              <w:rPr>
                <w:bCs/>
                <w:lang w:eastAsia="lt-LT"/>
              </w:rPr>
              <w:t xml:space="preserve">sakymo Nr. 369 </w:t>
            </w:r>
            <w:r>
              <w:rPr>
                <w:rFonts w:hint="cs"/>
                <w:bCs/>
                <w:lang w:eastAsia="lt-LT"/>
              </w:rPr>
              <w:t>„</w:t>
            </w:r>
            <w:r>
              <w:rPr>
                <w:bCs/>
                <w:lang w:eastAsia="lt-LT"/>
              </w:rPr>
              <w:t>D</w:t>
            </w:r>
            <w:r>
              <w:rPr>
                <w:rFonts w:hint="cs"/>
                <w:bCs/>
                <w:lang w:eastAsia="lt-LT"/>
              </w:rPr>
              <w:t>ė</w:t>
            </w:r>
            <w:r>
              <w:rPr>
                <w:bCs/>
                <w:lang w:eastAsia="lt-LT"/>
              </w:rPr>
              <w:t xml:space="preserve">l Planuojamos </w:t>
            </w:r>
            <w:r>
              <w:rPr>
                <w:rFonts w:hint="cs"/>
                <w:bCs/>
                <w:lang w:eastAsia="lt-LT"/>
              </w:rPr>
              <w:t>ū</w:t>
            </w:r>
            <w:r>
              <w:rPr>
                <w:bCs/>
                <w:lang w:eastAsia="lt-LT"/>
              </w:rPr>
              <w:t>kin</w:t>
            </w:r>
            <w:r>
              <w:rPr>
                <w:rFonts w:hint="cs"/>
                <w:bCs/>
                <w:lang w:eastAsia="lt-LT"/>
              </w:rPr>
              <w:t>ė</w:t>
            </w:r>
            <w:r>
              <w:rPr>
                <w:bCs/>
                <w:lang w:eastAsia="lt-LT"/>
              </w:rPr>
              <w:t>s veiklos galim</w:t>
            </w:r>
            <w:r>
              <w:rPr>
                <w:rFonts w:hint="cs"/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avarij</w:t>
            </w:r>
            <w:r>
              <w:rPr>
                <w:rFonts w:hint="cs"/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rizikos vertinimo rekomendacij</w:t>
            </w:r>
            <w:r>
              <w:rPr>
                <w:rFonts w:hint="cs"/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R 41-02 patvirtinimo</w:t>
            </w:r>
            <w:r>
              <w:rPr>
                <w:rFonts w:hint="cs"/>
                <w:bCs/>
                <w:lang w:eastAsia="lt-LT"/>
              </w:rPr>
              <w:t>“</w:t>
            </w:r>
            <w:r>
              <w:rPr>
                <w:bCs/>
                <w:lang w:eastAsia="lt-LT"/>
              </w:rPr>
              <w:t xml:space="preserve"> </w:t>
            </w:r>
            <w:r>
              <w:rPr>
                <w:lang w:eastAsia="lt-LT"/>
              </w:rPr>
              <w:t>pripažinimo netekusiu galios (Projektas 4)</w:t>
            </w:r>
          </w:p>
        </w:tc>
      </w:tr>
    </w:tbl>
    <w:p>
      <w:pPr>
        <w:rPr>
          <w:szCs w:val="24"/>
          <w:lang w:eastAsia="lt-L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191"/>
        <w:gridCol w:w="7415"/>
      </w:tblGrid>
      <w:tr>
        <w:tc>
          <w:tcPr>
            <w:tcW w:w="2191" w:type="dxa"/>
            <w:shd w:val="clear" w:color="auto" w:fill="DBE5F1"/>
            <w:hideMark/>
          </w:tcPr>
          <w:p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shd w:val="clear" w:color="auto" w:fill="DBE5F1"/>
                <w:lang w:eastAsia="lt-LT"/>
              </w:rPr>
              <w:t>Projekto rengėjas</w:t>
            </w:r>
          </w:p>
        </w:tc>
        <w:tc>
          <w:tcPr>
            <w:tcW w:w="7415" w:type="dxa"/>
            <w:shd w:val="clear" w:color="auto" w:fill="DBE5F1"/>
            <w:hideMark/>
          </w:tcPr>
          <w:p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Respublikos aplinkos ministerijos Taršos prevencijos politikos grupė</w:t>
            </w:r>
          </w:p>
        </w:tc>
      </w:tr>
    </w:tbl>
    <w:p>
      <w:pPr>
        <w:rPr>
          <w:szCs w:val="24"/>
          <w:lang w:eastAsia="lt-L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189"/>
        <w:gridCol w:w="7417"/>
      </w:tblGrid>
      <w:tr>
        <w:tc>
          <w:tcPr>
            <w:tcW w:w="2189" w:type="dxa"/>
            <w:shd w:val="clear" w:color="auto" w:fill="DBE5F1"/>
            <w:hideMark/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Projekto tikslai</w:t>
            </w:r>
          </w:p>
        </w:tc>
        <w:tc>
          <w:tcPr>
            <w:tcW w:w="7417" w:type="dxa"/>
            <w:shd w:val="clear" w:color="auto" w:fill="DBE5F1"/>
            <w:hideMark/>
          </w:tcPr>
          <w:p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1 tikslas:</w:t>
            </w:r>
          </w:p>
          <w:p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- </w:t>
            </w:r>
            <w:r>
              <w:rPr>
                <w:szCs w:val="24"/>
                <w:lang w:eastAsia="lt-LT"/>
              </w:rPr>
              <w:t xml:space="preserve">patvirtinti </w:t>
            </w:r>
            <w:r>
              <w:rPr>
                <w:lang w:eastAsia="lt-LT"/>
              </w:rPr>
              <w:t xml:space="preserve">vertingiausių šalies kraštovaizdžio panoramų apžvalgos taškų sąrašą, </w:t>
            </w:r>
          </w:p>
          <w:p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patvirtinti </w:t>
            </w:r>
            <w:r>
              <w:rPr>
                <w:lang w:eastAsia="lt-LT"/>
              </w:rPr>
              <w:t>vizualiai raiškių gamtos ir (ar) nekilnojamojo kultūros paveldo objektų apžvalgos taškų</w:t>
            </w:r>
            <w:r>
              <w:rPr>
                <w:szCs w:val="24"/>
                <w:lang w:eastAsia="lt-LT"/>
              </w:rPr>
              <w:t xml:space="preserve"> sąrašą,</w:t>
            </w:r>
          </w:p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- </w:t>
            </w:r>
            <w:r>
              <w:rPr>
                <w:szCs w:val="24"/>
                <w:lang w:eastAsia="lt-LT"/>
              </w:rPr>
              <w:t>patikslinti rizikos analizės principus (perkeliamos aktualios nuostatos iš Projekto 4),</w:t>
            </w:r>
          </w:p>
          <w:p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- nustatyti Agentūrai pareigą </w:t>
            </w:r>
            <w:r>
              <w:rPr>
                <w:szCs w:val="24"/>
                <w:lang w:eastAsia="lt-LT"/>
              </w:rPr>
              <w:t>patikrinti, ar ataskaitos viešinimo ir visuomenės informavimo procedūros atliktos pagal teisės aktų reikalavimus</w:t>
            </w:r>
            <w:r>
              <w:rPr>
                <w:bCs/>
                <w:color w:val="000000"/>
                <w:lang w:eastAsia="lt-LT"/>
              </w:rPr>
              <w:t>,</w:t>
            </w:r>
          </w:p>
          <w:p>
            <w:pPr>
              <w:jc w:val="both"/>
              <w:rPr>
                <w:bdr w:val="none" w:sz="0" w:space="0" w:color="auto" w:frame="1"/>
                <w:lang w:eastAsia="lt-LT"/>
              </w:rPr>
            </w:pPr>
            <w:r>
              <w:rPr>
                <w:lang w:eastAsia="lt-LT"/>
              </w:rPr>
              <w:t xml:space="preserve">- patikslinti galimus Agentūros veiksmus, gavus </w:t>
            </w:r>
            <w:r>
              <w:rPr>
                <w:bdr w:val="none" w:sz="0" w:space="0" w:color="auto" w:frame="1"/>
                <w:lang w:eastAsia="lt-LT"/>
              </w:rPr>
              <w:t>ataskaitą po pakartotinio viešinimo procedūros,</w:t>
            </w:r>
          </w:p>
          <w:p>
            <w:pPr>
              <w:jc w:val="both"/>
              <w:rPr>
                <w:rFonts w:eastAsia="Andale Sans UI"/>
                <w:szCs w:val="24"/>
                <w:lang w:eastAsia="lt-LT" w:bidi="en-US"/>
              </w:rPr>
            </w:pPr>
            <w:r>
              <w:rPr>
                <w:bdr w:val="none" w:sz="0" w:space="0" w:color="auto" w:frame="1"/>
                <w:lang w:eastAsia="lt-LT"/>
              </w:rPr>
              <w:t xml:space="preserve">- patikslinti reikalavimus </w:t>
            </w:r>
            <w:r>
              <w:rPr>
                <w:lang w:eastAsia="lt-LT"/>
              </w:rPr>
              <w:t>viešo visuomenės supažindinimo su ataskaita procedūroms.</w:t>
            </w:r>
          </w:p>
          <w:p>
            <w:pPr>
              <w:jc w:val="both"/>
              <w:rPr>
                <w:szCs w:val="24"/>
                <w:lang w:eastAsia="lt-LT"/>
              </w:rPr>
            </w:pPr>
          </w:p>
          <w:p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2-4 tikslas – pripažinti netekusiomis galios neaktualias aplinkos ministro įsakymais patvirtintas rekomendacijas:</w:t>
            </w:r>
          </w:p>
          <w:p>
            <w:pPr>
              <w:ind w:left="720" w:hanging="36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1)</w:t>
              <w:tab/>
            </w:r>
            <w:r>
              <w:rPr>
                <w:lang w:eastAsia="lt-LT"/>
              </w:rPr>
              <w:t>P</w:t>
            </w:r>
            <w:r>
              <w:rPr>
                <w:bCs/>
                <w:color w:val="000000"/>
                <w:lang w:eastAsia="lt-LT"/>
              </w:rPr>
              <w:t>lanuojamos ūkinės veiklos (vėjo jėgainių įrengimo) poveikio aplinkai vertinimo rekomendacijas R 44-03;</w:t>
            </w:r>
          </w:p>
          <w:p>
            <w:pPr>
              <w:ind w:left="720" w:hanging="3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2)</w:t>
              <w:tab/>
            </w:r>
            <w:r>
              <w:rPr>
                <w:lang w:eastAsia="lt-LT"/>
              </w:rPr>
              <w:t xml:space="preserve">Planuojamos ūkinės veiklos </w:t>
            </w:r>
            <w:r>
              <w:rPr>
                <w:color w:val="000000"/>
                <w:lang w:eastAsia="lt-LT"/>
              </w:rPr>
              <w:t>(hidroelektrinių įrengimo) poveikio aplinkai vertinimo rekomendacijas R 43-03;</w:t>
            </w:r>
          </w:p>
          <w:p>
            <w:pPr>
              <w:ind w:left="720" w:hanging="3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3)</w:t>
              <w:tab/>
            </w:r>
            <w:r>
              <w:rPr>
                <w:lang w:eastAsia="lt-LT"/>
              </w:rPr>
              <w:t>P</w:t>
            </w:r>
            <w:r>
              <w:rPr>
                <w:bCs/>
                <w:lang w:eastAsia="lt-LT"/>
              </w:rPr>
              <w:t xml:space="preserve">lanuojamos </w:t>
            </w:r>
            <w:r>
              <w:rPr>
                <w:rFonts w:hint="cs"/>
                <w:bCs/>
                <w:lang w:eastAsia="lt-LT"/>
              </w:rPr>
              <w:t>ū</w:t>
            </w:r>
            <w:r>
              <w:rPr>
                <w:bCs/>
                <w:lang w:eastAsia="lt-LT"/>
              </w:rPr>
              <w:t>kin</w:t>
            </w:r>
            <w:r>
              <w:rPr>
                <w:rFonts w:hint="cs"/>
                <w:bCs/>
                <w:lang w:eastAsia="lt-LT"/>
              </w:rPr>
              <w:t>ė</w:t>
            </w:r>
            <w:r>
              <w:rPr>
                <w:bCs/>
                <w:lang w:eastAsia="lt-LT"/>
              </w:rPr>
              <w:t>s veiklos galim</w:t>
            </w:r>
            <w:r>
              <w:rPr>
                <w:rFonts w:hint="cs"/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avarij</w:t>
            </w:r>
            <w:r>
              <w:rPr>
                <w:rFonts w:hint="cs"/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rizikos vertinimo rekomendacijas R 41-02.</w:t>
            </w:r>
          </w:p>
        </w:tc>
      </w:tr>
    </w:tbl>
    <w:p>
      <w:pPr>
        <w:rPr>
          <w:szCs w:val="24"/>
          <w:lang w:eastAsia="lt-L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164"/>
        <w:gridCol w:w="7442"/>
      </w:tblGrid>
      <w:tr>
        <w:trPr>
          <w:trHeight w:val="415"/>
        </w:trPr>
        <w:tc>
          <w:tcPr>
            <w:tcW w:w="2164" w:type="dxa"/>
            <w:shd w:val="clear" w:color="auto" w:fill="DBE5F1"/>
          </w:tcPr>
          <w:p>
            <w:pPr>
              <w:rPr>
                <w:szCs w:val="24"/>
                <w:lang w:eastAsia="lt-LT"/>
              </w:rPr>
            </w:pPr>
          </w:p>
        </w:tc>
        <w:tc>
          <w:tcPr>
            <w:tcW w:w="7442" w:type="dxa"/>
            <w:shd w:val="clear" w:color="auto" w:fill="DBE5F1"/>
            <w:hideMark/>
          </w:tcPr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Siūlomo projekto poveikio įvertinimas </w:t>
            </w:r>
          </w:p>
          <w:p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(</w:t>
            </w:r>
            <w:r>
              <w:rPr>
                <w:b/>
                <w:bCs/>
                <w:szCs w:val="24"/>
                <w:lang w:eastAsia="lt-LT"/>
              </w:rPr>
              <w:t>teigiamos ir (ar) neigiamos pasekmės)</w:t>
            </w:r>
          </w:p>
        </w:tc>
      </w:tr>
    </w:tbl>
    <w:p>
      <w:pPr>
        <w:rPr>
          <w:szCs w:val="24"/>
          <w:lang w:eastAsia="lt-L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210"/>
        <w:gridCol w:w="25"/>
        <w:gridCol w:w="7371"/>
      </w:tblGrid>
      <w:tr>
        <w:tc>
          <w:tcPr>
            <w:tcW w:w="2235" w:type="dxa"/>
            <w:gridSpan w:val="2"/>
            <w:shd w:val="clear" w:color="auto" w:fill="DBE5F1"/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teisinei sistemai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Andale Sans UI"/>
                <w:color w:val="002060"/>
                <w:szCs w:val="24"/>
              </w:rPr>
            </w:pPr>
            <w:r>
              <w:rPr>
                <w:rFonts w:eastAsia="Andale Sans UI"/>
                <w:color w:val="002060"/>
                <w:szCs w:val="24"/>
              </w:rPr>
              <w:t xml:space="preserve">Pripažinus netekusiais galios neaktualius teisės aktus, o jų aktualias nuostatas perkėlus į vieną teisės aktą numatomas teigiamas poveikis: bus aiškesnis teisinis reglamentavimas, užtikrinant savalaikę teisės aktų nuostatų peržiūrą, ūkio subjektams bus aiškesnis teisinis reguliavimas. </w:t>
            </w: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  <w:tr>
        <w:tc>
          <w:tcPr>
            <w:tcW w:w="2235" w:type="dxa"/>
            <w:gridSpan w:val="2"/>
            <w:shd w:val="clear" w:color="auto" w:fill="DBE5F1"/>
            <w:hideMark/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ekonomikai</w:t>
            </w:r>
          </w:p>
          <w:p>
            <w:pPr>
              <w:rPr>
                <w:b/>
                <w:szCs w:val="24"/>
                <w:lang w:eastAsia="lt-LT"/>
              </w:rPr>
            </w:pPr>
          </w:p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valstybės finansams</w:t>
            </w:r>
          </w:p>
          <w:p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7371" w:type="dxa"/>
            <w:hideMark/>
          </w:tcPr>
          <w:p>
            <w:pPr>
              <w:jc w:val="both"/>
              <w:rPr>
                <w:rFonts w:eastAsia="Calibri"/>
                <w:color w:val="002060"/>
                <w:szCs w:val="24"/>
              </w:rPr>
            </w:pPr>
            <w:r>
              <w:rPr>
                <w:rFonts w:eastAsia="Calibri"/>
                <w:color w:val="002060"/>
                <w:szCs w:val="24"/>
              </w:rPr>
              <w:t xml:space="preserve">Poveikio </w:t>
            </w:r>
            <w:r>
              <w:rPr>
                <w:color w:val="1F497D"/>
                <w:szCs w:val="24"/>
                <w:lang w:eastAsia="lt-LT"/>
              </w:rPr>
              <w:t>ekonomikai</w:t>
            </w:r>
            <w:r>
              <w:rPr>
                <w:rFonts w:eastAsia="Calibri"/>
                <w:color w:val="1F497D"/>
                <w:szCs w:val="24"/>
              </w:rPr>
              <w:t xml:space="preserve"> </w:t>
            </w:r>
            <w:r>
              <w:rPr>
                <w:rFonts w:eastAsia="Calibri"/>
                <w:color w:val="002060"/>
                <w:szCs w:val="24"/>
              </w:rPr>
              <w:t xml:space="preserve">nebus. </w:t>
            </w:r>
          </w:p>
          <w:p>
            <w:pPr>
              <w:jc w:val="both"/>
              <w:rPr>
                <w:rFonts w:eastAsia="Calibri"/>
                <w:color w:val="002060"/>
                <w:szCs w:val="24"/>
              </w:rPr>
            </w:pPr>
          </w:p>
          <w:p>
            <w:pPr>
              <w:jc w:val="both"/>
              <w:rPr>
                <w:rFonts w:eastAsia="Calibri"/>
                <w:color w:val="002060"/>
                <w:szCs w:val="24"/>
              </w:rPr>
            </w:pP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  <w:r>
              <w:rPr>
                <w:rFonts w:eastAsia="Calibri"/>
                <w:color w:val="002060"/>
                <w:szCs w:val="24"/>
              </w:rPr>
              <w:t>Poveikio valstybės finansams nebus.</w:t>
            </w: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  <w:tr>
        <w:tc>
          <w:tcPr>
            <w:tcW w:w="2235" w:type="dxa"/>
            <w:gridSpan w:val="2"/>
            <w:shd w:val="clear" w:color="auto" w:fill="DBE5F1"/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</w:rPr>
              <w:t>Poveikis verslo sąlygoms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Calibri"/>
                <w:color w:val="1F497D"/>
                <w:szCs w:val="24"/>
              </w:rPr>
            </w:pPr>
            <w:r>
              <w:rPr>
                <w:rFonts w:eastAsia="Calibri"/>
                <w:color w:val="1F497D"/>
                <w:szCs w:val="24"/>
              </w:rPr>
              <w:t xml:space="preserve">Poveikis verslo sąlygoms teigiamas, pripažįstami netekusiais galios neaktualūs teisės aktai, todėl bus aiškesnis teisinis reguliavimas </w:t>
            </w:r>
          </w:p>
          <w:p>
            <w:pPr>
              <w:ind w:firstLine="62"/>
              <w:jc w:val="both"/>
              <w:rPr>
                <w:rFonts w:eastAsia="Calibri"/>
                <w:color w:val="1F497D"/>
                <w:szCs w:val="24"/>
              </w:rPr>
            </w:pPr>
          </w:p>
        </w:tc>
      </w:tr>
      <w:tr>
        <w:tc>
          <w:tcPr>
            <w:tcW w:w="2235" w:type="dxa"/>
            <w:gridSpan w:val="2"/>
            <w:shd w:val="clear" w:color="auto" w:fill="DBE5F1"/>
          </w:tcPr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socialinei aplinkai</w:t>
            </w:r>
          </w:p>
          <w:p>
            <w:pPr>
              <w:rPr>
                <w:b/>
                <w:szCs w:val="24"/>
                <w:lang w:eastAsia="lt-LT"/>
              </w:rPr>
            </w:pPr>
          </w:p>
          <w:p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administracinei naštai</w:t>
            </w:r>
          </w:p>
          <w:p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7371" w:type="dxa"/>
          </w:tcPr>
          <w:p>
            <w:pPr>
              <w:jc w:val="both"/>
              <w:rPr>
                <w:rFonts w:eastAsia="Calibri"/>
                <w:color w:val="002060"/>
                <w:szCs w:val="24"/>
              </w:rPr>
            </w:pPr>
            <w:r>
              <w:rPr>
                <w:rFonts w:eastAsia="Calibri"/>
                <w:color w:val="002060"/>
                <w:szCs w:val="24"/>
              </w:rPr>
              <w:t>Poveikio socialinei aplinkai nebus.</w:t>
            </w:r>
          </w:p>
          <w:p>
            <w:pPr>
              <w:jc w:val="both"/>
              <w:rPr>
                <w:rFonts w:eastAsia="Calibri"/>
                <w:color w:val="002060"/>
                <w:szCs w:val="24"/>
              </w:rPr>
            </w:pPr>
          </w:p>
          <w:p>
            <w:pPr>
              <w:jc w:val="both"/>
              <w:rPr>
                <w:rFonts w:eastAsia="Calibri"/>
                <w:color w:val="002060"/>
                <w:szCs w:val="24"/>
              </w:rPr>
            </w:pPr>
          </w:p>
          <w:p>
            <w:pPr>
              <w:jc w:val="both"/>
              <w:rPr>
                <w:color w:val="1F497D"/>
                <w:szCs w:val="24"/>
                <w:lang w:eastAsia="lt-LT"/>
              </w:rPr>
            </w:pPr>
            <w:r>
              <w:rPr>
                <w:rFonts w:eastAsia="Calibri"/>
                <w:color w:val="1F497D"/>
                <w:szCs w:val="24"/>
              </w:rPr>
              <w:t>Administracinė našta nepasikeis, nes projektais nenumatomi nauji informaciniai įpareigojimai.</w:t>
            </w:r>
          </w:p>
          <w:p>
            <w:pPr>
              <w:jc w:val="both"/>
              <w:rPr>
                <w:rFonts w:eastAsia="Calibri"/>
                <w:color w:val="002060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>
            <w:pPr>
              <w:shd w:val="clear" w:color="auto" w:fill="DBE5F1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viešojo valdymo sistemai</w:t>
            </w:r>
          </w:p>
          <w:p>
            <w:pPr>
              <w:shd w:val="clear" w:color="auto" w:fill="DBE5F1"/>
              <w:rPr>
                <w:b/>
                <w:szCs w:val="24"/>
                <w:lang w:eastAsia="lt-LT"/>
              </w:rPr>
            </w:pPr>
          </w:p>
          <w:p>
            <w:pPr>
              <w:shd w:val="clear" w:color="auto" w:fill="DBE5F1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aplinkai</w:t>
            </w:r>
          </w:p>
          <w:p>
            <w:pPr>
              <w:shd w:val="clear" w:color="auto" w:fill="DBE5F1"/>
              <w:rPr>
                <w:b/>
                <w:szCs w:val="24"/>
                <w:lang w:eastAsia="lt-LT"/>
              </w:rPr>
            </w:pPr>
          </w:p>
          <w:p>
            <w:pPr>
              <w:shd w:val="clear" w:color="auto" w:fill="DBE5F1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Poveikis klimato kaitai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both"/>
              <w:rPr>
                <w:color w:val="002060"/>
                <w:szCs w:val="24"/>
                <w:lang w:eastAsia="lt-LT"/>
              </w:rPr>
            </w:pPr>
            <w:r>
              <w:rPr>
                <w:color w:val="002060"/>
                <w:szCs w:val="24"/>
                <w:lang w:eastAsia="lt-LT"/>
              </w:rPr>
              <w:t>Poveikio viešojo valdymo sistemai nebus.</w:t>
            </w: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  <w:r>
              <w:rPr>
                <w:color w:val="002060"/>
                <w:szCs w:val="24"/>
                <w:lang w:eastAsia="lt-LT"/>
              </w:rPr>
              <w:t>Poveikio aplinkai nebus</w:t>
            </w:r>
            <w:r>
              <w:rPr>
                <w:rFonts w:eastAsia="Andale Sans UI"/>
                <w:color w:val="002060"/>
                <w:szCs w:val="24"/>
              </w:rPr>
              <w:t>.</w:t>
            </w: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</w:p>
          <w:p>
            <w:pPr>
              <w:jc w:val="both"/>
              <w:rPr>
                <w:color w:val="002060"/>
                <w:szCs w:val="24"/>
                <w:lang w:eastAsia="lt-LT"/>
              </w:rPr>
            </w:pPr>
            <w:r>
              <w:rPr>
                <w:color w:val="002060"/>
                <w:szCs w:val="24"/>
                <w:lang w:eastAsia="lt-LT"/>
              </w:rPr>
              <w:t>Poveikio klimato kaitai nebus.</w:t>
            </w:r>
          </w:p>
        </w:tc>
      </w:tr>
    </w:tbl>
    <w:p>
      <w:pPr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</w:p>
    <w:p>
      <w:pPr>
        <w:jc w:val="both"/>
        <w:rPr>
          <w:b/>
          <w:szCs w:val="24"/>
        </w:rPr>
      </w:pPr>
      <w:r>
        <w:rPr>
          <w:b/>
          <w:szCs w:val="24"/>
        </w:rPr>
        <w:t>Informacija apie asmenį ir instituciją, atsakingą už poveikio vertinimą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936"/>
      </w:tblGrid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>
            <w:pPr>
              <w:rPr>
                <w:szCs w:val="24"/>
              </w:rPr>
            </w:pPr>
            <w:r>
              <w:t>Rasa Griškevičienė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Vyriausioji specialistė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Institucija (padalinys)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Lietuvos Respublikos aplinkos ministerijos Taršos prevencijos politikos grupė</w:t>
            </w:r>
          </w:p>
        </w:tc>
      </w:tr>
      <w:tr>
        <w:trPr>
          <w:trHeight w:val="511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Telefono numeris ir elektroninio pašto adresas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>
            <w:pPr>
              <w:jc w:val="both"/>
              <w:rPr>
                <w:szCs w:val="24"/>
                <w:lang w:eastAsia="lt-LT"/>
              </w:rPr>
            </w:pPr>
          </w:p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Cs w:val="22"/>
                <w:lang w:eastAsia="lt-LT"/>
              </w:rPr>
              <w:t xml:space="preserve">Tel. </w:t>
            </w:r>
            <w:r>
              <w:rPr>
                <w:lang w:eastAsia="lt-LT"/>
              </w:rPr>
              <w:t>+370 695 11585</w:t>
            </w:r>
            <w:r>
              <w:rPr>
                <w:szCs w:val="22"/>
                <w:lang w:eastAsia="lt-LT"/>
              </w:rPr>
              <w:t xml:space="preserve">, el. p. </w:t>
            </w:r>
            <w:r>
              <w:rPr>
                <w:color w:val="0000FF"/>
                <w:u w:val="single"/>
                <w:lang w:eastAsia="lt-LT"/>
              </w:rPr>
              <w:t>rasa.griskeviciene@am.lt</w:t>
            </w:r>
          </w:p>
          <w:p>
            <w:pPr>
              <w:jc w:val="both"/>
              <w:rPr>
                <w:szCs w:val="24"/>
              </w:rPr>
            </w:pPr>
          </w:p>
        </w:tc>
      </w:tr>
    </w:tbl>
    <w:p/>
    <w:p>
      <w:pPr>
        <w:rPr>
          <w:lang w:eastAsia="lt-LT"/>
        </w:rPr>
      </w:pPr>
      <w:r>
        <w:rPr>
          <w:lang w:eastAsia="lt-LT"/>
        </w:rPr>
        <w:t>2021-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BA"/>
    <w:family w:val="auto"/>
    <w:pitch w:val="default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>
    <w:pPr>
      <w:tabs>
        <w:tab w:val="center" w:pos="4153"/>
        <w:tab w:val="right" w:pos="8306"/>
      </w:tabs>
      <w:rPr>
        <w:lang w:eastAsia="lt-LT"/>
      </w:rPr>
    </w:pPr>
  </w:p>
  <w:p>
    <w:pPr>
      <w:tabs>
        <w:tab w:val="center" w:pos="4153"/>
        <w:tab w:val="right" w:pos="8306"/>
      </w:tabs>
      <w:jc w:val="center"/>
      <w:rPr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397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C0109-64D4-4EB8-9F8C-C9CC3F3E2E3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254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3381</Characters>
  <Application>Microsoft Office Word</Application>
  <DocSecurity>4</DocSecurity>
  <Lines>130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2021-12-28T15:00:00Z</dcterms:created>
  <dc:creator>d.anuskevicius</dc:creator>
  <lastModifiedBy>adlibuser</lastModifiedBy>
  <lastPrinted>2019-09-24T06:07:00Z</lastPrinted>
  <dcterms:modified xsi:type="dcterms:W3CDTF">2021-12-28T15:00:00Z</dcterms:modified>
  <revision>2</revision>
</coreProperties>
</file>