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a12caa3d1c48328a83b7acd1f7847a"/>
        <w:lock w:val="sdtLocked"/>
        <w:richText/>
      </w:sdtPr>
      <w:sdtContent>
        <w:p>
          <w:pPr>
            <w:tabs>
              <w:tab w:val="center" w:pos="4819"/>
              <w:tab w:val="right" w:pos="9638"/>
            </w:tabs>
            <w:spacing w:line="259" w:lineRule="auto"/>
            <w:rPr>
              <w:sz w:val="22"/>
              <w:szCs w:val="22"/>
            </w:rPr>
          </w:pPr>
        </w:p>
        <w:p>
          <w:pPr>
            <w:rPr>
              <w:sz w:val="14"/>
              <w:szCs w:val="14"/>
            </w:rPr>
          </w:pPr>
        </w:p>
        <w:p>
          <w:pPr>
            <w:suppressAutoHyphens/>
            <w:jc w:val="center"/>
            <w:rPr>
              <w:b/>
              <w:bCs/>
              <w:color w:val="000000"/>
              <w:kern w:val="3"/>
              <w:sz w:val="22"/>
              <w:szCs w:val="22"/>
              <w:lang w:eastAsia="zh-CN"/>
            </w:rPr>
          </w:pPr>
          <w:r>
            <w:rPr>
              <w:b/>
              <w:bCs/>
              <w:color w:val="000000"/>
              <w:kern w:val="3"/>
              <w:sz w:val="22"/>
              <w:szCs w:val="22"/>
              <w:lang w:eastAsia="zh-CN"/>
            </w:rPr>
            <w:t>ŠIAULIŲ MIESTO SAVIVALDYBĖS ADMINISTRACIJOS</w:t>
          </w:r>
        </w:p>
        <w:sdt>
          <w:sdtPr>
            <w:alias w:val="skyrius"/>
            <w:tag w:val="part_5de0933cef26454794a2e55c43707dfa"/>
            <w:lock w:val="sdtLocked"/>
            <w:richText/>
          </w:sdtPr>
          <w:sdtContent>
            <w:p>
              <w:pPr>
                <w:suppressAutoHyphens/>
                <w:jc w:val="center"/>
                <w:rPr>
                  <w:b/>
                  <w:bCs/>
                  <w:kern w:val="3"/>
                  <w:sz w:val="22"/>
                  <w:szCs w:val="22"/>
                  <w:lang w:eastAsia="zh-CN"/>
                </w:rPr>
              </w:pPr>
              <w:r>
                <w:rPr>
                  <w:b/>
                  <w:bCs/>
                  <w:kern w:val="3"/>
                  <w:sz w:val="22"/>
                  <w:szCs w:val="22"/>
                  <w:lang w:eastAsia="zh-CN"/>
                </w:rPr>
                <w:t>SOCIALINIŲ PASLAUGŲ SKYRIUS</w:t>
              </w:r>
            </w:p>
            <w:p>
              <w:pPr>
                <w:suppressAutoHyphens/>
                <w:jc w:val="center"/>
                <w:rPr>
                  <w:bCs/>
                  <w:kern w:val="3"/>
                  <w:sz w:val="22"/>
                  <w:szCs w:val="22"/>
                  <w:lang w:eastAsia="zh-CN"/>
                </w:rPr>
              </w:pPr>
            </w:p>
            <w:p>
              <w:pPr>
                <w:suppressAutoHyphens/>
                <w:rPr>
                  <w:bCs/>
                  <w:kern w:val="3"/>
                  <w:sz w:val="22"/>
                  <w:szCs w:val="22"/>
                  <w:lang w:eastAsia="zh-CN"/>
                </w:rPr>
              </w:pPr>
              <w:r>
                <w:rPr>
                  <w:bCs/>
                  <w:kern w:val="3"/>
                  <w:sz w:val="22"/>
                  <w:szCs w:val="22"/>
                  <w:lang w:eastAsia="zh-CN"/>
                </w:rPr>
                <w:t>Šiaulių miesta savivaldybės tarybai</w:t>
              </w:r>
            </w:p>
            <w:p>
              <w:pPr>
                <w:suppressAutoHyphens/>
                <w:jc w:val="center"/>
                <w:rPr>
                  <w:kern w:val="3"/>
                  <w:sz w:val="22"/>
                  <w:szCs w:val="22"/>
                  <w:lang w:eastAsia="zh-CN"/>
                </w:rPr>
              </w:pPr>
            </w:p>
            <w:sdt>
              <w:sdtPr>
                <w:alias w:val="poskyris"/>
                <w:tag w:val="part_6bbb626eb3104c77ba453f47f4c500b8"/>
                <w:lock w:val="sdtLocked"/>
                <w:richText/>
              </w:sdtPr>
              <w:sdtContent>
                <w:p>
                  <w:pPr>
                    <w:widowControl w:val="0"/>
                    <w:tabs>
                      <w:tab w:val="left" w:pos="720"/>
                    </w:tabs>
                    <w:spacing w:line="259" w:lineRule="auto"/>
                    <w:jc w:val="center"/>
                    <w:rPr>
                      <w:rFonts w:eastAsia="Lucida Sans Unicode"/>
                      <w:b/>
                      <w:bCs/>
                      <w:caps/>
                      <w:sz w:val="22"/>
                      <w:szCs w:val="22"/>
                      <w:shd w:val="clear" w:color="auto" w:fill="FFFFFF"/>
                    </w:rPr>
                  </w:pPr>
                  <w:sdt>
                    <w:sdtPr>
                      <w:alias w:val="Pavadinimas"/>
                      <w:tag w:val="title_6bbb626eb3104c77ba453f47f4c500b8"/>
                      <w:lock w:val="sdtLocked"/>
                      <w:richText/>
                    </w:sdtPr>
                    <w:sdtContent>
                      <w:r>
                        <w:rPr>
                          <w:b/>
                          <w:bCs/>
                          <w:sz w:val="22"/>
                          <w:szCs w:val="22"/>
                        </w:rPr>
                        <w:t xml:space="preserve">SPRENDIMO </w:t>
                      </w:r>
                      <w:r>
                        <w:rPr>
                          <w:b/>
                          <w:sz w:val="22"/>
                          <w:szCs w:val="22"/>
                        </w:rPr>
                        <w:t>„</w:t>
                      </w:r>
                      <w:r>
                        <w:rPr>
                          <w:b/>
                          <w:caps/>
                          <w:sz w:val="22"/>
                          <w:szCs w:val="22"/>
                        </w:rPr>
                        <w:t>DĖL</w:t>
                      </w:r>
                      <w:r>
                        <w:rPr>
                          <w:b/>
                          <w:bCs/>
                          <w:sz w:val="22"/>
                          <w:szCs w:val="22"/>
                        </w:rPr>
                        <w:t xml:space="preserve"> </w:t>
                      </w:r>
                      <w:r>
                        <w:rPr>
                          <w:b/>
                          <w:bCs/>
                          <w:color w:val="000000"/>
                          <w:sz w:val="22"/>
                          <w:szCs w:val="22"/>
                        </w:rPr>
                        <w:t>ŠIAULIŲ MIESTO SAVIVALDYBĖS 2024 METŲ SOCIALINIŲ PASLAUGŲ PLANO PATVIRTINIMO</w:t>
                      </w:r>
                      <w:r>
                        <w:rPr>
                          <w:b/>
                          <w:color w:val="000000"/>
                          <w:sz w:val="22"/>
                          <w:szCs w:val="22"/>
                          <w:shd w:val="clear" w:color="auto" w:fill="FFFFFF"/>
                        </w:rPr>
                        <w:t xml:space="preserve">“ </w:t>
                      </w:r>
                      <w:r>
                        <w:rPr>
                          <w:rFonts w:eastAsia="Lucida Sans Unicode"/>
                          <w:b/>
                          <w:bCs/>
                          <w:caps/>
                          <w:sz w:val="22"/>
                          <w:szCs w:val="22"/>
                          <w:shd w:val="clear" w:color="auto" w:fill="FFFFFF"/>
                        </w:rPr>
                        <w:t xml:space="preserve">projekto </w:t>
                      </w:r>
                    </w:sdtContent>
                  </w:sdt>
                </w:p>
                <w:p>
                  <w:pPr>
                    <w:rPr>
                      <w:sz w:val="14"/>
                      <w:szCs w:val="14"/>
                    </w:rPr>
                  </w:pPr>
                </w:p>
              </w:sdtContent>
            </w:sdt>
            <w:sdt>
              <w:sdtPr>
                <w:alias w:val="poskyris"/>
                <w:tag w:val="part_dd5f376457d348e8b20b588d5a58f60a"/>
                <w:lock w:val="sdtLocked"/>
                <w:richText/>
              </w:sdtPr>
              <w:sdtContent>
                <w:p>
                  <w:pPr>
                    <w:widowControl w:val="0"/>
                    <w:tabs>
                      <w:tab w:val="left" w:pos="720"/>
                    </w:tabs>
                    <w:spacing w:line="259" w:lineRule="auto"/>
                    <w:jc w:val="center"/>
                    <w:rPr>
                      <w:b/>
                      <w:bCs/>
                      <w:sz w:val="22"/>
                      <w:szCs w:val="22"/>
                    </w:rPr>
                  </w:pPr>
                  <w:sdt>
                    <w:sdtPr>
                      <w:alias w:val="Pavadinimas"/>
                      <w:tag w:val="title_dd5f376457d348e8b20b588d5a58f60a"/>
                      <w:lock w:val="sdtLocked"/>
                      <w:richText/>
                    </w:sdtPr>
                    <w:sdtContent>
                      <w:r>
                        <w:rPr>
                          <w:b/>
                          <w:bCs/>
                          <w:sz w:val="22"/>
                          <w:szCs w:val="22"/>
                        </w:rPr>
                        <w:t>AIŠKINAMASIS RAŠTAS</w:t>
                      </w:r>
                    </w:sdtContent>
                  </w:sdt>
                </w:p>
                <w:p>
                  <w:pPr>
                    <w:rPr>
                      <w:sz w:val="14"/>
                      <w:szCs w:val="14"/>
                    </w:rPr>
                  </w:pPr>
                </w:p>
                <w:p>
                  <w:pPr>
                    <w:suppressAutoHyphens/>
                    <w:jc w:val="center"/>
                    <w:rPr>
                      <w:kern w:val="3"/>
                      <w:sz w:val="22"/>
                      <w:szCs w:val="22"/>
                      <w:lang w:eastAsia="zh-CN"/>
                    </w:rPr>
                  </w:pPr>
                  <w:r>
                    <w:rPr>
                      <w:kern w:val="3"/>
                      <w:sz w:val="22"/>
                      <w:szCs w:val="22"/>
                      <w:lang w:eastAsia="zh-CN"/>
                    </w:rPr>
                    <w:t>2024 m. balandžio 5 d.</w:t>
                  </w:r>
                </w:p>
                <w:p>
                  <w:pPr>
                    <w:suppressAutoHyphens/>
                    <w:jc w:val="center"/>
                    <w:rPr>
                      <w:kern w:val="3"/>
                      <w:sz w:val="22"/>
                      <w:szCs w:val="22"/>
                      <w:lang w:eastAsia="zh-CN"/>
                    </w:rPr>
                  </w:pPr>
                  <w:r>
                    <w:rPr>
                      <w:kern w:val="3"/>
                      <w:sz w:val="22"/>
                      <w:szCs w:val="22"/>
                      <w:lang w:eastAsia="zh-CN"/>
                    </w:rPr>
                    <w:t>Šiauliai</w:t>
                  </w:r>
                </w:p>
                <w:p>
                  <w:pPr>
                    <w:suppressAutoHyphens/>
                    <w:jc w:val="center"/>
                    <w:rPr>
                      <w:b/>
                      <w:bCs/>
                      <w:kern w:val="3"/>
                      <w:sz w:val="22"/>
                      <w:szCs w:val="22"/>
                      <w:lang w:eastAsia="zh-CN"/>
                    </w:rPr>
                  </w:pPr>
                </w:p>
              </w:sdtContent>
            </w:sdt>
            <w:sdt>
              <w:sdtPr>
                <w:alias w:val="poskyris"/>
                <w:tag w:val="part_a190008a876646d4abd7a87e20e75cec"/>
                <w:lock w:val="sdtLocked"/>
                <w:richText/>
              </w:sdtPr>
              <w:sdtContent>
                <w:p>
                  <w:pPr>
                    <w:ind w:firstLine="426"/>
                    <w:jc w:val="both"/>
                    <w:rPr>
                      <w:b/>
                      <w:bCs/>
                      <w:color w:val="000000"/>
                      <w:sz w:val="22"/>
                      <w:szCs w:val="22"/>
                      <w:lang w:eastAsia="lt-LT"/>
                    </w:rPr>
                  </w:pPr>
                  <w:sdt>
                    <w:sdtPr>
                      <w:alias w:val="Pavadinimas"/>
                      <w:tag w:val="title_a190008a876646d4abd7a87e20e75cec"/>
                      <w:lock w:val="sdtLocked"/>
                      <w:richText/>
                    </w:sdtPr>
                    <w:sdtContent>
                      <w:r>
                        <w:rPr>
                          <w:b/>
                          <w:bCs/>
                          <w:color w:val="000000"/>
                          <w:sz w:val="22"/>
                          <w:szCs w:val="22"/>
                          <w:lang w:eastAsia="lt-LT"/>
                        </w:rPr>
                        <w:t>Parengto sprendimo projekto tikslai ir uždaviniai.</w:t>
                      </w:r>
                    </w:sdtContent>
                  </w:sdt>
                </w:p>
                <w:p>
                  <w:pPr>
                    <w:ind w:firstLine="426"/>
                    <w:jc w:val="both"/>
                    <w:rPr>
                      <w:bCs/>
                      <w:color w:val="000000"/>
                      <w:sz w:val="22"/>
                      <w:szCs w:val="22"/>
                      <w:lang w:eastAsia="lt-LT"/>
                    </w:rPr>
                  </w:pPr>
                  <w:r>
                    <w:rPr>
                      <w:sz w:val="22"/>
                      <w:szCs w:val="22"/>
                    </w:rPr>
                    <w:t>Sprendimo projekto tikslas</w:t>
                  </w:r>
                  <w:r>
                    <w:rPr>
                      <w:b/>
                      <w:sz w:val="22"/>
                      <w:szCs w:val="22"/>
                    </w:rPr>
                    <w:t xml:space="preserve"> –</w:t>
                  </w:r>
                  <w:r>
                    <w:rPr>
                      <w:sz w:val="22"/>
                      <w:szCs w:val="22"/>
                    </w:rPr>
                    <w:t xml:space="preserve"> įgyvendinant </w:t>
                  </w:r>
                  <w:r>
                    <w:rPr>
                      <w:color w:val="000000"/>
                      <w:sz w:val="22"/>
                      <w:szCs w:val="22"/>
                    </w:rPr>
                    <w:t xml:space="preserve">Lietuvos Respublikos socialinių paslaugų įstatymo ir  Socialinių paslaugų planavimo metodikos nuostatas, parengtas </w:t>
                  </w:r>
                  <w:r>
                    <w:rPr>
                      <w:sz w:val="22"/>
                      <w:szCs w:val="22"/>
                    </w:rPr>
                    <w:t xml:space="preserve">Šiaulių miesto savivaldybės 2024 metų socialinių paslaugų planą (toliau – Socialinių paslaugų planas). </w:t>
                  </w:r>
                  <w:r>
                    <w:rPr>
                      <w:color w:val="000000"/>
                      <w:sz w:val="22"/>
                      <w:szCs w:val="22"/>
                    </w:rPr>
                    <w:t>Socialinių paslaugų plano objektas yra socialinės paslaugos, kurias savivaldybė organizuoja ir planuoja savo teritorijos gyventojams, atsižvelgdama į jų poreikius, ir kurių teikimą finansuoja iš savivaldybės biudžeto ar/ir iš Lietuvos Respublikos valstybės biudžeto specialių tikslinių dotacijų savivaldybių biudžetams.</w:t>
                  </w:r>
                </w:p>
              </w:sdtContent>
            </w:sdt>
            <w:sdt>
              <w:sdtPr>
                <w:alias w:val="poskyris"/>
                <w:tag w:val="part_90e2e17937e647ef92843f064de78d8e"/>
                <w:lock w:val="sdtLocked"/>
                <w:richText/>
              </w:sdtPr>
              <w:sdtContent>
                <w:p>
                  <w:pPr>
                    <w:ind w:firstLine="432"/>
                    <w:jc w:val="both"/>
                    <w:rPr>
                      <w:b/>
                      <w:bCs/>
                      <w:color w:val="000000"/>
                      <w:sz w:val="22"/>
                      <w:szCs w:val="22"/>
                      <w:lang w:eastAsia="lt-LT"/>
                    </w:rPr>
                  </w:pPr>
                  <w:sdt>
                    <w:sdtPr>
                      <w:alias w:val="Pavadinimas"/>
                      <w:tag w:val="title_90e2e17937e647ef92843f064de78d8e"/>
                      <w:lock w:val="sdtLocked"/>
                      <w:richText/>
                    </w:sdtPr>
                    <w:sdtContent>
                      <w:r>
                        <w:rPr>
                          <w:b/>
                          <w:bCs/>
                          <w:color w:val="000000"/>
                          <w:sz w:val="22"/>
                          <w:szCs w:val="22"/>
                          <w:lang w:eastAsia="lt-LT"/>
                        </w:rPr>
                        <w:t xml:space="preserve">Dabartinis sprendimo projekte aptariamų klausimų reguliavimas. </w:t>
                      </w:r>
                    </w:sdtContent>
                  </w:sdt>
                </w:p>
                <w:p>
                  <w:pPr>
                    <w:ind w:firstLine="432"/>
                    <w:jc w:val="both"/>
                    <w:rPr>
                      <w:b/>
                      <w:bCs/>
                      <w:color w:val="000000"/>
                      <w:sz w:val="22"/>
                      <w:szCs w:val="22"/>
                      <w:lang w:eastAsia="lt-LT"/>
                    </w:rPr>
                  </w:pPr>
                  <w:r>
                    <w:rPr>
                      <w:color w:val="000000"/>
                      <w:sz w:val="22"/>
                      <w:szCs w:val="22"/>
                    </w:rPr>
                    <w:t xml:space="preserve">Lietuvos Respublikos socialinių paslaugų įstatymo 13 straipsnio 3 dalyje numatyta, kad Socialinių paslaugų teikimo mastui ir rūšims pagal gyventojų poreikius nustatyti savivaldybė kasmet sudaro ir tvirtina socialinių paslaugų planą. </w:t>
                  </w:r>
                </w:p>
                <w:p>
                  <w:pPr>
                    <w:ind w:firstLine="432"/>
                    <w:jc w:val="both"/>
                    <w:rPr>
                      <w:bCs/>
                      <w:color w:val="000000"/>
                      <w:sz w:val="22"/>
                      <w:szCs w:val="22"/>
                      <w:lang w:eastAsia="lt-LT"/>
                    </w:rPr>
                  </w:pPr>
                  <w:r>
                    <w:rPr>
                      <w:color w:val="000000"/>
                      <w:sz w:val="22"/>
                      <w:szCs w:val="22"/>
                    </w:rPr>
                    <w:t xml:space="preserve">Socialinių paslaugų planavimo metodikos, patvirtintos Lietuvos Respublikos Vyriausybės 2006 m. lapkričio 15 d. nutarimu Nr. 1132 „Dėl Socialinių paslaugų planavimo metodikos patvirtinimo“, </w:t>
                  </w:r>
                  <w:r>
                    <w:rPr>
                      <w:sz w:val="22"/>
                      <w:szCs w:val="22"/>
                      <w:lang w:eastAsia="lt-LT"/>
                    </w:rPr>
                    <w:t xml:space="preserve">33 punkte nustatyta, kad Socialinių paslaugų planą tvirtina savivaldybės taryba. </w:t>
                  </w:r>
                </w:p>
                <w:p>
                  <w:pPr>
                    <w:ind w:firstLine="432"/>
                    <w:jc w:val="both"/>
                    <w:rPr>
                      <w:color w:val="000000"/>
                      <w:sz w:val="22"/>
                      <w:szCs w:val="22"/>
                    </w:rPr>
                  </w:pPr>
                  <w:r>
                    <w:rPr>
                      <w:color w:val="000000"/>
                      <w:sz w:val="22"/>
                      <w:szCs w:val="22"/>
                    </w:rPr>
                    <w:t xml:space="preserve">Lietuvos Respublikos socialinės apsaugos ir darbo ministro 2007 m. balandžio 12 d. įsakymu Nr. A1-104 „Dėl socialinių paslaugų plano formos ir socialinių paslaugų efektyvumo vertinimo kriterijų patvirtinimo“ patvirtinta Socialinių paslaugų plano forma ir socialinių paslaugų efektyvumo vertinimo kriterijai. </w:t>
                  </w:r>
                </w:p>
                <w:p>
                  <w:pPr>
                    <w:ind w:firstLine="431"/>
                    <w:jc w:val="both"/>
                    <w:rPr>
                      <w:bCs/>
                      <w:color w:val="000000"/>
                      <w:sz w:val="22"/>
                      <w:szCs w:val="22"/>
                      <w:lang w:eastAsia="lt-LT"/>
                    </w:rPr>
                  </w:pPr>
                  <w:r>
                    <w:rPr>
                      <w:color w:val="000000"/>
                      <w:sz w:val="22"/>
                      <w:szCs w:val="22"/>
                    </w:rPr>
                    <w:t>Socialinių paslaugų plano rengimui reikalingą ir plane analizuotą informaciją ir pasiūlymus planui pateikė 22 Šiaulių mieste socialines paslaugas teikiančios įstaigos (4 savivaldybės biudžetinės įstaigos ir 18 nevyriausybinių organizacijų ar viešųjų įstaigų).</w:t>
                  </w:r>
                </w:p>
                <w:p>
                  <w:pPr>
                    <w:ind w:firstLine="432"/>
                    <w:jc w:val="both"/>
                    <w:rPr>
                      <w:b/>
                      <w:bCs/>
                      <w:color w:val="000000"/>
                      <w:sz w:val="22"/>
                      <w:szCs w:val="22"/>
                      <w:lang w:eastAsia="lt-LT"/>
                    </w:rPr>
                  </w:pPr>
                  <w:r>
                    <w:rPr>
                      <w:b/>
                      <w:bCs/>
                      <w:color w:val="000000"/>
                      <w:sz w:val="22"/>
                      <w:szCs w:val="22"/>
                      <w:lang w:eastAsia="lt-LT"/>
                    </w:rPr>
                    <w:t xml:space="preserve">Sprendimo projekte numatytos naujos teisinio reglamentavimo nuostatos. </w:t>
                  </w:r>
                  <w:r>
                    <w:rPr>
                      <w:bCs/>
                      <w:color w:val="000000"/>
                      <w:sz w:val="22"/>
                      <w:szCs w:val="22"/>
                      <w:lang w:eastAsia="lt-LT"/>
                    </w:rPr>
                    <w:t>Nėra</w:t>
                  </w:r>
                </w:p>
              </w:sdtContent>
            </w:sdt>
            <w:sdt>
              <w:sdtPr>
                <w:alias w:val="poskyris"/>
                <w:tag w:val="part_5cd587bd1b044adcbef9691088d38f76"/>
                <w:lock w:val="sdtLocked"/>
                <w:richText/>
              </w:sdtPr>
              <w:sdtContent>
                <w:p>
                  <w:pPr>
                    <w:ind w:firstLine="432"/>
                    <w:jc w:val="both"/>
                    <w:rPr>
                      <w:b/>
                      <w:bCs/>
                      <w:color w:val="000000"/>
                      <w:sz w:val="22"/>
                      <w:szCs w:val="22"/>
                      <w:lang w:eastAsia="lt-LT"/>
                    </w:rPr>
                  </w:pPr>
                  <w:sdt>
                    <w:sdtPr>
                      <w:alias w:val="Pavadinimas"/>
                      <w:tag w:val="title_5cd587bd1b044adcbef9691088d38f76"/>
                      <w:lock w:val="sdtLocked"/>
                      <w:richText/>
                    </w:sdtPr>
                    <w:sdtContent>
                      <w:r>
                        <w:rPr>
                          <w:b/>
                          <w:bCs/>
                          <w:color w:val="000000"/>
                          <w:sz w:val="22"/>
                          <w:szCs w:val="22"/>
                          <w:lang w:eastAsia="lt-LT"/>
                        </w:rPr>
                        <w:t>Priėmus sprendimą, galimos pasekmės.</w:t>
                      </w:r>
                    </w:sdtContent>
                  </w:sdt>
                </w:p>
                <w:p>
                  <w:pPr>
                    <w:ind w:firstLine="431"/>
                    <w:jc w:val="both"/>
                    <w:rPr>
                      <w:sz w:val="22"/>
                      <w:szCs w:val="22"/>
                    </w:rPr>
                  </w:pPr>
                  <w:r>
                    <w:rPr>
                      <w:sz w:val="22"/>
                      <w:szCs w:val="22"/>
                    </w:rPr>
                    <w:t xml:space="preserve">Patvirtinus Šiaulių miesto savivaldybės socialinių paslaugų planą, savivaldybė, drauge su socialines paslaugas teikiančios įstaigomis, užtikrins socialinių paslaugų teikimą Šiaulių miesto gyventojams, atsižvelgdama į jų poreikius ir savivaldybės finansines galimybes. </w:t>
                  </w:r>
                </w:p>
                <w:p>
                  <w:pPr>
                    <w:ind w:firstLine="432"/>
                    <w:jc w:val="both"/>
                    <w:rPr>
                      <w:sz w:val="22"/>
                      <w:szCs w:val="22"/>
                    </w:rPr>
                  </w:pPr>
                  <w:r>
                    <w:rPr>
                      <w:sz w:val="22"/>
                      <w:szCs w:val="22"/>
                    </w:rPr>
                    <w:t>Neigiamų pasekmių nenumatoma.</w:t>
                  </w:r>
                </w:p>
              </w:sdtContent>
            </w:sdt>
            <w:sdt>
              <w:sdtPr>
                <w:alias w:val="poskyris"/>
                <w:tag w:val="part_12064b7df24e449ab709a222e7491ebf"/>
                <w:lock w:val="sdtLocked"/>
                <w:richText/>
              </w:sdtPr>
              <w:sdtContent>
                <w:p>
                  <w:pPr>
                    <w:ind w:firstLine="432"/>
                    <w:jc w:val="both"/>
                    <w:rPr>
                      <w:b/>
                      <w:bCs/>
                      <w:color w:val="000000"/>
                      <w:sz w:val="22"/>
                      <w:szCs w:val="22"/>
                      <w:lang w:eastAsia="lt-LT"/>
                    </w:rPr>
                  </w:pPr>
                  <w:sdt>
                    <w:sdtPr>
                      <w:alias w:val="Pavadinimas"/>
                      <w:tag w:val="title_12064b7df24e449ab709a222e7491ebf"/>
                      <w:lock w:val="sdtLocked"/>
                      <w:richText/>
                    </w:sdtPr>
                    <w:sdtContent>
                      <w:r>
                        <w:rPr>
                          <w:b/>
                          <w:bCs/>
                          <w:color w:val="000000"/>
                          <w:sz w:val="22"/>
                          <w:szCs w:val="22"/>
                          <w:lang w:eastAsia="lt-LT"/>
                        </w:rPr>
                        <w:t xml:space="preserve">Priėmus sprendimą, keičiami ar pripažįstami negaliojančiais teisės aktai. </w:t>
                      </w:r>
                    </w:sdtContent>
                  </w:sdt>
                </w:p>
                <w:p>
                  <w:pPr>
                    <w:ind w:firstLine="432"/>
                    <w:jc w:val="both"/>
                    <w:rPr>
                      <w:b/>
                      <w:bCs/>
                      <w:caps/>
                      <w:color w:val="000000"/>
                      <w:sz w:val="22"/>
                      <w:szCs w:val="22"/>
                      <w:lang w:eastAsia="lt-LT"/>
                    </w:rPr>
                  </w:pPr>
                  <w:r>
                    <w:rPr>
                      <w:color w:val="000000"/>
                      <w:sz w:val="22"/>
                      <w:szCs w:val="22"/>
                      <w:lang w:eastAsia="lt-LT"/>
                    </w:rPr>
                    <w:t>Priėmus sprendimą keisti ar naikinti galiojančių teisės aktų nereikės.</w:t>
                  </w:r>
                </w:p>
              </w:sdtContent>
            </w:sdt>
            <w:sdt>
              <w:sdtPr>
                <w:alias w:val="poskyris"/>
                <w:tag w:val="part_872b84f5d8c0420cbf7f6d0a8d18c398"/>
                <w:lock w:val="sdtLocked"/>
                <w:richText/>
              </w:sdtPr>
              <w:sdtContent>
                <w:p>
                  <w:pPr>
                    <w:ind w:firstLine="432"/>
                    <w:jc w:val="both"/>
                    <w:rPr>
                      <w:color w:val="000000"/>
                      <w:sz w:val="22"/>
                      <w:szCs w:val="22"/>
                      <w:lang w:eastAsia="lt-LT"/>
                    </w:rPr>
                  </w:pPr>
                  <w:sdt>
                    <w:sdtPr>
                      <w:alias w:val="Pavadinimas"/>
                      <w:tag w:val="title_872b84f5d8c0420cbf7f6d0a8d18c398"/>
                      <w:lock w:val="sdtLocked"/>
                      <w:richText/>
                    </w:sdtPr>
                    <w:sdtContent>
                      <w:r>
                        <w:rPr>
                          <w:b/>
                          <w:bCs/>
                          <w:color w:val="000000"/>
                          <w:sz w:val="22"/>
                          <w:szCs w:val="22"/>
                          <w:lang w:eastAsia="lt-LT"/>
                        </w:rPr>
                        <w:t>Sprendimui įgyvendinti reikalingi priimti papildomi teisės aktai.</w:t>
                      </w:r>
                    </w:sdtContent>
                  </w:sdt>
                </w:p>
                <w:p>
                  <w:pPr>
                    <w:ind w:firstLine="432"/>
                    <w:jc w:val="both"/>
                    <w:rPr>
                      <w:b/>
                      <w:bCs/>
                      <w:caps/>
                      <w:color w:val="000000"/>
                      <w:sz w:val="22"/>
                      <w:szCs w:val="22"/>
                      <w:lang w:eastAsia="lt-LT"/>
                    </w:rPr>
                  </w:pPr>
                  <w:r>
                    <w:rPr>
                      <w:color w:val="000000"/>
                      <w:sz w:val="22"/>
                      <w:szCs w:val="22"/>
                      <w:lang w:eastAsia="lt-LT"/>
                    </w:rPr>
                    <w:t>Sprendimui įgyvendinti nereikės priimti papildomų teisės aktų.</w:t>
                  </w:r>
                </w:p>
                <w:p>
                  <w:pPr>
                    <w:ind w:firstLine="432"/>
                    <w:jc w:val="both"/>
                    <w:rPr>
                      <w:color w:val="000000"/>
                      <w:sz w:val="22"/>
                      <w:szCs w:val="22"/>
                      <w:lang w:eastAsia="lt-LT"/>
                    </w:rPr>
                  </w:pPr>
                  <w:r>
                    <w:rPr>
                      <w:b/>
                      <w:bCs/>
                      <w:color w:val="000000"/>
                      <w:sz w:val="22"/>
                      <w:szCs w:val="22"/>
                      <w:lang w:eastAsia="lt-LT"/>
                    </w:rPr>
                    <w:t xml:space="preserve">Sprendimui įgyvendinti reikalingos lėšos: </w:t>
                  </w:r>
                  <w:r>
                    <w:rPr>
                      <w:bCs/>
                      <w:color w:val="000000"/>
                      <w:sz w:val="22"/>
                      <w:szCs w:val="22"/>
                      <w:lang w:eastAsia="lt-LT"/>
                    </w:rPr>
                    <w:t>2024 m.</w:t>
                  </w:r>
                  <w:r>
                    <w:rPr>
                      <w:b/>
                      <w:bCs/>
                      <w:color w:val="000000"/>
                      <w:sz w:val="22"/>
                      <w:szCs w:val="22"/>
                      <w:lang w:eastAsia="lt-LT"/>
                    </w:rPr>
                    <w:t xml:space="preserve"> </w:t>
                  </w:r>
                  <w:r>
                    <w:rPr>
                      <w:bCs/>
                      <w:color w:val="000000"/>
                      <w:sz w:val="22"/>
                      <w:szCs w:val="22"/>
                      <w:lang w:eastAsia="lt-LT"/>
                    </w:rPr>
                    <w:t>p</w:t>
                  </w:r>
                  <w:r>
                    <w:rPr>
                      <w:sz w:val="22"/>
                      <w:szCs w:val="22"/>
                    </w:rPr>
                    <w:t>apildomų lėšų nereikės.</w:t>
                  </w:r>
                </w:p>
                <w:p>
                  <w:pPr>
                    <w:ind w:firstLine="432"/>
                    <w:jc w:val="both"/>
                    <w:rPr>
                      <w:b/>
                      <w:bCs/>
                      <w:color w:val="000000"/>
                      <w:sz w:val="22"/>
                      <w:szCs w:val="22"/>
                      <w:lang w:eastAsia="lt-LT"/>
                    </w:rPr>
                  </w:pPr>
                  <w:r>
                    <w:rPr>
                      <w:b/>
                      <w:bCs/>
                      <w:color w:val="000000"/>
                      <w:sz w:val="22"/>
                      <w:szCs w:val="22"/>
                      <w:lang w:eastAsia="lt-LT"/>
                    </w:rPr>
                    <w:t xml:space="preserve">Sprendimo projekto antikorupcinis vertinimas </w:t>
                  </w:r>
                  <w:r>
                    <w:rPr>
                      <w:bCs/>
                      <w:color w:val="000000"/>
                      <w:sz w:val="22"/>
                      <w:szCs w:val="22"/>
                      <w:lang w:eastAsia="lt-LT"/>
                    </w:rPr>
                    <w:t>neatliekamas</w:t>
                  </w:r>
                  <w:r>
                    <w:rPr>
                      <w:b/>
                      <w:bCs/>
                      <w:color w:val="000000"/>
                      <w:sz w:val="22"/>
                      <w:szCs w:val="22"/>
                      <w:lang w:eastAsia="lt-LT"/>
                    </w:rPr>
                    <w:t>.</w:t>
                  </w:r>
                </w:p>
                <w:p>
                  <w:pPr>
                    <w:ind w:firstLine="431"/>
                    <w:jc w:val="both"/>
                    <w:rPr>
                      <w:b/>
                      <w:bCs/>
                      <w:color w:val="000000"/>
                      <w:sz w:val="22"/>
                      <w:szCs w:val="22"/>
                      <w:lang w:eastAsia="lt-LT"/>
                    </w:rPr>
                  </w:pPr>
                  <w:r>
                    <w:rPr>
                      <w:sz w:val="22"/>
                      <w:szCs w:val="22"/>
                    </w:rPr>
                    <w:t>Sprendimo projekto antikorupcinis vertinimas nebuvo atliekamas, nes šis projektas nėra susijęs nė su vienu atveju, nurodytu Lietuvos Respublikos korupcijos prevencijos įstatymo 8 straipsnio 1 dalyje.</w:t>
                  </w:r>
                </w:p>
                <w:p>
                  <w:pPr>
                    <w:suppressAutoHyphens/>
                    <w:ind w:firstLine="432"/>
                    <w:jc w:val="both"/>
                    <w:rPr>
                      <w:kern w:val="3"/>
                      <w:sz w:val="22"/>
                      <w:szCs w:val="22"/>
                      <w:lang w:eastAsia="zh-CN"/>
                    </w:rPr>
                  </w:pPr>
                  <w:r>
                    <w:rPr>
                      <w:b/>
                      <w:kern w:val="3"/>
                      <w:sz w:val="22"/>
                      <w:szCs w:val="22"/>
                      <w:shd w:val="clear" w:color="auto" w:fill="FFFFFF"/>
                      <w:lang w:eastAsia="zh-CN"/>
                    </w:rPr>
                    <w:t>N</w:t>
                  </w:r>
                  <w:r>
                    <w:rPr>
                      <w:rFonts w:eastAsia="Calibri"/>
                      <w:b/>
                      <w:kern w:val="3"/>
                      <w:sz w:val="22"/>
                      <w:szCs w:val="22"/>
                      <w:lang w:eastAsia="zh-CN"/>
                    </w:rPr>
                    <w:t xml:space="preserve">umatomo teisinio reguliavimo poveikio vertinimas </w:t>
                  </w:r>
                  <w:r>
                    <w:rPr>
                      <w:rFonts w:eastAsia="Calibri"/>
                      <w:kern w:val="3"/>
                      <w:sz w:val="22"/>
                      <w:szCs w:val="22"/>
                      <w:lang w:eastAsia="zh-CN"/>
                    </w:rPr>
                    <w:t>neatliekamas</w:t>
                  </w:r>
                  <w:r>
                    <w:rPr>
                      <w:rFonts w:eastAsia="Calibri"/>
                      <w:b/>
                      <w:kern w:val="3"/>
                      <w:sz w:val="22"/>
                      <w:szCs w:val="22"/>
                      <w:lang w:eastAsia="zh-CN"/>
                    </w:rPr>
                    <w:t>.</w:t>
                  </w:r>
                </w:p>
                <w:p>
                  <w:pPr>
                    <w:suppressAutoHyphens/>
                    <w:ind w:firstLine="432"/>
                    <w:jc w:val="both"/>
                    <w:rPr>
                      <w:color w:val="000000"/>
                      <w:kern w:val="3"/>
                      <w:sz w:val="22"/>
                      <w:szCs w:val="22"/>
                      <w:lang w:eastAsia="lt-LT"/>
                    </w:rPr>
                  </w:pPr>
                  <w:r>
                    <w:rPr>
                      <w:b/>
                      <w:bCs/>
                      <w:color w:val="000000"/>
                      <w:kern w:val="3"/>
                      <w:sz w:val="22"/>
                      <w:szCs w:val="22"/>
                      <w:lang w:eastAsia="lt-LT"/>
                    </w:rPr>
                    <w:t>Sprendimo projektą parengė</w:t>
                  </w:r>
                  <w:r>
                    <w:rPr>
                      <w:color w:val="000000"/>
                      <w:kern w:val="3"/>
                      <w:sz w:val="22"/>
                      <w:szCs w:val="22"/>
                      <w:lang w:eastAsia="lt-LT"/>
                    </w:rPr>
                    <w:t xml:space="preserve"> Socialinių paslaugų skyrius. Tiesioginis rengėjas – </w:t>
                  </w:r>
                  <w:r>
                    <w:rPr>
                      <w:kern w:val="3"/>
                      <w:sz w:val="22"/>
                      <w:szCs w:val="22"/>
                      <w:shd w:val="clear" w:color="auto" w:fill="FFFFFF"/>
                      <w:lang w:eastAsia="zh-CN"/>
                    </w:rPr>
                    <w:t>Socialinių paslaugų skyriaus vedėja Ramutė Pilypienė, tel. 386486, vyriausioji specialistė Dainora Vasiliauskienė,</w:t>
                  </w:r>
                  <w:r>
                    <w:rPr>
                      <w:color w:val="000000"/>
                      <w:kern w:val="3"/>
                      <w:sz w:val="22"/>
                      <w:szCs w:val="22"/>
                      <w:lang w:eastAsia="lt-LT"/>
                    </w:rPr>
                    <w:t xml:space="preserve"> </w:t>
                  </w:r>
                  <w:r>
                    <w:rPr>
                      <w:kern w:val="3"/>
                      <w:sz w:val="22"/>
                      <w:szCs w:val="22"/>
                      <w:shd w:val="clear" w:color="auto" w:fill="FFFFFF"/>
                      <w:lang w:eastAsia="zh-CN"/>
                    </w:rPr>
                    <w:t xml:space="preserve">tel. 386484, </w:t>
                  </w:r>
                  <w:r>
                    <w:rPr>
                      <w:rFonts w:eastAsia="HG Mincho Light J"/>
                      <w:kern w:val="3"/>
                      <w:sz w:val="22"/>
                      <w:szCs w:val="22"/>
                      <w:lang w:val="en-GB" w:eastAsia="lt-LT"/>
                    </w:rPr>
                    <w:t>vyriausioji specialistė Jurgita Šafranauskienė, tel. 596232.</w:t>
                  </w:r>
                </w:p>
                <w:p>
                  <w:pPr>
                    <w:suppressAutoHyphens/>
                    <w:jc w:val="both"/>
                    <w:rPr>
                      <w:kern w:val="3"/>
                      <w:szCs w:val="24"/>
                      <w:shd w:val="clear" w:color="auto" w:fill="FFFFFF"/>
                      <w:lang w:eastAsia="zh-CN"/>
                    </w:rPr>
                  </w:pPr>
                </w:p>
                <w:p>
                  <w:pPr>
                    <w:suppressAutoHyphens/>
                    <w:jc w:val="both"/>
                    <w:rPr>
                      <w:kern w:val="3"/>
                      <w:szCs w:val="24"/>
                      <w:shd w:val="clear" w:color="auto" w:fill="FFFFFF"/>
                      <w:lang w:eastAsia="zh-CN"/>
                    </w:rPr>
                  </w:pPr>
                </w:p>
              </w:sdtContent>
            </w:sdt>
          </w:sdtContent>
        </w:sdt>
        <w:sdt>
          <w:sdtPr>
            <w:alias w:val="signatura"/>
            <w:tag w:val="part_6de3fcc172004f3fb76d22c4467768d7"/>
            <w:lock w:val="sdtLocked"/>
            <w:richText/>
          </w:sdtPr>
          <w:sdtContent>
            <w:p>
              <w:pPr>
                <w:suppressAutoHyphens/>
                <w:jc w:val="both"/>
                <w:rPr>
                  <w:b/>
                  <w:bCs/>
                  <w:kern w:val="3"/>
                  <w:sz w:val="22"/>
                  <w:szCs w:val="22"/>
                  <w:lang w:eastAsia="zh-CN"/>
                </w:rPr>
              </w:pPr>
              <w:r>
                <w:rPr>
                  <w:kern w:val="3"/>
                  <w:sz w:val="22"/>
                  <w:szCs w:val="22"/>
                  <w:shd w:val="clear" w:color="auto" w:fill="FFFFFF"/>
                  <w:lang w:eastAsia="zh-CN"/>
                </w:rPr>
                <w:t>Vedėja</w:t>
                <w:tab/>
                <w:tab/>
                <w:tab/>
                <w:tab/>
              </w:r>
              <w:r>
                <w:rPr>
                  <w:kern w:val="3"/>
                  <w:sz w:val="22"/>
                  <w:szCs w:val="22"/>
                  <w:lang w:eastAsia="zh-CN"/>
                </w:rPr>
                <w:tab/>
                <w:t xml:space="preserve">                   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160" w:line="259" w:lineRule="auto"/>
        <w:rPr>
          <w:sz w:val="22"/>
          <w:szCs w:val="22"/>
        </w:rPr>
      </w:pPr>
      <w:r>
        <w:rPr>
          <w:sz w:val="22"/>
          <w:szCs w:val="22"/>
        </w:rPr>
        <w:separator/>
      </w:r>
    </w:p>
  </w:endnote>
  <w:endnote w:type="continuationSeparator" w:id="0">
    <w:p>
      <w:pPr>
        <w:spacing w:after="160" w:line="259" w:lineRule="auto"/>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160" w:line="259" w:lineRule="auto"/>
        <w:rPr>
          <w:sz w:val="22"/>
          <w:szCs w:val="22"/>
        </w:rPr>
      </w:pPr>
      <w:r>
        <w:rPr>
          <w:sz w:val="22"/>
          <w:szCs w:val="22"/>
        </w:rPr>
        <w:separator/>
      </w:r>
    </w:p>
  </w:footnote>
  <w:footnote w:type="continuationSeparator" w:id="0">
    <w:p>
      <w:pPr>
        <w:spacing w:after="160" w:line="259" w:lineRule="auto"/>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2</w:t>
    </w:r>
    <w:r>
      <w:rPr>
        <w:sz w:val="22"/>
        <w:szCs w:val="22"/>
      </w:rPr>
      <w:fldChar w:fldCharType="end"/>
    </w:r>
  </w:p>
  <w:p>
    <w:pPr>
      <w:tabs>
        <w:tab w:val="center" w:pos="4819"/>
        <w:tab w:val="right" w:pos="9638"/>
      </w:tabs>
      <w:spacing w:after="160" w:line="259" w:lineRule="auto"/>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7F7CCE-08B0-4E17-BE69-A789813098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090383">
      <w:bodyDiv w:val="1"/>
      <w:marLeft w:val="0"/>
      <w:marRight w:val="0"/>
      <w:marTop w:val="0"/>
      <w:marBottom w:val="0"/>
      <w:divBdr>
        <w:top w:val="none" w:sz="0" w:space="0" w:color="auto"/>
        <w:left w:val="none" w:sz="0" w:space="0" w:color="auto"/>
        <w:bottom w:val="none" w:sz="0" w:space="0" w:color="auto"/>
        <w:right w:val="none" w:sz="0" w:space="0" w:color="auto"/>
      </w:divBdr>
    </w:div>
    <w:div w:id="646711886">
      <w:bodyDiv w:val="1"/>
      <w:marLeft w:val="0"/>
      <w:marRight w:val="0"/>
      <w:marTop w:val="0"/>
      <w:marBottom w:val="0"/>
      <w:divBdr>
        <w:top w:val="none" w:sz="0" w:space="0" w:color="auto"/>
        <w:left w:val="none" w:sz="0" w:space="0" w:color="auto"/>
        <w:bottom w:val="none" w:sz="0" w:space="0" w:color="auto"/>
        <w:right w:val="none" w:sz="0" w:space="0" w:color="auto"/>
      </w:divBdr>
      <w:divsChild>
        <w:div w:id="161818831">
          <w:marLeft w:val="0"/>
          <w:marRight w:val="0"/>
          <w:marTop w:val="0"/>
          <w:marBottom w:val="0"/>
          <w:divBdr>
            <w:top w:val="none" w:sz="0" w:space="0" w:color="auto"/>
            <w:left w:val="none" w:sz="0" w:space="0" w:color="auto"/>
            <w:bottom w:val="none" w:sz="0" w:space="0" w:color="auto"/>
            <w:right w:val="none" w:sz="0" w:space="0" w:color="auto"/>
          </w:divBdr>
          <w:divsChild>
            <w:div w:id="815531636">
              <w:marLeft w:val="0"/>
              <w:marRight w:val="0"/>
              <w:marTop w:val="0"/>
              <w:marBottom w:val="0"/>
              <w:divBdr>
                <w:top w:val="none" w:sz="0" w:space="0" w:color="auto"/>
                <w:left w:val="none" w:sz="0" w:space="0" w:color="auto"/>
                <w:bottom w:val="none" w:sz="0" w:space="0" w:color="auto"/>
                <w:right w:val="none" w:sz="0" w:space="0" w:color="auto"/>
              </w:divBdr>
              <w:divsChild>
                <w:div w:id="13284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044437">
          <w:marLeft w:val="0"/>
          <w:marRight w:val="0"/>
          <w:marTop w:val="0"/>
          <w:marBottom w:val="0"/>
          <w:divBdr>
            <w:top w:val="none" w:sz="0" w:space="0" w:color="auto"/>
            <w:left w:val="none" w:sz="0" w:space="0" w:color="auto"/>
            <w:bottom w:val="none" w:sz="0" w:space="0" w:color="auto"/>
            <w:right w:val="none" w:sz="0" w:space="0" w:color="auto"/>
          </w:divBdr>
          <w:divsChild>
            <w:div w:id="1223103711">
              <w:marLeft w:val="0"/>
              <w:marRight w:val="0"/>
              <w:marTop w:val="0"/>
              <w:marBottom w:val="0"/>
              <w:divBdr>
                <w:top w:val="none" w:sz="0" w:space="0" w:color="auto"/>
                <w:left w:val="none" w:sz="0" w:space="0" w:color="auto"/>
                <w:bottom w:val="none" w:sz="0" w:space="0" w:color="auto"/>
                <w:right w:val="none" w:sz="0" w:space="0" w:color="auto"/>
              </w:divBdr>
              <w:divsChild>
                <w:div w:id="46230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527775">
      <w:bodyDiv w:val="1"/>
      <w:marLeft w:val="0"/>
      <w:marRight w:val="0"/>
      <w:marTop w:val="0"/>
      <w:marBottom w:val="0"/>
      <w:divBdr>
        <w:top w:val="none" w:sz="0" w:space="0" w:color="auto"/>
        <w:left w:val="none" w:sz="0" w:space="0" w:color="auto"/>
        <w:bottom w:val="none" w:sz="0" w:space="0" w:color="auto"/>
        <w:right w:val="none" w:sz="0" w:space="0" w:color="auto"/>
      </w:divBdr>
    </w:div>
    <w:div w:id="844712079">
      <w:bodyDiv w:val="1"/>
      <w:marLeft w:val="0"/>
      <w:marRight w:val="0"/>
      <w:marTop w:val="0"/>
      <w:marBottom w:val="0"/>
      <w:divBdr>
        <w:top w:val="none" w:sz="0" w:space="0" w:color="auto"/>
        <w:left w:val="none" w:sz="0" w:space="0" w:color="auto"/>
        <w:bottom w:val="none" w:sz="0" w:space="0" w:color="auto"/>
        <w:right w:val="none" w:sz="0" w:space="0" w:color="auto"/>
      </w:divBdr>
    </w:div>
    <w:div w:id="946498356">
      <w:bodyDiv w:val="1"/>
      <w:marLeft w:val="0"/>
      <w:marRight w:val="0"/>
      <w:marTop w:val="0"/>
      <w:marBottom w:val="0"/>
      <w:divBdr>
        <w:top w:val="none" w:sz="0" w:space="0" w:color="auto"/>
        <w:left w:val="none" w:sz="0" w:space="0" w:color="auto"/>
        <w:bottom w:val="none" w:sz="0" w:space="0" w:color="auto"/>
        <w:right w:val="none" w:sz="0" w:space="0" w:color="auto"/>
      </w:divBdr>
    </w:div>
    <w:div w:id="957954504">
      <w:bodyDiv w:val="1"/>
      <w:marLeft w:val="0"/>
      <w:marRight w:val="0"/>
      <w:marTop w:val="0"/>
      <w:marBottom w:val="0"/>
      <w:divBdr>
        <w:top w:val="none" w:sz="0" w:space="0" w:color="auto"/>
        <w:left w:val="none" w:sz="0" w:space="0" w:color="auto"/>
        <w:bottom w:val="none" w:sz="0" w:space="0" w:color="auto"/>
        <w:right w:val="none" w:sz="0" w:space="0" w:color="auto"/>
      </w:divBdr>
      <w:divsChild>
        <w:div w:id="1249927074">
          <w:marLeft w:val="0"/>
          <w:marRight w:val="0"/>
          <w:marTop w:val="0"/>
          <w:marBottom w:val="0"/>
          <w:divBdr>
            <w:top w:val="none" w:sz="0" w:space="0" w:color="auto"/>
            <w:left w:val="none" w:sz="0" w:space="0" w:color="auto"/>
            <w:bottom w:val="none" w:sz="0" w:space="0" w:color="auto"/>
            <w:right w:val="none" w:sz="0" w:space="0" w:color="auto"/>
          </w:divBdr>
        </w:div>
        <w:div w:id="2133088093">
          <w:marLeft w:val="0"/>
          <w:marRight w:val="0"/>
          <w:marTop w:val="0"/>
          <w:marBottom w:val="0"/>
          <w:divBdr>
            <w:top w:val="none" w:sz="0" w:space="0" w:color="auto"/>
            <w:left w:val="none" w:sz="0" w:space="0" w:color="auto"/>
            <w:bottom w:val="none" w:sz="0" w:space="0" w:color="auto"/>
            <w:right w:val="none" w:sz="0" w:space="0" w:color="auto"/>
          </w:divBdr>
        </w:div>
      </w:divsChild>
    </w:div>
    <w:div w:id="965894543">
      <w:bodyDiv w:val="1"/>
      <w:marLeft w:val="0"/>
      <w:marRight w:val="0"/>
      <w:marTop w:val="0"/>
      <w:marBottom w:val="0"/>
      <w:divBdr>
        <w:top w:val="none" w:sz="0" w:space="0" w:color="auto"/>
        <w:left w:val="none" w:sz="0" w:space="0" w:color="auto"/>
        <w:bottom w:val="none" w:sz="0" w:space="0" w:color="auto"/>
        <w:right w:val="none" w:sz="0" w:space="0" w:color="auto"/>
      </w:divBdr>
      <w:divsChild>
        <w:div w:id="254897153">
          <w:marLeft w:val="0"/>
          <w:marRight w:val="0"/>
          <w:marTop w:val="0"/>
          <w:marBottom w:val="0"/>
          <w:divBdr>
            <w:top w:val="none" w:sz="0" w:space="0" w:color="auto"/>
            <w:left w:val="none" w:sz="0" w:space="0" w:color="auto"/>
            <w:bottom w:val="none" w:sz="0" w:space="0" w:color="auto"/>
            <w:right w:val="none" w:sz="0" w:space="0" w:color="auto"/>
          </w:divBdr>
        </w:div>
        <w:div w:id="1778057734">
          <w:marLeft w:val="0"/>
          <w:marRight w:val="0"/>
          <w:marTop w:val="0"/>
          <w:marBottom w:val="0"/>
          <w:divBdr>
            <w:top w:val="none" w:sz="0" w:space="0" w:color="auto"/>
            <w:left w:val="none" w:sz="0" w:space="0" w:color="auto"/>
            <w:bottom w:val="none" w:sz="0" w:space="0" w:color="auto"/>
            <w:right w:val="none" w:sz="0" w:space="0" w:color="auto"/>
          </w:divBdr>
          <w:divsChild>
            <w:div w:id="226380739">
              <w:marLeft w:val="0"/>
              <w:marRight w:val="0"/>
              <w:marTop w:val="0"/>
              <w:marBottom w:val="0"/>
              <w:divBdr>
                <w:top w:val="none" w:sz="0" w:space="0" w:color="auto"/>
                <w:left w:val="none" w:sz="0" w:space="0" w:color="auto"/>
                <w:bottom w:val="none" w:sz="0" w:space="0" w:color="auto"/>
                <w:right w:val="none" w:sz="0" w:space="0" w:color="auto"/>
              </w:divBdr>
            </w:div>
            <w:div w:id="110636066">
              <w:marLeft w:val="0"/>
              <w:marRight w:val="0"/>
              <w:marTop w:val="0"/>
              <w:marBottom w:val="0"/>
              <w:divBdr>
                <w:top w:val="none" w:sz="0" w:space="0" w:color="auto"/>
                <w:left w:val="none" w:sz="0" w:space="0" w:color="auto"/>
                <w:bottom w:val="none" w:sz="0" w:space="0" w:color="auto"/>
                <w:right w:val="none" w:sz="0" w:space="0" w:color="auto"/>
              </w:divBdr>
            </w:div>
            <w:div w:id="90303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135074">
      <w:bodyDiv w:val="1"/>
      <w:marLeft w:val="0"/>
      <w:marRight w:val="0"/>
      <w:marTop w:val="0"/>
      <w:marBottom w:val="0"/>
      <w:divBdr>
        <w:top w:val="none" w:sz="0" w:space="0" w:color="auto"/>
        <w:left w:val="none" w:sz="0" w:space="0" w:color="auto"/>
        <w:bottom w:val="none" w:sz="0" w:space="0" w:color="auto"/>
        <w:right w:val="none" w:sz="0" w:space="0" w:color="auto"/>
      </w:divBdr>
    </w:div>
    <w:div w:id="1464930734">
      <w:bodyDiv w:val="1"/>
      <w:marLeft w:val="0"/>
      <w:marRight w:val="0"/>
      <w:marTop w:val="0"/>
      <w:marBottom w:val="0"/>
      <w:divBdr>
        <w:top w:val="none" w:sz="0" w:space="0" w:color="auto"/>
        <w:left w:val="none" w:sz="0" w:space="0" w:color="auto"/>
        <w:bottom w:val="none" w:sz="0" w:space="0" w:color="auto"/>
        <w:right w:val="none" w:sz="0" w:space="0" w:color="auto"/>
      </w:divBdr>
    </w:div>
    <w:div w:id="1592229795">
      <w:bodyDiv w:val="1"/>
      <w:marLeft w:val="0"/>
      <w:marRight w:val="0"/>
      <w:marTop w:val="0"/>
      <w:marBottom w:val="0"/>
      <w:divBdr>
        <w:top w:val="none" w:sz="0" w:space="0" w:color="auto"/>
        <w:left w:val="none" w:sz="0" w:space="0" w:color="auto"/>
        <w:bottom w:val="none" w:sz="0" w:space="0" w:color="auto"/>
        <w:right w:val="none" w:sz="0" w:space="0" w:color="auto"/>
      </w:divBdr>
      <w:divsChild>
        <w:div w:id="111943074">
          <w:marLeft w:val="0"/>
          <w:marRight w:val="0"/>
          <w:marTop w:val="0"/>
          <w:marBottom w:val="0"/>
          <w:divBdr>
            <w:top w:val="none" w:sz="0" w:space="0" w:color="auto"/>
            <w:left w:val="none" w:sz="0" w:space="0" w:color="auto"/>
            <w:bottom w:val="none" w:sz="0" w:space="0" w:color="auto"/>
            <w:right w:val="none" w:sz="0" w:space="0" w:color="auto"/>
          </w:divBdr>
        </w:div>
        <w:div w:id="1660235352">
          <w:marLeft w:val="0"/>
          <w:marRight w:val="0"/>
          <w:marTop w:val="0"/>
          <w:marBottom w:val="0"/>
          <w:divBdr>
            <w:top w:val="none" w:sz="0" w:space="0" w:color="auto"/>
            <w:left w:val="none" w:sz="0" w:space="0" w:color="auto"/>
            <w:bottom w:val="none" w:sz="0" w:space="0" w:color="auto"/>
            <w:right w:val="none" w:sz="0" w:space="0" w:color="auto"/>
          </w:divBdr>
        </w:div>
        <w:div w:id="213350768">
          <w:marLeft w:val="0"/>
          <w:marRight w:val="0"/>
          <w:marTop w:val="0"/>
          <w:marBottom w:val="0"/>
          <w:divBdr>
            <w:top w:val="none" w:sz="0" w:space="0" w:color="auto"/>
            <w:left w:val="none" w:sz="0" w:space="0" w:color="auto"/>
            <w:bottom w:val="none" w:sz="0" w:space="0" w:color="auto"/>
            <w:right w:val="none" w:sz="0" w:space="0" w:color="auto"/>
          </w:divBdr>
        </w:div>
        <w:div w:id="19696249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b59278f85b147398b8dbc1fb2e24c54" PartId="79a12caa3d1c48328a83b7acd1f7847a">
    <Part Type="skyrius" Nr="999" DocPartId="9bdb82b344544b9d99e3b7705cd66067" PartId="5de0933cef26454794a2e55c43707dfa">
      <Part Type="poskyris" Title="SPRENDIMO „DĖL ŠIAULIŲ MIESTO SAVIVALDYBĖS 2024 METŲ SOCIALINIŲ PASLAUGŲ PLANO PATVIRTINIMO“ PROJEKTO" DocPartId="1e265d55516a4122b71656d84b1adabb" PartId="6bbb626eb3104c77ba453f47f4c500b8"/>
      <Part Type="poskyris" Title="AIŠKINAMASIS RAŠTAS" DocPartId="cd4ec3b25bef473780c88e50e35284ce" PartId="dd5f376457d348e8b20b588d5a58f60a"/>
      <Part Type="poskyris" Title="Parengto sprendimo projekto tikslai ir uždaviniai." DocPartId="2afdea2b2ba54a1a84f07977408e9a9b" PartId="a190008a876646d4abd7a87e20e75cec"/>
      <Part Type="poskyris" Title="Dabartinis sprendimo projekte aptariamų klausimų reguliavimas." DocPartId="79818906a8f84c8d80eca118b9ae070a" PartId="90e2e17937e647ef92843f064de78d8e"/>
      <Part Type="poskyris" Title="Priėmus sprendimą, galimos pasekmės." DocPartId="394770961bfd4d9aac70615e016bed3c" PartId="5cd587bd1b044adcbef9691088d38f76"/>
      <Part Type="poskyris" Title="Priėmus sprendimą, keičiami ar pripažįstami negaliojančiais teisės aktai." DocPartId="6c11e221af904f7e888879ea5e42d4f4" PartId="12064b7df24e449ab709a222e7491ebf"/>
      <Part Type="poskyris" Title="Sprendimui įgyvendinti reikalingi priimti papildomi teisės aktai." DocPartId="abe6cab4ceda4e9ab551541dc84cd5cc" PartId="872b84f5d8c0420cbf7f6d0a8d18c398"/>
    </Part>
    <Part Type="signatura" DocPartId="3dc44f90a0c849a8bae073e14bd44393" PartId="6de3fcc172004f3fb76d22c4467768d7"/>
  </Part>
</Parts>
</file>

<file path=customXml/itemProps1.xml><?xml version="1.0" encoding="utf-8"?>
<ds:datastoreItem xmlns:ds="http://schemas.openxmlformats.org/officeDocument/2006/customXml" ds:itemID="{6B2B6BA8-3E73-41F6-AB6D-87EE95C51148}">
  <ds:schemaRefs>
    <ds:schemaRef ds:uri="http://schemas.openxmlformats.org/officeDocument/2006/bibliography"/>
  </ds:schemaRefs>
</ds:datastoreItem>
</file>

<file path=customXml/itemProps2.xml><?xml version="1.0" encoding="utf-8"?>
<ds:datastoreItem xmlns:ds="http://schemas.openxmlformats.org/officeDocument/2006/customXml" ds:itemID="{67C1AB8C-08BF-4305-BA29-9B37374B4A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394</Words>
  <Characters>3047</Characters>
  <Application>Microsoft Office Word</Application>
  <DocSecurity>4</DocSecurity>
  <Lines>53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2024-04-19T09:59:00Z</dcterms:created>
  <dc:creator>Edita Čičelienė</dc:creator>
  <lastModifiedBy>adlibuser</lastModifiedBy>
  <lastPrinted>2023-05-03T07:32:00Z</lastPrinted>
  <dcterms:modified xsi:type="dcterms:W3CDTF">2024-04-19T09:59:00Z</dcterms:modified>
  <revision>2</revision>
</coreProperties>
</file>