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d92d4d89bc1a4ec792248dcbbffa2911"/>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22FC8ED7" wp14:editId="4E0084CD">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bCs/>
                    <w:szCs w:val="24"/>
                    <w:lang w:bidi="en-US"/>
                  </w:rPr>
                </w:pPr>
                <w:r>
                  <w:rPr>
                    <w:rFonts w:eastAsia="Andale Sans UI" w:cs="Tahoma"/>
                    <w:b/>
                    <w:bCs/>
                    <w:szCs w:val="24"/>
                    <w:lang w:bidi="en-US"/>
                  </w:rPr>
                  <w:t>DĖL APLINKOS MINISTRO ĮSAKYMO PROJEKTO</w:t>
                </w:r>
              </w:p>
            </w:tc>
          </w:tr>
        </w:tbl>
        <w:p>
          <w:pPr>
            <w:spacing w:line="276" w:lineRule="auto"/>
            <w:jc w:val="both"/>
            <w:rPr>
              <w:rFonts w:eastAsia="Andale Sans UI" w:cs="Tahoma"/>
              <w:szCs w:val="24"/>
              <w:lang w:bidi="en-US"/>
            </w:rPr>
          </w:pPr>
        </w:p>
      </w:sdtContent>
    </w:sdt>
    <w:sdt>
      <w:sdtPr>
        <w:alias w:val="pastraipa"/>
        <w:tag w:val="part_7e5c4cfd83ab445ab9c06cdd674cb2cc"/>
        <w:lock w:val="sdtLocked"/>
        <w:richText/>
      </w:sdtPr>
      <w:sdtContent>
        <w:p>
          <w:pPr>
            <w:widowControl w:val="0"/>
            <w:suppressAutoHyphens/>
            <w:spacing w:line="276" w:lineRule="auto"/>
            <w:ind w:firstLine="567"/>
            <w:jc w:val="both"/>
            <w:rPr>
              <w:rFonts w:eastAsia="Andale Sans UI"/>
              <w:szCs w:val="24"/>
              <w:lang w:bidi="en-US"/>
            </w:rPr>
          </w:pPr>
          <w:r>
            <w:rPr>
              <w:rFonts w:eastAsia="Andale Sans UI"/>
              <w:szCs w:val="24"/>
              <w:lang w:bidi="en-US"/>
            </w:rPr>
            <w:t>Aplinkos ministerija teikia išvadoms gauti Lietuvos Respublikos aplinkos ministro įsakymo „Dėl Lietuvos Respublikos aplinkos ministro 2016 m. gruodžio 2 d. įsakymo Nr. D1-848 „Dėl statybos techninio reglamento STR 1.06.01:2016 „Statybos darbai. Statinio statybos priežiūra“ patvirtinimo“ pakeitimo“ projektą (toliau – Projektas).</w:t>
          </w:r>
        </w:p>
      </w:sdtContent>
    </w:sdt>
    <w:sdt>
      <w:sdtPr>
        <w:alias w:val="pastraipa"/>
        <w:tag w:val="part_1993d56635ed4eceb366dc8b093f2141"/>
        <w:lock w:val="sdtLocked"/>
        <w:richText/>
      </w:sdtPr>
      <w:sdtContent>
        <w:p>
          <w:pPr>
            <w:spacing w:line="276" w:lineRule="auto"/>
            <w:ind w:firstLine="567"/>
            <w:jc w:val="both"/>
            <w:rPr>
              <w:rFonts w:eastAsia="Andale Sans UI"/>
              <w:szCs w:val="24"/>
              <w:lang w:bidi="en-US"/>
            </w:rPr>
          </w:pPr>
          <w:r>
            <w:rPr>
              <w:rFonts w:eastAsia="Andale Sans UI"/>
              <w:szCs w:val="24"/>
              <w:lang w:bidi="en-US"/>
            </w:rPr>
            <w:t xml:space="preserve">Projekto tikslas – įgyvendinti </w:t>
          </w:r>
          <w:r>
            <w:rPr>
              <w:rFonts w:eastAsia="Andale Sans UI"/>
              <w:szCs w:val="24"/>
              <w:lang w:eastAsia="lt-LT" w:bidi="en-US"/>
            </w:rPr>
            <w:t>Lietuvos Respublikos statybos įstatymo Nr. I-1240 1, 2, 3, 4, 5, 6, 11</w:t>
          </w:r>
          <w:r>
            <w:rPr>
              <w:rFonts w:eastAsia="Andale Sans UI"/>
              <w:szCs w:val="24"/>
              <w:vertAlign w:val="superscript"/>
              <w:lang w:eastAsia="lt-LT" w:bidi="en-US"/>
            </w:rPr>
            <w:t>1</w:t>
          </w:r>
          <w:r>
            <w:rPr>
              <w:rFonts w:eastAsia="Andale Sans UI"/>
              <w:szCs w:val="24"/>
              <w:lang w:eastAsia="lt-LT" w:bidi="en-US"/>
            </w:rPr>
            <w:t>, 12, 14, 15, 17, 18, 22, 24, 26, 27, 27</w:t>
          </w:r>
          <w:r>
            <w:rPr>
              <w:rFonts w:eastAsia="Andale Sans UI"/>
              <w:szCs w:val="24"/>
              <w:vertAlign w:val="superscript"/>
              <w:lang w:eastAsia="lt-LT" w:bidi="en-US"/>
            </w:rPr>
            <w:t>1</w:t>
          </w:r>
          <w:r>
            <w:rPr>
              <w:rFonts w:eastAsia="Andale Sans UI"/>
              <w:szCs w:val="24"/>
              <w:lang w:eastAsia="lt-LT" w:bidi="en-US"/>
            </w:rPr>
            <w:t>, 28, 34, 37, 39, 47, 49, 51, 52</w:t>
          </w:r>
          <w:r>
            <w:rPr>
              <w:rFonts w:eastAsia="Andale Sans UI"/>
              <w:szCs w:val="24"/>
              <w:vertAlign w:val="superscript"/>
              <w:lang w:eastAsia="lt-LT" w:bidi="en-US"/>
            </w:rPr>
            <w:t>1</w:t>
          </w:r>
          <w:r>
            <w:rPr>
              <w:rFonts w:eastAsia="Andale Sans UI"/>
              <w:szCs w:val="24"/>
              <w:lang w:eastAsia="lt-LT" w:bidi="en-US"/>
            </w:rPr>
            <w:t>, 53, 55, 56, 57, 59 straipsnių, šeštojo skirsnio pavadinimo, 1 priedo pakeitimo ir įstatymo papildymo 11</w:t>
          </w:r>
          <w:r>
            <w:rPr>
              <w:rFonts w:eastAsia="Andale Sans UI"/>
              <w:szCs w:val="24"/>
              <w:vertAlign w:val="superscript"/>
              <w:lang w:eastAsia="lt-LT" w:bidi="en-US"/>
            </w:rPr>
            <w:t>2</w:t>
          </w:r>
          <w:r>
            <w:rPr>
              <w:rFonts w:eastAsia="Andale Sans UI"/>
              <w:szCs w:val="24"/>
              <w:lang w:eastAsia="lt-LT" w:bidi="en-US"/>
            </w:rPr>
            <w:t>, 27</w:t>
          </w:r>
          <w:r>
            <w:rPr>
              <w:rFonts w:eastAsia="Andale Sans UI"/>
              <w:szCs w:val="24"/>
              <w:vertAlign w:val="superscript"/>
              <w:lang w:eastAsia="lt-LT" w:bidi="en-US"/>
            </w:rPr>
            <w:t>2</w:t>
          </w:r>
          <w:r>
            <w:rPr>
              <w:rFonts w:eastAsia="Andale Sans UI"/>
              <w:szCs w:val="24"/>
              <w:lang w:eastAsia="lt-LT" w:bidi="en-US"/>
            </w:rPr>
            <w:t xml:space="preserve">, 68 straipsniais įstatymo (toliau – Įstatymas) nuostatas. Patikslinama </w:t>
          </w:r>
          <w:r>
            <w:rPr>
              <w:rFonts w:eastAsia="Andale Sans UI"/>
              <w:szCs w:val="24"/>
              <w:lang w:bidi="en-US"/>
            </w:rPr>
            <w:t xml:space="preserve">statybos techninio reglamento STR 1.06.01:2016 „Statybos darbai. Statinio statybos priežiūra“ (toliau – Reglamentas) preambulė. </w:t>
          </w:r>
          <w:r>
            <w:rPr>
              <w:rFonts w:eastAsia="Andale Sans UI"/>
              <w:szCs w:val="24"/>
              <w:lang w:eastAsia="lt-LT" w:bidi="en-US"/>
            </w:rPr>
            <w:t xml:space="preserve">Projektu, atsižvelgiant į Įstatymo 13 straipsnio 5 dalį, kuria keičiamas Statybos įstatymo 18 straipsnio 7 dalies 2 punktas, patikslintas </w:t>
          </w:r>
          <w:r>
            <w:rPr>
              <w:rFonts w:eastAsia="Andale Sans UI"/>
              <w:szCs w:val="24"/>
              <w:lang w:bidi="en-US"/>
            </w:rPr>
            <w:t xml:space="preserve">Reglamento </w:t>
          </w:r>
          <w:r>
            <w:rPr>
              <w:rFonts w:eastAsia="Andale Sans UI"/>
              <w:szCs w:val="24"/>
              <w:lang w:eastAsia="lt-LT" w:bidi="en-US"/>
            </w:rPr>
            <w:t>5 punktas. Atsižvelgiant į Įstatymo 13 straipsnio 7 ir 9 dalis, kuriomis papildoma Statybos įstatymo 18 straipsnio 7 dalis 8 punktu ir 18 straipsnis papildomas 9</w:t>
          </w:r>
          <w:r>
            <w:rPr>
              <w:rFonts w:eastAsia="Andale Sans UI"/>
              <w:szCs w:val="24"/>
              <w:vertAlign w:val="superscript"/>
              <w:lang w:eastAsia="lt-LT" w:bidi="en-US"/>
            </w:rPr>
            <w:t>1</w:t>
          </w:r>
          <w:r>
            <w:rPr>
              <w:rFonts w:eastAsia="Andale Sans UI"/>
              <w:szCs w:val="24"/>
              <w:lang w:eastAsia="lt-LT" w:bidi="en-US"/>
            </w:rPr>
            <w:t xml:space="preserve"> dalimi, Reglamentas papildytas 8</w:t>
          </w:r>
          <w:r>
            <w:rPr>
              <w:rFonts w:eastAsia="Andale Sans UI"/>
              <w:szCs w:val="24"/>
              <w:vertAlign w:val="superscript"/>
              <w:lang w:eastAsia="lt-LT" w:bidi="en-US"/>
            </w:rPr>
            <w:t>1</w:t>
          </w:r>
          <w:r>
            <w:rPr>
              <w:rFonts w:eastAsia="Andale Sans UI"/>
              <w:szCs w:val="24"/>
              <w:lang w:eastAsia="lt-LT" w:bidi="en-US"/>
            </w:rPr>
            <w:t xml:space="preserve"> ir 8</w:t>
          </w:r>
          <w:r>
            <w:rPr>
              <w:rFonts w:eastAsia="Andale Sans UI"/>
              <w:szCs w:val="24"/>
              <w:vertAlign w:val="superscript"/>
              <w:lang w:eastAsia="lt-LT" w:bidi="en-US"/>
            </w:rPr>
            <w:t>2</w:t>
          </w:r>
          <w:r>
            <w:rPr>
              <w:rFonts w:eastAsia="Andale Sans UI"/>
              <w:szCs w:val="24"/>
              <w:lang w:eastAsia="lt-LT" w:bidi="en-US"/>
            </w:rPr>
            <w:t xml:space="preserve"> punktais. Reglamento 8</w:t>
          </w:r>
          <w:r>
            <w:rPr>
              <w:rFonts w:eastAsia="Andale Sans UI"/>
              <w:szCs w:val="24"/>
              <w:vertAlign w:val="superscript"/>
              <w:lang w:eastAsia="lt-LT" w:bidi="en-US"/>
            </w:rPr>
            <w:t>1</w:t>
          </w:r>
          <w:r>
            <w:rPr>
              <w:rFonts w:eastAsia="Andale Sans UI"/>
              <w:szCs w:val="24"/>
              <w:lang w:eastAsia="lt-LT" w:bidi="en-US"/>
            </w:rPr>
            <w:t xml:space="preserve"> punkte paaiškinama, kad generaliniu rangovu gali būti bet kuris vienas rangovas; atsižvelgiant į Lietuvos Respublikos civilinio kodekso reglamentavimą, nurodoma, kad gavęs generalinio rangovo sutikimą </w:t>
          </w:r>
          <w:r>
            <w:rPr>
              <w:rFonts w:eastAsia="Andale Sans UI"/>
              <w:szCs w:val="24"/>
              <w:lang w:bidi="en-US"/>
            </w:rPr>
            <w:t>statytojas (užsakovas) turi teisę sudaryti sutartis su kitais rangovais (subrangovais) atskiriems statybos darbams atlikti, o šie rangovai (subrangovai) už sutarties neįvykdymą ar netinkamą įvykdymą atsako tiesiogiai statytojui (užsakovui); Reglamento 8</w:t>
          </w:r>
          <w:r>
            <w:rPr>
              <w:rFonts w:eastAsia="Andale Sans UI"/>
              <w:szCs w:val="24"/>
              <w:vertAlign w:val="superscript"/>
              <w:lang w:bidi="en-US"/>
            </w:rPr>
            <w:t>1</w:t>
          </w:r>
          <w:r>
            <w:rPr>
              <w:rFonts w:eastAsia="Andale Sans UI"/>
              <w:szCs w:val="24"/>
              <w:lang w:bidi="en-US"/>
            </w:rPr>
            <w:t xml:space="preserve"> punkte nurodoma, kad statytojas (užsakovas) ir rangovas (generalinis rangovas) privalo užtikrinti, kad pasamdyti rangovai (subrangovai) turi statybos darbams atlikti reikalingą kvalifikaciją.</w:t>
          </w:r>
          <w:r>
            <w:rPr>
              <w:rFonts w:eastAsia="Andale Sans UI"/>
              <w:b/>
              <w:szCs w:val="24"/>
              <w:lang w:bidi="en-US"/>
            </w:rPr>
            <w:t xml:space="preserve"> </w:t>
          </w:r>
          <w:r>
            <w:rPr>
              <w:rFonts w:eastAsia="Andale Sans UI"/>
              <w:szCs w:val="24"/>
              <w:lang w:eastAsia="lt-LT" w:bidi="en-US"/>
            </w:rPr>
            <w:t>Atsižvelgiant į Įstatymo nuostatų įsigaliojimo datas, nustatytos Reglamento punktų įsigaliojimo datos.</w:t>
          </w:r>
        </w:p>
      </w:sdtContent>
    </w:sdt>
    <w:sdt>
      <w:sdtPr>
        <w:alias w:val="pastraipa"/>
        <w:tag w:val="part_4c48cfe245c949159c6982a6dee6f96e"/>
        <w:lock w:val="sdtLocked"/>
        <w:richText/>
      </w:sdtPr>
      <w:sdtContent>
        <w:p>
          <w:pPr>
            <w:widowControl w:val="0"/>
            <w:shd w:val="clear" w:color="auto" w:fill="FFFFFF"/>
            <w:suppressAutoHyphens/>
            <w:spacing w:line="276" w:lineRule="auto"/>
            <w:ind w:firstLine="567"/>
            <w:jc w:val="both"/>
            <w:textAlignment w:val="center"/>
            <w:rPr>
              <w:rFonts w:eastAsia="Andale Sans UI"/>
              <w:szCs w:val="24"/>
              <w:lang w:bidi="en-US"/>
            </w:rPr>
          </w:pPr>
          <w:r>
            <w:rPr>
              <w:rFonts w:eastAsia="Andale Sans UI"/>
              <w:szCs w:val="24"/>
              <w:lang w:bidi="en-US"/>
            </w:rPr>
            <w:t>Projektas neperkelia ir neįgyvendina Europos Sąjungos teisės aktų. Projektui įtraukti į teisės sistemą nereikės priimti kitų teisės aktų.</w:t>
          </w:r>
        </w:p>
      </w:sdtContent>
    </w:sdt>
    <w:sdt>
      <w:sdtPr>
        <w:alias w:val="pastraipa"/>
        <w:tag w:val="part_261982f5d25a42b28fd23bc1bb291a47"/>
        <w:lock w:val="sdtLocked"/>
        <w:richText/>
      </w:sdtPr>
      <w:sdtContent>
        <w:p>
          <w:pPr>
            <w:widowControl w:val="0"/>
            <w:shd w:val="clear" w:color="auto" w:fill="FFFFFF"/>
            <w:suppressAutoHyphens/>
            <w:spacing w:line="276" w:lineRule="auto"/>
            <w:ind w:firstLine="567"/>
            <w:jc w:val="both"/>
            <w:textAlignment w:val="center"/>
            <w:rPr>
              <w:rFonts w:eastAsia="Andale Sans UI"/>
              <w:szCs w:val="24"/>
              <w:lang w:bidi="en-US"/>
            </w:rPr>
          </w:pPr>
          <w:r>
            <w:rPr>
              <w:rFonts w:eastAsia="Andale Sans UI"/>
              <w:szCs w:val="24"/>
              <w:lang w:bidi="en-US"/>
            </w:rPr>
            <w:t>Projektas neprieštarauja Aštuonioliktosios Lietuvos Respublikos Vyriausybės programai, kuriai pritarta Lietuvos Respublikos Seimo 2020 m. gruodžio 11 d. nutarimu Nr. XIV</w:t>
            <w:noBreakHyphen/>
            <w:t>72 „Dėl Aštuonioliktosios Lietuvos Respublikos Vyriausybės programos“.</w:t>
          </w:r>
        </w:p>
      </w:sdtContent>
    </w:sdt>
    <w:sdt>
      <w:sdtPr>
        <w:alias w:val="pastraipa"/>
        <w:tag w:val="part_479fd6fe9c20428db0795db27fc3325a"/>
        <w:lock w:val="sdtLocked"/>
        <w:richText/>
      </w:sdtPr>
      <w:sdtContent>
        <w:p>
          <w:pPr>
            <w:widowControl w:val="0"/>
            <w:suppressAutoHyphens/>
            <w:spacing w:line="276" w:lineRule="auto"/>
            <w:ind w:firstLine="567"/>
            <w:jc w:val="both"/>
            <w:rPr>
              <w:rFonts w:eastAsia="Andale Sans UI"/>
              <w:iCs/>
              <w:szCs w:val="24"/>
              <w:lang w:bidi="en-US"/>
            </w:rPr>
          </w:pPr>
          <w:r>
            <w:rPr>
              <w:rFonts w:eastAsia="Andale Sans UI"/>
              <w:iCs/>
              <w:szCs w:val="24"/>
              <w:lang w:bidi="en-US"/>
            </w:rPr>
            <w:t>Projektas atitinka Lietuvos Respublikos teisėkūros pagrindų įstatymo reikalavimus. Projekte nėra naujų sąvokų.</w:t>
          </w:r>
        </w:p>
      </w:sdtContent>
    </w:sdt>
    <w:sdt>
      <w:sdtPr>
        <w:alias w:val="pastraipa"/>
        <w:tag w:val="part_301c9be4541c4d4ea6d376b6a1809534"/>
        <w:lock w:val="sdtLocked"/>
        <w:richText/>
      </w:sdtPr>
      <w:sdtContent>
        <w:p>
          <w:pPr>
            <w:widowControl w:val="0"/>
            <w:shd w:val="clear" w:color="auto" w:fill="FFFFFF"/>
            <w:suppressAutoHyphens/>
            <w:spacing w:line="276" w:lineRule="auto"/>
            <w:ind w:firstLine="567"/>
            <w:jc w:val="both"/>
            <w:textAlignment w:val="center"/>
            <w:rPr>
              <w:rFonts w:eastAsia="Andale Sans UI"/>
              <w:szCs w:val="24"/>
              <w:lang w:bidi="en-US"/>
            </w:rPr>
          </w:pPr>
          <w:r>
            <w:rPr>
              <w:rFonts w:eastAsia="Andale Sans UI"/>
              <w:szCs w:val="24"/>
              <w:lang w:bidi="en-US"/>
            </w:rPr>
            <w:t>Vadovaujantis Numatomo teisinio reguliavimo poveikio metodikos, patvirtintos Vyriausybės 2003 m. vasario 26 d. nutarimu Nr. 276 „Dėl Numatomo teisinio reguliavimo poveikio vertinimo metodikos patvirtinimo“ nuostatomis, atliktas Projekto numatomo teisinio reguliavimo poveikio vertinimas.</w:t>
          </w:r>
        </w:p>
      </w:sdtContent>
    </w:sdt>
    <w:sdt>
      <w:sdtPr>
        <w:alias w:val="pastraipa"/>
        <w:tag w:val="part_c95ac2574f7343edb4a13e2839b8332a"/>
        <w:lock w:val="sdtLocked"/>
        <w:richText/>
      </w:sdtPr>
      <w:sdtContent>
        <w:p>
          <w:pPr>
            <w:widowControl w:val="0"/>
            <w:shd w:val="clear" w:color="auto" w:fill="FFFFFF"/>
            <w:suppressAutoHyphens/>
            <w:spacing w:line="276" w:lineRule="auto"/>
            <w:ind w:firstLine="567"/>
            <w:jc w:val="both"/>
            <w:textAlignment w:val="center"/>
            <w:rPr>
              <w:rFonts w:eastAsia="Andale Sans UI"/>
              <w:szCs w:val="24"/>
              <w:lang w:bidi="en-US"/>
            </w:rPr>
          </w:pPr>
          <w:r>
            <w:rPr>
              <w:rFonts w:eastAsia="Andale Sans UI"/>
              <w:szCs w:val="24"/>
              <w:lang w:bidi="en-US"/>
            </w:rPr>
            <w:t>Atliktas Projekto antikorupcinis vertinimas.</w:t>
          </w:r>
        </w:p>
      </w:sdtContent>
    </w:sdt>
    <w:sdt>
      <w:sdtPr>
        <w:alias w:val="pastraipa"/>
        <w:tag w:val="part_f6eb32b0490e44c1a49da4f15a02cc7b"/>
        <w:lock w:val="sdtLocked"/>
        <w:richText/>
      </w:sdtPr>
      <w:sdtContent>
        <w:p>
          <w:pPr>
            <w:widowControl w:val="0"/>
            <w:suppressAutoHyphens/>
            <w:spacing w:line="276" w:lineRule="auto"/>
            <w:ind w:firstLine="567"/>
            <w:jc w:val="both"/>
            <w:rPr>
              <w:rFonts w:eastAsia="Andale Sans UI"/>
              <w:iCs/>
              <w:szCs w:val="24"/>
              <w:lang w:bidi="en-US"/>
            </w:rPr>
          </w:pPr>
          <w:r>
            <w:rPr>
              <w:rFonts w:eastAsia="Andale Sans UI"/>
              <w:szCs w:val="24"/>
              <w:lang w:bidi="en-US"/>
            </w:rPr>
            <w:t>Projektas skelbiamas Lietuvos Respublikos Seimo kanceliarijos teisės aktų informacinėje sistemoje (TAIS). Pastabas ir pasiūlymus dėl Projekto prašome pateikti per 10 darbo dienų nuo Projekto paskelbimo TAIS dienos. TAIS paskelbtam įsakymo Projektui pastabos ir pasiūlymai turi būti teikiami tik per šią informacinę sistemą. Atkreipiame dėmesį, kad kitais būdais ar pavėluotai pateiktos pastabos nebus vertinamos.</w:t>
          </w:r>
        </w:p>
      </w:sdtContent>
    </w:sdt>
    <w:sdt>
      <w:sdtPr>
        <w:alias w:val="pastraipa"/>
        <w:tag w:val="part_d768b0a50b20468d8e2ca5ecdf4f79e9"/>
        <w:lock w:val="sdtLocked"/>
        <w:richText/>
      </w:sdtPr>
      <w:sdtContent>
        <w:p>
          <w:pPr>
            <w:widowControl w:val="0"/>
            <w:suppressAutoHyphens/>
            <w:spacing w:line="276" w:lineRule="auto"/>
            <w:ind w:firstLine="567"/>
            <w:jc w:val="both"/>
            <w:rPr>
              <w:rFonts w:eastAsia="Andale Sans UI"/>
              <w:szCs w:val="24"/>
              <w:lang w:bidi="en-US"/>
            </w:rPr>
          </w:pPr>
          <w:r>
            <w:rPr>
              <w:rFonts w:eastAsia="Andale Sans UI"/>
              <w:szCs w:val="24"/>
              <w:lang w:bidi="en-US"/>
            </w:rPr>
            <w:t>Projekto rengimą kuruoja Aplinkos ministerijos Statybos politikos grupės (vadovas – Vytautas Palevičius, tel. 8 686 17 294, el. p. vytautas.palevicius@am.lt) patarėjas Marius Rimkevičius (tel. 8 620 61 681, el. p. marius.rimkevicius@am.lt).</w:t>
          </w:r>
        </w:p>
      </w:sdtContent>
    </w:sdt>
    <w:sdt>
      <w:sdtPr>
        <w:alias w:val="pastraipa"/>
        <w:tag w:val="part_d13ce67738514c4fb2fc156f5c165eac"/>
        <w:lock w:val="sdtLocked"/>
        <w:richText/>
      </w:sdtPr>
      <w:sdtContent>
        <w:p>
          <w:pPr>
            <w:tabs>
              <w:tab w:val="left" w:pos="366"/>
            </w:tabs>
            <w:spacing w:line="276" w:lineRule="auto"/>
            <w:ind w:firstLine="567"/>
            <w:jc w:val="both"/>
            <w:rPr>
              <w:rFonts w:eastAsia="Andale Sans UI"/>
              <w:szCs w:val="24"/>
              <w:lang w:eastAsia="lt-LT" w:bidi="en-US"/>
            </w:rPr>
          </w:pPr>
          <w:r>
            <w:rPr>
              <w:rFonts w:eastAsia="Andale Sans UI"/>
              <w:szCs w:val="24"/>
              <w:lang w:eastAsia="lt-LT" w:bidi="en-US"/>
            </w:rPr>
            <w:t>PRIDEDAMA:</w:t>
          </w:r>
        </w:p>
        <w:sdt>
          <w:sdtPr>
            <w:alias w:val="1 p."/>
            <w:tag w:val="part_5eb82f90564043dea030f14d25d41f50"/>
            <w:lock w:val="sdtLocked"/>
            <w:richText/>
          </w:sdtPr>
          <w:sdtContent>
            <w:p>
              <w:pPr>
                <w:spacing w:line="276" w:lineRule="auto"/>
                <w:ind w:firstLine="567"/>
                <w:jc w:val="both"/>
                <w:rPr>
                  <w:rFonts w:eastAsia="Andale Sans UI"/>
                  <w:szCs w:val="24"/>
                  <w:lang w:eastAsia="lt-LT" w:bidi="en-US"/>
                </w:rPr>
              </w:pPr>
              <w:sdt>
                <w:sdtPr>
                  <w:alias w:val="Numeris"/>
                  <w:tag w:val="nr_5eb82f90564043dea030f14d25d41f50"/>
                  <w:lock w:val="sdtLocked"/>
                  <w:richText/>
                </w:sdtPr>
                <w:sdtContent>
                  <w:r>
                    <w:rPr>
                      <w:rFonts w:eastAsia="Andale Sans UI"/>
                      <w:szCs w:val="24"/>
                      <w:lang w:eastAsia="lt-LT" w:bidi="en-US"/>
                    </w:rPr>
                    <w:t>1</w:t>
                  </w:r>
                </w:sdtContent>
              </w:sdt>
              <w:r>
                <w:rPr>
                  <w:rFonts w:eastAsia="Andale Sans UI"/>
                  <w:szCs w:val="24"/>
                  <w:lang w:eastAsia="lt-LT" w:bidi="en-US"/>
                </w:rPr>
                <w:t>. Projektas, 2 lapai.</w:t>
              </w:r>
            </w:p>
          </w:sdtContent>
        </w:sdt>
        <w:sdt>
          <w:sdtPr>
            <w:alias w:val="2 p."/>
            <w:tag w:val="part_d4fbdd8ec2dc481ca3c91404ac2b6e84"/>
            <w:lock w:val="sdtLocked"/>
            <w:richText/>
          </w:sdtPr>
          <w:sdtContent>
            <w:p>
              <w:pPr>
                <w:spacing w:line="276" w:lineRule="auto"/>
                <w:ind w:firstLine="567"/>
                <w:jc w:val="both"/>
                <w:rPr>
                  <w:rFonts w:eastAsia="Andale Sans UI"/>
                  <w:szCs w:val="24"/>
                  <w:lang w:eastAsia="lt-LT" w:bidi="en-US"/>
                </w:rPr>
              </w:pPr>
              <w:sdt>
                <w:sdtPr>
                  <w:alias w:val="Numeris"/>
                  <w:tag w:val="nr_d4fbdd8ec2dc481ca3c91404ac2b6e84"/>
                  <w:lock w:val="sdtLocked"/>
                  <w:richText/>
                </w:sdtPr>
                <w:sdtContent>
                  <w:r>
                    <w:rPr>
                      <w:rFonts w:eastAsia="Andale Sans UI"/>
                      <w:szCs w:val="24"/>
                      <w:lang w:eastAsia="lt-LT" w:bidi="en-US"/>
                    </w:rPr>
                    <w:t>2</w:t>
                  </w:r>
                </w:sdtContent>
              </w:sdt>
              <w:r>
                <w:rPr>
                  <w:rFonts w:eastAsia="Andale Sans UI"/>
                  <w:szCs w:val="24"/>
                  <w:lang w:eastAsia="lt-LT" w:bidi="en-US"/>
                </w:rPr>
                <w:t>. Projekto lyginamasis variantas, 2 lapai.</w:t>
              </w:r>
            </w:p>
          </w:sdtContent>
        </w:sdt>
        <w:sdt>
          <w:sdtPr>
            <w:alias w:val="3 p."/>
            <w:tag w:val="part_d60fb8e2a05640f7976733d0b5a8f532"/>
            <w:lock w:val="sdtLocked"/>
            <w:richText/>
          </w:sdtPr>
          <w:sdtContent>
            <w:p>
              <w:pPr>
                <w:spacing w:line="276" w:lineRule="auto"/>
                <w:ind w:firstLine="567"/>
                <w:jc w:val="both"/>
                <w:rPr>
                  <w:rFonts w:eastAsia="Andale Sans UI"/>
                  <w:szCs w:val="24"/>
                  <w:lang w:bidi="en-US"/>
                </w:rPr>
              </w:pPr>
              <w:sdt>
                <w:sdtPr>
                  <w:alias w:val="Numeris"/>
                  <w:tag w:val="nr_d60fb8e2a05640f7976733d0b5a8f532"/>
                  <w:lock w:val="sdtLocked"/>
                  <w:richText/>
                </w:sdtPr>
                <w:sdtContent>
                  <w:r>
                    <w:rPr>
                      <w:rFonts w:eastAsia="Andale Sans UI"/>
                      <w:szCs w:val="24"/>
                      <w:lang w:bidi="en-US"/>
                    </w:rPr>
                    <w:t>3</w:t>
                  </w:r>
                </w:sdtContent>
              </w:sdt>
              <w:r>
                <w:rPr>
                  <w:rFonts w:eastAsia="Andale Sans UI"/>
                  <w:szCs w:val="24"/>
                  <w:lang w:bidi="en-US"/>
                </w:rPr>
                <w:t>. Numatomo teisinio reguliavimo poveikio vertinimo pažyma, 2 lapai.</w:t>
              </w:r>
            </w:p>
          </w:sdtContent>
        </w:sdt>
        <w:sdt>
          <w:sdtPr>
            <w:alias w:val="4 p."/>
            <w:tag w:val="part_f8096264c6d2411eb546774ca97d7d3e"/>
            <w:lock w:val="sdtLocked"/>
            <w:richText/>
          </w:sdtPr>
          <w:sdtContent>
            <w:p>
              <w:pPr>
                <w:suppressLineNumbers/>
                <w:spacing w:line="276" w:lineRule="auto"/>
                <w:ind w:firstLine="567"/>
                <w:jc w:val="both"/>
                <w:rPr>
                  <w:rFonts w:eastAsia="Andale Sans UI"/>
                  <w:szCs w:val="24"/>
                  <w:lang w:bidi="en-US"/>
                </w:rPr>
              </w:pPr>
              <w:sdt>
                <w:sdtPr>
                  <w:alias w:val="Numeris"/>
                  <w:tag w:val="nr_f8096264c6d2411eb546774ca97d7d3e"/>
                  <w:lock w:val="sdtLocked"/>
                  <w:richText/>
                </w:sdtPr>
                <w:sdtContent>
                  <w:r>
                    <w:rPr>
                      <w:rFonts w:eastAsia="Andale Sans UI"/>
                      <w:szCs w:val="24"/>
                      <w:lang w:bidi="en-US"/>
                    </w:rPr>
                    <w:t>4</w:t>
                  </w:r>
                </w:sdtContent>
              </w:sdt>
              <w:r>
                <w:rPr>
                  <w:rFonts w:eastAsia="Andale Sans UI"/>
                  <w:szCs w:val="24"/>
                  <w:lang w:bidi="en-US"/>
                </w:rPr>
                <w:t>. Antikorupcinio vertinimo pažyma, 5 lapai.</w:t>
              </w:r>
            </w:p>
            <w:p>
              <w:pPr>
                <w:suppressLineNumbers/>
                <w:spacing w:line="276" w:lineRule="auto"/>
                <w:ind w:firstLine="113"/>
                <w:jc w:val="both"/>
                <w:rPr>
                  <w:rFonts w:eastAsia="Andale Sans UI" w:cs="Tahoma"/>
                  <w:bCs/>
                  <w:szCs w:val="24"/>
                  <w:lang w:bidi="en-US"/>
                </w:rPr>
              </w:pPr>
            </w:p>
            <w:p>
              <w:pPr>
                <w:suppressLineNumbers/>
                <w:spacing w:line="276" w:lineRule="auto"/>
                <w:ind w:firstLine="113"/>
                <w:jc w:val="both"/>
                <w:rPr>
                  <w:rFonts w:eastAsia="Andale Sans UI" w:cs="Tahoma"/>
                  <w:bCs/>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cs="Tahoma"/>
                        <w:szCs w:val="24"/>
                        <w:lang w:bidi="en-US"/>
                      </w:rPr>
                      <w:t>Aplinkos viceministrė</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Daiva Matusevičė</w:t>
                    </w:r>
                  </w:p>
                </w:tc>
              </w:tr>
            </w:tbl>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r>
                <w:rPr>
                  <w:rFonts w:eastAsia="Andale Sans UI" w:cs="Tahoma"/>
                  <w:szCs w:val="24"/>
                  <w:lang w:bidi="en-US"/>
                </w:rPr>
                <w:t>M. Rimkevičius, tel. +370 620 61 681, el. p. marius.rimkevicius@am.lt</w:t>
              </w: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szCs w:val="24"/>
                  <w:lang w:bidi="en-US"/>
                </w:rPr>
              </w:pPr>
            </w:p>
            <w:p>
              <w:pPr>
                <w:tabs>
                  <w:tab w:val="left" w:pos="0"/>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AB „Amber Grid“</w:t>
              </w:r>
            </w:p>
            <w:p>
              <w:pPr>
                <w:tabs>
                  <w:tab w:val="left" w:pos="0"/>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AB „Energijos skirstymo operatorius“</w:t>
              </w:r>
            </w:p>
            <w:p>
              <w:pPr>
                <w:tabs>
                  <w:tab w:val="left" w:pos="0"/>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AB „LTG Infra“ </w:t>
              </w:r>
              <w:r>
                <w:rPr>
                  <w:rFonts w:eastAsia="StarSymbol" w:cs="Tahoma"/>
                  <w:szCs w:val="24"/>
                  <w:lang w:eastAsia="lt-LT" w:bidi="en-US"/>
                </w:rPr>
                <w:t> </w:t>
              </w:r>
            </w:p>
            <w:p>
              <w:pPr>
                <w:tabs>
                  <w:tab w:val="left" w:pos="0"/>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AB Litgrid</w:t>
              </w:r>
            </w:p>
            <w:p>
              <w:pPr>
                <w:tabs>
                  <w:tab w:val="left" w:pos="0"/>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AB „Kelių priežiūra“</w:t>
              </w:r>
            </w:p>
            <w:p>
              <w:pPr>
                <w:tabs>
                  <w:tab w:val="left" w:pos="0"/>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AB „Lietuvos geležinkeliai“</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AB „VIA Lietuva“</w:t>
              </w:r>
            </w:p>
            <w:p>
              <w:pPr>
                <w:tabs>
                  <w:tab w:val="left" w:pos="0"/>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Aplinkos apsaugos agentūra</w:t>
              </w:r>
            </w:p>
            <w:p>
              <w:pPr>
                <w:tabs>
                  <w:tab w:val="left" w:pos="0"/>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Asmens dokumentų išrašymo centras prie Lietuvos Respublikos vidaus reikalų ministerijos </w:t>
              </w:r>
              <w:r>
                <w:rPr>
                  <w:rFonts w:eastAsia="StarSymbol" w:cs="Tahoma"/>
                  <w:szCs w:val="24"/>
                  <w:lang w:eastAsia="lt-LT" w:bidi="en-US"/>
                </w:rPr>
                <w:t> </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color w:val="333333"/>
                  <w:szCs w:val="24"/>
                  <w:shd w:val="clear" w:color="auto" w:fill="FFFFFF"/>
                  <w:lang w:bidi="en-US"/>
                </w:rPr>
                <w:t>Asmens su negalia teisių apsaugos agentūra</w:t>
              </w:r>
            </w:p>
            <w:p>
              <w:pPr>
                <w:tabs>
                  <w:tab w:val="left" w:pos="0"/>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Asociacija „Infobalt“</w:t>
              </w:r>
              <w:r>
                <w:rPr>
                  <w:rFonts w:eastAsia="StarSymbol" w:cs="Tahoma"/>
                  <w:szCs w:val="24"/>
                  <w:lang w:eastAsia="lt-LT" w:bidi="en-US"/>
                </w:rPr>
                <w:t> </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Asociacija „Lietuvos keliai“</w:t>
              </w:r>
            </w:p>
            <w:p>
              <w:pPr>
                <w:spacing w:line="276" w:lineRule="auto"/>
                <w:jc w:val="both"/>
                <w:rPr>
                  <w:rFonts w:eastAsia="Andale Sans UI"/>
                  <w:szCs w:val="24"/>
                  <w:lang w:bidi="en-US"/>
                </w:rPr>
              </w:pPr>
              <w:r>
                <w:rPr>
                  <w:rFonts w:eastAsia="Andale Sans UI"/>
                  <w:szCs w:val="24"/>
                  <w:lang w:bidi="en-US"/>
                </w:rPr>
                <w:t>Vilniaus dailės akademija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Europos socialinio fondo agentūra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Informacinės visuomenės plėtros komitetas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Informatikos ir ryšių departamentas prie Lietuvos Respublikos vidaus reikalų ministerijos </w:t>
              </w:r>
              <w:r>
                <w:rPr>
                  <w:rFonts w:eastAsia="StarSymbol" w:cs="Tahoma"/>
                  <w:szCs w:val="24"/>
                  <w:lang w:eastAsia="lt-LT" w:bidi="en-US"/>
                </w:rPr>
                <w:t> </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Infrastruktūros valdymo agentūra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Kauno miesto savivaldybės administracija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Kauno savivaldybės įmonė „Kauno planas“</w:t>
              </w:r>
            </w:p>
            <w:p>
              <w:pPr>
                <w:spacing w:line="276" w:lineRule="auto"/>
                <w:jc w:val="both"/>
                <w:rPr>
                  <w:rFonts w:eastAsia="Andale Sans UI" w:cs="Tahoma"/>
                  <w:lang w:bidi="en-US"/>
                </w:rPr>
              </w:pPr>
              <w:r>
                <w:rPr>
                  <w:rFonts w:eastAsia="Andale Sans UI"/>
                  <w:szCs w:val="24"/>
                  <w:lang w:bidi="en-US"/>
                </w:rPr>
                <w:t>Kauno technologijos universitetas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Kultūros infrastruktūros centras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Kultūros paveldo departamentas prie Kultūros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architektų rūmai</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architektų sąjunga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bankas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elektros energetikos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energetikos infrastruktūros statybos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geodezininkų ir matininkų sąjunga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geologijos tarnyba prie Aplinkos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geologų sąjunga</w:t>
              </w:r>
            </w:p>
            <w:p>
              <w:pPr>
                <w:spacing w:line="276" w:lineRule="auto"/>
                <w:jc w:val="both"/>
                <w:rPr>
                  <w:rFonts w:eastAsia="Andale Sans UI"/>
                  <w:szCs w:val="24"/>
                  <w:lang w:bidi="en-US"/>
                </w:rPr>
              </w:pPr>
              <w:r>
                <w:rPr>
                  <w:rFonts w:eastAsia="Andale Sans UI"/>
                  <w:szCs w:val="24"/>
                  <w:lang w:bidi="en-US"/>
                </w:rPr>
                <w:t>Lietuvos kalėjimų tarnyba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matininkų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melioracijos įmonių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nekilnojamojo turto plėtros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pramonininkų konfederacija</w:t>
              </w:r>
            </w:p>
            <w:p>
              <w:pPr>
                <w:spacing w:line="276" w:lineRule="auto"/>
                <w:jc w:val="both"/>
                <w:rPr>
                  <w:rFonts w:eastAsia="Andale Sans UI"/>
                  <w:szCs w:val="24"/>
                  <w:lang w:bidi="en-US"/>
                </w:rPr>
              </w:pPr>
              <w:r>
                <w:rPr>
                  <w:rFonts w:eastAsia="Andale Sans UI"/>
                  <w:szCs w:val="24"/>
                  <w:lang w:bidi="en-US"/>
                </w:rPr>
                <w:t>Lietuvos prekybos, pramonės ir amatų rūmų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projektavimo įmonių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respublikiniai būsto valdymo ir priežiūros rūmai</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aplinkos ministerijos Aplinkos projektų valdymo agentūra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ekonomikos ir inovacijų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energetikos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finansų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konkurencijos taryba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krašto apsaugos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kultūros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ryšių reguliavimo tarnyba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socialinės apsaugos ir darbo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specialiųjų tyrimų tarnyba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susisiekimo ministerija</w:t>
              </w:r>
            </w:p>
            <w:p>
              <w:pPr>
                <w:tabs>
                  <w:tab w:val="left" w:pos="0"/>
                  <w:tab w:val="left" w:pos="426"/>
                </w:tabs>
                <w:spacing w:line="276" w:lineRule="auto"/>
                <w:jc w:val="both"/>
                <w:textAlignment w:val="baseline"/>
                <w:rPr>
                  <w:rFonts w:eastAsia="StarSymbol" w:cs="Tahoma"/>
                  <w:szCs w:val="24"/>
                  <w:lang w:eastAsia="lt-LT" w:bidi="en-US"/>
                </w:rPr>
              </w:pPr>
              <w:r>
                <w:rPr>
                  <w:rFonts w:eastAsia="Andale Sans UI" w:cs="Tahoma"/>
                  <w:szCs w:val="24"/>
                  <w:lang w:eastAsia="lt-LT" w:bidi="en-US"/>
                </w:rPr>
                <w:t>Lietuvos Respublikos sveikatos apsaugos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StarSymbol" w:cs="Tahoma"/>
                  <w:szCs w:val="24"/>
                  <w:lang w:eastAsia="lt-LT" w:bidi="en-US"/>
                </w:rPr>
                <w:t>Lietuvos Respublikos švietimo, mokslo ir sporto ministerija</w:t>
              </w:r>
              <w:r>
                <w:rPr>
                  <w:rFonts w:eastAsia="Andale Sans UI" w:cs="Tahoma"/>
                  <w:szCs w:val="24"/>
                  <w:lang w:eastAsia="lt-LT" w:bidi="en-US"/>
                </w:rPr>
                <w:t xml:space="preserve"> </w:t>
              </w:r>
            </w:p>
            <w:p>
              <w:pPr>
                <w:tabs>
                  <w:tab w:val="left" w:pos="0"/>
                  <w:tab w:val="left" w:pos="426"/>
                </w:tabs>
                <w:spacing w:line="276" w:lineRule="auto"/>
                <w:jc w:val="both"/>
                <w:textAlignment w:val="baseline"/>
                <w:rPr>
                  <w:rFonts w:eastAsia="StarSymbol" w:cs="Tahoma"/>
                  <w:szCs w:val="24"/>
                  <w:lang w:eastAsia="lt-LT" w:bidi="en-US"/>
                </w:rPr>
              </w:pPr>
              <w:r>
                <w:rPr>
                  <w:rFonts w:eastAsia="Andale Sans UI" w:cs="Tahoma"/>
                  <w:szCs w:val="24"/>
                  <w:lang w:eastAsia="lt-LT" w:bidi="en-US"/>
                </w:rPr>
                <w:t>Lietuvos Respublikos teisingumo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StarSymbol" w:cs="Tahoma"/>
                  <w:szCs w:val="24"/>
                  <w:lang w:eastAsia="lt-LT" w:bidi="en-US"/>
                </w:rPr>
                <w:t>Lietuvos Respublikos užsienio reikalų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valstybės saugumo departamentas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valstybinė darbo inspekcija prie Socialinės apsaugos ir darbo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valstybinė kultūros paveldo komisija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vidaus reikalų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Respublikos žemės ūkio ministerija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savivaldybių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savivaldybių komunalinių įmonių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statybininkų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statybos inžinierių sąjunga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šilumos tiekėjų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transporto saugos administracija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vandens tiekėjų asociacija</w:t>
              </w:r>
            </w:p>
            <w:p>
              <w:pPr>
                <w:spacing w:line="276" w:lineRule="auto"/>
                <w:jc w:val="both"/>
                <w:rPr>
                  <w:rFonts w:eastAsia="Andale Sans UI" w:cs="Tahoma"/>
                  <w:lang w:bidi="en-US"/>
                </w:rPr>
              </w:pPr>
              <w:r>
                <w:rPr>
                  <w:rFonts w:eastAsia="Andale Sans UI"/>
                  <w:szCs w:val="24"/>
                  <w:lang w:bidi="en-US"/>
                </w:rPr>
                <w:t>Lietuvos vietos bendruomenių organizacijų sąjunga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vyriausiojo archyvaro tarnyba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Lietuvos žaliųjų pastatų taryba</w:t>
              </w:r>
            </w:p>
            <w:p>
              <w:pPr>
                <w:spacing w:line="276" w:lineRule="auto"/>
                <w:jc w:val="both"/>
                <w:rPr>
                  <w:rFonts w:eastAsia="Andale Sans UI" w:cs="Tahoma"/>
                  <w:lang w:bidi="en-US"/>
                </w:rPr>
              </w:pPr>
              <w:r>
                <w:rPr>
                  <w:rFonts w:eastAsia="Andale Sans UI"/>
                  <w:szCs w:val="24"/>
                  <w:lang w:bidi="en-US"/>
                </w:rPr>
                <w:t>Mykolo Romerio universitetas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Muitinės departamentas prie Lietuvos Respublikos finansų ministerijos</w:t>
              </w:r>
            </w:p>
            <w:p>
              <w:pPr>
                <w:spacing w:line="276" w:lineRule="auto"/>
                <w:jc w:val="both"/>
                <w:rPr>
                  <w:rFonts w:cs="Tahoma"/>
                  <w:lang w:bidi="en-US"/>
                </w:rPr>
              </w:pPr>
              <w:r>
                <w:rPr>
                  <w:rFonts w:eastAsia="Andale Sans UI"/>
                  <w:szCs w:val="24"/>
                  <w:lang w:bidi="en-US"/>
                </w:rPr>
                <w:t>Nacionalinė nekilnojamojo turto vartotojų asociacija </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Nacionalinė pasyvaus namo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Nacionalinė žemės tarnyba prie Aplinkos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Nacionalinis kibernetinio saugumo centras prie Krašto apsaugos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Nacionalinis visuomenės sveikatos centras prie Sveikatos apsaugos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Pastatų sertifikavimo ekspertų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Policijos departamentas prie Lietuvos Respublikos vidaus reikalų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Priešgaisrinės apsaugos ir gelbėjimo departamentas prie Vidaus reikalų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Projektų ekspertizės ir gaisro saugos įmonių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Radiacinės saugos centras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RB Rail AS Lietuvos filialas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Savivaldybės įmonė „Vilniaus planas“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Smulkiųjų projektavimo įmonių asociacija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UAB „EPSO-G“ </w:t>
              </w:r>
              <w:r>
                <w:rPr>
                  <w:rFonts w:eastAsia="StarSymbol" w:cs="Tahoma"/>
                  <w:szCs w:val="24"/>
                  <w:lang w:eastAsia="lt-LT" w:bidi="en-US"/>
                </w:rPr>
                <w:t> </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UAB „Grinda“ </w:t>
              </w:r>
              <w:r>
                <w:rPr>
                  <w:rFonts w:eastAsia="StarSymbol" w:cs="Tahoma"/>
                  <w:szCs w:val="24"/>
                  <w:lang w:eastAsia="lt-LT" w:bidi="en-US"/>
                </w:rPr>
                <w:t> </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UAB „Ignitis“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UAB Statybos produkcijos sertifikavimo centras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UAB „Vilniaus vystymo kompanija“</w:t>
              </w:r>
              <w:r>
                <w:rPr>
                  <w:rFonts w:eastAsia="StarSymbol" w:cs="Tahoma"/>
                  <w:szCs w:val="24"/>
                  <w:lang w:eastAsia="lt-LT" w:bidi="en-US"/>
                </w:rPr>
                <w:t> </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UAB Viešųjų investicijų plėtros agentūra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Valstybės duomenų agentūra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Valstybės įmonė Distancinių tyrimų ir geoinformatikos centras „GIS-Centras“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Valstybės įmonė Klaipėdos valstybinio jūrų uosto direkcija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Valstybės įmonė Lietuvos oro uostai</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Valstybės įmonė Registrų centras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Valstybės įmonė Turto bankas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Valstybės sienos apsaugos tarnyba prie Lietuvos Respublikos vidaus reikalų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Valstybinė atominės energetikos saugos inspekcija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Valstybinė duomenų apsaugos inspekcija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Valstybinė energetikos reguliavimo taryba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Valstybinė maisto ir veterinarijos tarnyba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Valstybinė saugomų teritorijų tarnyba prie Aplinkos ministerijos</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Valstybinė teritorijų planavimo ir statybos inspekcija prie Aplinkos ministerijos</w:t>
              </w:r>
            </w:p>
          </w:sdtContent>
        </w:sdt>
        <w:sdt>
          <w:sdtPr>
            <w:alias w:val="signatura"/>
            <w:tag w:val="part_5b89160d2cbb4ffe8b6aa12eee86e25d"/>
            <w:lock w:val="sdtLocked"/>
            <w:richText/>
          </w:sdtPr>
          <w:sdtContent>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Valstybinė vartotojų teisių apsaugos tarnyba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Viešoji įstaiga „Atnaujinkime miestą“</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Viešoji įstaiga „Investuok Lietuvoje“</w:t>
              </w:r>
              <w:r>
                <w:rPr>
                  <w:rFonts w:eastAsia="StarSymbol" w:cs="Tahoma"/>
                  <w:szCs w:val="24"/>
                  <w:lang w:eastAsia="lt-LT" w:bidi="en-US"/>
                </w:rPr>
                <w:t> </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Viešoji įstaiga „Skaitmeninė statyba“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Viešoji įstaiga Centrinė projektų valdymo agentūra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Viešoji įstaiga CPO LT</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Viešoji įstaiga Lietuvos verslo paramos agentūra</w:t>
              </w:r>
            </w:p>
            <w:p>
              <w:pPr>
                <w:spacing w:line="276" w:lineRule="auto"/>
                <w:jc w:val="both"/>
                <w:rPr>
                  <w:rFonts w:eastAsia="Andale Sans UI" w:cs="Tahoma"/>
                  <w:szCs w:val="24"/>
                  <w:lang w:eastAsia="lt-LT" w:bidi="en-US"/>
                </w:rPr>
              </w:pPr>
              <w:r>
                <w:rPr>
                  <w:rFonts w:eastAsia="Andale Sans UI"/>
                  <w:szCs w:val="24"/>
                  <w:lang w:bidi="en-US"/>
                </w:rPr>
                <w:t>V</w:t>
              </w:r>
              <w:r>
                <w:rPr>
                  <w:rFonts w:eastAsia="Andale Sans UI" w:cs="Tahoma"/>
                  <w:szCs w:val="24"/>
                  <w:lang w:bidi="en-US"/>
                </w:rPr>
                <w:t>iešoji įstaiga</w:t>
              </w:r>
              <w:r>
                <w:rPr>
                  <w:rFonts w:eastAsia="Andale Sans UI"/>
                  <w:szCs w:val="24"/>
                  <w:lang w:bidi="en-US"/>
                </w:rPr>
                <w:t xml:space="preserve"> Statybos sektoriaus vystymo agentūra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Viešųjų pirkimų tarnyba</w:t>
              </w:r>
            </w:p>
            <w:p>
              <w:pPr>
                <w:tabs>
                  <w:tab w:val="left" w:pos="0"/>
                  <w:tab w:val="left" w:pos="426"/>
                </w:tabs>
                <w:spacing w:line="276" w:lineRule="auto"/>
                <w:jc w:val="both"/>
                <w:textAlignment w:val="baseline"/>
                <w:rPr>
                  <w:rFonts w:eastAsia="Andale Sans UI" w:cs="Tahoma"/>
                  <w:szCs w:val="24"/>
                  <w:lang w:eastAsia="lt-LT" w:bidi="en-US"/>
                </w:rPr>
              </w:pPr>
              <w:r>
                <w:rPr>
                  <w:rFonts w:eastAsia="Andale Sans UI" w:cs="Tahoma"/>
                  <w:szCs w:val="24"/>
                  <w:lang w:eastAsia="lt-LT" w:bidi="en-US"/>
                </w:rPr>
                <w:t>Vilniaus miesto savivaldybės administracija</w:t>
              </w:r>
            </w:p>
            <w:p>
              <w:pPr>
                <w:spacing w:line="276" w:lineRule="auto"/>
                <w:jc w:val="both"/>
                <w:rPr>
                  <w:rFonts w:eastAsia="Andale Sans UI" w:cs="Tahoma"/>
                  <w:szCs w:val="24"/>
                  <w:lang w:bidi="en-US"/>
                </w:rPr>
              </w:pPr>
              <w:r>
                <w:rPr>
                  <w:rFonts w:eastAsia="Andale Sans UI"/>
                  <w:szCs w:val="24"/>
                  <w:lang w:bidi="en-US"/>
                </w:rPr>
                <w:t>VILNIUS TECH</w:t>
              </w:r>
            </w:p>
            <w:p>
              <w:pPr>
                <w:spacing w:line="276" w:lineRule="auto"/>
                <w:jc w:val="both"/>
                <w:rPr>
                  <w:rFonts w:eastAsia="Andale Sans UI"/>
                  <w:szCs w:val="24"/>
                  <w:lang w:bidi="en-US"/>
                </w:rPr>
              </w:pPr>
              <w:r>
                <w:rPr>
                  <w:rFonts w:eastAsia="Andale Sans UI"/>
                  <w:szCs w:val="24"/>
                  <w:lang w:bidi="en-US"/>
                </w:rPr>
                <w:t>Vytauto Didžiojo universitetas</w:t>
              </w:r>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numRestart w:val="eachPage"/>
      </w:footnotePr>
      <w:endnotePr>
        <w:numFmt w:val="decimal"/>
      </w:endnotePr>
      <w:pgSz w:w="11905" w:h="16837"/>
      <w:pgMar w:top="1134" w:right="567" w:bottom="1134" w:left="1701"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Yu Gothic"/>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tarSymbol">
    <w:charset w:val="00"/>
    <w:family w:val="auto"/>
    <w:pitch w:val="variable"/>
    <w:sig w:usb0="00000003" w:usb1="10008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A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1093864504">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822156668">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336346376">
          <w:marLeft w:val="0"/>
          <w:marRight w:val="0"/>
          <w:marTop w:val="0"/>
          <w:marBottom w:val="0"/>
          <w:divBdr>
            <w:top w:val="none" w:sz="0" w:space="0" w:color="auto"/>
            <w:left w:val="none" w:sz="0" w:space="0" w:color="auto"/>
            <w:bottom w:val="none" w:sz="0" w:space="0" w:color="auto"/>
            <w:right w:val="none" w:sz="0" w:space="0" w:color="auto"/>
          </w:divBdr>
        </w:div>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lentele" DocPartId="b65a842c4ef447869d57f97b7571e959" PartId="d92d4d89bc1a4ec792248dcbbffa2911"/>
  <Part Type="pastraipa" DocPartId="df2aa2fa9a8747c682ca40cc2bcb7fbf" PartId="7e5c4cfd83ab445ab9c06cdd674cb2cc"/>
  <Part Type="pastraipa" DocPartId="8e0152d71e6049c9b271e4260117c7f8" PartId="1993d56635ed4eceb366dc8b093f2141"/>
  <Part Type="pastraipa" DocPartId="cd6fdcc2c58f43f0b73c05ce53c3b900" PartId="4c48cfe245c949159c6982a6dee6f96e"/>
  <Part Type="pastraipa" DocPartId="ff79207f7c85446cb1d241697498a0dc" PartId="261982f5d25a42b28fd23bc1bb291a47"/>
  <Part Type="pastraipa" DocPartId="898bb7ce814c4528a2c6f6b8c5fdab8f" PartId="479fd6fe9c20428db0795db27fc3325a"/>
  <Part Type="pastraipa" DocPartId="cae74ce049c6460a9cdac14d4d47f443" PartId="301c9be4541c4d4ea6d376b6a1809534"/>
  <Part Type="pastraipa" DocPartId="636141e6349a46afae00d5bed008c78b" PartId="c95ac2574f7343edb4a13e2839b8332a"/>
  <Part Type="pastraipa" DocPartId="a8d035ff6f60422381b8b20dfd3e0a72" PartId="f6eb32b0490e44c1a49da4f15a02cc7b"/>
  <Part Type="pastraipa" DocPartId="2951573650694de68c869a8fcfd4a469" PartId="d768b0a50b20468d8e2ca5ecdf4f79e9"/>
  <Part Type="pastraipa" DocPartId="1f465dab2235498da84ee3b92ce53e42" PartId="d13ce67738514c4fb2fc156f5c165eac">
    <Part Type="punktas" Nr="1" Abbr="1 p." DocPartId="d316eb6df8834bd99c9a8e8280f3f817" PartId="5eb82f90564043dea030f14d25d41f50"/>
    <Part Type="punktas" Nr="2" Abbr="2 p." DocPartId="14f2d3791f8c4bfba87445e45a598d26" PartId="d4fbdd8ec2dc481ca3c91404ac2b6e84"/>
    <Part Type="punktas" Nr="3" Abbr="3 p." DocPartId="a621a75a03724dc88aa4fe64332bb7ad" PartId="d60fb8e2a05640f7976733d0b5a8f532"/>
    <Part Type="punktas" Nr="4" Abbr="4 p." DocPartId="8364eb3bcbea473ba9be175cbcf6446d" PartId="f8096264c6d2411eb546774ca97d7d3e"/>
    <Part Type="signatura" DocPartId="a9c0664ce881450bbeb4d2cb267eb0bd" PartId="5b89160d2cbb4ffe8b6aa12eee86e25d"/>
  </Part>
</Parts>
</file>

<file path=customXml/itemProps1.xml><?xml version="1.0" encoding="utf-8"?>
<ds:datastoreItem xmlns:ds="http://schemas.openxmlformats.org/officeDocument/2006/customXml" ds:itemID="{2ECC1323-9F72-4681-9895-5BB6B34E3FBB}">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9679F365-8366-44D5-8856-2EAC713FF9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3D6BB961-FD5D-48B7-BA72-367833BBBF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1056</Words>
  <Characters>7984</Characters>
  <Application>Microsoft Office Word</Application>
  <DocSecurity>4</DocSecurity>
  <Lines>228</Lines>
  <Paragraphs>158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8882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2024-03-26T06:25:00Z</dcterms:created>
  <dcterms:modified xsi:type="dcterms:W3CDTF">2024-03-26T06:25:00Z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