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3212bbd15aa482e9dcf0491afea2064"/>
        <w:lock w:val="sdtLocked"/>
        <w:richText/>
      </w:sdtPr>
      <w:sdtContent>
        <w:p w14:paraId="5D0F9905" w14:textId="77777777">
          <w:pPr>
            <w:tabs>
              <w:tab w:val="center" w:pos="4986"/>
              <w:tab w:val="right" w:pos="9972"/>
            </w:tabs>
          </w:pPr>
        </w:p>
        <w:p w14:paraId="6622D8E4" w14:textId="689E6A66">
          <w:pPr>
            <w:tabs>
              <w:tab w:val="left" w:pos="0"/>
              <w:tab w:val="left" w:pos="916"/>
              <w:tab w:val="left" w:pos="1832"/>
              <w:tab w:val="left" w:pos="2748"/>
              <w:tab w:val="left" w:pos="3664"/>
              <w:tab w:val="left" w:pos="4580"/>
              <w:tab w:val="left" w:pos="5496"/>
              <w:tab w:val="left" w:pos="6412"/>
              <w:tab w:val="left" w:pos="6946"/>
              <w:tab w:val="left" w:pos="7328"/>
              <w:tab w:val="left" w:pos="10076"/>
              <w:tab w:val="left" w:pos="10992"/>
              <w:tab w:val="left" w:pos="11908"/>
              <w:tab w:val="left" w:pos="12824"/>
              <w:tab w:val="left" w:pos="13740"/>
              <w:tab w:val="left" w:pos="14656"/>
            </w:tabs>
            <w:ind w:right="1274"/>
            <w:jc w:val="right"/>
            <w:rPr>
              <w:b/>
              <w:szCs w:val="24"/>
              <w:lang w:eastAsia="lt-LT"/>
            </w:rPr>
          </w:pPr>
          <w:r>
            <w:rPr>
              <w:b/>
              <w:szCs w:val="24"/>
              <w:lang w:eastAsia="lt-LT"/>
            </w:rPr>
            <w:t>Projekto</w:t>
          </w:r>
        </w:p>
        <w:p w14:paraId="444B8BDD" w14:textId="511C4B18">
          <w:pPr>
            <w:tabs>
              <w:tab w:val="left" w:pos="0"/>
              <w:tab w:val="left" w:pos="916"/>
              <w:tab w:val="left" w:pos="1832"/>
              <w:tab w:val="left" w:pos="2748"/>
              <w:tab w:val="left" w:pos="3664"/>
              <w:tab w:val="left" w:pos="4580"/>
              <w:tab w:val="left" w:pos="5496"/>
              <w:tab w:val="left" w:pos="6412"/>
              <w:tab w:val="left" w:pos="6946"/>
              <w:tab w:val="left" w:pos="7328"/>
              <w:tab w:val="left" w:pos="9160"/>
              <w:tab w:val="left" w:pos="10076"/>
              <w:tab w:val="left" w:pos="10992"/>
              <w:tab w:val="left" w:pos="11908"/>
              <w:tab w:val="left" w:pos="12824"/>
              <w:tab w:val="left" w:pos="13740"/>
              <w:tab w:val="left" w:pos="14656"/>
            </w:tabs>
            <w:jc w:val="right"/>
            <w:rPr>
              <w:b/>
              <w:szCs w:val="24"/>
              <w:lang w:eastAsia="lt-LT"/>
            </w:rPr>
          </w:pPr>
          <w:r>
            <w:rPr>
              <w:b/>
              <w:szCs w:val="24"/>
              <w:lang w:eastAsia="lt-LT"/>
            </w:rPr>
            <w:t>lyginamasis variantas</w:t>
          </w:r>
        </w:p>
        <w:p w14:paraId="6622D8E6"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 w:val="22"/>
              <w:szCs w:val="22"/>
              <w:lang w:eastAsia="lt-LT"/>
            </w:rPr>
          </w:pPr>
        </w:p>
        <w:p w14:paraId="16ABC03C"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bCs/>
              <w:szCs w:val="24"/>
              <w:lang w:eastAsia="lt-LT"/>
            </w:rPr>
          </w:pPr>
        </w:p>
        <w:p w14:paraId="6622D8E7"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bCs/>
              <w:szCs w:val="24"/>
              <w:lang w:eastAsia="lt-LT"/>
            </w:rPr>
            <w:t>LIETUVOS RESPUBLIKOS VYRIAUSYBĖ</w:t>
          </w:r>
        </w:p>
        <w:p w14:paraId="6622D8E8"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p>
        <w:p w14:paraId="6622D8E9"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bCs/>
              <w:szCs w:val="24"/>
              <w:lang w:eastAsia="lt-LT"/>
            </w:rPr>
            <w:t>NUTARIMAS</w:t>
          </w:r>
        </w:p>
        <w:p w14:paraId="6622D8EA" w14:textId="67B74215">
          <w:pPr>
            <w:spacing w:line="276" w:lineRule="auto"/>
            <w:jc w:val="center"/>
            <w:rPr>
              <w:b/>
              <w:color w:val="000000"/>
              <w:szCs w:val="24"/>
              <w:lang w:eastAsia="lt-LT"/>
            </w:rPr>
          </w:pPr>
          <w:r>
            <w:rPr>
              <w:b/>
              <w:color w:val="000000"/>
              <w:szCs w:val="24"/>
              <w:lang w:eastAsia="lt-LT"/>
            </w:rPr>
            <w:t>DĖL LIETUVOS RESPUBLIKOS VYRIAUSYBĖS 2004 M. BALANDŽIO 29 D. NUTARIMO NR. 526 „DĖL DIENPINIGIŲ IR KITŲ KOMANDIRUOČIŲ IŠLAIDŲ APMOKĖJIMO“ PAKEITIMO</w:t>
          </w:r>
        </w:p>
        <w:p w14:paraId="6622D8EB"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szCs w:val="24"/>
              <w:lang w:eastAsia="lt-LT"/>
            </w:rPr>
          </w:pPr>
        </w:p>
        <w:p w14:paraId="6622D8EC" w14:textId="6A9C162C">
          <w:pPr>
            <w:spacing w:line="276" w:lineRule="auto"/>
            <w:jc w:val="center"/>
            <w:rPr>
              <w:szCs w:val="24"/>
              <w:lang w:eastAsia="lt-LT"/>
            </w:rPr>
          </w:pPr>
          <w:r>
            <w:rPr>
              <w:szCs w:val="24"/>
              <w:lang w:eastAsia="lt-LT"/>
            </w:rPr>
            <w:t>Nr.</w:t>
          </w:r>
        </w:p>
        <w:p w14:paraId="6622D8ED" w14:textId="77777777">
          <w:pPr>
            <w:spacing w:line="276" w:lineRule="auto"/>
            <w:jc w:val="center"/>
            <w:rPr>
              <w:szCs w:val="24"/>
              <w:lang w:eastAsia="lt-LT"/>
            </w:rPr>
          </w:pPr>
          <w:r>
            <w:rPr>
              <w:szCs w:val="24"/>
              <w:lang w:eastAsia="lt-LT"/>
            </w:rPr>
            <w:t>Vilnius</w:t>
          </w:r>
        </w:p>
        <w:p w14:paraId="6622D8EE" w14:textId="77777777">
          <w:pPr>
            <w:jc w:val="center"/>
            <w:rPr>
              <w:szCs w:val="24"/>
              <w:lang w:eastAsia="lt-LT"/>
            </w:rPr>
          </w:pPr>
        </w:p>
        <w:sdt>
          <w:sdtPr>
            <w:alias w:val="preambule"/>
            <w:tag w:val="part_ffd7b58baa724a9ba030c61249cdd88b"/>
            <w:lock w:val="sdtLocked"/>
            <w:richText/>
          </w:sdtPr>
          <w:sdtContent>
            <w:p w14:paraId="6622D8EF" w14:textId="274244DF">
              <w:pPr>
                <w:widowControl w:val="0"/>
                <w:ind w:firstLine="720"/>
                <w:jc w:val="both"/>
                <w:rPr>
                  <w:szCs w:val="24"/>
                  <w:lang w:eastAsia="lt-LT"/>
                </w:rPr>
              </w:pPr>
              <w:r>
                <w:rPr>
                  <w:szCs w:val="24"/>
                  <w:lang w:eastAsia="lt-LT"/>
                </w:rPr>
                <w:t xml:space="preserve">Lietuvos Respublikos Vyriausybė </w:t>
              </w:r>
              <w:r>
                <w:rPr>
                  <w:spacing w:val="60"/>
                  <w:szCs w:val="24"/>
                  <w:lang w:eastAsia="lt-LT"/>
                </w:rPr>
                <w:t>nutari</w:t>
              </w:r>
              <w:r>
                <w:rPr>
                  <w:szCs w:val="24"/>
                  <w:lang w:eastAsia="lt-LT"/>
                </w:rPr>
                <w:t>a:</w:t>
              </w:r>
            </w:p>
          </w:sdtContent>
        </w:sdt>
        <w:sdt>
          <w:sdtPr>
            <w:alias w:val="pastraipa"/>
            <w:tag w:val="part_5f85c79a67c9456aaf2cd404d8b7d7a0"/>
            <w:lock w:val="sdtLocked"/>
            <w:richText/>
          </w:sdtPr>
          <w:sdtContent>
            <w:p w14:paraId="5B28A80B" w14:textId="7AF9B8C8">
              <w:pPr>
                <w:widowControl w:val="0"/>
                <w:ind w:firstLine="720"/>
                <w:jc w:val="both"/>
                <w:rPr>
                  <w:szCs w:val="24"/>
                  <w:lang w:eastAsia="lt-LT"/>
                </w:rPr>
              </w:pPr>
              <w:r>
                <w:rPr>
                  <w:szCs w:val="24"/>
                  <w:lang w:eastAsia="lt-LT"/>
                </w:rPr>
                <w:t>Pakeisti Komandiruočių išlaidų apmokėjimo biudžetinėse įstaigose taisykles, patvirtintas Lietuvos Respublikos Vyriausybės 2004 m. balandžio 29 d. nutarimu Nr. 526 „Dėl dienpinigių ir kitų komandiruočių išlaidų apmokėjimo“:</w:t>
              </w:r>
            </w:p>
          </w:sdtContent>
        </w:sdt>
        <w:sdt>
          <w:sdtPr>
            <w:alias w:val="1 p."/>
            <w:tag w:val="part_84924a5f7b71449d9f94b4512bad45fe"/>
            <w:lock w:val="sdtLocked"/>
            <w:richText/>
          </w:sdtPr>
          <w:sdtContent>
            <w:p w14:paraId="5932D188" w14:textId="478728E9">
              <w:pPr>
                <w:widowControl w:val="0"/>
                <w:ind w:left="993" w:hanging="273"/>
                <w:jc w:val="both"/>
                <w:rPr>
                  <w:szCs w:val="24"/>
                  <w:lang w:eastAsia="lt-LT"/>
                </w:rPr>
              </w:pPr>
              <w:sdt>
                <w:sdtPr>
                  <w:alias w:val="Numeris"/>
                  <w:tag w:val="nr_84924a5f7b71449d9f94b4512bad45fe"/>
                  <w:lock w:val="sdtLocked"/>
                  <w:richText/>
                </w:sdtPr>
                <w:sdtContent>
                  <w:r>
                    <w:rPr>
                      <w:szCs w:val="24"/>
                      <w:lang w:eastAsia="lt-LT"/>
                    </w:rPr>
                    <w:t>1</w:t>
                  </w:r>
                </w:sdtContent>
              </w:sdt>
              <w:r>
                <w:rPr>
                  <w:szCs w:val="24"/>
                  <w:lang w:eastAsia="lt-LT"/>
                </w:rPr>
                <w:t>.</w:t>
                <w:tab/>
                <w:t>Pripažinti netekusiu galios 4 punktą.</w:t>
              </w:r>
            </w:p>
          </w:sdtContent>
        </w:sdt>
        <w:sdt>
          <w:sdtPr>
            <w:alias w:val="4 p."/>
            <w:tag w:val="part_024a7f93ad154b0c8ace15c423168a3a"/>
            <w:lock w:val="sdtLocked"/>
            <w:richText/>
          </w:sdtPr>
          <w:sdtContent>
            <w:p w14:paraId="1E2F5589" w14:textId="504DF038">
              <w:pPr>
                <w:widowControl w:val="0"/>
                <w:ind w:firstLine="709"/>
                <w:jc w:val="both"/>
                <w:rPr>
                  <w:strike/>
                  <w:color w:val="000000"/>
                </w:rPr>
              </w:pPr>
              <w:sdt>
                <w:sdtPr>
                  <w:alias w:val="Numeris"/>
                  <w:tag w:val="nr_024a7f93ad154b0c8ace15c423168a3a"/>
                  <w:lock w:val="sdtLocked"/>
                  <w:richText/>
                </w:sdtPr>
                <w:sdtContent>
                  <w:r>
                    <w:rPr>
                      <w:strike/>
                      <w:color w:val="000000"/>
                    </w:rPr>
                    <w:t>4</w:t>
                  </w:r>
                </w:sdtContent>
              </w:sdt>
              <w:r>
                <w:rPr>
                  <w:strike/>
                  <w:color w:val="000000"/>
                </w:rPr>
                <w:t>. Įstaigų vadovai arba jų įgalioti asmenys gali siųsti savo darbuotojus į komandiruotę į užsienio valstybę ne ilgiau kaip 30 kalendorinių dienų (neįskaitant kelionės laiko). Jeigu yra atskiras Lietuvos Respublikos Ministro Pirmininko sprendimas dėl atstovavimo Lietuvos Respublikai tarptautiniuose renginiuose arba kai darbuotojo komandiruotės išlaidos apmokamos iš Europos Sąjungos ir (arba) kitos tarptautinės finansinės paramos, kitų tarptautinių organizacijų ir institucijų skiriamų lėšų (išskyrus iš Europos Sąjungos ir (arba) kitos tarptautinės finansinės paramos lėšų,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 siunčiamo į užsienį darbuotojo komandiruotės trukmė gali būti ilgesnė kaip 30 kalendorinių dienų.</w:t>
              </w:r>
            </w:p>
          </w:sdtContent>
        </w:sdt>
        <w:sdt>
          <w:sdtPr>
            <w:alias w:val="2 p."/>
            <w:tag w:val="part_ba752cf8ddfc4eed861a3caa97a340ec"/>
            <w:lock w:val="sdtLocked"/>
            <w:richText/>
          </w:sdtPr>
          <w:sdtContent>
            <w:p w14:paraId="03CA0B28" w14:textId="77777777">
              <w:pPr>
                <w:widowControl w:val="0"/>
                <w:ind w:firstLine="709"/>
                <w:jc w:val="both"/>
                <w:rPr>
                  <w:color w:val="000000"/>
                </w:rPr>
              </w:pPr>
              <w:sdt>
                <w:sdtPr>
                  <w:alias w:val="Numeris"/>
                  <w:tag w:val="nr_ba752cf8ddfc4eed861a3caa97a340ec"/>
                  <w:lock w:val="sdtLocked"/>
                  <w:richText/>
                </w:sdtPr>
                <w:sdtContent>
                  <w:r>
                    <w:rPr>
                      <w:color w:val="000000"/>
                    </w:rPr>
                    <w:t>2</w:t>
                  </w:r>
                </w:sdtContent>
              </w:sdt>
              <w:r>
                <w:rPr>
                  <w:color w:val="000000"/>
                </w:rPr>
                <w:t>. Pakeisti 7.11 papunktį ir jį išdėstyti taip:</w:t>
              </w:r>
            </w:p>
            <w:sdt>
              <w:sdtPr>
                <w:alias w:val="citata"/>
                <w:tag w:val="part_7f193354a5a7449a946c4446c6261051"/>
                <w:lock w:val="sdtLocked"/>
                <w:richText/>
              </w:sdtPr>
              <w:sdtContent>
                <w:sdt>
                  <w:sdtPr>
                    <w:alias w:val="7.11 pp."/>
                    <w:tag w:val="part_a5f35873c003492cbd332b3c2985aa97"/>
                    <w:lock w:val="sdtLocked"/>
                    <w:richText/>
                  </w:sdtPr>
                  <w:sdtContent>
                    <w:p w14:paraId="020E493F" w14:textId="17E58E75">
                      <w:pPr>
                        <w:widowControl w:val="0"/>
                        <w:ind w:firstLine="709"/>
                        <w:jc w:val="both"/>
                        <w:rPr>
                          <w:szCs w:val="24"/>
                          <w:lang w:eastAsia="lt-LT"/>
                        </w:rPr>
                      </w:pPr>
                      <w:r>
                        <w:rPr>
                          <w:color w:val="000000"/>
                        </w:rPr>
                        <w:t>„</w:t>
                      </w:r>
                      <w:sdt>
                        <w:sdtPr>
                          <w:alias w:val="Numeris"/>
                          <w:tag w:val="nr_a5f35873c003492cbd332b3c2985aa97"/>
                          <w:lock w:val="sdtLocked"/>
                          <w:richText/>
                        </w:sdtPr>
                        <w:sdtContent>
                          <w:r>
                            <w:rPr>
                              <w:color w:val="000000"/>
                            </w:rPr>
                            <w:t>7.11</w:t>
                          </w:r>
                        </w:sdtContent>
                      </w:sdt>
                      <w:r>
                        <w:rPr>
                          <w:color w:val="000000"/>
                        </w:rPr>
                        <w:t>. kitos su komandiruote susijusios būtinos išlaidos (su Taisyklių 7.2–7.9 papunkčiuose nurodytomis komandiruotės išlaidomis susijęs komisinis atlyginimas, apibrėžtas Lietuvos Respublikos mokėjimų įstatymo 2 straipsnyje, miesto (ekologinis), registracijos į reisą, registruoto bagažo mokesčiai, bagažo saugojimo, būtinų skiepų</w:t>
                      </w:r>
                      <w:r>
                        <w:rPr>
                          <w:b/>
                          <w:color w:val="000000"/>
                        </w:rPr>
                        <w:t>,</w:t>
                      </w:r>
                      <w:r>
                        <w:rPr>
                          <w:color w:val="000000"/>
                        </w:rPr>
                        <w:t xml:space="preserve"> </w:t>
                      </w:r>
                      <w:r>
                        <w:rPr>
                          <w:b/>
                          <w:color w:val="000000"/>
                        </w:rPr>
                        <w:t xml:space="preserve">testų </w:t>
                      </w:r>
                      <w:r>
                        <w:rPr>
                          <w:color w:val="000000"/>
                        </w:rPr>
                        <w:t xml:space="preserve">ir vaistų nuo užkrečiamųjų ligų išlaidos, naudojimosi labai svarbių asmenų salėmis oro uostuose asmenims, nurodytiems Skrydžių, kuriais vežami labai svarbūs asmenys, vykdymo tvarkos aprašo, patvirtinto Lietuvos Respublikos Vyriausybės 2004 m. gruodžio 6 d. nutarimu Nr. 1592 „Dėl Skrydžių, kuriais vežami labai svarbūs asmenys, vykdymo tvarkos aprašo patvirtinimo“, 1 priede, bei šiuos asmenis lydinčių delegacijų atstovams išlaidos).“ </w:t>
                      </w:r>
                    </w:p>
                    <w:p w14:paraId="01A35EC0" w14:textId="77777777">
                      <w:pPr>
                        <w:widowControl w:val="0"/>
                        <w:jc w:val="both"/>
                        <w:rPr>
                          <w:szCs w:val="24"/>
                          <w:lang w:eastAsia="lt-LT"/>
                        </w:rPr>
                      </w:pPr>
                    </w:p>
                    <w:p w14:paraId="7D1B58BF" w14:textId="77777777">
                      <w:pPr>
                        <w:widowControl w:val="0"/>
                        <w:jc w:val="both"/>
                        <w:rPr>
                          <w:szCs w:val="24"/>
                          <w:lang w:eastAsia="lt-LT"/>
                        </w:rPr>
                      </w:pPr>
                    </w:p>
                    <w:p w14:paraId="1D289E69" w14:textId="77777777">
                      <w:pPr>
                        <w:widowControl w:val="0"/>
                        <w:jc w:val="both"/>
                        <w:rPr>
                          <w:szCs w:val="24"/>
                          <w:lang w:eastAsia="lt-LT"/>
                        </w:rPr>
                      </w:pPr>
                    </w:p>
                  </w:sdtContent>
                </w:sdt>
              </w:sdtContent>
            </w:sdt>
          </w:sdtContent>
        </w:sdt>
        <w:sdt>
          <w:sdtPr>
            <w:alias w:val="signatura"/>
            <w:tag w:val="part_cfc4385475f344f49a58d15041c82436"/>
            <w:lock w:val="sdtLocked"/>
            <w:richText/>
          </w:sdtPr>
          <w:sdtContent>
            <w:p w14:paraId="79CBF565" w14:textId="76898B4A">
              <w:pPr>
                <w:spacing w:line="360" w:lineRule="atLeast"/>
                <w:jc w:val="both"/>
                <w:rPr>
                  <w:rFonts w:ascii="Arial" w:hAnsi="Arial" w:cs="Arial"/>
                  <w:sz w:val="20"/>
                  <w:szCs w:val="24"/>
                  <w:lang w:eastAsia="lt-LT"/>
                </w:rPr>
              </w:pPr>
              <w:r>
                <w:rPr>
                  <w:szCs w:val="24"/>
                  <w:lang w:eastAsia="lt-LT"/>
                </w:rPr>
                <w:t xml:space="preserve">Ministras Pirmininkas </w:t>
              </w:r>
            </w:p>
            <w:p w14:paraId="557A6FCB" w14:textId="551FAC24">
              <w:pPr>
                <w:rPr>
                  <w:szCs w:val="24"/>
                  <w:lang w:eastAsia="lt-LT"/>
                </w:rPr>
              </w:pPr>
            </w:p>
            <w:p w14:paraId="3B1BC269" w14:textId="77777777">
              <w:pPr>
                <w:rPr>
                  <w:szCs w:val="24"/>
                  <w:lang w:eastAsia="lt-LT"/>
                </w:rPr>
              </w:pPr>
            </w:p>
            <w:p w14:paraId="6129CFEB" w14:textId="77777777">
              <w:pPr>
                <w:rPr>
                  <w:szCs w:val="24"/>
                  <w:lang w:eastAsia="lt-LT"/>
                </w:rPr>
              </w:pPr>
            </w:p>
            <w:p w14:paraId="5D3BD932" w14:textId="02459D60">
              <w:pPr>
                <w:spacing w:line="360" w:lineRule="atLeast"/>
                <w:rPr>
                  <w:rFonts w:ascii="Arial" w:hAnsi="Arial" w:cs="Arial"/>
                  <w:sz w:val="20"/>
                  <w:szCs w:val="24"/>
                  <w:lang w:eastAsia="lt-LT"/>
                </w:rPr>
              </w:pPr>
              <w:r>
                <w:rPr>
                  <w:szCs w:val="24"/>
                  <w:lang w:eastAsia="lt-LT"/>
                </w:rPr>
                <w:t>Finansų ministras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1134"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75AF90" w14:textId="77777777">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14:paraId="6EDB4E57" w14:textId="77777777">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287D2E" w14:textId="77777777">
    <w:pPr>
      <w:widowControl w:val="0"/>
      <w:tabs>
        <w:tab w:val="center" w:pos="4819"/>
        <w:tab w:val="right" w:pos="9638"/>
      </w:tabs>
      <w:ind w:firstLine="720"/>
      <w:rPr>
        <w:rFonts w:ascii="Arial" w:hAnsi="Arial" w:cs="Arial"/>
        <w:sz w:val="20"/>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401259" w14:textId="77777777">
    <w:pPr>
      <w:widowControl w:val="0"/>
      <w:tabs>
        <w:tab w:val="center" w:pos="4819"/>
        <w:tab w:val="right" w:pos="9638"/>
      </w:tabs>
      <w:ind w:firstLine="720"/>
      <w:rPr>
        <w:rFonts w:ascii="Arial" w:hAnsi="Arial" w:cs="Arial"/>
        <w:sz w:val="20"/>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1474A2" w14:textId="77777777">
    <w:pPr>
      <w:widowControl w:val="0"/>
      <w:tabs>
        <w:tab w:val="center" w:pos="4819"/>
        <w:tab w:val="right" w:pos="9638"/>
      </w:tabs>
      <w:ind w:firstLine="720"/>
      <w:rPr>
        <w:rFonts w:ascii="Arial" w:hAnsi="Arial" w:cs="Arial"/>
        <w:sz w:val="20"/>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60C9F0" w14:textId="77777777">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14:paraId="42BC3EFD" w14:textId="77777777">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774CDD" w14:textId="77777777">
    <w:pPr>
      <w:widowControl w:val="0"/>
      <w:tabs>
        <w:tab w:val="center" w:pos="4819"/>
        <w:tab w:val="right" w:pos="9638"/>
      </w:tabs>
      <w:ind w:firstLine="720"/>
      <w:rPr>
        <w:rFonts w:ascii="Arial" w:hAnsi="Arial" w:cs="Arial"/>
        <w:sz w:val="20"/>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22D90A" w14:textId="05FF301B">
    <w:pPr>
      <w:widowControl w:val="0"/>
      <w:tabs>
        <w:tab w:val="center" w:pos="4819"/>
        <w:tab w:val="right" w:pos="9638"/>
      </w:tabs>
      <w:jc w:val="center"/>
      <w:rPr>
        <w:rFonts w:ascii="Arial" w:hAnsi="Arial" w:cs="Arial"/>
        <w:sz w:val="20"/>
        <w:szCs w:val="24"/>
        <w:lang w:eastAsia="lt-LT"/>
      </w:rPr>
    </w:pPr>
    <w:r>
      <w:rPr>
        <w:szCs w:val="24"/>
        <w:lang w:eastAsia="lt-LT"/>
      </w:rPr>
      <w:fldChar w:fldCharType="begin"/>
    </w:r>
    <w:r>
      <w:rPr>
        <w:szCs w:val="24"/>
        <w:lang w:eastAsia="lt-LT"/>
      </w:rPr>
      <w:instrText xml:space="preserve"> PAGE   \* MERGEFORMAT </w:instrText>
    </w:r>
    <w:r>
      <w:rPr>
        <w:szCs w:val="24"/>
        <w:lang w:eastAsia="lt-LT"/>
      </w:rPr>
      <w:fldChar w:fldCharType="separate"/>
    </w:r>
    <w:r>
      <w:rPr>
        <w:szCs w:val="24"/>
        <w:lang w:eastAsia="lt-LT"/>
      </w:rPr>
      <w:t>2</w:t>
    </w:r>
    <w:r>
      <w:rPr>
        <w:szCs w:val="24"/>
        <w:lang w:eastAsia="lt-LT"/>
      </w:rPr>
      <w:fldChar w:fldCharType="end"/>
    </w:r>
  </w:p>
  <w:p w14:paraId="6622D90B" w14:textId="77777777">
    <w:pPr>
      <w:widowControl w:val="0"/>
      <w:tabs>
        <w:tab w:val="center" w:pos="4819"/>
        <w:tab w:val="right" w:pos="9638"/>
      </w:tabs>
      <w:ind w:firstLine="720"/>
      <w:rPr>
        <w:sz w:val="20"/>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5594F4"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1296"/>
  <w:hyphenationZone w:val="396"/>
  <w:doNotHyphenateCaps/>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36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622D8E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772636">
      <w:bodyDiv w:val="1"/>
      <w:marLeft w:val="143"/>
      <w:marRight w:val="143"/>
      <w:marTop w:val="0"/>
      <w:marBottom w:val="0"/>
      <w:divBdr>
        <w:top w:val="none" w:sz="0" w:space="0" w:color="auto"/>
        <w:left w:val="none" w:sz="0" w:space="0" w:color="auto"/>
        <w:bottom w:val="none" w:sz="0" w:space="0" w:color="auto"/>
        <w:right w:val="none" w:sz="0" w:space="0" w:color="auto"/>
      </w:divBdr>
      <w:divsChild>
        <w:div w:id="1628242150">
          <w:marLeft w:val="0"/>
          <w:marRight w:val="0"/>
          <w:marTop w:val="0"/>
          <w:marBottom w:val="0"/>
          <w:divBdr>
            <w:top w:val="none" w:sz="0" w:space="0" w:color="auto"/>
            <w:left w:val="none" w:sz="0" w:space="0" w:color="auto"/>
            <w:bottom w:val="none" w:sz="0" w:space="0" w:color="auto"/>
            <w:right w:val="none" w:sz="0" w:space="0" w:color="auto"/>
          </w:divBdr>
        </w:div>
      </w:divsChild>
    </w:div>
    <w:div w:id="139883408">
      <w:bodyDiv w:val="1"/>
      <w:marLeft w:val="0"/>
      <w:marRight w:val="0"/>
      <w:marTop w:val="0"/>
      <w:marBottom w:val="0"/>
      <w:divBdr>
        <w:top w:val="none" w:sz="0" w:space="0" w:color="auto"/>
        <w:left w:val="none" w:sz="0" w:space="0" w:color="auto"/>
        <w:bottom w:val="none" w:sz="0" w:space="0" w:color="auto"/>
        <w:right w:val="none" w:sz="0" w:space="0" w:color="auto"/>
      </w:divBdr>
    </w:div>
    <w:div w:id="201746254">
      <w:bodyDiv w:val="1"/>
      <w:marLeft w:val="0"/>
      <w:marRight w:val="0"/>
      <w:marTop w:val="0"/>
      <w:marBottom w:val="0"/>
      <w:divBdr>
        <w:top w:val="none" w:sz="0" w:space="0" w:color="auto"/>
        <w:left w:val="none" w:sz="0" w:space="0" w:color="auto"/>
        <w:bottom w:val="none" w:sz="0" w:space="0" w:color="auto"/>
        <w:right w:val="none" w:sz="0" w:space="0" w:color="auto"/>
      </w:divBdr>
      <w:divsChild>
        <w:div w:id="911239195">
          <w:marLeft w:val="0"/>
          <w:marRight w:val="0"/>
          <w:marTop w:val="0"/>
          <w:marBottom w:val="0"/>
          <w:divBdr>
            <w:top w:val="none" w:sz="0" w:space="0" w:color="auto"/>
            <w:left w:val="none" w:sz="0" w:space="0" w:color="auto"/>
            <w:bottom w:val="none" w:sz="0" w:space="0" w:color="auto"/>
            <w:right w:val="none" w:sz="0" w:space="0" w:color="auto"/>
          </w:divBdr>
          <w:divsChild>
            <w:div w:id="247735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7174248">
      <w:bodyDiv w:val="1"/>
      <w:marLeft w:val="0"/>
      <w:marRight w:val="0"/>
      <w:marTop w:val="0"/>
      <w:marBottom w:val="0"/>
      <w:divBdr>
        <w:top w:val="none" w:sz="0" w:space="0" w:color="auto"/>
        <w:left w:val="none" w:sz="0" w:space="0" w:color="auto"/>
        <w:bottom w:val="none" w:sz="0" w:space="0" w:color="auto"/>
        <w:right w:val="none" w:sz="0" w:space="0" w:color="auto"/>
      </w:divBdr>
    </w:div>
    <w:div w:id="353045957">
      <w:bodyDiv w:val="1"/>
      <w:marLeft w:val="143"/>
      <w:marRight w:val="143"/>
      <w:marTop w:val="0"/>
      <w:marBottom w:val="0"/>
      <w:divBdr>
        <w:top w:val="none" w:sz="0" w:space="0" w:color="auto"/>
        <w:left w:val="none" w:sz="0" w:space="0" w:color="auto"/>
        <w:bottom w:val="none" w:sz="0" w:space="0" w:color="auto"/>
        <w:right w:val="none" w:sz="0" w:space="0" w:color="auto"/>
      </w:divBdr>
      <w:divsChild>
        <w:div w:id="1390228824">
          <w:marLeft w:val="0"/>
          <w:marRight w:val="0"/>
          <w:marTop w:val="0"/>
          <w:marBottom w:val="0"/>
          <w:divBdr>
            <w:top w:val="none" w:sz="0" w:space="0" w:color="auto"/>
            <w:left w:val="none" w:sz="0" w:space="0" w:color="auto"/>
            <w:bottom w:val="none" w:sz="0" w:space="0" w:color="auto"/>
            <w:right w:val="none" w:sz="0" w:space="0" w:color="auto"/>
          </w:divBdr>
        </w:div>
      </w:divsChild>
    </w:div>
    <w:div w:id="630330611">
      <w:bodyDiv w:val="1"/>
      <w:marLeft w:val="0"/>
      <w:marRight w:val="0"/>
      <w:marTop w:val="0"/>
      <w:marBottom w:val="0"/>
      <w:divBdr>
        <w:top w:val="none" w:sz="0" w:space="0" w:color="auto"/>
        <w:left w:val="none" w:sz="0" w:space="0" w:color="auto"/>
        <w:bottom w:val="none" w:sz="0" w:space="0" w:color="auto"/>
        <w:right w:val="none" w:sz="0" w:space="0" w:color="auto"/>
      </w:divBdr>
    </w:div>
    <w:div w:id="817459880">
      <w:bodyDiv w:val="1"/>
      <w:marLeft w:val="0"/>
      <w:marRight w:val="0"/>
      <w:marTop w:val="0"/>
      <w:marBottom w:val="0"/>
      <w:divBdr>
        <w:top w:val="none" w:sz="0" w:space="0" w:color="auto"/>
        <w:left w:val="none" w:sz="0" w:space="0" w:color="auto"/>
        <w:bottom w:val="none" w:sz="0" w:space="0" w:color="auto"/>
        <w:right w:val="none" w:sz="0" w:space="0" w:color="auto"/>
      </w:divBdr>
    </w:div>
    <w:div w:id="951519017">
      <w:bodyDiv w:val="1"/>
      <w:marLeft w:val="143"/>
      <w:marRight w:val="143"/>
      <w:marTop w:val="0"/>
      <w:marBottom w:val="0"/>
      <w:divBdr>
        <w:top w:val="none" w:sz="0" w:space="0" w:color="auto"/>
        <w:left w:val="none" w:sz="0" w:space="0" w:color="auto"/>
        <w:bottom w:val="none" w:sz="0" w:space="0" w:color="auto"/>
        <w:right w:val="none" w:sz="0" w:space="0" w:color="auto"/>
      </w:divBdr>
      <w:divsChild>
        <w:div w:id="385105315">
          <w:marLeft w:val="0"/>
          <w:marRight w:val="0"/>
          <w:marTop w:val="0"/>
          <w:marBottom w:val="0"/>
          <w:divBdr>
            <w:top w:val="none" w:sz="0" w:space="0" w:color="auto"/>
            <w:left w:val="none" w:sz="0" w:space="0" w:color="auto"/>
            <w:bottom w:val="none" w:sz="0" w:space="0" w:color="auto"/>
            <w:right w:val="none" w:sz="0" w:space="0" w:color="auto"/>
          </w:divBdr>
        </w:div>
      </w:divsChild>
    </w:div>
    <w:div w:id="1080760522">
      <w:bodyDiv w:val="1"/>
      <w:marLeft w:val="143"/>
      <w:marRight w:val="143"/>
      <w:marTop w:val="0"/>
      <w:marBottom w:val="0"/>
      <w:divBdr>
        <w:top w:val="none" w:sz="0" w:space="0" w:color="auto"/>
        <w:left w:val="none" w:sz="0" w:space="0" w:color="auto"/>
        <w:bottom w:val="none" w:sz="0" w:space="0" w:color="auto"/>
        <w:right w:val="none" w:sz="0" w:space="0" w:color="auto"/>
      </w:divBdr>
      <w:divsChild>
        <w:div w:id="437870717">
          <w:marLeft w:val="0"/>
          <w:marRight w:val="0"/>
          <w:marTop w:val="0"/>
          <w:marBottom w:val="0"/>
          <w:divBdr>
            <w:top w:val="none" w:sz="0" w:space="0" w:color="auto"/>
            <w:left w:val="none" w:sz="0" w:space="0" w:color="auto"/>
            <w:bottom w:val="none" w:sz="0" w:space="0" w:color="auto"/>
            <w:right w:val="none" w:sz="0" w:space="0" w:color="auto"/>
          </w:divBdr>
        </w:div>
      </w:divsChild>
    </w:div>
    <w:div w:id="1432553712">
      <w:bodyDiv w:val="1"/>
      <w:marLeft w:val="0"/>
      <w:marRight w:val="0"/>
      <w:marTop w:val="0"/>
      <w:marBottom w:val="0"/>
      <w:divBdr>
        <w:top w:val="none" w:sz="0" w:space="0" w:color="auto"/>
        <w:left w:val="none" w:sz="0" w:space="0" w:color="auto"/>
        <w:bottom w:val="none" w:sz="0" w:space="0" w:color="auto"/>
        <w:right w:val="none" w:sz="0" w:space="0" w:color="auto"/>
      </w:divBdr>
    </w:div>
    <w:div w:id="1468816436">
      <w:bodyDiv w:val="1"/>
      <w:marLeft w:val="0"/>
      <w:marRight w:val="0"/>
      <w:marTop w:val="0"/>
      <w:marBottom w:val="0"/>
      <w:divBdr>
        <w:top w:val="none" w:sz="0" w:space="0" w:color="auto"/>
        <w:left w:val="none" w:sz="0" w:space="0" w:color="auto"/>
        <w:bottom w:val="none" w:sz="0" w:space="0" w:color="auto"/>
        <w:right w:val="none" w:sz="0" w:space="0" w:color="auto"/>
      </w:divBdr>
      <w:divsChild>
        <w:div w:id="1368598990">
          <w:marLeft w:val="0"/>
          <w:marRight w:val="0"/>
          <w:marTop w:val="0"/>
          <w:marBottom w:val="0"/>
          <w:divBdr>
            <w:top w:val="none" w:sz="0" w:space="0" w:color="auto"/>
            <w:left w:val="none" w:sz="0" w:space="0" w:color="auto"/>
            <w:bottom w:val="none" w:sz="0" w:space="0" w:color="auto"/>
            <w:right w:val="none" w:sz="0" w:space="0" w:color="auto"/>
          </w:divBdr>
          <w:divsChild>
            <w:div w:id="243029687">
              <w:marLeft w:val="0"/>
              <w:marRight w:val="0"/>
              <w:marTop w:val="0"/>
              <w:marBottom w:val="0"/>
              <w:divBdr>
                <w:top w:val="none" w:sz="0" w:space="0" w:color="auto"/>
                <w:left w:val="none" w:sz="0" w:space="0" w:color="auto"/>
                <w:bottom w:val="none" w:sz="0" w:space="0" w:color="auto"/>
                <w:right w:val="none" w:sz="0" w:space="0" w:color="auto"/>
              </w:divBdr>
              <w:divsChild>
                <w:div w:id="2123070977">
                  <w:marLeft w:val="0"/>
                  <w:marRight w:val="0"/>
                  <w:marTop w:val="0"/>
                  <w:marBottom w:val="0"/>
                  <w:divBdr>
                    <w:top w:val="none" w:sz="0" w:space="0" w:color="auto"/>
                    <w:left w:val="none" w:sz="0" w:space="0" w:color="auto"/>
                    <w:bottom w:val="none" w:sz="0" w:space="0" w:color="auto"/>
                    <w:right w:val="none" w:sz="0" w:space="0" w:color="auto"/>
                  </w:divBdr>
                  <w:divsChild>
                    <w:div w:id="942957768">
                      <w:marLeft w:val="0"/>
                      <w:marRight w:val="0"/>
                      <w:marTop w:val="0"/>
                      <w:marBottom w:val="0"/>
                      <w:divBdr>
                        <w:top w:val="none" w:sz="0" w:space="0" w:color="auto"/>
                        <w:left w:val="none" w:sz="0" w:space="0" w:color="auto"/>
                        <w:bottom w:val="none" w:sz="0" w:space="0" w:color="auto"/>
                        <w:right w:val="none" w:sz="0" w:space="0" w:color="auto"/>
                      </w:divBdr>
                      <w:divsChild>
                        <w:div w:id="575822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1061060">
      <w:bodyDiv w:val="1"/>
      <w:marLeft w:val="143"/>
      <w:marRight w:val="143"/>
      <w:marTop w:val="0"/>
      <w:marBottom w:val="0"/>
      <w:divBdr>
        <w:top w:val="none" w:sz="0" w:space="0" w:color="auto"/>
        <w:left w:val="none" w:sz="0" w:space="0" w:color="auto"/>
        <w:bottom w:val="none" w:sz="0" w:space="0" w:color="auto"/>
        <w:right w:val="none" w:sz="0" w:space="0" w:color="auto"/>
      </w:divBdr>
      <w:divsChild>
        <w:div w:id="801265963">
          <w:marLeft w:val="0"/>
          <w:marRight w:val="0"/>
          <w:marTop w:val="0"/>
          <w:marBottom w:val="0"/>
          <w:divBdr>
            <w:top w:val="none" w:sz="0" w:space="0" w:color="auto"/>
            <w:left w:val="none" w:sz="0" w:space="0" w:color="auto"/>
            <w:bottom w:val="none" w:sz="0" w:space="0" w:color="auto"/>
            <w:right w:val="none" w:sz="0" w:space="0" w:color="auto"/>
          </w:divBdr>
        </w:div>
      </w:divsChild>
    </w:div>
    <w:div w:id="2081632624">
      <w:bodyDiv w:val="1"/>
      <w:marLeft w:val="143"/>
      <w:marRight w:val="143"/>
      <w:marTop w:val="0"/>
      <w:marBottom w:val="0"/>
      <w:divBdr>
        <w:top w:val="none" w:sz="0" w:space="0" w:color="auto"/>
        <w:left w:val="none" w:sz="0" w:space="0" w:color="auto"/>
        <w:bottom w:val="none" w:sz="0" w:space="0" w:color="auto"/>
        <w:right w:val="none" w:sz="0" w:space="0" w:color="auto"/>
      </w:divBdr>
      <w:divsChild>
        <w:div w:id="17935932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5b6c419b248a4a6a8d060e80c68b5137" PartId="93212bbd15aa482e9dcf0491afea2064">
    <Part Type="preambule" DocPartId="a32eda9b38284f5f8a95f5407584316f" PartId="ffd7b58baa724a9ba030c61249cdd88b"/>
    <Part Type="pastraipa" DocPartId="52207a9021b348e79ccb703c6d8877a9" PartId="5f85c79a67c9456aaf2cd404d8b7d7a0"/>
    <Part Type="punktas" Nr="1" Abbr="1 p." DocPartId="33d7c287ced24c2c97b5ce78565c9e3a" PartId="84924a5f7b71449d9f94b4512bad45fe"/>
    <Part Type="punktas" Nr="4" Abbr="4 p." Notes="Numeris ne iš eilės. Trūksta dalių? [DocDalys]" DocPartId="54f56d02f3c0474582588f9882189510" PartId="024a7f93ad154b0c8ace15c423168a3a"/>
    <Part Type="punktas" Nr="2" Abbr="2 p." Notes="Numeris ne iš eilės. Trūksta dalių? [DocDalys]" DocPartId="3746e82878d440af8db0ba107a8fa13a" PartId="ba752cf8ddfc4eed861a3caa97a340ec">
      <Part Type="citata" DocPartId="86e77ede0d2349528692c97d65052466" PartId="7f193354a5a7449a946c4446c6261051">
        <Part Type="papunktis" Nr="7.11" Abbr="7.11 pp." DocPartId="e2b0e1b0326146cb871b456b7856feb1" PartId="a5f35873c003492cbd332b3c2985aa97"/>
      </Part>
    </Part>
    <Part Type="signatura" DocPartId="5c5fbe73f0074a2f85e48f13ef18e850" PartId="cfc4385475f344f49a58d15041c82436"/>
  </Part>
</Parts>
</file>

<file path=customXml/itemProps1.xml><?xml version="1.0" encoding="utf-8"?>
<ds:datastoreItem xmlns:ds="http://schemas.openxmlformats.org/officeDocument/2006/customXml" ds:itemID="{B6623C15-4D5F-439F-A771-824E57088801}">
  <ds:schemaRefs>
    <ds:schemaRef ds:uri="http://schemas.openxmlformats.org/officeDocument/2006/bibliography"/>
  </ds:schemaRefs>
</ds:datastoreItem>
</file>

<file path=customXml/itemProps2.xml><?xml version="1.0" encoding="utf-8"?>
<ds:datastoreItem xmlns:ds="http://schemas.openxmlformats.org/officeDocument/2006/customXml" ds:itemID="{50A2953B-AF68-408E-BC92-0834CADAF42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301</Words>
  <Characters>2180</Characters>
  <Application>Microsoft Office Word</Application>
  <DocSecurity>4</DocSecurity>
  <Lines>49</Lines>
  <Paragraphs>17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2464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2021-11-18T14:28:00Z</dcterms:created>
  <dcterms:modified xsi:type="dcterms:W3CDTF">2021-11-18T14:28:00Z</dcterms:modified>
  <revision>1</revision>
</coreProperties>
</file>