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9caae800781488085a8998dd9abeb64"/>
        <w:lock w:val="sdtLocked"/>
        <w:richText/>
      </w:sdtPr>
      <w:sdtContent>
        <w:p>
          <w:pPr>
            <w:tabs>
              <w:tab w:val="center" w:pos="4153"/>
              <w:tab w:val="right" w:pos="8306"/>
            </w:tabs>
            <w:spacing w:line="259" w:lineRule="auto"/>
            <w:jc w:val="center"/>
            <w:rPr>
              <w:rFonts w:ascii="Avenir Next Medium" w:hAnsi="Avenir Next Medium"/>
              <w:sz w:val="20"/>
            </w:rPr>
          </w:pPr>
          <w:r>
            <w:rPr>
              <w:sz w:val="22"/>
              <w:szCs w:val="22"/>
              <w:lang w:val="en-US"/>
            </w:rPr>
            <w:drawing>
              <wp:inline distT="0" distB="0" distL="0" distR="0" wp14:anchorId="27C5DFEA" wp14:editId="6D2BCFB9">
                <wp:extent cx="624840" cy="694785"/>
                <wp:effectExtent l="0" t="0" r="381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 r:link="rId11" cstate="print">
                          <a:extLst>
                            <a:ext uri="{28A0092B-C50C-407E-A947-70E740481C1C}">
                              <a14:useLocalDpi xmlns:a14="http://schemas.microsoft.com/office/drawing/2010/main" val="0"/>
                            </a:ext>
                          </a:extLst>
                        </a:blip>
                        <a:srcRect/>
                        <a:stretch>
                          <a:fillRect/>
                        </a:stretch>
                      </pic:blipFill>
                      <pic:spPr bwMode="auto">
                        <a:xfrm>
                          <a:off x="0" y="0"/>
                          <a:ext cx="644570" cy="716724"/>
                        </a:xfrm>
                        <a:prstGeom prst="rect">
                          <a:avLst/>
                        </a:prstGeom>
                        <a:noFill/>
                        <a:ln>
                          <a:noFill/>
                        </a:ln>
                      </pic:spPr>
                    </pic:pic>
                  </a:graphicData>
                </a:graphic>
              </wp:inline>
            </w:drawing>
          </w:r>
        </w:p>
        <w:p>
          <w:pPr>
            <w:tabs>
              <w:tab w:val="center" w:pos="4153"/>
              <w:tab w:val="right" w:pos="8306"/>
            </w:tabs>
            <w:spacing w:line="259" w:lineRule="auto"/>
            <w:jc w:val="center"/>
            <w:rPr>
              <w:rFonts w:ascii="Avenir Next Medium" w:hAnsi="Avenir Next Medium"/>
              <w:sz w:val="20"/>
            </w:rPr>
          </w:pPr>
        </w:p>
        <w:p>
          <w:pPr>
            <w:tabs>
              <w:tab w:val="center" w:pos="4153"/>
              <w:tab w:val="right" w:pos="8306"/>
            </w:tabs>
            <w:spacing w:line="259" w:lineRule="auto"/>
            <w:jc w:val="center"/>
            <w:rPr>
              <w:color w:val="000000"/>
              <w:sz w:val="18"/>
              <w:szCs w:val="18"/>
            </w:rPr>
          </w:pPr>
          <w:r>
            <w:rPr>
              <w:b/>
              <w:bCs/>
              <w:color w:val="000000"/>
              <w:sz w:val="28"/>
              <w:szCs w:val="28"/>
            </w:rPr>
            <w:t>LIETUVOS RESPUBLIKOS SVEIKATOS APSAUGOS MINISTERIJA</w:t>
            <w:br/>
          </w:r>
        </w:p>
        <w:p>
          <w:pPr>
            <w:rPr>
              <w:color w:val="2C3335"/>
              <w:szCs w:val="24"/>
            </w:rPr>
          </w:pPr>
        </w:p>
        <w:p>
          <w:pPr>
            <w:rPr>
              <w:sz w:val="14"/>
              <w:szCs w:val="14"/>
            </w:rPr>
          </w:pPr>
        </w:p>
        <w:tbl>
          <w:tblPr>
            <w:tblW w:w="9901" w:type="dxa"/>
            <w:jc w:val="center"/>
            <w:tblLayout w:type="fixed"/>
            <w:tblCellMar>
              <w:left w:w="0" w:type="dxa"/>
              <w:right w:w="0" w:type="dxa"/>
            </w:tblCellMar>
            <w:tblLook w:val="0000" w:firstRow="0" w:lastRow="0" w:firstColumn="0" w:lastColumn="0" w:noHBand="0" w:noVBand="0"/>
          </w:tblPr>
          <w:tblGrid>
            <w:gridCol w:w="5954"/>
            <w:gridCol w:w="1276"/>
            <w:gridCol w:w="425"/>
            <w:gridCol w:w="2246"/>
          </w:tblGrid>
          <w:tr>
            <w:trPr>
              <w:cantSplit/>
              <w:trHeight w:val="270"/>
              <w:jc w:val="center"/>
            </w:trPr>
            <w:tc>
              <w:tcPr>
                <w:tcW w:w="5954" w:type="dxa"/>
              </w:tcPr>
              <w:p>
                <w:pPr>
                  <w:ind w:right="708"/>
                  <w:rPr>
                    <w:rFonts w:eastAsia="Calibri"/>
                    <w:color w:val="000000"/>
                    <w:szCs w:val="24"/>
                  </w:rPr>
                </w:pPr>
                <w:r>
                  <w:rPr>
                    <w:rFonts w:eastAsia="Calibri"/>
                    <w:color w:val="000000"/>
                    <w:szCs w:val="24"/>
                  </w:rPr>
                  <w:t>Lietuvos Respublikos finansų ministerijai</w:t>
                  <w:br/>
                </w:r>
              </w:p>
              <w:p>
                <w:pPr>
                  <w:ind w:right="708"/>
                  <w:rPr>
                    <w:rFonts w:eastAsia="Calibri"/>
                    <w:color w:val="000000"/>
                    <w:szCs w:val="24"/>
                  </w:rPr>
                </w:pPr>
              </w:p>
            </w:tc>
            <w:tc>
              <w:tcPr>
                <w:tcW w:w="1276" w:type="dxa"/>
              </w:tcPr>
              <w:p>
                <w:pPr>
                  <w:rPr>
                    <w:rFonts w:eastAsia="Calibri"/>
                    <w:color w:val="000000"/>
                    <w:szCs w:val="24"/>
                  </w:rPr>
                </w:pPr>
                <w:r>
                  <w:rPr>
                    <w:rFonts w:eastAsia="Calibri"/>
                    <w:color w:val="000000"/>
                    <w:szCs w:val="24"/>
                  </w:rPr>
                  <w:t>202</w:t>
                </w:r>
                <w:r>
                  <w:rPr>
                    <w:rFonts w:eastAsia="Calibri"/>
                    <w:color w:val="000000"/>
                    <w:szCs w:val="24"/>
                    <w:lang w:val="en-US"/>
                  </w:rPr>
                  <w:t>6-07</w:t>
                </w:r>
                <w:r>
                  <w:rPr>
                    <w:rFonts w:eastAsia="Calibri"/>
                    <w:color w:val="000000"/>
                    <w:szCs w:val="24"/>
                  </w:rPr>
                  <w:t>-</w:t>
                </w:r>
              </w:p>
            </w:tc>
            <w:tc>
              <w:tcPr>
                <w:tcW w:w="425" w:type="dxa"/>
              </w:tcPr>
              <w:p>
                <w:pPr>
                  <w:ind w:firstLine="62"/>
                  <w:rPr>
                    <w:rFonts w:eastAsia="Calibri"/>
                    <w:color w:val="000000"/>
                    <w:szCs w:val="24"/>
                  </w:rPr>
                </w:pPr>
                <w:r>
                  <w:rPr>
                    <w:rFonts w:eastAsia="Calibri"/>
                    <w:color w:val="000000"/>
                    <w:szCs w:val="24"/>
                  </w:rPr>
                  <w:t>Nr.</w:t>
                </w:r>
              </w:p>
            </w:tc>
            <w:tc>
              <w:tcPr>
                <w:tcW w:w="2246" w:type="dxa"/>
              </w:tcPr>
              <w:p>
                <w:pPr>
                  <w:rPr>
                    <w:rFonts w:eastAsia="Calibri"/>
                    <w:color w:val="000000"/>
                    <w:szCs w:val="24"/>
                  </w:rPr>
                </w:pPr>
                <w:r>
                  <w:rPr>
                    <w:rFonts w:eastAsia="Calibri"/>
                    <w:color w:val="000000"/>
                    <w:szCs w:val="24"/>
                  </w:rPr>
                  <w:t>(</w:t>
                </w:r>
                <w:r>
                  <w:rPr>
                    <w:szCs w:val="24"/>
                  </w:rPr>
                  <w:t>1.1.3E-13</w:t>
                </w:r>
                <w:r>
                  <w:rPr>
                    <w:rFonts w:eastAsia="Calibri"/>
                    <w:color w:val="000000"/>
                    <w:szCs w:val="24"/>
                  </w:rPr>
                  <w:t>) 10-</w:t>
                </w:r>
              </w:p>
            </w:tc>
          </w:tr>
        </w:tbl>
        <w:p>
          <w:pPr>
            <w:jc w:val="center"/>
            <w:rPr>
              <w:rFonts w:eastAsia="Calibri"/>
              <w:bCs/>
              <w:color w:val="2C3335"/>
              <w:szCs w:val="24"/>
            </w:rPr>
          </w:pPr>
        </w:p>
        <w:p>
          <w:pPr>
            <w:tabs>
              <w:tab w:val="left" w:pos="7860"/>
            </w:tabs>
            <w:jc w:val="both"/>
            <w:rPr>
              <w:rFonts w:eastAsia="Calibri"/>
              <w:b/>
              <w:bCs/>
              <w:color w:val="000000"/>
              <w:szCs w:val="24"/>
            </w:rPr>
          </w:pPr>
        </w:p>
        <w:sdt>
          <w:sdtPr>
            <w:alias w:val="skirsnis"/>
            <w:tag w:val="part_a79c531ceb5345119c770d4999b49b70"/>
            <w:lock w:val="sdtLocked"/>
            <w:richText/>
          </w:sdtPr>
          <w:sdtContent>
            <w:p>
              <w:pPr>
                <w:tabs>
                  <w:tab w:val="left" w:pos="7860"/>
                </w:tabs>
                <w:jc w:val="both"/>
                <w:rPr>
                  <w:rFonts w:eastAsia="Calibri"/>
                  <w:b/>
                  <w:bCs/>
                  <w:color w:val="000000"/>
                  <w:szCs w:val="24"/>
                </w:rPr>
              </w:pPr>
              <w:sdt>
                <w:sdtPr>
                  <w:alias w:val="Pavadinimas"/>
                  <w:tag w:val="title_a79c531ceb5345119c770d4999b49b70"/>
                  <w:lock w:val="sdtLocked"/>
                  <w:richText/>
                </w:sdtPr>
                <w:sdtContent>
                  <w:r>
                    <w:rPr>
                      <w:rFonts w:eastAsia="Calibri"/>
                      <w:b/>
                      <w:bCs/>
                      <w:color w:val="000000"/>
                      <w:szCs w:val="24"/>
                    </w:rPr>
                    <w:t>DĖL LIETUVOS RESPUBLIKOS VYRIAUSYBĖS NUTARIMO PROJEKTO</w:t>
                  </w:r>
                </w:sdtContent>
              </w:sdt>
            </w:p>
            <w:p>
              <w:pPr>
                <w:tabs>
                  <w:tab w:val="left" w:pos="7860"/>
                </w:tabs>
                <w:ind w:firstLine="7860"/>
                <w:jc w:val="both"/>
                <w:rPr>
                  <w:rFonts w:eastAsia="Calibri"/>
                  <w:b/>
                  <w:bCs/>
                  <w:szCs w:val="24"/>
                </w:rPr>
              </w:pPr>
            </w:p>
            <w:p>
              <w:pPr>
                <w:spacing w:line="276" w:lineRule="auto"/>
                <w:ind w:firstLine="709"/>
                <w:jc w:val="both"/>
                <w:rPr>
                  <w:szCs w:val="24"/>
                </w:rPr>
              </w:pPr>
              <w:r>
                <w:rPr>
                  <w:rFonts w:eastAsia="Calibri"/>
                  <w:color w:val="000000"/>
                  <w:szCs w:val="24"/>
                </w:rPr>
                <w:t>Lietuvos Respublikos sveikatos apsaugos ministerija (toliau – Ministerija)</w:t>
              </w:r>
              <w:r>
                <w:rPr>
                  <w:szCs w:val="24"/>
                </w:rPr>
                <w:t xml:space="preserve"> parengė ir teikia derinti Lietuvos Respublikos Vyriausybės nutarimo „Dėl valstybės ilgalaikio materialiojo turto perdavimo Panevėžio miesto savivaldybės nuosavybėn“ projektą (toliau – Projektas). </w:t>
              </w:r>
            </w:p>
            <w:p>
              <w:pPr>
                <w:rPr>
                  <w:sz w:val="2"/>
                  <w:szCs w:val="2"/>
                </w:rPr>
              </w:pPr>
            </w:p>
            <w:p>
              <w:pPr>
                <w:spacing w:line="276" w:lineRule="auto"/>
                <w:ind w:firstLine="709"/>
                <w:jc w:val="both"/>
                <w:rPr>
                  <w:rFonts w:eastAsia="Calibri"/>
                  <w:color w:val="000000"/>
                  <w:szCs w:val="24"/>
                </w:rPr>
              </w:pPr>
              <w:r>
                <w:rPr>
                  <w:rFonts w:eastAsia="Calibri"/>
                  <w:color w:val="000000"/>
                  <w:szCs w:val="24"/>
                </w:rPr>
                <w:t xml:space="preserve">Projektas parengtas vadovaujantis </w:t>
              </w:r>
              <w:r>
                <w:rPr>
                  <w:szCs w:val="24"/>
                </w:rPr>
                <w:t>Lietuvos Respublikos valstybės ir savivaldybių turto valdymo, naudojimo ir disponavimo juo įstatymo 6 straipsnio 2 punktu, 19 straipsnio 1 dalies 4 punktu, Lietuvos Respublikos vietos savivaldos įstatymo 6 straipsnio 3 punktu, įgyvendinant Valstybės turto perdavimo patikėjimo teise ir savivaldybių nuosavybėn tvarkos aprašą, patvirtintą Lietuvos Respublikos Vyriausybės 2001 m. sausio 5 d. nutarimu Nr. 16 „Dėl valstybės turto perdavimo patikėjimo teise ir savivaldybių nuosavybėn“, ir atsižvelgiant į Panevėžio miesto savivaldybės tarybos 2026 m. birželio 25 d. sprendimą Nr.</w:t>
              </w:r>
              <w:r>
                <w:rPr>
                  <w:spacing w:val="2"/>
                  <w:szCs w:val="24"/>
                </w:rPr>
                <w:t>1-242 „Dėl valstybės ilgalaikio materialiojo turto perėmimo Panevėžio miesto savivaldybės nuosavybėn ir jo perdavimo Panevėžio nekilnojamojo turto valdymo centrui“.</w:t>
              </w:r>
              <w:r>
                <w:rPr>
                  <w:rFonts w:eastAsia="Calibri"/>
                  <w:color w:val="000000"/>
                  <w:szCs w:val="24"/>
                </w:rPr>
                <w:t xml:space="preserve"> </w:t>
              </w:r>
            </w:p>
            <w:p>
              <w:pPr>
                <w:rPr>
                  <w:sz w:val="2"/>
                  <w:szCs w:val="2"/>
                </w:rPr>
              </w:pPr>
            </w:p>
            <w:p>
              <w:pPr>
                <w:spacing w:line="276" w:lineRule="auto"/>
                <w:ind w:firstLine="709"/>
                <w:jc w:val="both"/>
                <w:rPr>
                  <w:rFonts w:eastAsia="Calibri"/>
                  <w:color w:val="000000"/>
                  <w:szCs w:val="24"/>
                </w:rPr>
              </w:pPr>
              <w:r>
                <w:rPr>
                  <w:rFonts w:eastAsia="Calibri"/>
                  <w:color w:val="000000"/>
                  <w:szCs w:val="24"/>
                </w:rPr>
                <w:t xml:space="preserve">Projekto tikslas – perduoti Panevėžio miesto savivaldybės nuosavybėn savarankiškosioms savivaldybės funkcijoms įgyvendinti valstybei nuosavybės teise priklausantį ir šiuo metu Nacionalinio transplantacijos biuro prie Lietuvos Respublikos sveikatos apsaugos ministerijos patikėjimo teise valdomą ilgalaikį materialųjį turtą – automobilį „Toyota Corolla Verso“, valstybinis Nr. DGN 894, inventorinis Nr. 061000023M, kurio įsigijimo vertė – 20 203,60 euro (dvidešimt tūkstančių du šimtai trys eurai šešiasdešimt centų), likutinė vertė 2026 m. balandžio 30 d. – 0,00 euro (nulis eurų). </w:t>
              </w:r>
            </w:p>
            <w:p>
              <w:pPr>
                <w:rPr>
                  <w:sz w:val="2"/>
                  <w:szCs w:val="2"/>
                </w:rPr>
              </w:pPr>
            </w:p>
            <w:p>
              <w:pPr>
                <w:spacing w:line="276" w:lineRule="auto"/>
                <w:ind w:firstLine="709"/>
                <w:jc w:val="both"/>
                <w:rPr>
                  <w:rFonts w:eastAsia="Calibri"/>
                  <w:color w:val="000000"/>
                  <w:szCs w:val="24"/>
                </w:rPr>
              </w:pPr>
              <w:r>
                <w:rPr>
                  <w:rFonts w:eastAsia="Calibri"/>
                  <w:color w:val="000000"/>
                  <w:szCs w:val="24"/>
                </w:rPr>
                <w:t xml:space="preserve">Panevėžio miesto savivaldybė nurodė, kad perimamo turto poreikis – aprūpinti savivaldybės biudžetinę įstaigą Panevėžio nekilnojamojo turto valdymo centrą jo veiklai reikalingomis transporto priemonėmis. </w:t>
              </w:r>
            </w:p>
            <w:p>
              <w:pPr>
                <w:rPr>
                  <w:sz w:val="2"/>
                  <w:szCs w:val="2"/>
                </w:rPr>
              </w:pPr>
            </w:p>
            <w:p>
              <w:pPr>
                <w:spacing w:line="276" w:lineRule="auto"/>
                <w:ind w:firstLine="709"/>
                <w:jc w:val="both"/>
                <w:rPr>
                  <w:rFonts w:eastAsia="Calibri"/>
                  <w:color w:val="000000"/>
                  <w:szCs w:val="24"/>
                </w:rPr>
              </w:pPr>
              <w:r>
                <w:rPr>
                  <w:rFonts w:eastAsia="Calibri"/>
                  <w:color w:val="000000"/>
                  <w:szCs w:val="24"/>
                </w:rPr>
                <w:t>Ministerija neprieštarauja Projekte nurodyto turto perdavimui ir, vadovaudamasi tuo, kas išdėstyta, prašo Finansų ministerijos įvertinti teikiamą derinti Projektą ir pateikti išvadą.</w:t>
              </w:r>
            </w:p>
            <w:p>
              <w:pPr>
                <w:rPr>
                  <w:sz w:val="2"/>
                  <w:szCs w:val="2"/>
                </w:rPr>
              </w:pPr>
            </w:p>
            <w:p>
              <w:pPr>
                <w:spacing w:line="276" w:lineRule="auto"/>
                <w:ind w:firstLine="709"/>
                <w:jc w:val="both"/>
                <w:rPr>
                  <w:color w:val="000000"/>
                  <w:szCs w:val="24"/>
                </w:rPr>
              </w:pPr>
              <w:r>
                <w:rPr>
                  <w:rFonts w:eastAsia="Calibri"/>
                  <w:color w:val="000000"/>
                  <w:szCs w:val="24"/>
                </w:rPr>
                <w:t>Projektas yra individualus teisės aktas, todėl, vadovaujantis</w:t>
              </w:r>
              <w:r>
                <w:rPr>
                  <w:color w:val="000000"/>
                  <w:szCs w:val="24"/>
                </w:rPr>
                <w:t xml:space="preserve"> Numatomo teisinio reguliavimo poveikio vertinimo metodikos, patvirtintos Lietuvos Respublikos Vyriausybės 2003 m. vasario 26 d. nutarimu Nr. 276 „Dėl Numatomo teisinio reguliavimo poveikio vertinimo metodikos patvirtinimo“,  4 punktu, numatomo teisinio reguliavimo poveikio vertinimo pažyma nerengiama.</w:t>
              </w:r>
            </w:p>
            <w:p>
              <w:pPr>
                <w:rPr>
                  <w:sz w:val="2"/>
                  <w:szCs w:val="2"/>
                </w:rPr>
              </w:pPr>
            </w:p>
            <w:p>
              <w:pPr>
                <w:spacing w:line="276" w:lineRule="auto"/>
                <w:ind w:firstLine="709"/>
                <w:jc w:val="both"/>
                <w:rPr>
                  <w:color w:val="000000"/>
                  <w:szCs w:val="24"/>
                  <w:lang w:eastAsia="lt-LT"/>
                </w:rPr>
              </w:pPr>
              <w:r>
                <w:rPr>
                  <w:color w:val="000000"/>
                  <w:szCs w:val="24"/>
                  <w:lang w:eastAsia="lt-LT"/>
                </w:rPr>
                <w:t>Priėmus Projektą, neigiamų pasekmių nenumatoma. Projektui įgyvendinti papildomų valstybės biudžeto lėšų nereikės.</w:t>
              </w:r>
            </w:p>
            <w:p>
              <w:pPr>
                <w:spacing w:line="276" w:lineRule="auto"/>
                <w:ind w:firstLine="709"/>
                <w:jc w:val="both"/>
                <w:rPr>
                  <w:color w:val="000000"/>
                  <w:szCs w:val="24"/>
                  <w:lang w:eastAsia="lt-LT"/>
                </w:rPr>
              </w:pPr>
              <w:r>
                <w:rPr>
                  <w:color w:val="000000"/>
                  <w:szCs w:val="24"/>
                  <w:lang w:eastAsia="lt-LT"/>
                </w:rPr>
                <w:t xml:space="preserve">Projektas neprieštarauja Lietuvos Respublikos Vyriausybės programai ir Europos Sąjungos teisei. </w:t>
              </w:r>
            </w:p>
            <w:p>
              <w:pPr>
                <w:spacing w:line="276" w:lineRule="auto"/>
                <w:ind w:firstLine="709"/>
                <w:jc w:val="both"/>
                <w:rPr>
                  <w:color w:val="000000"/>
                  <w:szCs w:val="24"/>
                  <w:lang w:eastAsia="lt-LT"/>
                </w:rPr>
              </w:pPr>
              <w:r>
                <w:rPr>
                  <w:color w:val="000000"/>
                  <w:szCs w:val="24"/>
                  <w:lang w:eastAsia="lt-LT"/>
                </w:rPr>
                <w:t>Projektas paskelbtas Lietuvos Respublikos Seimo kanceliarijos Teisės aktų informacinėje sistemoje (TAIS).</w:t>
              </w:r>
            </w:p>
            <w:p>
              <w:pPr>
                <w:spacing w:line="276" w:lineRule="auto"/>
                <w:ind w:firstLine="709"/>
                <w:jc w:val="both"/>
                <w:rPr>
                  <w:color w:val="000000"/>
                  <w:szCs w:val="24"/>
                  <w:lang w:eastAsia="lt-LT"/>
                </w:rPr>
              </w:pPr>
              <w:r>
                <w:rPr>
                  <w:color w:val="000000"/>
                  <w:szCs w:val="24"/>
                  <w:lang w:eastAsia="lt-LT"/>
                </w:rPr>
                <w:t xml:space="preserve">Projektą parengė Ministerijos Valstybės turto valdymo ir viešųjų pirkimų skyriaus patarėja, laikinai vykdanti skyriaus vedėjo funkcijas, Neringa Gerasimavičinenė, tel. (+370 5) 205 5288,               el. p. neringa.gerasimaviciene@sam.lt) patarėja Vijolė Butkevičienė (tel. (+370 5) 219 3312, el. p. vijole.butkeviciene@sam.lt).</w:t>
              </w:r>
            </w:p>
            <w:p>
              <w:pPr>
                <w:spacing w:line="276" w:lineRule="auto"/>
                <w:ind w:firstLine="709"/>
                <w:jc w:val="both"/>
                <w:rPr>
                  <w:rFonts w:eastAsia="Calibri"/>
                  <w:color w:val="000000"/>
                  <w:szCs w:val="24"/>
                </w:rPr>
              </w:pPr>
              <w:r>
                <w:rPr>
                  <w:rFonts w:eastAsia="Calibri"/>
                  <w:color w:val="000000"/>
                  <w:szCs w:val="24"/>
                </w:rPr>
                <w:t>PRIDEDAMA:</w:t>
              </w:r>
            </w:p>
            <w:sdt>
              <w:sdtPr>
                <w:alias w:val="1 p."/>
                <w:tag w:val="part_953e7a561f754ec69fb4b1c1bc240b5f"/>
                <w:lock w:val="sdtLocked"/>
                <w:richText/>
              </w:sdtPr>
              <w:sdtContent>
                <w:p>
                  <w:pPr>
                    <w:tabs>
                      <w:tab w:val="left" w:pos="993"/>
                    </w:tabs>
                    <w:spacing w:line="276" w:lineRule="auto"/>
                    <w:ind w:firstLine="709"/>
                    <w:jc w:val="both"/>
                    <w:rPr>
                      <w:color w:val="000000"/>
                      <w:szCs w:val="24"/>
                      <w:lang w:eastAsia="lt-LT"/>
                    </w:rPr>
                  </w:pPr>
                  <w:sdt>
                    <w:sdtPr>
                      <w:alias w:val="Numeris"/>
                      <w:tag w:val="nr_953e7a561f754ec69fb4b1c1bc240b5f"/>
                      <w:lock w:val="sdtLocked"/>
                      <w:richText/>
                    </w:sdtPr>
                    <w:sdtContent>
                      <w:r>
                        <w:rPr>
                          <w:color w:val="000000"/>
                          <w:szCs w:val="24"/>
                          <w:lang w:eastAsia="lt-LT"/>
                        </w:rPr>
                        <w:t>1</w:t>
                      </w:r>
                    </w:sdtContent>
                  </w:sdt>
                  <w:r>
                    <w:rPr>
                      <w:color w:val="000000"/>
                      <w:szCs w:val="24"/>
                      <w:lang w:eastAsia="lt-LT"/>
                    </w:rPr>
                    <w:t>.</w:t>
                    <w:tab/>
                    <w:t>Lietuvos Respublikos Vyriausybės nutarimo „</w:t>
                  </w:r>
                  <w:r>
                    <w:rPr>
                      <w:szCs w:val="24"/>
                      <w:lang w:eastAsia="lt-LT"/>
                    </w:rPr>
                    <w:t>Dėl valstybės ilgalaikio materialiojo turto perdavimo Panevėžio miesto savivaldybės nuosavybėn“ projektas, 1 lapas.</w:t>
                  </w:r>
                </w:p>
              </w:sdtContent>
            </w:sdt>
            <w:sdt>
              <w:sdtPr>
                <w:alias w:val="2 p."/>
                <w:tag w:val="part_4df0546b5f744e13a093ce11b2d34ced"/>
                <w:lock w:val="sdtLocked"/>
                <w:richText/>
              </w:sdtPr>
              <w:sdtContent>
                <w:p>
                  <w:pPr>
                    <w:tabs>
                      <w:tab w:val="left" w:pos="993"/>
                    </w:tabs>
                    <w:spacing w:line="276" w:lineRule="auto"/>
                    <w:ind w:firstLine="567"/>
                    <w:jc w:val="both"/>
                    <w:rPr>
                      <w:rFonts w:eastAsia="Calibri"/>
                      <w:color w:val="000000"/>
                      <w:szCs w:val="24"/>
                    </w:rPr>
                  </w:pPr>
                  <w:sdt>
                    <w:sdtPr>
                      <w:alias w:val="Numeris"/>
                      <w:tag w:val="nr_4df0546b5f744e13a093ce11b2d34ced"/>
                      <w:lock w:val="sdtLocked"/>
                      <w:richText/>
                    </w:sdtPr>
                    <w:sdtContent>
                      <w:r>
                        <w:rPr>
                          <w:rFonts w:eastAsia="Calibri"/>
                          <w:color w:val="000000"/>
                          <w:szCs w:val="24"/>
                        </w:rPr>
                        <w:t>2</w:t>
                      </w:r>
                    </w:sdtContent>
                  </w:sdt>
                  <w:r>
                    <w:rPr>
                      <w:rFonts w:eastAsia="Calibri"/>
                      <w:color w:val="000000"/>
                      <w:szCs w:val="24"/>
                    </w:rPr>
                    <w:t>.</w:t>
                    <w:tab/>
                    <w:t xml:space="preserve">Nacionalinio transplantacijos biuro prie Sveikatos apsaugos ministerijos 2026 m. birželio                29 d. raštas Nr. T5-286 „Dėl valstybės ilgalaikio materialiojo turto perdavimo Panevėžio miesto savivaldybės administracijos nuosavybėn“, ADOC formatu. </w:t>
                  </w:r>
                </w:p>
                <w:p>
                  <w:pPr>
                    <w:rPr>
                      <w:sz w:val="2"/>
                      <w:szCs w:val="2"/>
                    </w:rPr>
                  </w:pPr>
                </w:p>
                <w:p>
                  <w:pPr>
                    <w:tabs>
                      <w:tab w:val="left" w:pos="993"/>
                    </w:tabs>
                    <w:ind w:left="709"/>
                    <w:jc w:val="both"/>
                    <w:rPr>
                      <w:color w:val="000000"/>
                      <w:szCs w:val="24"/>
                      <w:lang w:eastAsia="lt-LT"/>
                    </w:rPr>
                  </w:pPr>
                </w:p>
                <w:p>
                  <w:pPr>
                    <w:tabs>
                      <w:tab w:val="left" w:pos="993"/>
                    </w:tabs>
                    <w:ind w:left="709"/>
                    <w:jc w:val="both"/>
                    <w:rPr>
                      <w:lang w:eastAsia="lt-LT"/>
                    </w:rPr>
                  </w:pPr>
                </w:p>
                <w:p>
                  <w:pPr>
                    <w:jc w:val="both"/>
                    <w:rPr>
                      <w:rFonts w:eastAsia="Calibri"/>
                      <w:szCs w:val="24"/>
                    </w:rPr>
                  </w:pPr>
                  <w:r>
                    <w:rPr>
                      <w:szCs w:val="24"/>
                    </w:rPr>
                    <w:t>Sveikatos apsaugos ministerijos kancleris</w:t>
                    <w:tab/>
                    <w:tab/>
                    <w:t xml:space="preserve">                       Evaldas Raistenskis</w:t>
                  </w:r>
                </w:p>
                <w:p>
                  <w:pPr>
                    <w:jc w:val="both"/>
                    <w:rPr>
                      <w:rFonts w:eastAsia="Calibri"/>
                      <w:szCs w:val="2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jc w:val="both"/>
                    <w:rPr>
                      <w:sz w:val="20"/>
                    </w:rPr>
                  </w:pPr>
                </w:p>
                <w:p>
                  <w:pPr>
                    <w:rPr>
                      <w:sz w:val="14"/>
                      <w:szCs w:val="14"/>
                    </w:rPr>
                  </w:pPr>
                </w:p>
                <w:p>
                  <w:pPr>
                    <w:spacing w:line="276" w:lineRule="auto"/>
                    <w:ind w:firstLine="142"/>
                    <w:jc w:val="both"/>
                    <w:rPr>
                      <w:color w:val="000000"/>
                      <w:szCs w:val="24"/>
                      <w:lang w:eastAsia="lt-LT"/>
                    </w:rPr>
                  </w:pPr>
                  <w:r>
                    <w:rPr>
                      <w:color w:val="000000"/>
                      <w:szCs w:val="24"/>
                      <w:lang w:eastAsia="lt-LT"/>
                    </w:rPr>
                    <w:t>Vijolė Butkevičienė, tel. (+370 5) 219 3312, el. p. vijole.butkeviciene@sam.lt</w:t>
                    <w:tab/>
                  </w:r>
                </w:p>
              </w:sdtContent>
            </w:sdt>
          </w:sdtContent>
        </w:sdt>
      </w:sdtContent>
    </w:sdt>
    <w:sectPr>
      <w:headerReference w:type="even" r:id="rId12"/>
      <w:headerReference w:type="default" r:id="rId13"/>
      <w:footerReference w:type="even" r:id="rId14"/>
      <w:footerReference w:type="default" r:id="rId15"/>
      <w:headerReference w:type="first" r:id="rId16"/>
      <w:footerReference w:type="first" r:id="rId17"/>
      <w:pgSz w:w="11906" w:h="16838" w:code="9"/>
      <w:pgMar w:top="1556" w:right="566" w:bottom="993" w:left="1531" w:header="907" w:footer="397" w:gutter="0"/>
      <w:cols w:space="1296"/>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venir Next Medium">
    <w:altName w:val="Calibri"/>
    <w:charset w:val="00"/>
    <w:family w:val="swiss"/>
    <w:pitch w:val="variable"/>
    <w:sig w:usb0="8000002F" w:usb1="5000204A" w:usb2="00000000" w:usb3="00000000" w:csb0="0000009B" w:csb1="00000000"/>
  </w:font>
  <w:font w:name="Calibri">
    <w:panose1 w:val="020F0502020204030204"/>
    <w:charset w:val="BA"/>
    <w:family w:val="swiss"/>
    <w:pitch w:val="variable"/>
    <w:sig w:usb0="E4002EFF" w:usb1="C200247B" w:usb2="00000009" w:usb3="00000000" w:csb0="000001FF" w:csb1="00000000"/>
  </w:font>
  <w:font w:name="Avenir Next">
    <w:altName w:val="Calibri"/>
    <w:charset w:val="00"/>
    <w:family w:val="swiss"/>
    <w:pitch w:val="variable"/>
    <w:sig w:usb0="8000002F" w:usb1="5000204A" w:usb2="00000000" w:usb3="00000000" w:csb0="0000009B"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line="259" w:lineRule="auto"/>
      <w:rPr>
        <w:rFonts w:eastAsia="Calibri"/>
        <w:sz w:val="20"/>
        <w:lang w:eastAsia="lt-LT"/>
      </w:rPr>
    </w:pPr>
    <w:r>
      <w:rPr>
        <w:rFonts w:eastAsia="Calibri"/>
        <w:sz w:val="20"/>
        <w:lang w:eastAsia="lt-LT"/>
      </w:rPr>
      <w:t xml:space="preserve"> </w:t>
    </w:r>
  </w:p>
  <w:tbl>
    <w:tblPr>
      <w:tblW w:w="0" w:type="auto"/>
      <w:tblBorders>
        <w:top w:val="single" w:sz="4" w:space="0" w:color="auto"/>
      </w:tblBorders>
      <w:tblLook w:val="04A0" w:firstRow="1" w:lastRow="0" w:firstColumn="1" w:lastColumn="0" w:noHBand="0" w:noVBand="1"/>
    </w:tblPr>
    <w:tblGrid>
      <w:gridCol w:w="1555"/>
      <w:gridCol w:w="1842"/>
      <w:gridCol w:w="3686"/>
      <w:gridCol w:w="2545"/>
    </w:tblGrid>
    <w:tr>
      <w:tc>
        <w:tcPr>
          <w:tcW w:w="1555" w:type="dxa"/>
          <w:vAlign w:val="center"/>
        </w:tcPr>
        <w:p>
          <w:pPr>
            <w:rPr>
              <w:sz w:val="10"/>
              <w:szCs w:val="10"/>
            </w:rPr>
          </w:pPr>
        </w:p>
        <w:p>
          <w:pPr>
            <w:rPr>
              <w:sz w:val="22"/>
              <w:szCs w:val="22"/>
            </w:rPr>
          </w:pPr>
          <w:r>
            <w:rPr>
              <w:sz w:val="22"/>
              <w:szCs w:val="22"/>
              <w:lang w:val="en-US"/>
            </w:rPr>
            <w:drawing>
              <wp:inline distT="0" distB="0" distL="0" distR="0" wp14:anchorId="5BD73C81" wp14:editId="6B3918D2">
                <wp:extent cx="533400" cy="628608"/>
                <wp:effectExtent l="0" t="0" r="0" b="635"/>
                <wp:docPr id="508055676" name="Paveikslėlis 1" descr="Paveikslėlis, kuriame yra logotipas, varinis kastetas, dizain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logotipas, varinis kastetas, dizainas  Automatiškai sugeneruotas aprašym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5239" cy="642560"/>
                        </a:xfrm>
                        <a:prstGeom prst="rect">
                          <a:avLst/>
                        </a:prstGeom>
                        <a:noFill/>
                        <a:ln>
                          <a:noFill/>
                        </a:ln>
                      </pic:spPr>
                    </pic:pic>
                  </a:graphicData>
                </a:graphic>
              </wp:inline>
            </w:drawing>
          </w:r>
        </w:p>
      </w:tc>
      <w:tc>
        <w:tcPr>
          <w:tcW w:w="1842" w:type="dxa"/>
          <w:vAlign w:val="center"/>
        </w:tcPr>
        <w:p>
          <w:pPr>
            <w:rPr>
              <w:rFonts w:eastAsia="Calibri"/>
              <w:color w:val="000000"/>
              <w:sz w:val="18"/>
              <w:szCs w:val="18"/>
              <w:lang w:eastAsia="lt-LT"/>
            </w:rPr>
          </w:pPr>
          <w:r>
            <w:rPr>
              <w:rFonts w:eastAsia="Calibri"/>
              <w:color w:val="000000"/>
              <w:sz w:val="18"/>
              <w:szCs w:val="18"/>
              <w:lang w:eastAsia="lt-LT"/>
            </w:rPr>
            <w:t>Biudžetinė įstaiga</w:t>
          </w:r>
        </w:p>
        <w:p>
          <w:pPr>
            <w:rPr>
              <w:rFonts w:eastAsia="Calibri"/>
              <w:color w:val="000000"/>
              <w:sz w:val="18"/>
              <w:szCs w:val="18"/>
              <w:lang w:eastAsia="lt-LT"/>
            </w:rPr>
          </w:pPr>
          <w:r>
            <w:rPr>
              <w:rFonts w:eastAsia="Calibri"/>
              <w:color w:val="000000"/>
              <w:sz w:val="18"/>
              <w:szCs w:val="18"/>
              <w:lang w:eastAsia="lt-LT"/>
            </w:rPr>
            <w:t>Vilniaus g. 33</w:t>
          </w:r>
        </w:p>
        <w:p>
          <w:pPr>
            <w:rPr>
              <w:rFonts w:eastAsia="Calibri"/>
              <w:color w:val="000000"/>
              <w:sz w:val="18"/>
              <w:szCs w:val="18"/>
              <w:lang w:eastAsia="lt-LT"/>
            </w:rPr>
          </w:pPr>
          <w:r>
            <w:rPr>
              <w:rFonts w:eastAsia="Calibri"/>
              <w:color w:val="000000"/>
              <w:sz w:val="18"/>
              <w:szCs w:val="18"/>
              <w:lang w:eastAsia="lt-LT"/>
            </w:rPr>
            <w:t>LT-01402 Vilnius</w:t>
          </w:r>
        </w:p>
      </w:tc>
      <w:tc>
        <w:tcPr>
          <w:tcW w:w="3686" w:type="dxa"/>
          <w:vAlign w:val="center"/>
        </w:tcPr>
        <w:p>
          <w:pPr>
            <w:rPr>
              <w:rFonts w:eastAsia="Calibri"/>
              <w:color w:val="000000"/>
              <w:sz w:val="18"/>
              <w:szCs w:val="18"/>
              <w:lang w:eastAsia="lt-LT"/>
            </w:rPr>
          </w:pPr>
          <w:r>
            <w:rPr>
              <w:rFonts w:eastAsia="Calibri"/>
              <w:color w:val="000000"/>
              <w:sz w:val="18"/>
              <w:szCs w:val="18"/>
              <w:lang w:eastAsia="lt-LT"/>
            </w:rPr>
            <w:t>Tel. +370 800 66 004</w:t>
          </w:r>
        </w:p>
        <w:p>
          <w:pPr>
            <w:rPr>
              <w:rFonts w:eastAsia="Calibri"/>
              <w:sz w:val="18"/>
              <w:szCs w:val="18"/>
              <w:lang w:eastAsia="lt-LT"/>
            </w:rPr>
          </w:pPr>
          <w:r>
            <w:rPr>
              <w:rFonts w:eastAsia="Calibri"/>
              <w:color w:val="000000"/>
              <w:sz w:val="18"/>
              <w:szCs w:val="18"/>
              <w:lang w:eastAsia="lt-LT"/>
            </w:rPr>
            <w:t xml:space="preserve">El. p. </w:t>
          </w:r>
          <w:r>
            <w:rPr>
              <w:rFonts w:eastAsia="Calibri"/>
              <w:sz w:val="18"/>
              <w:szCs w:val="18"/>
              <w:lang w:eastAsia="lt-LT"/>
            </w:rPr>
            <w:t>ministerija@sam.lt</w:t>
          </w:r>
          <w:r>
            <w:rPr>
              <w:rFonts w:eastAsia="Calibri"/>
              <w:color w:val="000000"/>
              <w:sz w:val="18"/>
              <w:szCs w:val="18"/>
              <w:lang w:eastAsia="lt-LT"/>
            </w:rPr>
            <w:t xml:space="preserve">, </w:t>
          </w:r>
          <w:r>
            <w:rPr>
              <w:rFonts w:eastAsia="Calibri"/>
              <w:sz w:val="18"/>
              <w:szCs w:val="18"/>
              <w:lang w:eastAsia="lt-LT"/>
            </w:rPr>
            <w:t>https://sam.lrv.lt</w:t>
          </w:r>
        </w:p>
        <w:p>
          <w:pPr>
            <w:rPr>
              <w:sz w:val="22"/>
              <w:szCs w:val="22"/>
              <w:lang w:val="pt-BR"/>
            </w:rPr>
          </w:pPr>
          <w:r>
            <w:rPr>
              <w:rFonts w:eastAsia="Calibri"/>
              <w:color w:val="000000"/>
              <w:sz w:val="18"/>
              <w:szCs w:val="18"/>
              <w:lang w:eastAsia="lt-LT"/>
            </w:rPr>
            <w:t>E. pristatymo dėžutės adresas 18860347</w:t>
          </w:r>
          <w:r>
            <w:rPr>
              <w:rFonts w:eastAsia="Calibri"/>
              <w:color w:val="000000"/>
              <w:sz w:val="18"/>
              <w:szCs w:val="18"/>
              <w:lang w:val="pt-BR" w:eastAsia="lt-LT"/>
            </w:rPr>
            <w:t>2</w:t>
          </w:r>
        </w:p>
      </w:tc>
      <w:tc>
        <w:tcPr>
          <w:tcW w:w="2545" w:type="dxa"/>
          <w:vAlign w:val="center"/>
        </w:tcPr>
        <w:p>
          <w:pPr>
            <w:rPr>
              <w:rFonts w:eastAsia="Calibri"/>
              <w:color w:val="000000"/>
              <w:sz w:val="18"/>
              <w:szCs w:val="18"/>
              <w:lang w:eastAsia="lt-LT"/>
            </w:rPr>
          </w:pPr>
          <w:r>
            <w:rPr>
              <w:rFonts w:eastAsia="Calibri"/>
              <w:color w:val="000000"/>
              <w:sz w:val="18"/>
              <w:szCs w:val="18"/>
              <w:lang w:eastAsia="lt-LT"/>
            </w:rPr>
            <w:t>Duomenys kaupiami ir saugomi Juridinių asmenų registre</w:t>
          </w:r>
        </w:p>
        <w:p>
          <w:pPr>
            <w:rPr>
              <w:sz w:val="22"/>
              <w:szCs w:val="22"/>
            </w:rPr>
          </w:pPr>
          <w:r>
            <w:rPr>
              <w:rFonts w:eastAsia="Calibri"/>
              <w:color w:val="000000"/>
              <w:sz w:val="18"/>
              <w:szCs w:val="18"/>
              <w:lang w:eastAsia="lt-LT"/>
            </w:rPr>
            <w:t>Kodas 188603472</w:t>
          </w:r>
        </w:p>
      </w:tc>
    </w:tr>
  </w:tbl>
  <w:p>
    <w:pPr>
      <w:tabs>
        <w:tab w:val="right" w:pos="9638"/>
      </w:tabs>
      <w:spacing w:line="360" w:lineRule="auto"/>
      <w:rPr>
        <w:rFonts w:ascii="Avenir Next" w:eastAsia="Calibri" w:hAnsi="Avenir Next"/>
        <w:sz w:val="18"/>
        <w:szCs w:val="18"/>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 w:val="22"/>
        <w:szCs w:val="22"/>
      </w:rPr>
    </w:pPr>
    <w:r>
      <w:rPr>
        <w:sz w:val="22"/>
        <w:szCs w:val="22"/>
      </w:rPr>
      <w:fldChar w:fldCharType="begin"/>
    </w:r>
    <w:r>
      <w:rPr>
        <w:sz w:val="22"/>
        <w:szCs w:val="22"/>
      </w:rPr>
      <w:instrText xml:space="preserve">PAGE  </w:instrText>
    </w:r>
    <w:r>
      <w:rPr>
        <w:sz w:val="22"/>
        <w:szCs w:val="22"/>
      </w:rPr>
      <w:fldChar w:fldCharType="separate"/>
    </w:r>
    <w:r>
      <w:rPr>
        <w:sz w:val="22"/>
        <w:szCs w:val="22"/>
      </w:rPr>
      <w:t>1</w:t>
    </w:r>
    <w:r>
      <w:rPr>
        <w:sz w:val="22"/>
        <w:szCs w:val="22"/>
      </w:rPr>
      <w:fldChar w:fldCharType="end"/>
    </w:r>
  </w:p>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4D0B"/>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3E153E24-C153-40FB-A7D6-D3CAA660ABC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3510879">
      <w:bodyDiv w:val="1"/>
      <w:marLeft w:val="0"/>
      <w:marRight w:val="0"/>
      <w:marTop w:val="0"/>
      <w:marBottom w:val="0"/>
      <w:divBdr>
        <w:top w:val="none" w:sz="0" w:space="0" w:color="auto"/>
        <w:left w:val="none" w:sz="0" w:space="0" w:color="auto"/>
        <w:bottom w:val="none" w:sz="0" w:space="0" w:color="auto"/>
        <w:right w:val="none" w:sz="0" w:space="0" w:color="auto"/>
      </w:divBdr>
    </w:div>
    <w:div w:id="506529578">
      <w:bodyDiv w:val="1"/>
      <w:marLeft w:val="0"/>
      <w:marRight w:val="0"/>
      <w:marTop w:val="0"/>
      <w:marBottom w:val="0"/>
      <w:divBdr>
        <w:top w:val="none" w:sz="0" w:space="0" w:color="auto"/>
        <w:left w:val="none" w:sz="0" w:space="0" w:color="auto"/>
        <w:bottom w:val="none" w:sz="0" w:space="0" w:color="auto"/>
        <w:right w:val="none" w:sz="0" w:space="0" w:color="auto"/>
      </w:divBdr>
    </w:div>
    <w:div w:id="593823828">
      <w:bodyDiv w:val="1"/>
      <w:marLeft w:val="0"/>
      <w:marRight w:val="0"/>
      <w:marTop w:val="0"/>
      <w:marBottom w:val="0"/>
      <w:divBdr>
        <w:top w:val="none" w:sz="0" w:space="0" w:color="auto"/>
        <w:left w:val="none" w:sz="0" w:space="0" w:color="auto"/>
        <w:bottom w:val="none" w:sz="0" w:space="0" w:color="auto"/>
        <w:right w:val="none" w:sz="0" w:space="0" w:color="auto"/>
      </w:divBdr>
    </w:div>
    <w:div w:id="757097947">
      <w:bodyDiv w:val="1"/>
      <w:marLeft w:val="0"/>
      <w:marRight w:val="0"/>
      <w:marTop w:val="0"/>
      <w:marBottom w:val="0"/>
      <w:divBdr>
        <w:top w:val="none" w:sz="0" w:space="0" w:color="auto"/>
        <w:left w:val="none" w:sz="0" w:space="0" w:color="auto"/>
        <w:bottom w:val="none" w:sz="0" w:space="0" w:color="auto"/>
        <w:right w:val="none" w:sz="0" w:space="0" w:color="auto"/>
      </w:divBdr>
      <w:divsChild>
        <w:div w:id="1532954248">
          <w:marLeft w:val="0"/>
          <w:marRight w:val="0"/>
          <w:marTop w:val="0"/>
          <w:marBottom w:val="0"/>
          <w:divBdr>
            <w:top w:val="none" w:sz="0" w:space="0" w:color="auto"/>
            <w:left w:val="none" w:sz="0" w:space="0" w:color="auto"/>
            <w:bottom w:val="none" w:sz="0" w:space="0" w:color="auto"/>
            <w:right w:val="none" w:sz="0" w:space="0" w:color="auto"/>
          </w:divBdr>
          <w:divsChild>
            <w:div w:id="252204918">
              <w:marLeft w:val="0"/>
              <w:marRight w:val="0"/>
              <w:marTop w:val="0"/>
              <w:marBottom w:val="0"/>
              <w:divBdr>
                <w:top w:val="none" w:sz="0" w:space="0" w:color="auto"/>
                <w:left w:val="none" w:sz="0" w:space="0" w:color="auto"/>
                <w:bottom w:val="none" w:sz="0" w:space="0" w:color="auto"/>
                <w:right w:val="none" w:sz="0" w:space="0" w:color="auto"/>
              </w:divBdr>
            </w:div>
          </w:divsChild>
        </w:div>
        <w:div w:id="953250926">
          <w:marLeft w:val="0"/>
          <w:marRight w:val="0"/>
          <w:marTop w:val="0"/>
          <w:marBottom w:val="0"/>
          <w:divBdr>
            <w:top w:val="none" w:sz="0" w:space="0" w:color="auto"/>
            <w:left w:val="none" w:sz="0" w:space="0" w:color="auto"/>
            <w:bottom w:val="none" w:sz="0" w:space="0" w:color="auto"/>
            <w:right w:val="none" w:sz="0" w:space="0" w:color="auto"/>
          </w:divBdr>
          <w:divsChild>
            <w:div w:id="314653862">
              <w:marLeft w:val="0"/>
              <w:marRight w:val="0"/>
              <w:marTop w:val="0"/>
              <w:marBottom w:val="0"/>
              <w:divBdr>
                <w:top w:val="none" w:sz="0" w:space="0" w:color="auto"/>
                <w:left w:val="none" w:sz="0" w:space="0" w:color="auto"/>
                <w:bottom w:val="none" w:sz="0" w:space="0" w:color="auto"/>
                <w:right w:val="none" w:sz="0" w:space="0" w:color="auto"/>
              </w:divBdr>
            </w:div>
          </w:divsChild>
        </w:div>
        <w:div w:id="1108815954">
          <w:marLeft w:val="0"/>
          <w:marRight w:val="0"/>
          <w:marTop w:val="0"/>
          <w:marBottom w:val="0"/>
          <w:divBdr>
            <w:top w:val="none" w:sz="0" w:space="0" w:color="auto"/>
            <w:left w:val="none" w:sz="0" w:space="0" w:color="auto"/>
            <w:bottom w:val="none" w:sz="0" w:space="0" w:color="auto"/>
            <w:right w:val="none" w:sz="0" w:space="0" w:color="auto"/>
          </w:divBdr>
          <w:divsChild>
            <w:div w:id="994838747">
              <w:marLeft w:val="0"/>
              <w:marRight w:val="0"/>
              <w:marTop w:val="0"/>
              <w:marBottom w:val="0"/>
              <w:divBdr>
                <w:top w:val="none" w:sz="0" w:space="0" w:color="auto"/>
                <w:left w:val="none" w:sz="0" w:space="0" w:color="auto"/>
                <w:bottom w:val="none" w:sz="0" w:space="0" w:color="auto"/>
                <w:right w:val="none" w:sz="0" w:space="0" w:color="auto"/>
              </w:divBdr>
            </w:div>
          </w:divsChild>
        </w:div>
        <w:div w:id="1642660838">
          <w:marLeft w:val="0"/>
          <w:marRight w:val="0"/>
          <w:marTop w:val="0"/>
          <w:marBottom w:val="0"/>
          <w:divBdr>
            <w:top w:val="none" w:sz="0" w:space="0" w:color="auto"/>
            <w:left w:val="none" w:sz="0" w:space="0" w:color="auto"/>
            <w:bottom w:val="none" w:sz="0" w:space="0" w:color="auto"/>
            <w:right w:val="none" w:sz="0" w:space="0" w:color="auto"/>
          </w:divBdr>
        </w:div>
        <w:div w:id="672683248">
          <w:marLeft w:val="0"/>
          <w:marRight w:val="0"/>
          <w:marTop w:val="0"/>
          <w:marBottom w:val="0"/>
          <w:divBdr>
            <w:top w:val="none" w:sz="0" w:space="0" w:color="auto"/>
            <w:left w:val="none" w:sz="0" w:space="0" w:color="auto"/>
            <w:bottom w:val="none" w:sz="0" w:space="0" w:color="auto"/>
            <w:right w:val="none" w:sz="0" w:space="0" w:color="auto"/>
          </w:divBdr>
          <w:divsChild>
            <w:div w:id="616913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980777">
      <w:bodyDiv w:val="1"/>
      <w:marLeft w:val="0"/>
      <w:marRight w:val="0"/>
      <w:marTop w:val="0"/>
      <w:marBottom w:val="0"/>
      <w:divBdr>
        <w:top w:val="none" w:sz="0" w:space="0" w:color="auto"/>
        <w:left w:val="none" w:sz="0" w:space="0" w:color="auto"/>
        <w:bottom w:val="none" w:sz="0" w:space="0" w:color="auto"/>
        <w:right w:val="none" w:sz="0" w:space="0" w:color="auto"/>
      </w:divBdr>
    </w:div>
    <w:div w:id="1233354055">
      <w:bodyDiv w:val="1"/>
      <w:marLeft w:val="0"/>
      <w:marRight w:val="0"/>
      <w:marTop w:val="0"/>
      <w:marBottom w:val="0"/>
      <w:divBdr>
        <w:top w:val="none" w:sz="0" w:space="0" w:color="auto"/>
        <w:left w:val="none" w:sz="0" w:space="0" w:color="auto"/>
        <w:bottom w:val="none" w:sz="0" w:space="0" w:color="auto"/>
        <w:right w:val="none" w:sz="0" w:space="0" w:color="auto"/>
      </w:divBdr>
    </w:div>
    <w:div w:id="1256136843">
      <w:bodyDiv w:val="1"/>
      <w:marLeft w:val="0"/>
      <w:marRight w:val="0"/>
      <w:marTop w:val="0"/>
      <w:marBottom w:val="0"/>
      <w:divBdr>
        <w:top w:val="none" w:sz="0" w:space="0" w:color="auto"/>
        <w:left w:val="none" w:sz="0" w:space="0" w:color="auto"/>
        <w:bottom w:val="none" w:sz="0" w:space="0" w:color="auto"/>
        <w:right w:val="none" w:sz="0" w:space="0" w:color="auto"/>
      </w:divBdr>
    </w:div>
    <w:div w:id="1361979600">
      <w:bodyDiv w:val="1"/>
      <w:marLeft w:val="0"/>
      <w:marRight w:val="0"/>
      <w:marTop w:val="0"/>
      <w:marBottom w:val="0"/>
      <w:divBdr>
        <w:top w:val="none" w:sz="0" w:space="0" w:color="auto"/>
        <w:left w:val="none" w:sz="0" w:space="0" w:color="auto"/>
        <w:bottom w:val="none" w:sz="0" w:space="0" w:color="auto"/>
        <w:right w:val="none" w:sz="0" w:space="0" w:color="auto"/>
      </w:divBdr>
    </w:div>
    <w:div w:id="1490752212">
      <w:bodyDiv w:val="1"/>
      <w:marLeft w:val="0"/>
      <w:marRight w:val="0"/>
      <w:marTop w:val="0"/>
      <w:marBottom w:val="0"/>
      <w:divBdr>
        <w:top w:val="none" w:sz="0" w:space="0" w:color="auto"/>
        <w:left w:val="none" w:sz="0" w:space="0" w:color="auto"/>
        <w:bottom w:val="none" w:sz="0" w:space="0" w:color="auto"/>
        <w:right w:val="none" w:sz="0" w:space="0" w:color="auto"/>
      </w:divBdr>
    </w:div>
    <w:div w:id="1876771740">
      <w:bodyDiv w:val="1"/>
      <w:marLeft w:val="0"/>
      <w:marRight w:val="0"/>
      <w:marTop w:val="0"/>
      <w:marBottom w:val="0"/>
      <w:divBdr>
        <w:top w:val="none" w:sz="0" w:space="0" w:color="auto"/>
        <w:left w:val="none" w:sz="0" w:space="0" w:color="auto"/>
        <w:bottom w:val="none" w:sz="0" w:space="0" w:color="auto"/>
        <w:right w:val="none" w:sz="0" w:space="0" w:color="auto"/>
      </w:divBdr>
      <w:divsChild>
        <w:div w:id="2019306102">
          <w:marLeft w:val="0"/>
          <w:marRight w:val="0"/>
          <w:marTop w:val="0"/>
          <w:marBottom w:val="0"/>
          <w:divBdr>
            <w:top w:val="none" w:sz="0" w:space="0" w:color="auto"/>
            <w:left w:val="none" w:sz="0" w:space="0" w:color="auto"/>
            <w:bottom w:val="none" w:sz="0" w:space="0" w:color="auto"/>
            <w:right w:val="none" w:sz="0" w:space="0" w:color="auto"/>
          </w:divBdr>
          <w:divsChild>
            <w:div w:id="177282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368799">
      <w:bodyDiv w:val="1"/>
      <w:marLeft w:val="0"/>
      <w:marRight w:val="0"/>
      <w:marTop w:val="0"/>
      <w:marBottom w:val="0"/>
      <w:divBdr>
        <w:top w:val="none" w:sz="0" w:space="0" w:color="auto"/>
        <w:left w:val="none" w:sz="0" w:space="0" w:color="auto"/>
        <w:bottom w:val="none" w:sz="0" w:space="0" w:color="auto"/>
        <w:right w:val="none" w:sz="0" w:space="0" w:color="auto"/>
      </w:divBdr>
    </w:div>
    <w:div w:id="2018576137">
      <w:bodyDiv w:val="1"/>
      <w:marLeft w:val="0"/>
      <w:marRight w:val="0"/>
      <w:marTop w:val="0"/>
      <w:marBottom w:val="0"/>
      <w:divBdr>
        <w:top w:val="none" w:sz="0" w:space="0" w:color="auto"/>
        <w:left w:val="none" w:sz="0" w:space="0" w:color="auto"/>
        <w:bottom w:val="none" w:sz="0" w:space="0" w:color="auto"/>
        <w:right w:val="none" w:sz="0" w:space="0" w:color="auto"/>
      </w:divBdr>
      <w:divsChild>
        <w:div w:id="1562793357">
          <w:marLeft w:val="0"/>
          <w:marRight w:val="0"/>
          <w:marTop w:val="0"/>
          <w:marBottom w:val="0"/>
          <w:divBdr>
            <w:top w:val="none" w:sz="0" w:space="0" w:color="auto"/>
            <w:left w:val="none" w:sz="0" w:space="0" w:color="auto"/>
            <w:bottom w:val="none" w:sz="0" w:space="0" w:color="auto"/>
            <w:right w:val="none" w:sz="0" w:space="0" w:color="auto"/>
          </w:divBdr>
        </w:div>
        <w:div w:id="479467739">
          <w:marLeft w:val="0"/>
          <w:marRight w:val="0"/>
          <w:marTop w:val="0"/>
          <w:marBottom w:val="0"/>
          <w:divBdr>
            <w:top w:val="none" w:sz="0" w:space="0" w:color="auto"/>
            <w:left w:val="none" w:sz="0" w:space="0" w:color="auto"/>
            <w:bottom w:val="none" w:sz="0" w:space="0" w:color="auto"/>
            <w:right w:val="none" w:sz="0" w:space="0" w:color="auto"/>
          </w:divBdr>
        </w:div>
        <w:div w:id="433064267">
          <w:marLeft w:val="0"/>
          <w:marRight w:val="0"/>
          <w:marTop w:val="0"/>
          <w:marBottom w:val="0"/>
          <w:divBdr>
            <w:top w:val="none" w:sz="0" w:space="0" w:color="auto"/>
            <w:left w:val="none" w:sz="0" w:space="0" w:color="auto"/>
            <w:bottom w:val="none" w:sz="0" w:space="0" w:color="auto"/>
            <w:right w:val="none" w:sz="0" w:space="0" w:color="auto"/>
          </w:divBdr>
        </w:div>
        <w:div w:id="143205143">
          <w:marLeft w:val="0"/>
          <w:marRight w:val="0"/>
          <w:marTop w:val="0"/>
          <w:marBottom w:val="0"/>
          <w:divBdr>
            <w:top w:val="none" w:sz="0" w:space="0" w:color="auto"/>
            <w:left w:val="none" w:sz="0" w:space="0" w:color="auto"/>
            <w:bottom w:val="none" w:sz="0" w:space="0" w:color="auto"/>
            <w:right w:val="none" w:sz="0" w:space="0" w:color="auto"/>
          </w:divBdr>
        </w:div>
        <w:div w:id="1267350107">
          <w:marLeft w:val="0"/>
          <w:marRight w:val="0"/>
          <w:marTop w:val="0"/>
          <w:marBottom w:val="0"/>
          <w:divBdr>
            <w:top w:val="none" w:sz="0" w:space="0" w:color="auto"/>
            <w:left w:val="none" w:sz="0" w:space="0" w:color="auto"/>
            <w:bottom w:val="none" w:sz="0" w:space="0" w:color="auto"/>
            <w:right w:val="none" w:sz="0" w:space="0" w:color="auto"/>
          </w:divBdr>
        </w:div>
        <w:div w:id="1625891092">
          <w:marLeft w:val="0"/>
          <w:marRight w:val="0"/>
          <w:marTop w:val="0"/>
          <w:marBottom w:val="0"/>
          <w:divBdr>
            <w:top w:val="none" w:sz="0" w:space="0" w:color="auto"/>
            <w:left w:val="none" w:sz="0" w:space="0" w:color="auto"/>
            <w:bottom w:val="none" w:sz="0" w:space="0" w:color="auto"/>
            <w:right w:val="none" w:sz="0" w:space="0" w:color="auto"/>
          </w:divBdr>
        </w:div>
        <w:div w:id="349600537">
          <w:marLeft w:val="0"/>
          <w:marRight w:val="0"/>
          <w:marTop w:val="0"/>
          <w:marBottom w:val="0"/>
          <w:divBdr>
            <w:top w:val="none" w:sz="0" w:space="0" w:color="auto"/>
            <w:left w:val="none" w:sz="0" w:space="0" w:color="auto"/>
            <w:bottom w:val="none" w:sz="0" w:space="0" w:color="auto"/>
            <w:right w:val="none" w:sz="0" w:space="0" w:color="auto"/>
          </w:divBdr>
        </w:div>
        <w:div w:id="414668537">
          <w:marLeft w:val="0"/>
          <w:marRight w:val="0"/>
          <w:marTop w:val="0"/>
          <w:marBottom w:val="0"/>
          <w:divBdr>
            <w:top w:val="none" w:sz="0" w:space="0" w:color="auto"/>
            <w:left w:val="none" w:sz="0" w:space="0" w:color="auto"/>
            <w:bottom w:val="none" w:sz="0" w:space="0" w:color="auto"/>
            <w:right w:val="none" w:sz="0" w:space="0" w:color="auto"/>
          </w:divBdr>
        </w:div>
        <w:div w:id="1058750776">
          <w:marLeft w:val="0"/>
          <w:marRight w:val="0"/>
          <w:marTop w:val="0"/>
          <w:marBottom w:val="0"/>
          <w:divBdr>
            <w:top w:val="none" w:sz="0" w:space="0" w:color="auto"/>
            <w:left w:val="none" w:sz="0" w:space="0" w:color="auto"/>
            <w:bottom w:val="none" w:sz="0" w:space="0" w:color="auto"/>
            <w:right w:val="none" w:sz="0" w:space="0" w:color="auto"/>
          </w:divBdr>
        </w:div>
        <w:div w:id="617372470">
          <w:marLeft w:val="0"/>
          <w:marRight w:val="0"/>
          <w:marTop w:val="0"/>
          <w:marBottom w:val="0"/>
          <w:divBdr>
            <w:top w:val="none" w:sz="0" w:space="0" w:color="auto"/>
            <w:left w:val="none" w:sz="0" w:space="0" w:color="auto"/>
            <w:bottom w:val="none" w:sz="0" w:space="0" w:color="auto"/>
            <w:right w:val="none" w:sz="0" w:space="0" w:color="auto"/>
          </w:divBdr>
        </w:div>
        <w:div w:id="1552106782">
          <w:marLeft w:val="0"/>
          <w:marRight w:val="0"/>
          <w:marTop w:val="0"/>
          <w:marBottom w:val="0"/>
          <w:divBdr>
            <w:top w:val="none" w:sz="0" w:space="0" w:color="auto"/>
            <w:left w:val="none" w:sz="0" w:space="0" w:color="auto"/>
            <w:bottom w:val="none" w:sz="0" w:space="0" w:color="auto"/>
            <w:right w:val="none" w:sz="0" w:space="0" w:color="auto"/>
          </w:divBdr>
        </w:div>
        <w:div w:id="667057896">
          <w:marLeft w:val="0"/>
          <w:marRight w:val="0"/>
          <w:marTop w:val="0"/>
          <w:marBottom w:val="0"/>
          <w:divBdr>
            <w:top w:val="none" w:sz="0" w:space="0" w:color="auto"/>
            <w:left w:val="none" w:sz="0" w:space="0" w:color="auto"/>
            <w:bottom w:val="none" w:sz="0" w:space="0" w:color="auto"/>
            <w:right w:val="none" w:sz="0" w:space="0" w:color="auto"/>
          </w:divBdr>
        </w:div>
        <w:div w:id="883323723">
          <w:marLeft w:val="0"/>
          <w:marRight w:val="0"/>
          <w:marTop w:val="0"/>
          <w:marBottom w:val="0"/>
          <w:divBdr>
            <w:top w:val="none" w:sz="0" w:space="0" w:color="auto"/>
            <w:left w:val="none" w:sz="0" w:space="0" w:color="auto"/>
            <w:bottom w:val="none" w:sz="0" w:space="0" w:color="auto"/>
            <w:right w:val="none" w:sz="0" w:space="0" w:color="auto"/>
          </w:divBdr>
        </w:div>
        <w:div w:id="662662013">
          <w:marLeft w:val="0"/>
          <w:marRight w:val="0"/>
          <w:marTop w:val="0"/>
          <w:marBottom w:val="0"/>
          <w:divBdr>
            <w:top w:val="none" w:sz="0" w:space="0" w:color="auto"/>
            <w:left w:val="none" w:sz="0" w:space="0" w:color="auto"/>
            <w:bottom w:val="none" w:sz="0" w:space="0" w:color="auto"/>
            <w:right w:val="none" w:sz="0" w:space="0" w:color="auto"/>
          </w:divBdr>
        </w:div>
        <w:div w:id="932905780">
          <w:marLeft w:val="0"/>
          <w:marRight w:val="0"/>
          <w:marTop w:val="0"/>
          <w:marBottom w:val="0"/>
          <w:divBdr>
            <w:top w:val="none" w:sz="0" w:space="0" w:color="auto"/>
            <w:left w:val="none" w:sz="0" w:space="0" w:color="auto"/>
            <w:bottom w:val="none" w:sz="0" w:space="0" w:color="auto"/>
            <w:right w:val="none" w:sz="0" w:space="0" w:color="auto"/>
          </w:divBdr>
        </w:div>
      </w:divsChild>
    </w:div>
    <w:div w:id="2047027921">
      <w:bodyDiv w:val="1"/>
      <w:marLeft w:val="0"/>
      <w:marRight w:val="0"/>
      <w:marTop w:val="0"/>
      <w:marBottom w:val="0"/>
      <w:divBdr>
        <w:top w:val="none" w:sz="0" w:space="0" w:color="auto"/>
        <w:left w:val="none" w:sz="0" w:space="0" w:color="auto"/>
        <w:bottom w:val="none" w:sz="0" w:space="0" w:color="auto"/>
        <w:right w:val="none" w:sz="0" w:space="0" w:color="auto"/>
      </w:divBdr>
      <w:divsChild>
        <w:div w:id="1134907667">
          <w:marLeft w:val="0"/>
          <w:marRight w:val="0"/>
          <w:marTop w:val="0"/>
          <w:marBottom w:val="0"/>
          <w:divBdr>
            <w:top w:val="none" w:sz="0" w:space="0" w:color="auto"/>
            <w:left w:val="none" w:sz="0" w:space="0" w:color="auto"/>
            <w:bottom w:val="none" w:sz="0" w:space="0" w:color="auto"/>
            <w:right w:val="none" w:sz="0" w:space="0" w:color="auto"/>
          </w:divBdr>
          <w:divsChild>
            <w:div w:id="1365136665">
              <w:marLeft w:val="0"/>
              <w:marRight w:val="0"/>
              <w:marTop w:val="0"/>
              <w:marBottom w:val="0"/>
              <w:divBdr>
                <w:top w:val="none" w:sz="0" w:space="0" w:color="auto"/>
                <w:left w:val="none" w:sz="0" w:space="0" w:color="auto"/>
                <w:bottom w:val="none" w:sz="0" w:space="0" w:color="auto"/>
                <w:right w:val="none" w:sz="0" w:space="0" w:color="auto"/>
              </w:divBdr>
            </w:div>
          </w:divsChild>
        </w:div>
        <w:div w:id="655033943">
          <w:marLeft w:val="0"/>
          <w:marRight w:val="0"/>
          <w:marTop w:val="0"/>
          <w:marBottom w:val="0"/>
          <w:divBdr>
            <w:top w:val="none" w:sz="0" w:space="0" w:color="auto"/>
            <w:left w:val="none" w:sz="0" w:space="0" w:color="auto"/>
            <w:bottom w:val="none" w:sz="0" w:space="0" w:color="auto"/>
            <w:right w:val="none" w:sz="0" w:space="0" w:color="auto"/>
          </w:divBdr>
          <w:divsChild>
            <w:div w:id="1627006506">
              <w:marLeft w:val="0"/>
              <w:marRight w:val="0"/>
              <w:marTop w:val="0"/>
              <w:marBottom w:val="0"/>
              <w:divBdr>
                <w:top w:val="none" w:sz="0" w:space="0" w:color="auto"/>
                <w:left w:val="none" w:sz="0" w:space="0" w:color="auto"/>
                <w:bottom w:val="none" w:sz="0" w:space="0" w:color="auto"/>
                <w:right w:val="none" w:sz="0" w:space="0" w:color="auto"/>
              </w:divBdr>
            </w:div>
          </w:divsChild>
        </w:div>
        <w:div w:id="465396289">
          <w:marLeft w:val="0"/>
          <w:marRight w:val="0"/>
          <w:marTop w:val="0"/>
          <w:marBottom w:val="0"/>
          <w:divBdr>
            <w:top w:val="none" w:sz="0" w:space="0" w:color="auto"/>
            <w:left w:val="none" w:sz="0" w:space="0" w:color="auto"/>
            <w:bottom w:val="none" w:sz="0" w:space="0" w:color="auto"/>
            <w:right w:val="none" w:sz="0" w:space="0" w:color="auto"/>
          </w:divBdr>
          <w:divsChild>
            <w:div w:id="1007056568">
              <w:marLeft w:val="0"/>
              <w:marRight w:val="0"/>
              <w:marTop w:val="0"/>
              <w:marBottom w:val="0"/>
              <w:divBdr>
                <w:top w:val="none" w:sz="0" w:space="0" w:color="auto"/>
                <w:left w:val="none" w:sz="0" w:space="0" w:color="auto"/>
                <w:bottom w:val="none" w:sz="0" w:space="0" w:color="auto"/>
                <w:right w:val="none" w:sz="0" w:space="0" w:color="auto"/>
              </w:divBdr>
            </w:div>
          </w:divsChild>
        </w:div>
        <w:div w:id="2108453845">
          <w:marLeft w:val="0"/>
          <w:marRight w:val="0"/>
          <w:marTop w:val="0"/>
          <w:marBottom w:val="0"/>
          <w:divBdr>
            <w:top w:val="none" w:sz="0" w:space="0" w:color="auto"/>
            <w:left w:val="none" w:sz="0" w:space="0" w:color="auto"/>
            <w:bottom w:val="none" w:sz="0" w:space="0" w:color="auto"/>
            <w:right w:val="none" w:sz="0" w:space="0" w:color="auto"/>
          </w:divBdr>
        </w:div>
        <w:div w:id="1754542954">
          <w:marLeft w:val="0"/>
          <w:marRight w:val="0"/>
          <w:marTop w:val="0"/>
          <w:marBottom w:val="0"/>
          <w:divBdr>
            <w:top w:val="none" w:sz="0" w:space="0" w:color="auto"/>
            <w:left w:val="none" w:sz="0" w:space="0" w:color="auto"/>
            <w:bottom w:val="none" w:sz="0" w:space="0" w:color="auto"/>
            <w:right w:val="none" w:sz="0" w:space="0" w:color="auto"/>
          </w:divBdr>
          <w:divsChild>
            <w:div w:id="1315112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jpeg"/>
  <Relationship Id="rId11" Type="http://schemas.openxmlformats.org/officeDocument/2006/relationships/image" TargetMode="External" Target="cid:image010.jpg@01DA495F.B01CF720"/>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er3.xml.rels><?xml version="1.0" encoding="UTF-8"?>

<Relationships xmlns="http://schemas.openxmlformats.org/package/2006/relationships">
  <Relationship Id="rId1" Type="http://schemas.openxmlformats.org/officeDocument/2006/relationships/image" Target="media/image2.jpe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780c015f-2c99-45e1-9275-faa4183280dd">
      <Terms xmlns="http://schemas.microsoft.com/office/infopath/2007/PartnerControls"/>
    </lcf76f155ced4ddcb4097134ff3c332f>
    <TaxCatchAll xmlns="a10d3ffb-f026-4b50-b383-d6c8ad202db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FAC43DDBF5702B44B287261EF1D3673E" ma:contentTypeVersion="17" ma:contentTypeDescription="Kurkite naują dokumentą." ma:contentTypeScope="" ma:versionID="602f7b0bfd04222c0440c48dcdd84a24">
  <xsd:schema xmlns:xsd="http://www.w3.org/2001/XMLSchema" xmlns:xs="http://www.w3.org/2001/XMLSchema" xmlns:p="http://schemas.microsoft.com/office/2006/metadata/properties" xmlns:ns2="780c015f-2c99-45e1-9275-faa4183280dd" xmlns:ns3="a10d3ffb-f026-4b50-b383-d6c8ad202db3" targetNamespace="http://schemas.microsoft.com/office/2006/metadata/properties" ma:root="true" ma:fieldsID="3e57bb51f3cccfd7d83a571b8973872a" ns2:_="" ns3:_="">
    <xsd:import namespace="780c015f-2c99-45e1-9275-faa4183280dd"/>
    <xsd:import namespace="a10d3ffb-f026-4b50-b383-d6c8ad202db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2:MediaServiceLocation" minOccurs="0"/>
                <xsd:element ref="ns2:MediaServiceOCR" minOccurs="0"/>
                <xsd:element ref="ns2:MediaServiceAutoKeyPoints" minOccurs="0"/>
                <xsd:element ref="ns2:MediaServiceKeyPoints" minOccurs="0"/>
                <xsd:element ref="ns2:MediaServiceObjectDetectorVersions" minOccurs="0"/>
                <xsd:element ref="ns2:MediaServiceSearchPropertie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80c015f-2c99-45e1-9275-faa4183280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lcf76f155ced4ddcb4097134ff3c332f" ma:index="23" nillable="true" ma:taxonomy="true" ma:internalName="lcf76f155ced4ddcb4097134ff3c332f" ma:taxonomyFieldName="MediaServiceImageTags" ma:displayName="Vaizdų žymės" ma:readOnly="false" ma:fieldId="{5cf76f15-5ced-4ddc-b409-7134ff3c332f}" ma:taxonomyMulti="true" ma:sspId="124d5b8b-fd61-4fa7-9c1d-926323157504"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10d3ffb-f026-4b50-b383-d6c8ad202db3"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TaxCatchAll" ma:index="24" nillable="true" ma:displayName="Taxonomy Catch All Column" ma:hidden="true" ma:list="{fde98e20-66f0-4ee1-ada8-c2e74a40a664}" ma:internalName="TaxCatchAll" ma:showField="CatchAllData" ma:web="a10d3ffb-f026-4b50-b383-d6c8ad202db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bd991e074f1545789bfc50e9efb0fd67" PartId="19caae800781488085a8998dd9abeb64">
    <Part Type="skirsnis" Title="DĖL LIETUVOS RESPUBLIKOS VYRIAUSYBĖS NUTARIMO PROJEKTO" DocPartId="12d96417396d480d90b635a636fe4c97" PartId="a79c531ceb5345119c770d4999b49b70">
      <Part Type="punktas" Nr="1" Abbr="1 p." DocPartId="6111b635d2994c99a9cae7bce9c5e968" PartId="953e7a561f754ec69fb4b1c1bc240b5f"/>
      <Part Type="punktas" Nr="2" Abbr="2 p." DocPartId="5eb4967f04fc491d8ac1e427e7a1e570" PartId="4df0546b5f744e13a093ce11b2d34ced"/>
    </Part>
  </Part>
</Parts>
</file>

<file path=customXml/itemProps1.xml><?xml version="1.0" encoding="utf-8"?>
<ds:datastoreItem xmlns:ds="http://schemas.openxmlformats.org/officeDocument/2006/customXml" ds:itemID="{50820448-9F58-4B7F-90C5-7BA30AD44145}">
  <ds:schemaRefs>
    <ds:schemaRef ds:uri="http://schemas.microsoft.com/office/2006/metadata/properties"/>
    <ds:schemaRef ds:uri="http://schemas.microsoft.com/office/infopath/2007/PartnerControls"/>
    <ds:schemaRef ds:uri="780c015f-2c99-45e1-9275-faa4183280dd"/>
    <ds:schemaRef ds:uri="a10d3ffb-f026-4b50-b383-d6c8ad202db3"/>
  </ds:schemaRefs>
</ds:datastoreItem>
</file>

<file path=customXml/itemProps2.xml><?xml version="1.0" encoding="utf-8"?>
<ds:datastoreItem xmlns:ds="http://schemas.openxmlformats.org/officeDocument/2006/customXml" ds:itemID="{4F18F624-C752-4E8E-82D3-DB10DE8CA4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80c015f-2c99-45e1-9275-faa4183280dd"/>
    <ds:schemaRef ds:uri="a10d3ffb-f026-4b50-b383-d6c8ad202d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21C679-F875-4B95-B99E-F3D623F552DC}">
  <ds:schemaRefs>
    <ds:schemaRef ds:uri="http://schemas.microsoft.com/sharepoint/v3/contenttype/forms"/>
  </ds:schemaRefs>
</ds:datastoreItem>
</file>

<file path=customXml/itemProps4.xml><?xml version="1.0" encoding="utf-8"?>
<ds:datastoreItem xmlns:ds="http://schemas.openxmlformats.org/officeDocument/2006/customXml" ds:itemID="{811D45DB-E267-4279-AF94-1BEE205D2993}">
  <ds:schemaRefs>
    <ds:schemaRef ds:uri="http://schemas.openxmlformats.org/officeDocument/2006/bibliography"/>
  </ds:schemaRefs>
</ds:datastoreItem>
</file>

<file path=customXml/itemProps5.xml><?xml version="1.0" encoding="utf-8"?>
<ds:datastoreItem xmlns:ds="http://schemas.openxmlformats.org/officeDocument/2006/customXml" ds:itemID="{F2E065F0-8F32-43E8-9D18-786047DC01C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449</Words>
  <Characters>3422</Characters>
  <Application>Microsoft Office Word</Application>
  <DocSecurity>4</DocSecurity>
  <Lines>83</Lines>
  <Paragraphs>23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2026-07-10T14:03:00Z</dcterms:created>
  <dc:creator>Oksana Kavaliauskienė</dc:creator>
  <lastModifiedBy>adlibuser</lastModifiedBy>
  <lastPrinted>2024-01-17T11:11:00Z</lastPrinted>
  <dcterms:modified xsi:type="dcterms:W3CDTF">2026-07-10T14:03:00Z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0x010100FAC43DDBF5702B44B287261EF1D3673E</vt:lpwstr>
  </property>
  <property fmtid="{D5CDD505-2E9C-101B-9397-08002B2CF9AE}" pid="3" name="MediaServiceImageTags">
    <vt:lpwstr/>
  </property>
</Properties>
</file>