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420d42a82da44f738cd0df9c9eb9fd79"/>
        <w:lock w:val="sdtLocked"/>
        <w:richText/>
      </w:sdtPr>
      <w:sdtContent>
        <w:p w14:paraId="22B0BE4A" w14:textId="77777777">
          <w:pPr>
            <w:widowControl w:val="0"/>
            <w:tabs>
              <w:tab w:val="center" w:pos="4819"/>
              <w:tab w:val="right" w:pos="9638"/>
            </w:tabs>
            <w:suppressAutoHyphens/>
            <w:ind w:left="142"/>
            <w:rPr>
              <w:rFonts w:eastAsia="Andale Sans UI"/>
              <w:color w:val="FF0000"/>
              <w:kern w:val="2"/>
              <w:szCs w:val="24"/>
              <w:lang w:eastAsia="ar-SA"/>
            </w:rPr>
          </w:pPr>
        </w:p>
        <w:p w14:paraId="165D16CA" w14:textId="77777777">
          <w:pPr>
            <w:widowControl w:val="0"/>
            <w:suppressAutoHyphens/>
            <w:jc w:val="right"/>
            <w:rPr>
              <w:rFonts w:eastAsia="Andale Sans UI"/>
              <w:b/>
              <w:kern w:val="2"/>
              <w:szCs w:val="24"/>
              <w:lang w:eastAsia="ar-SA"/>
            </w:rPr>
          </w:pPr>
          <w:r>
            <w:rPr>
              <w:rFonts w:eastAsia="Andale Sans UI"/>
              <w:b/>
              <w:kern w:val="2"/>
              <w:szCs w:val="24"/>
              <w:lang w:eastAsia="ar-SA"/>
            </w:rPr>
            <w:t>Projekto</w:t>
          </w:r>
        </w:p>
        <w:p w14:paraId="0B5C0BCC" w14:textId="4339035C">
          <w:pPr>
            <w:widowControl w:val="0"/>
            <w:suppressAutoHyphens/>
            <w:jc w:val="right"/>
            <w:rPr>
              <w:rFonts w:eastAsia="Andale Sans UI"/>
              <w:b/>
              <w:kern w:val="2"/>
              <w:szCs w:val="24"/>
              <w:lang w:eastAsia="ar-SA"/>
            </w:rPr>
          </w:pPr>
          <w:r>
            <w:rPr>
              <w:rFonts w:eastAsia="Andale Sans UI"/>
              <w:b/>
              <w:kern w:val="2"/>
              <w:szCs w:val="24"/>
              <w:lang w:eastAsia="ar-SA"/>
            </w:rPr>
            <w:t>lyginamasis variantas</w:t>
          </w:r>
        </w:p>
        <w:p w14:paraId="66D31197" w14:textId="77777777">
          <w:pPr>
            <w:widowControl w:val="0"/>
            <w:suppressAutoHyphens/>
            <w:jc w:val="center"/>
            <w:rPr>
              <w:rFonts w:eastAsia="Andale Sans UI"/>
              <w:b/>
              <w:kern w:val="2"/>
              <w:szCs w:val="24"/>
              <w:lang w:eastAsia="ar-SA"/>
            </w:rPr>
          </w:pPr>
        </w:p>
        <w:p w14:paraId="7BE3C7AD" w14:textId="1FF3CB83">
          <w:pPr>
            <w:widowControl w:val="0"/>
            <w:suppressAutoHyphens/>
            <w:jc w:val="center"/>
            <w:rPr>
              <w:rFonts w:eastAsia="Andale Sans UI"/>
              <w:b/>
              <w:kern w:val="2"/>
              <w:szCs w:val="24"/>
              <w:lang w:eastAsia="ar-SA"/>
            </w:rPr>
          </w:pPr>
          <w:r>
            <w:rPr>
              <w:rFonts w:eastAsia="Andale Sans UI"/>
              <w:b/>
              <w:kern w:val="2"/>
              <w:szCs w:val="24"/>
              <w:lang w:eastAsia="ar-SA"/>
            </w:rPr>
            <w:t>ŠIAULIŲ MIESTO SAVIVALDYBĖS TARYBA</w:t>
          </w:r>
        </w:p>
        <w:p w14:paraId="6C703892" w14:textId="77777777">
          <w:pPr>
            <w:widowControl w:val="0"/>
            <w:suppressAutoHyphens/>
            <w:jc w:val="center"/>
            <w:rPr>
              <w:rFonts w:eastAsia="Andale Sans UI"/>
              <w:b/>
              <w:kern w:val="2"/>
              <w:szCs w:val="24"/>
              <w:lang w:eastAsia="ar-SA"/>
            </w:rPr>
          </w:pPr>
        </w:p>
        <w:p w14:paraId="28373BA4" w14:textId="77777777">
          <w:pPr>
            <w:widowControl w:val="0"/>
            <w:suppressAutoHyphens/>
            <w:jc w:val="center"/>
            <w:rPr>
              <w:rFonts w:eastAsia="Andale Sans UI"/>
              <w:b/>
              <w:kern w:val="2"/>
              <w:szCs w:val="24"/>
              <w:lang w:eastAsia="ar-SA"/>
            </w:rPr>
          </w:pPr>
          <w:r>
            <w:rPr>
              <w:rFonts w:eastAsia="Andale Sans UI"/>
              <w:b/>
              <w:kern w:val="2"/>
              <w:szCs w:val="24"/>
              <w:lang w:eastAsia="ar-SA"/>
            </w:rPr>
            <w:t>SPRENDIMAS</w:t>
          </w:r>
        </w:p>
        <w:p w14:paraId="69F7CD21" w14:textId="491B6ABB">
          <w:pPr>
            <w:widowControl w:val="0"/>
            <w:suppressAutoHyphens/>
            <w:jc w:val="center"/>
            <w:rPr>
              <w:rFonts w:eastAsia="Andale Sans UI"/>
              <w:b/>
              <w:kern w:val="2"/>
              <w:szCs w:val="24"/>
              <w:lang w:eastAsia="ar-SA"/>
            </w:rPr>
          </w:pPr>
          <w:r>
            <w:rPr>
              <w:rFonts w:eastAsia="Andale Sans UI"/>
              <w:b/>
              <w:kern w:val="2"/>
              <w:szCs w:val="24"/>
              <w:lang w:eastAsia="ar-SA"/>
            </w:rPr>
            <w:t>DĖL ŠIAULIŲ MIESTO SAVIVALDYBĖS TARYBOS 2023 M. VASARIO 2 D. SPRENDIMO NR. T-30 „DĖL ŠIAULIŲ MIESTO SAVIVALDYBĖS TARYBOS VEIKLOS REGLAMENTO PATVIRTINIMO“ PAKEITIMO</w:t>
          </w:r>
        </w:p>
        <w:p w14:paraId="628560EC" w14:textId="77777777">
          <w:pPr>
            <w:jc w:val="center"/>
            <w:rPr>
              <w:rFonts w:eastAsia="Arial Unicode MS"/>
              <w:bCs/>
              <w:szCs w:val="24"/>
            </w:rPr>
          </w:pPr>
        </w:p>
        <w:p w14:paraId="31E43A31" w14:textId="6DAF8E20">
          <w:pPr>
            <w:widowControl w:val="0"/>
            <w:suppressAutoHyphens/>
            <w:jc w:val="center"/>
            <w:rPr>
              <w:rFonts w:eastAsia="Andale Sans UI"/>
              <w:bCs/>
              <w:kern w:val="2"/>
              <w:szCs w:val="24"/>
              <w:lang w:eastAsia="ar-SA"/>
            </w:rPr>
          </w:pPr>
          <w:r>
            <w:rPr>
              <w:rFonts w:eastAsia="Andale Sans UI"/>
              <w:bCs/>
              <w:kern w:val="2"/>
              <w:szCs w:val="24"/>
              <w:lang w:eastAsia="ar-SA"/>
            </w:rPr>
            <w:t xml:space="preserve">2024 m.      d. Nr. T-</w:t>
          </w:r>
        </w:p>
        <w:p w14:paraId="1B993854" w14:textId="77777777">
          <w:pPr>
            <w:widowControl w:val="0"/>
            <w:suppressAutoHyphens/>
            <w:jc w:val="center"/>
            <w:rPr>
              <w:rFonts w:eastAsia="Andale Sans UI"/>
              <w:bCs/>
              <w:kern w:val="2"/>
              <w:szCs w:val="24"/>
              <w:lang w:eastAsia="ar-SA"/>
            </w:rPr>
          </w:pPr>
          <w:r>
            <w:rPr>
              <w:rFonts w:eastAsia="Andale Sans UI"/>
              <w:bCs/>
              <w:kern w:val="2"/>
              <w:szCs w:val="24"/>
              <w:lang w:eastAsia="ar-SA"/>
            </w:rPr>
            <w:t>Šiauliai</w:t>
          </w:r>
        </w:p>
        <w:p w14:paraId="47EE4726" w14:textId="77777777">
          <w:pPr>
            <w:widowControl w:val="0"/>
            <w:suppressAutoHyphens/>
            <w:ind w:firstLine="709"/>
            <w:jc w:val="both"/>
            <w:rPr>
              <w:rFonts w:eastAsia="Andale Sans UI"/>
              <w:bCs/>
              <w:kern w:val="2"/>
              <w:szCs w:val="24"/>
              <w:lang w:eastAsia="ar-SA"/>
            </w:rPr>
          </w:pPr>
        </w:p>
        <w:sdt>
          <w:sdtPr>
            <w:alias w:val="preambule"/>
            <w:tag w:val="part_8cae89972fb248cc911d270ff2eaf53b"/>
            <w:lock w:val="sdtLocked"/>
            <w:richText/>
          </w:sdtPr>
          <w:sdtContent>
            <w:p w14:paraId="1B2C5F30" w14:textId="7E215F12">
              <w:pPr>
                <w:widowControl w:val="0"/>
                <w:suppressAutoHyphens/>
                <w:ind w:firstLine="709"/>
                <w:jc w:val="both"/>
                <w:rPr>
                  <w:rFonts w:eastAsia="Andale Sans UI"/>
                  <w:bCs/>
                  <w:kern w:val="2"/>
                  <w:szCs w:val="24"/>
                  <w:shd w:val="clear" w:color="auto" w:fill="FFFFFF"/>
                  <w:lang w:eastAsia="ar-SA"/>
                </w:rPr>
              </w:pPr>
              <w:r>
                <w:rPr>
                  <w:rFonts w:eastAsia="Andale Sans UI"/>
                  <w:bCs/>
                  <w:kern w:val="2"/>
                  <w:szCs w:val="24"/>
                  <w:lang w:eastAsia="ar-SA"/>
                </w:rPr>
                <w:t xml:space="preserve">Vadovaudamasi Lietuvos Respublikos vietos savivaldos įstatymo 15 straipsnio 2 dalies              1 punktu, Šiaulių miesto savivaldybės taryba  </w:t>
              </w:r>
              <w:r>
                <w:rPr>
                  <w:rFonts w:eastAsia="Andale Sans UI"/>
                  <w:bCs/>
                  <w:spacing w:val="80"/>
                  <w:kern w:val="2"/>
                  <w:szCs w:val="24"/>
                  <w:shd w:val="clear" w:color="auto" w:fill="FFFFFF"/>
                  <w:lang w:eastAsia="ar-SA"/>
                </w:rPr>
                <w:t>nusprendži</w:t>
              </w:r>
              <w:r>
                <w:rPr>
                  <w:rFonts w:eastAsia="Andale Sans UI"/>
                  <w:bCs/>
                  <w:kern w:val="2"/>
                  <w:szCs w:val="24"/>
                  <w:shd w:val="clear" w:color="auto" w:fill="FFFFFF"/>
                  <w:lang w:eastAsia="ar-SA"/>
                </w:rPr>
                <w:t>a:</w:t>
              </w:r>
            </w:p>
          </w:sdtContent>
        </w:sdt>
        <w:sdt>
          <w:sdtPr>
            <w:alias w:val="pastraipa"/>
            <w:tag w:val="part_8fcf7e2236fb451cab351aeef0523493"/>
            <w:lock w:val="sdtLocked"/>
            <w:richText/>
          </w:sdtPr>
          <w:sdtContent>
            <w:p w14:paraId="6C9EDBC5" w14:textId="77777777">
              <w:pPr>
                <w:widowControl w:val="0"/>
                <w:suppressAutoHyphens/>
                <w:ind w:firstLine="709"/>
                <w:jc w:val="both"/>
                <w:rPr>
                  <w:rFonts w:eastAsia="Andale Sans UI"/>
                  <w:bCs/>
                  <w:kern w:val="2"/>
                  <w:szCs w:val="24"/>
                  <w:shd w:val="clear" w:color="auto" w:fill="FFFFFF"/>
                  <w:lang w:eastAsia="ar-SA"/>
                </w:rPr>
              </w:pPr>
              <w:r>
                <w:rPr>
                  <w:rFonts w:eastAsia="Andale Sans UI"/>
                  <w:bCs/>
                  <w:kern w:val="2"/>
                  <w:szCs w:val="24"/>
                  <w:shd w:val="clear" w:color="auto" w:fill="FFFFFF"/>
                  <w:lang w:eastAsia="ar-SA"/>
                </w:rPr>
                <w:t>Pakeisti Šiaulių miesto savivaldybės tarybos 2023 m. vasario 2 d. sprendimą Nr. T-30 „Dėl Šiaulių miesto savivaldybės tarybos veiklos reglamento patvirtinimo“:</w:t>
              </w:r>
            </w:p>
          </w:sdtContent>
        </w:sdt>
        <w:sdt>
          <w:sdtPr>
            <w:alias w:val="1 p."/>
            <w:tag w:val="part_1cd7d7aea95c40e1b06144ba15b26bef"/>
            <w:lock w:val="sdtLocked"/>
            <w:richText/>
          </w:sdtPr>
          <w:sdtContent>
            <w:p w14:paraId="58EF1653" w14:textId="564B504B">
              <w:pPr>
                <w:widowControl w:val="0"/>
                <w:suppressAutoHyphens/>
                <w:ind w:firstLine="709"/>
                <w:jc w:val="both"/>
                <w:rPr>
                  <w:rFonts w:eastAsia="Andale Sans UI"/>
                  <w:bCs/>
                  <w:kern w:val="2"/>
                  <w:szCs w:val="24"/>
                  <w:shd w:val="clear" w:color="auto" w:fill="FFFFFF"/>
                  <w:lang w:eastAsia="ar-SA"/>
                </w:rPr>
              </w:pPr>
              <w:sdt>
                <w:sdtPr>
                  <w:alias w:val="Numeris"/>
                  <w:tag w:val="nr_1cd7d7aea95c40e1b06144ba15b26bef"/>
                  <w:lock w:val="sdtLocked"/>
                  <w:richText/>
                </w:sdtPr>
                <w:sdtContent>
                  <w:r>
                    <w:rPr>
                      <w:rFonts w:eastAsia="Andale Sans UI"/>
                      <w:bCs/>
                      <w:kern w:val="2"/>
                      <w:szCs w:val="24"/>
                      <w:shd w:val="clear" w:color="auto" w:fill="FFFFFF"/>
                      <w:lang w:eastAsia="ar-SA"/>
                    </w:rPr>
                    <w:t>1</w:t>
                  </w:r>
                </w:sdtContent>
              </w:sdt>
              <w:r>
                <w:rPr>
                  <w:rFonts w:eastAsia="Andale Sans UI"/>
                  <w:bCs/>
                  <w:kern w:val="2"/>
                  <w:szCs w:val="24"/>
                  <w:shd w:val="clear" w:color="auto" w:fill="FFFFFF"/>
                  <w:lang w:eastAsia="ar-SA"/>
                </w:rPr>
                <w:t xml:space="preserve">. Pakeisti </w:t>
              </w:r>
              <w:r>
                <w:rPr>
                  <w:rFonts w:eastAsia="Andale Sans UI"/>
                  <w:color w:val="000000"/>
                  <w:spacing w:val="-4"/>
                  <w:kern w:val="2"/>
                  <w:szCs w:val="24"/>
                  <w:lang w:val="en-GB" w:eastAsia="ar-SA"/>
                </w:rPr>
                <w:t xml:space="preserve">preambulę </w:t>
              </w:r>
              <w:r>
                <w:rPr>
                  <w:rFonts w:eastAsia="Andale Sans UI"/>
                  <w:bCs/>
                  <w:kern w:val="2"/>
                  <w:szCs w:val="24"/>
                  <w:shd w:val="clear" w:color="auto" w:fill="FFFFFF"/>
                  <w:lang w:eastAsia="ar-SA"/>
                </w:rPr>
                <w:t>ir ją išdėstyti taip:</w:t>
              </w:r>
            </w:p>
            <w:sdt>
              <w:sdtPr>
                <w:alias w:val="citata"/>
                <w:tag w:val="part_363a3c748c344361a25858b1be393787"/>
                <w:lock w:val="sdtLocked"/>
                <w:richText/>
              </w:sdtPr>
              <w:sdtContent>
                <w:sdt>
                  <w:sdtPr>
                    <w:alias w:val="pastraipa"/>
                    <w:tag w:val="part_433ac738118f40bbbb6a50e73684d1e4"/>
                    <w:lock w:val="sdtLocked"/>
                    <w:richText/>
                  </w:sdtPr>
                  <w:sdtContent>
                    <w:p w14:paraId="00C63327" w14:textId="3E70487D">
                      <w:pPr>
                        <w:widowControl w:val="0"/>
                        <w:suppressAutoHyphens/>
                        <w:ind w:firstLine="709"/>
                        <w:jc w:val="both"/>
                        <w:rPr>
                          <w:color w:val="000000"/>
                          <w:szCs w:val="24"/>
                          <w:lang w:eastAsia="lt-LT"/>
                        </w:rPr>
                      </w:pPr>
                      <w:r>
                        <w:rPr>
                          <w:rFonts w:eastAsia="Andale Sans UI"/>
                          <w:bCs/>
                          <w:kern w:val="2"/>
                          <w:szCs w:val="24"/>
                          <w:shd w:val="clear" w:color="auto" w:fill="FFFFFF"/>
                          <w:lang w:eastAsia="ar-SA"/>
                        </w:rPr>
                        <w:t>„</w:t>
                      </w:r>
                      <w:r>
                        <w:rPr>
                          <w:rFonts w:eastAsia="Andale Sans UI"/>
                          <w:color w:val="000000"/>
                          <w:kern w:val="2"/>
                          <w:szCs w:val="24"/>
                          <w:lang w:eastAsia="ar-SA"/>
                        </w:rPr>
                        <w:t xml:space="preserve">Vadovaudamasi Lietuvos Respublikos vietos savivaldos įstatymo </w:t>
                      </w:r>
                      <w:r>
                        <w:rPr>
                          <w:rFonts w:eastAsia="Andale Sans UI"/>
                          <w:strike/>
                          <w:color w:val="000000"/>
                          <w:kern w:val="2"/>
                          <w:szCs w:val="24"/>
                          <w:lang w:eastAsia="ar-SA"/>
                        </w:rPr>
                        <w:t>16</w:t>
                      </w:r>
                      <w:r>
                        <w:rPr>
                          <w:rFonts w:eastAsia="Andale Sans UI"/>
                          <w:color w:val="000000"/>
                          <w:kern w:val="2"/>
                          <w:szCs w:val="24"/>
                          <w:lang w:eastAsia="ar-SA"/>
                        </w:rPr>
                        <w:t xml:space="preserve"> </w:t>
                      </w:r>
                      <w:r>
                        <w:rPr>
                          <w:rFonts w:eastAsia="Andale Sans UI"/>
                          <w:b/>
                          <w:color w:val="000000"/>
                          <w:kern w:val="2"/>
                          <w:szCs w:val="24"/>
                          <w:lang w:eastAsia="ar-SA"/>
                        </w:rPr>
                        <w:t>15</w:t>
                      </w:r>
                      <w:r>
                        <w:rPr>
                          <w:rFonts w:eastAsia="Andale Sans UI"/>
                          <w:color w:val="000000"/>
                          <w:kern w:val="2"/>
                          <w:szCs w:val="24"/>
                          <w:lang w:eastAsia="ar-SA"/>
                        </w:rPr>
                        <w:t xml:space="preserve"> straipsnio 2 dalies 1 punktu, </w:t>
                      </w:r>
                      <w:r>
                        <w:rPr>
                          <w:rFonts w:eastAsia="Andale Sans UI"/>
                          <w:strike/>
                          <w:color w:val="000000"/>
                          <w:kern w:val="2"/>
                          <w:szCs w:val="24"/>
                          <w:lang w:eastAsia="ar-SA"/>
                        </w:rPr>
                        <w:t>2022 m. birželio 30 d. Lietuvos Respublikos vietos savivaldos įstatymo Nr. I-533 pakeitimo įstatymo Nr. XIV-1268  2 straipsnio 1, 2 ir 3 dalimis</w:t>
                      </w:r>
                      <w:r>
                        <w:rPr>
                          <w:rFonts w:eastAsia="Andale Sans UI"/>
                          <w:color w:val="000000"/>
                          <w:kern w:val="2"/>
                          <w:szCs w:val="24"/>
                          <w:lang w:eastAsia="ar-SA"/>
                        </w:rPr>
                        <w:t>, Šiaulių miesto savivaldybės taryba </w:t>
                      </w:r>
                      <w:r>
                        <w:rPr>
                          <w:rFonts w:eastAsia="Andale Sans UI"/>
                          <w:color w:val="000000"/>
                          <w:spacing w:val="80"/>
                          <w:kern w:val="2"/>
                          <w:szCs w:val="24"/>
                          <w:shd w:val="clear" w:color="auto" w:fill="FFFFFF"/>
                          <w:lang w:eastAsia="ar-SA"/>
                        </w:rPr>
                        <w:t>nusprendži</w:t>
                      </w:r>
                      <w:r>
                        <w:rPr>
                          <w:rFonts w:eastAsia="Andale Sans UI"/>
                          <w:color w:val="000000"/>
                          <w:kern w:val="2"/>
                          <w:szCs w:val="24"/>
                          <w:shd w:val="clear" w:color="auto" w:fill="FFFFFF"/>
                          <w:lang w:eastAsia="ar-SA"/>
                        </w:rPr>
                        <w:t>a</w:t>
                      </w:r>
                      <w:r>
                        <w:rPr>
                          <w:rFonts w:eastAsia="Andale Sans UI"/>
                          <w:bCs/>
                          <w:kern w:val="2"/>
                          <w:szCs w:val="24"/>
                          <w:shd w:val="clear" w:color="auto" w:fill="FFFFFF"/>
                          <w:lang w:eastAsia="ar-SA"/>
                        </w:rPr>
                        <w:t>:“</w:t>
                      </w:r>
                    </w:p>
                  </w:sdtContent>
                </w:sdt>
              </w:sdtContent>
            </w:sdt>
          </w:sdtContent>
        </w:sdt>
        <w:sdt>
          <w:sdtPr>
            <w:alias w:val="2 p."/>
            <w:tag w:val="part_9f3d45dc76b34d4bb25e4ff8242b29b5"/>
            <w:lock w:val="sdtLocked"/>
            <w:richText/>
          </w:sdtPr>
          <w:sdtContent>
            <w:p w14:paraId="7FA6B0F5" w14:textId="77777777">
              <w:pPr>
                <w:widowControl w:val="0"/>
                <w:suppressAutoHyphens/>
                <w:ind w:firstLine="709"/>
                <w:jc w:val="both"/>
                <w:rPr>
                  <w:rFonts w:eastAsia="Andale Sans UI"/>
                  <w:bCs/>
                  <w:kern w:val="2"/>
                  <w:szCs w:val="24"/>
                  <w:shd w:val="clear" w:color="auto" w:fill="FFFFFF"/>
                  <w:lang w:eastAsia="ar-SA"/>
                </w:rPr>
              </w:pPr>
              <w:sdt>
                <w:sdtPr>
                  <w:alias w:val="Numeris"/>
                  <w:tag w:val="nr_9f3d45dc76b34d4bb25e4ff8242b29b5"/>
                  <w:lock w:val="sdtLocked"/>
                  <w:richText/>
                </w:sdtPr>
                <w:sdtContent>
                  <w:r>
                    <w:rPr>
                      <w:rFonts w:eastAsia="Andale Sans UI"/>
                      <w:bCs/>
                      <w:kern w:val="2"/>
                      <w:szCs w:val="24"/>
                      <w:shd w:val="clear" w:color="auto" w:fill="FFFFFF"/>
                      <w:lang w:eastAsia="ar-SA"/>
                    </w:rPr>
                    <w:t>2</w:t>
                  </w:r>
                </w:sdtContent>
              </w:sdt>
              <w:r>
                <w:rPr>
                  <w:rFonts w:eastAsia="Andale Sans UI"/>
                  <w:bCs/>
                  <w:kern w:val="2"/>
                  <w:szCs w:val="24"/>
                  <w:shd w:val="clear" w:color="auto" w:fill="FFFFFF"/>
                  <w:lang w:eastAsia="ar-SA"/>
                </w:rPr>
                <w:t xml:space="preserve">. Pakeisti </w:t>
              </w:r>
              <w:r>
                <w:rPr>
                  <w:rFonts w:eastAsia="Andale Sans UI"/>
                  <w:color w:val="000000"/>
                  <w:spacing w:val="-4"/>
                  <w:kern w:val="2"/>
                  <w:szCs w:val="24"/>
                  <w:lang w:eastAsia="ar-SA"/>
                </w:rPr>
                <w:t>nurodytu sprendimu patvirtintą </w:t>
              </w:r>
              <w:r>
                <w:rPr>
                  <w:rFonts w:eastAsia="Andale Sans UI"/>
                  <w:bCs/>
                  <w:kern w:val="2"/>
                  <w:szCs w:val="24"/>
                  <w:shd w:val="clear" w:color="auto" w:fill="FFFFFF"/>
                  <w:lang w:eastAsia="ar-SA"/>
                </w:rPr>
                <w:t>Šiaulių miesto savivaldybės tarybos veiklos reglamentą:</w:t>
              </w:r>
            </w:p>
            <w:sdt>
              <w:sdtPr>
                <w:alias w:val="2.1 pp."/>
                <w:tag w:val="part_25af9ca33bf042ce83a562757f436540"/>
                <w:lock w:val="sdtLocked"/>
                <w:richText/>
              </w:sdtPr>
              <w:sdtContent>
                <w:p w14:paraId="1970811C" w14:textId="69B7B16A">
                  <w:pPr>
                    <w:widowControl w:val="0"/>
                    <w:suppressAutoHyphens/>
                    <w:ind w:firstLine="709"/>
                    <w:jc w:val="both"/>
                    <w:rPr>
                      <w:rFonts w:eastAsia="Andale Sans UI"/>
                      <w:bCs/>
                      <w:kern w:val="2"/>
                      <w:szCs w:val="24"/>
                      <w:lang w:eastAsia="ar-SA"/>
                    </w:rPr>
                  </w:pPr>
                  <w:sdt>
                    <w:sdtPr>
                      <w:alias w:val="Numeris"/>
                      <w:tag w:val="nr_25af9ca33bf042ce83a562757f436540"/>
                      <w:lock w:val="sdtLocked"/>
                      <w:richText/>
                    </w:sdtPr>
                    <w:sdtContent>
                      <w:r>
                        <w:rPr>
                          <w:rFonts w:eastAsia="Andale Sans UI"/>
                          <w:bCs/>
                          <w:kern w:val="2"/>
                          <w:szCs w:val="24"/>
                          <w:shd w:val="clear" w:color="auto" w:fill="FFFFFF"/>
                          <w:lang w:eastAsia="ar-SA"/>
                        </w:rPr>
                        <w:t>2.1</w:t>
                      </w:r>
                    </w:sdtContent>
                  </w:sdt>
                  <w:r>
                    <w:rPr>
                      <w:rFonts w:eastAsia="Andale Sans UI"/>
                      <w:bCs/>
                      <w:kern w:val="2"/>
                      <w:szCs w:val="24"/>
                      <w:shd w:val="clear" w:color="auto" w:fill="FFFFFF"/>
                      <w:lang w:eastAsia="ar-SA"/>
                    </w:rPr>
                    <w:t xml:space="preserve">. </w:t>
                  </w:r>
                  <w:r>
                    <w:rPr>
                      <w:rFonts w:eastAsia="Andale Sans UI"/>
                      <w:bCs/>
                      <w:kern w:val="2"/>
                      <w:szCs w:val="24"/>
                      <w:lang w:eastAsia="ar-SA"/>
                    </w:rPr>
                    <w:t xml:space="preserve">Pripažinti netekusiu galios 35.7 punktą. </w:t>
                  </w:r>
                </w:p>
              </w:sdtContent>
            </w:sdt>
            <w:sdt>
              <w:sdtPr>
                <w:alias w:val="2.2 pp."/>
                <w:tag w:val="part_0a9e9aef9d4d4c0c9e0b1afcc700869f"/>
                <w:lock w:val="sdtLocked"/>
                <w:richText/>
              </w:sdtPr>
              <w:sdtContent>
                <w:p w14:paraId="6E1B92CA" w14:textId="471E13D6">
                  <w:pPr>
                    <w:widowControl w:val="0"/>
                    <w:suppressAutoHyphens/>
                    <w:ind w:firstLine="709"/>
                    <w:jc w:val="both"/>
                    <w:rPr>
                      <w:rFonts w:eastAsia="Andale Sans UI"/>
                      <w:bCs/>
                      <w:kern w:val="2"/>
                      <w:szCs w:val="24"/>
                      <w:vertAlign w:val="superscript"/>
                      <w:lang w:eastAsia="ar-SA"/>
                    </w:rPr>
                  </w:pPr>
                  <w:sdt>
                    <w:sdtPr>
                      <w:alias w:val="Numeris"/>
                      <w:tag w:val="nr_0a9e9aef9d4d4c0c9e0b1afcc700869f"/>
                      <w:lock w:val="sdtLocked"/>
                      <w:richText/>
                    </w:sdtPr>
                    <w:sdtContent>
                      <w:r>
                        <w:rPr>
                          <w:rFonts w:eastAsia="Andale Sans UI"/>
                          <w:bCs/>
                          <w:kern w:val="2"/>
                          <w:szCs w:val="24"/>
                          <w:lang w:eastAsia="ar-SA"/>
                        </w:rPr>
                        <w:t>2.2</w:t>
                      </w:r>
                    </w:sdtContent>
                  </w:sdt>
                  <w:r>
                    <w:rPr>
                      <w:rFonts w:eastAsia="Andale Sans UI"/>
                      <w:bCs/>
                      <w:kern w:val="2"/>
                      <w:szCs w:val="24"/>
                      <w:lang w:eastAsia="ar-SA"/>
                    </w:rPr>
                    <w:t>. Pakeisti 44 punktą ir jį išdėstyti taip:</w:t>
                  </w:r>
                </w:p>
                <w:sdt>
                  <w:sdtPr>
                    <w:alias w:val="citata"/>
                    <w:tag w:val="part_59bb0f02bcce477ea874ffb51d378fdb"/>
                    <w:lock w:val="sdtLocked"/>
                    <w:richText/>
                  </w:sdtPr>
                  <w:sdtContent>
                    <w:sdt>
                      <w:sdtPr>
                        <w:alias w:val="44 p."/>
                        <w:tag w:val="part_c845a88916be48ec8c4d99679f408790"/>
                        <w:lock w:val="sdtLocked"/>
                        <w:richText/>
                      </w:sdtPr>
                      <w:sdtContent>
                        <w:p w14:paraId="3A3A889D" w14:textId="004C700C">
                          <w:pPr>
                            <w:widowControl w:val="0"/>
                            <w:suppressAutoHyphens/>
                            <w:ind w:firstLine="709"/>
                            <w:jc w:val="both"/>
                            <w:rPr>
                              <w:rFonts w:eastAsia="Andale Sans UI"/>
                              <w:bCs/>
                              <w:kern w:val="2"/>
                              <w:szCs w:val="24"/>
                              <w:shd w:val="clear" w:color="auto" w:fill="FFFFFF"/>
                              <w:lang w:eastAsia="ar-SA"/>
                            </w:rPr>
                          </w:pPr>
                          <w:r>
                            <w:rPr>
                              <w:rFonts w:eastAsia="Andale Sans UI"/>
                              <w:bCs/>
                              <w:kern w:val="2"/>
                              <w:szCs w:val="24"/>
                              <w:shd w:val="clear" w:color="auto" w:fill="FFFFFF"/>
                              <w:lang w:eastAsia="ar-SA"/>
                            </w:rPr>
                            <w:t>„</w:t>
                          </w:r>
                          <w:sdt>
                            <w:sdtPr>
                              <w:alias w:val="Numeris"/>
                              <w:tag w:val="nr_c845a88916be48ec8c4d99679f408790"/>
                              <w:lock w:val="sdtLocked"/>
                              <w:richText/>
                            </w:sdtPr>
                            <w:sdtContent>
                              <w:r>
                                <w:rPr>
                                  <w:rFonts w:eastAsia="Andale Sans UI"/>
                                  <w:color w:val="000000"/>
                                  <w:kern w:val="2"/>
                                  <w:szCs w:val="24"/>
                                  <w:lang w:eastAsia="ar-SA"/>
                                </w:rPr>
                                <w:t>44</w:t>
                              </w:r>
                            </w:sdtContent>
                          </w:sdt>
                          <w:r>
                            <w:rPr>
                              <w:rFonts w:eastAsia="Andale Sans UI"/>
                              <w:color w:val="000000"/>
                              <w:kern w:val="2"/>
                              <w:szCs w:val="24"/>
                              <w:lang w:eastAsia="ar-SA"/>
                            </w:rPr>
                            <w:t>. Posėdžio pirmininkas turi teisę leisti posėdyje kalbėti Savivaldybės kontrolieriui, direktoriui</w:t>
                          </w:r>
                          <w:r>
                            <w:rPr>
                              <w:rFonts w:eastAsia="Andale Sans UI"/>
                              <w:strike/>
                              <w:color w:val="000000"/>
                              <w:kern w:val="2"/>
                              <w:szCs w:val="24"/>
                              <w:lang w:eastAsia="ar-SA"/>
                            </w:rPr>
                            <w:t>, Vyriausybės atstovui</w:t>
                          </w:r>
                          <w:r>
                            <w:rPr>
                              <w:rFonts w:eastAsia="Andale Sans UI"/>
                              <w:color w:val="000000"/>
                              <w:kern w:val="2"/>
                              <w:szCs w:val="24"/>
                              <w:lang w:eastAsia="ar-SA"/>
                            </w:rPr>
                            <w:t xml:space="preserve"> ir kviestiesiems asmenims. Kviestiesiems asmenims apie kvietimą dalyvauti Tarybos posėdyje praneša Sekretoriatas sprendimo projekto rengėjo (pranešėjo) prašymu ir mero sutikimu. Tarybos nariai po kviestųjų asmenų pranešimų turi teisę jiems užduoti klausimus. Jeigu Tarybos posėdyje svarstomas klausimas yra susijęs su kitais posėdyje dalyvaujančiais asmenimis, jiems leidžiama užduoti klausimų pranešėjams ir kalbėti bendra tvarka.</w:t>
                          </w:r>
                          <w:r>
                            <w:rPr>
                              <w:rFonts w:eastAsia="Andale Sans UI"/>
                              <w:bCs/>
                              <w:kern w:val="2"/>
                              <w:szCs w:val="24"/>
                              <w:shd w:val="clear" w:color="auto" w:fill="FFFFFF"/>
                              <w:lang w:eastAsia="ar-SA"/>
                            </w:rPr>
                            <w:t>“</w:t>
                          </w:r>
                        </w:p>
                      </w:sdtContent>
                    </w:sdt>
                  </w:sdtContent>
                </w:sdt>
              </w:sdtContent>
            </w:sdt>
            <w:sdt>
              <w:sdtPr>
                <w:alias w:val="2.3 pp."/>
                <w:tag w:val="part_6ce5f88c7c79434e98a9832a9fa0892d"/>
                <w:lock w:val="sdtLocked"/>
                <w:richText/>
              </w:sdtPr>
              <w:sdtContent>
                <w:p w14:paraId="64E8BE49" w14:textId="42123C54">
                  <w:pPr>
                    <w:widowControl w:val="0"/>
                    <w:suppressAutoHyphens/>
                    <w:ind w:firstLine="709"/>
                    <w:jc w:val="both"/>
                    <w:rPr>
                      <w:rFonts w:eastAsia="Andale Sans UI"/>
                      <w:bCs/>
                      <w:kern w:val="2"/>
                      <w:szCs w:val="24"/>
                      <w:vertAlign w:val="superscript"/>
                      <w:lang w:eastAsia="ar-SA"/>
                    </w:rPr>
                  </w:pPr>
                  <w:sdt>
                    <w:sdtPr>
                      <w:alias w:val="Numeris"/>
                      <w:tag w:val="nr_6ce5f88c7c79434e98a9832a9fa0892d"/>
                      <w:lock w:val="sdtLocked"/>
                      <w:richText/>
                    </w:sdtPr>
                    <w:sdtContent>
                      <w:r>
                        <w:rPr>
                          <w:rFonts w:eastAsia="Andale Sans UI"/>
                          <w:bCs/>
                          <w:kern w:val="2"/>
                          <w:szCs w:val="24"/>
                          <w:shd w:val="clear" w:color="auto" w:fill="FFFFFF"/>
                          <w:lang w:eastAsia="ar-SA"/>
                        </w:rPr>
                        <w:t>2.3</w:t>
                      </w:r>
                    </w:sdtContent>
                  </w:sdt>
                  <w:r>
                    <w:rPr>
                      <w:rFonts w:eastAsia="Andale Sans UI"/>
                      <w:bCs/>
                      <w:kern w:val="2"/>
                      <w:szCs w:val="24"/>
                      <w:shd w:val="clear" w:color="auto" w:fill="FFFFFF"/>
                      <w:lang w:eastAsia="ar-SA"/>
                    </w:rPr>
                    <w:t xml:space="preserve">. </w:t>
                  </w:r>
                  <w:r>
                    <w:rPr>
                      <w:rFonts w:eastAsia="Andale Sans UI"/>
                      <w:bCs/>
                      <w:kern w:val="2"/>
                      <w:szCs w:val="24"/>
                      <w:lang w:eastAsia="ar-SA"/>
                    </w:rPr>
                    <w:t>Pakeisti 121 punktą ir jį išdėstyti taip:</w:t>
                  </w:r>
                </w:p>
                <w:sdt>
                  <w:sdtPr>
                    <w:alias w:val="citata"/>
                    <w:tag w:val="part_a2d5cff2bd894b638e27534e09f326c6"/>
                    <w:lock w:val="sdtLocked"/>
                    <w:richText/>
                  </w:sdtPr>
                  <w:sdtContent>
                    <w:sdt>
                      <w:sdtPr>
                        <w:alias w:val="121 p."/>
                        <w:tag w:val="part_345e79a4206a49f0a3a37f8c934bc4ea"/>
                        <w:lock w:val="sdtLocked"/>
                        <w:richText/>
                      </w:sdtPr>
                      <w:sdtContent>
                        <w:p w14:paraId="4A2B5636" w14:textId="61CC7025">
                          <w:pPr>
                            <w:widowControl w:val="0"/>
                            <w:suppressAutoHyphens/>
                            <w:ind w:firstLine="709"/>
                            <w:jc w:val="both"/>
                            <w:rPr>
                              <w:rFonts w:eastAsia="Andale Sans UI"/>
                              <w:bCs/>
                              <w:kern w:val="2"/>
                              <w:szCs w:val="24"/>
                              <w:shd w:val="clear" w:color="auto" w:fill="FFFFFF"/>
                              <w:lang w:eastAsia="ar-SA"/>
                            </w:rPr>
                          </w:pPr>
                          <w:r>
                            <w:rPr>
                              <w:rFonts w:eastAsia="Andale Sans UI"/>
                              <w:bCs/>
                              <w:kern w:val="2"/>
                              <w:szCs w:val="24"/>
                              <w:shd w:val="clear" w:color="auto" w:fill="FFFFFF"/>
                              <w:lang w:eastAsia="ar-SA"/>
                            </w:rPr>
                            <w:t>„</w:t>
                          </w:r>
                          <w:sdt>
                            <w:sdtPr>
                              <w:alias w:val="Numeris"/>
                              <w:tag w:val="nr_345e79a4206a49f0a3a37f8c934bc4ea"/>
                              <w:lock w:val="sdtLocked"/>
                              <w:richText/>
                            </w:sdtPr>
                            <w:sdtContent>
                              <w:r>
                                <w:rPr>
                                  <w:rFonts w:eastAsia="Andale Sans UI"/>
                                  <w:color w:val="000000"/>
                                  <w:kern w:val="2"/>
                                  <w:szCs w:val="24"/>
                                  <w:lang w:eastAsia="ar-SA"/>
                                </w:rPr>
                                <w:t>121</w:t>
                              </w:r>
                            </w:sdtContent>
                          </w:sdt>
                          <w:r>
                            <w:rPr>
                              <w:rFonts w:eastAsia="Andale Sans UI"/>
                              <w:color w:val="000000"/>
                              <w:kern w:val="2"/>
                              <w:szCs w:val="24"/>
                              <w:lang w:eastAsia="ar-SA"/>
                            </w:rPr>
                            <w:t xml:space="preserve">. Komitetų posėdžiai yra teisėti, kai juose dalyvauja daugiau kaip pusė visų narių. Nesusirinkus komiteto kvorumui, posėdis nevyksta. Tai įrašoma į protokolą. </w:t>
                          </w:r>
                          <w:r>
                            <w:rPr>
                              <w:rFonts w:eastAsia="Andale Sans UI"/>
                              <w:strike/>
                              <w:color w:val="000000"/>
                              <w:kern w:val="2"/>
                              <w:szCs w:val="24"/>
                              <w:lang w:eastAsia="ar-SA"/>
                            </w:rPr>
                            <w:t>Jei komiteto posėdis neįvyko, laikoma, kad Tarybos narys, atvykęs į neįvykusį komiteto posėdį, faktiškai dirbo 1 val. Jei komiteto posėdžio metu nelieka daugiau kaip pusės visų narių, posėdis nutraukiamas, likę sprendimų projektai nebesvarstomi, tokiu atveju apmokama už faktiškai dirbtą laiką, bet ne mažiau kaip už 1 val</w:t>
                          </w:r>
                          <w:r>
                            <w:rPr>
                              <w:rFonts w:eastAsia="Andale Sans UI"/>
                              <w:bCs/>
                              <w:kern w:val="2"/>
                              <w:szCs w:val="24"/>
                              <w:shd w:val="clear" w:color="auto" w:fill="FFFFFF"/>
                              <w:lang w:eastAsia="ar-SA"/>
                            </w:rPr>
                            <w:t>.“</w:t>
                          </w:r>
                        </w:p>
                      </w:sdtContent>
                    </w:sdt>
                  </w:sdtContent>
                </w:sdt>
              </w:sdtContent>
            </w:sdt>
            <w:sdt>
              <w:sdtPr>
                <w:alias w:val="2.4 pp."/>
                <w:tag w:val="part_933a57a154c44c2a886f79762332f8be"/>
                <w:lock w:val="sdtLocked"/>
                <w:richText/>
              </w:sdtPr>
              <w:sdtContent>
                <w:p w14:paraId="5414E701" w14:textId="5586B5DE">
                  <w:pPr>
                    <w:widowControl w:val="0"/>
                    <w:suppressAutoHyphens/>
                    <w:ind w:firstLine="709"/>
                    <w:jc w:val="both"/>
                    <w:rPr>
                      <w:rFonts w:eastAsia="Andale Sans UI"/>
                      <w:bCs/>
                      <w:kern w:val="2"/>
                      <w:szCs w:val="24"/>
                      <w:vertAlign w:val="superscript"/>
                      <w:lang w:eastAsia="ar-SA"/>
                    </w:rPr>
                  </w:pPr>
                  <w:sdt>
                    <w:sdtPr>
                      <w:alias w:val="Numeris"/>
                      <w:tag w:val="nr_933a57a154c44c2a886f79762332f8be"/>
                      <w:lock w:val="sdtLocked"/>
                      <w:richText/>
                    </w:sdtPr>
                    <w:sdtContent>
                      <w:r>
                        <w:rPr>
                          <w:rFonts w:eastAsia="Andale Sans UI"/>
                          <w:bCs/>
                          <w:kern w:val="2"/>
                          <w:szCs w:val="24"/>
                          <w:shd w:val="clear" w:color="auto" w:fill="FFFFFF"/>
                          <w:lang w:eastAsia="ar-SA"/>
                        </w:rPr>
                        <w:t>2.4</w:t>
                      </w:r>
                    </w:sdtContent>
                  </w:sdt>
                  <w:r>
                    <w:rPr>
                      <w:rFonts w:eastAsia="Andale Sans UI"/>
                      <w:bCs/>
                      <w:kern w:val="2"/>
                      <w:szCs w:val="24"/>
                      <w:shd w:val="clear" w:color="auto" w:fill="FFFFFF"/>
                      <w:lang w:eastAsia="ar-SA"/>
                    </w:rPr>
                    <w:t xml:space="preserve">. </w:t>
                  </w:r>
                  <w:r>
                    <w:rPr>
                      <w:rFonts w:eastAsia="Andale Sans UI"/>
                      <w:bCs/>
                      <w:kern w:val="2"/>
                      <w:szCs w:val="24"/>
                      <w:lang w:eastAsia="ar-SA"/>
                    </w:rPr>
                    <w:t>Pakeisti 189 punktą ir jį išdėstyti taip:</w:t>
                  </w:r>
                </w:p>
                <w:sdt>
                  <w:sdtPr>
                    <w:alias w:val="citata"/>
                    <w:tag w:val="part_157790d62e344facafbab55b9a8a3179"/>
                    <w:lock w:val="sdtLocked"/>
                    <w:richText/>
                  </w:sdtPr>
                  <w:sdtContent>
                    <w:sdt>
                      <w:sdtPr>
                        <w:alias w:val="189 p."/>
                        <w:tag w:val="part_f311d70191d644fab09ef8cef7dc7134"/>
                        <w:lock w:val="sdtLocked"/>
                        <w:richText/>
                      </w:sdtPr>
                      <w:sdtContent>
                        <w:p w14:paraId="4B4E2283" w14:textId="790417DC">
                          <w:pPr>
                            <w:widowControl w:val="0"/>
                            <w:suppressAutoHyphens/>
                            <w:ind w:firstLine="720"/>
                            <w:jc w:val="both"/>
                            <w:rPr>
                              <w:rFonts w:eastAsia="Andale Sans UI"/>
                              <w:bCs/>
                              <w:kern w:val="2"/>
                              <w:szCs w:val="24"/>
                              <w:shd w:val="clear" w:color="auto" w:fill="FFFFFF"/>
                              <w:lang w:eastAsia="ar-SA"/>
                            </w:rPr>
                          </w:pPr>
                          <w:r>
                            <w:rPr>
                              <w:rFonts w:eastAsia="Andale Sans UI"/>
                              <w:bCs/>
                              <w:kern w:val="2"/>
                              <w:szCs w:val="24"/>
                              <w:shd w:val="clear" w:color="auto" w:fill="FFFFFF"/>
                              <w:lang w:eastAsia="ar-SA"/>
                            </w:rPr>
                            <w:t>„</w:t>
                          </w:r>
                          <w:sdt>
                            <w:sdtPr>
                              <w:alias w:val="Numeris"/>
                              <w:tag w:val="nr_f311d70191d644fab09ef8cef7dc7134"/>
                              <w:lock w:val="sdtLocked"/>
                              <w:richText/>
                            </w:sdtPr>
                            <w:sdtContent>
                              <w:r>
                                <w:rPr>
                                  <w:rFonts w:eastAsia="Andale Sans UI"/>
                                  <w:color w:val="000000"/>
                                  <w:kern w:val="2"/>
                                  <w:szCs w:val="24"/>
                                  <w:lang w:eastAsia="ar-SA"/>
                                </w:rPr>
                                <w:t>189</w:t>
                              </w:r>
                            </w:sdtContent>
                          </w:sdt>
                          <w:r>
                            <w:rPr>
                              <w:rFonts w:eastAsia="Andale Sans UI"/>
                              <w:color w:val="000000"/>
                              <w:kern w:val="2"/>
                              <w:szCs w:val="24"/>
                              <w:lang w:eastAsia="ar-SA"/>
                            </w:rPr>
                            <w:t>. Mero sprendimai įforminami potvarkiais. Mero potvarkių projektus rengia Savivaldybės administracijos padaliniai ir Sekretoriatas. Potvarkio projektus, išskyrus tuos, kuriuos rengia Sekretoriatas, turi vizuoti Savivaldybės</w:t>
                          </w:r>
                          <w:r>
                            <w:rPr>
                              <w:rFonts w:eastAsia="Andale Sans UI"/>
                              <w:color w:val="000000"/>
                              <w:kern w:val="2"/>
                              <w:szCs w:val="24"/>
                              <w:shd w:val="clear" w:color="auto" w:fill="FFFFFF"/>
                              <w:lang w:eastAsia="ar-SA"/>
                            </w:rPr>
                            <w:t> </w:t>
                          </w:r>
                          <w:r>
                            <w:rPr>
                              <w:rFonts w:eastAsia="Andale Sans UI"/>
                              <w:color w:val="000000"/>
                              <w:kern w:val="2"/>
                              <w:szCs w:val="24"/>
                              <w:lang w:eastAsia="ar-SA"/>
                            </w:rPr>
                            <w:t xml:space="preserve">administracijos padalinių, su kuriais susijęs klausimas, vedėjai, teisininkas, direktorius. </w:t>
                          </w:r>
                          <w:r>
                            <w:rPr>
                              <w:rFonts w:eastAsia="Andale Sans UI"/>
                              <w:strike/>
                              <w:color w:val="000000"/>
                              <w:kern w:val="2"/>
                              <w:szCs w:val="24"/>
                              <w:lang w:eastAsia="ar-SA"/>
                            </w:rPr>
                            <w:t>Mero priimti teisės aktai, kuriuos skelbti Teisės aktų registre privaloma pagal teisės aktus, oficialiai skelbiami Teisės aktų registre Lietuvos Respublikos teisėkūros pagrindų įstatymo nustatyta tvarka ir Savivaldybės interneto svetainėje.</w:t>
                          </w:r>
                          <w:r>
                            <w:rPr>
                              <w:rFonts w:eastAsia="Andale Sans UI"/>
                              <w:bCs/>
                              <w:kern w:val="2"/>
                              <w:szCs w:val="24"/>
                              <w:shd w:val="clear" w:color="auto" w:fill="FFFFFF"/>
                              <w:lang w:eastAsia="ar-SA"/>
                            </w:rPr>
                            <w:t>“</w:t>
                          </w:r>
                        </w:p>
                        <w:p w14:paraId="7043FBDC" w14:textId="77777777">
                          <w:pPr>
                            <w:widowControl w:val="0"/>
                            <w:suppressAutoHyphens/>
                            <w:ind w:firstLine="709"/>
                            <w:jc w:val="both"/>
                            <w:rPr>
                              <w:rFonts w:eastAsia="Andale Sans UI"/>
                              <w:bCs/>
                              <w:kern w:val="2"/>
                              <w:szCs w:val="24"/>
                              <w:lang w:eastAsia="ar-SA"/>
                            </w:rPr>
                          </w:pPr>
                        </w:p>
                        <w:p w14:paraId="58938B2D" w14:textId="77777777">
                          <w:pPr>
                            <w:jc w:val="center"/>
                            <w:rPr>
                              <w:b/>
                              <w:bCs/>
                              <w:caps/>
                              <w:color w:val="000000"/>
                              <w:sz w:val="27"/>
                              <w:szCs w:val="27"/>
                              <w:lang w:eastAsia="lt-LT"/>
                            </w:rPr>
                          </w:pPr>
                        </w:p>
                        <w:p w14:paraId="57D2DBFA" w14:textId="77777777">
                          <w:pPr>
                            <w:widowControl w:val="0"/>
                            <w:suppressAutoHyphens/>
                            <w:jc w:val="both"/>
                            <w:rPr>
                              <w:rFonts w:eastAsia="Andale Sans UI"/>
                              <w:bCs/>
                              <w:kern w:val="2"/>
                              <w:szCs w:val="24"/>
                              <w:lang w:eastAsia="ar-SA"/>
                            </w:rPr>
                          </w:pPr>
                        </w:p>
                      </w:sdtContent>
                    </w:sdt>
                  </w:sdtContent>
                </w:sdt>
              </w:sdtContent>
            </w:sdt>
          </w:sdtContent>
        </w:sdt>
        <w:sdt>
          <w:sdtPr>
            <w:alias w:val="signatura"/>
            <w:tag w:val="part_88442784e0544f6f8391df157340ea0a"/>
            <w:lock w:val="sdtLocked"/>
            <w:richText/>
          </w:sdtPr>
          <w:sdtContent>
            <w:p w14:paraId="1A42534D" w14:textId="4F4DE43B">
              <w:pPr>
                <w:widowControl w:val="0"/>
                <w:suppressAutoHyphens/>
                <w:jc w:val="both"/>
                <w:rPr>
                  <w:rFonts w:eastAsia="Andale Sans UI"/>
                  <w:bCs/>
                  <w:kern w:val="2"/>
                  <w:szCs w:val="24"/>
                  <w:lang w:eastAsia="ar-SA"/>
                </w:rPr>
              </w:pPr>
              <w:r>
                <w:rPr>
                  <w:rFonts w:eastAsia="Andale Sans UI"/>
                  <w:bCs/>
                  <w:kern w:val="2"/>
                  <w:szCs w:val="24"/>
                  <w:lang w:eastAsia="ar-SA"/>
                </w:rPr>
                <w:t>Savivaldybės meras</w:t>
              </w: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1134" w:left="1701" w:header="284" w:footer="709" w:gutter="0"/>
      <w:cols w:space="708"/>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77B1636" w14:textId="77777777">
      <w:pPr>
        <w:widowControl w:val="0"/>
        <w:suppressAutoHyphens/>
        <w:rPr>
          <w:rFonts w:eastAsia="Andale Sans UI"/>
          <w:kern w:val="2"/>
          <w:szCs w:val="24"/>
          <w:lang w:eastAsia="ar-SA"/>
        </w:rPr>
      </w:pPr>
      <w:r>
        <w:rPr>
          <w:rFonts w:eastAsia="Andale Sans UI"/>
          <w:kern w:val="2"/>
          <w:szCs w:val="24"/>
          <w:lang w:eastAsia="ar-SA"/>
        </w:rPr>
        <w:separator/>
      </w:r>
    </w:p>
  </w:endnote>
  <w:endnote w:type="continuationSeparator" w:id="0">
    <w:p w14:paraId="79112E44" w14:textId="77777777">
      <w:pPr>
        <w:widowControl w:val="0"/>
        <w:suppressAutoHyphens/>
        <w:rPr>
          <w:rFonts w:eastAsia="Andale Sans UI"/>
          <w:kern w:val="2"/>
          <w:szCs w:val="24"/>
          <w:lang w:eastAsia="ar-SA"/>
        </w:rPr>
      </w:pPr>
      <w:r>
        <w:rPr>
          <w:rFonts w:eastAsia="Andale Sans UI"/>
          <w:kern w:val="2"/>
          <w:szCs w:val="24"/>
          <w:lang w:eastAsia="ar-SA"/>
        </w:rPr>
        <w:continuationSeparator/>
      </w:r>
    </w:p>
  </w:endnote>
  <w:endnote w:type="continuationNotice" w:id="1">
    <w:p w14:paraId="6F3E3158" w14:textId="77777777"/>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ndale Sans UI">
    <w:altName w:val="Times New Roman"/>
    <w:charset w:val="00"/>
    <w:family w:val="auto"/>
    <w:pitch w:val="variable"/>
  </w:font>
  <w:font w:name="Arial Unicode MS">
    <w:panose1 w:val="020B0604020202020204"/>
    <w:charset w:val="00"/>
    <w:family w:val="roman"/>
    <w:notTrueType/>
    <w:pitch w:val="variable"/>
    <w:sig w:usb0="00000003" w:usb1="00000000" w:usb2="00000000" w:usb3="00000000" w:csb0="00000001"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1919C6" w14:textId="77777777">
    <w:pPr>
      <w:widowControl w:val="0"/>
      <w:tabs>
        <w:tab w:val="center" w:pos="4819"/>
        <w:tab w:val="right" w:pos="9638"/>
      </w:tabs>
      <w:suppressAutoHyphens/>
      <w:rPr>
        <w:rFonts w:eastAsia="Andale Sans UI"/>
        <w:kern w:val="2"/>
        <w:szCs w:val="24"/>
        <w:lang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4C92C9" w14:textId="77777777">
    <w:pPr>
      <w:widowControl w:val="0"/>
      <w:tabs>
        <w:tab w:val="center" w:pos="4819"/>
        <w:tab w:val="right" w:pos="9638"/>
      </w:tabs>
      <w:suppressAutoHyphens/>
      <w:rPr>
        <w:rFonts w:eastAsia="Andale Sans UI"/>
        <w:kern w:val="2"/>
        <w:szCs w:val="24"/>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0F4966" w14:textId="77777777">
    <w:pPr>
      <w:widowControl w:val="0"/>
      <w:tabs>
        <w:tab w:val="center" w:pos="4819"/>
        <w:tab w:val="right" w:pos="9638"/>
      </w:tabs>
      <w:suppressAutoHyphens/>
      <w:rPr>
        <w:rFonts w:eastAsia="Andale Sans UI"/>
        <w:kern w:val="2"/>
        <w:szCs w:val="24"/>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2C106EC" w14:textId="77777777">
      <w:pPr>
        <w:widowControl w:val="0"/>
        <w:suppressAutoHyphens/>
        <w:rPr>
          <w:rFonts w:eastAsia="Andale Sans UI"/>
          <w:kern w:val="2"/>
          <w:szCs w:val="24"/>
          <w:lang w:eastAsia="ar-SA"/>
        </w:rPr>
      </w:pPr>
      <w:r>
        <w:rPr>
          <w:rFonts w:eastAsia="Andale Sans UI"/>
          <w:kern w:val="2"/>
          <w:szCs w:val="24"/>
          <w:lang w:eastAsia="ar-SA"/>
        </w:rPr>
        <w:separator/>
      </w:r>
    </w:p>
  </w:footnote>
  <w:footnote w:type="continuationSeparator" w:id="0">
    <w:p w14:paraId="53FE416D" w14:textId="77777777">
      <w:pPr>
        <w:widowControl w:val="0"/>
        <w:suppressAutoHyphens/>
        <w:rPr>
          <w:rFonts w:eastAsia="Andale Sans UI"/>
          <w:kern w:val="2"/>
          <w:szCs w:val="24"/>
          <w:lang w:eastAsia="ar-SA"/>
        </w:rPr>
      </w:pPr>
      <w:r>
        <w:rPr>
          <w:rFonts w:eastAsia="Andale Sans UI"/>
          <w:kern w:val="2"/>
          <w:szCs w:val="24"/>
          <w:lang w:eastAsia="ar-SA"/>
        </w:rPr>
        <w:continuationSeparator/>
      </w:r>
    </w:p>
  </w:footnote>
  <w:footnote w:type="continuationNotice" w:id="1">
    <w:p w14:paraId="711BF8AF" w14:textId="77777777"/>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79AD4A" w14:textId="77777777">
    <w:pPr>
      <w:widowControl w:val="0"/>
      <w:tabs>
        <w:tab w:val="center" w:pos="4819"/>
        <w:tab w:val="right" w:pos="9638"/>
      </w:tabs>
      <w:suppressAutoHyphens/>
      <w:rPr>
        <w:rFonts w:eastAsia="Andale Sans UI"/>
        <w:kern w:val="2"/>
        <w:szCs w:val="24"/>
        <w:lang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2D40AC" w14:textId="77777777">
    <w:pPr>
      <w:widowControl w:val="0"/>
      <w:tabs>
        <w:tab w:val="center" w:pos="4819"/>
        <w:tab w:val="right" w:pos="9638"/>
      </w:tabs>
      <w:suppressAutoHyphens/>
      <w:jc w:val="center"/>
      <w:rPr>
        <w:rFonts w:eastAsia="Andale Sans UI"/>
        <w:kern w:val="2"/>
        <w:szCs w:val="24"/>
        <w:lang w:eastAsia="ar-SA"/>
      </w:rPr>
    </w:pPr>
    <w:r>
      <w:rPr>
        <w:rFonts w:eastAsia="Andale Sans UI"/>
        <w:kern w:val="2"/>
        <w:szCs w:val="24"/>
        <w:lang w:eastAsia="ar-SA"/>
      </w:rPr>
      <w:fldChar w:fldCharType="begin"/>
    </w:r>
    <w:r>
      <w:rPr>
        <w:rFonts w:eastAsia="Andale Sans UI"/>
        <w:kern w:val="2"/>
        <w:szCs w:val="24"/>
        <w:lang w:eastAsia="ar-SA"/>
      </w:rPr>
      <w:instrText>PAGE   \* MERGEFORMAT</w:instrText>
    </w:r>
    <w:r>
      <w:rPr>
        <w:rFonts w:eastAsia="Andale Sans UI"/>
        <w:kern w:val="2"/>
        <w:szCs w:val="24"/>
        <w:lang w:eastAsia="ar-SA"/>
      </w:rPr>
      <w:fldChar w:fldCharType="separate"/>
    </w:r>
    <w:r>
      <w:rPr>
        <w:rFonts w:eastAsia="Andale Sans UI"/>
        <w:kern w:val="2"/>
        <w:szCs w:val="24"/>
        <w:lang w:eastAsia="ar-SA"/>
      </w:rPr>
      <w:t>2</w:t>
    </w:r>
    <w:r>
      <w:rPr>
        <w:rFonts w:eastAsia="Andale Sans UI"/>
        <w:kern w:val="2"/>
        <w:szCs w:val="24"/>
        <w:lang w:eastAsia="ar-SA"/>
      </w:rPr>
      <w:fldChar w:fldCharType="end"/>
    </w:r>
  </w:p>
  <w:p w14:paraId="5816F48E" w14:textId="77777777">
    <w:pPr>
      <w:widowControl w:val="0"/>
      <w:tabs>
        <w:tab w:val="center" w:pos="4819"/>
        <w:tab w:val="right" w:pos="9638"/>
      </w:tabs>
      <w:suppressAutoHyphens/>
      <w:rPr>
        <w:rFonts w:eastAsia="Andale Sans UI"/>
        <w:kern w:val="2"/>
        <w:szCs w:val="24"/>
        <w:lang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55E6F8" w14:textId="6ADDC095">
    <w:pPr>
      <w:widowControl w:val="0"/>
      <w:tabs>
        <w:tab w:val="center" w:pos="4819"/>
        <w:tab w:val="right" w:pos="9638"/>
      </w:tabs>
      <w:suppressAutoHyphens/>
      <w:rPr>
        <w:rFonts w:eastAsia="Andale Sans UI"/>
        <w:kern w:val="2"/>
        <w:szCs w:val="24"/>
        <w:lang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hdrShapeDefaults>
    <o:shapedefaults v:ext="edit" spidmax="1024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00C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23BA4CF7"/>
  <w15:chartTrackingRefBased/>
  <w15:docId w15:val="{6F8FF3F2-88F9-4473-9B03-90194171268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5349444">
      <w:bodyDiv w:val="1"/>
      <w:marLeft w:val="0"/>
      <w:marRight w:val="0"/>
      <w:marTop w:val="0"/>
      <w:marBottom w:val="0"/>
      <w:divBdr>
        <w:top w:val="none" w:sz="0" w:space="0" w:color="auto"/>
        <w:left w:val="none" w:sz="0" w:space="0" w:color="auto"/>
        <w:bottom w:val="none" w:sz="0" w:space="0" w:color="auto"/>
        <w:right w:val="none" w:sz="0" w:space="0" w:color="auto"/>
      </w:divBdr>
      <w:divsChild>
        <w:div w:id="454829166">
          <w:marLeft w:val="0"/>
          <w:marRight w:val="0"/>
          <w:marTop w:val="0"/>
          <w:marBottom w:val="0"/>
          <w:divBdr>
            <w:top w:val="none" w:sz="0" w:space="0" w:color="auto"/>
            <w:left w:val="none" w:sz="0" w:space="0" w:color="auto"/>
            <w:bottom w:val="none" w:sz="0" w:space="0" w:color="auto"/>
            <w:right w:val="none" w:sz="0" w:space="0" w:color="auto"/>
          </w:divBdr>
        </w:div>
        <w:div w:id="668362919">
          <w:marLeft w:val="0"/>
          <w:marRight w:val="0"/>
          <w:marTop w:val="0"/>
          <w:marBottom w:val="0"/>
          <w:divBdr>
            <w:top w:val="none" w:sz="0" w:space="0" w:color="auto"/>
            <w:left w:val="none" w:sz="0" w:space="0" w:color="auto"/>
            <w:bottom w:val="none" w:sz="0" w:space="0" w:color="auto"/>
            <w:right w:val="none" w:sz="0" w:space="0" w:color="auto"/>
          </w:divBdr>
        </w:div>
        <w:div w:id="932516182">
          <w:marLeft w:val="0"/>
          <w:marRight w:val="0"/>
          <w:marTop w:val="0"/>
          <w:marBottom w:val="0"/>
          <w:divBdr>
            <w:top w:val="none" w:sz="0" w:space="0" w:color="auto"/>
            <w:left w:val="none" w:sz="0" w:space="0" w:color="auto"/>
            <w:bottom w:val="none" w:sz="0" w:space="0" w:color="auto"/>
            <w:right w:val="none" w:sz="0" w:space="0" w:color="auto"/>
          </w:divBdr>
        </w:div>
        <w:div w:id="1063483216">
          <w:marLeft w:val="0"/>
          <w:marRight w:val="0"/>
          <w:marTop w:val="0"/>
          <w:marBottom w:val="0"/>
          <w:divBdr>
            <w:top w:val="none" w:sz="0" w:space="0" w:color="auto"/>
            <w:left w:val="none" w:sz="0" w:space="0" w:color="auto"/>
            <w:bottom w:val="none" w:sz="0" w:space="0" w:color="auto"/>
            <w:right w:val="none" w:sz="0" w:space="0" w:color="auto"/>
          </w:divBdr>
        </w:div>
        <w:div w:id="1464230343">
          <w:marLeft w:val="0"/>
          <w:marRight w:val="0"/>
          <w:marTop w:val="0"/>
          <w:marBottom w:val="0"/>
          <w:divBdr>
            <w:top w:val="none" w:sz="0" w:space="0" w:color="auto"/>
            <w:left w:val="none" w:sz="0" w:space="0" w:color="auto"/>
            <w:bottom w:val="none" w:sz="0" w:space="0" w:color="auto"/>
            <w:right w:val="none" w:sz="0" w:space="0" w:color="auto"/>
          </w:divBdr>
        </w:div>
      </w:divsChild>
    </w:div>
    <w:div w:id="395400871">
      <w:bodyDiv w:val="1"/>
      <w:marLeft w:val="0"/>
      <w:marRight w:val="0"/>
      <w:marTop w:val="0"/>
      <w:marBottom w:val="0"/>
      <w:divBdr>
        <w:top w:val="none" w:sz="0" w:space="0" w:color="auto"/>
        <w:left w:val="none" w:sz="0" w:space="0" w:color="auto"/>
        <w:bottom w:val="none" w:sz="0" w:space="0" w:color="auto"/>
        <w:right w:val="none" w:sz="0" w:space="0" w:color="auto"/>
      </w:divBdr>
    </w:div>
    <w:div w:id="683478045">
      <w:bodyDiv w:val="1"/>
      <w:marLeft w:val="0"/>
      <w:marRight w:val="0"/>
      <w:marTop w:val="0"/>
      <w:marBottom w:val="0"/>
      <w:divBdr>
        <w:top w:val="none" w:sz="0" w:space="0" w:color="auto"/>
        <w:left w:val="none" w:sz="0" w:space="0" w:color="auto"/>
        <w:bottom w:val="none" w:sz="0" w:space="0" w:color="auto"/>
        <w:right w:val="none" w:sz="0" w:space="0" w:color="auto"/>
      </w:divBdr>
      <w:divsChild>
        <w:div w:id="685448175">
          <w:marLeft w:val="0"/>
          <w:marRight w:val="0"/>
          <w:marTop w:val="0"/>
          <w:marBottom w:val="0"/>
          <w:divBdr>
            <w:top w:val="none" w:sz="0" w:space="0" w:color="auto"/>
            <w:left w:val="none" w:sz="0" w:space="0" w:color="auto"/>
            <w:bottom w:val="none" w:sz="0" w:space="0" w:color="auto"/>
            <w:right w:val="none" w:sz="0" w:space="0" w:color="auto"/>
          </w:divBdr>
          <w:divsChild>
            <w:div w:id="825703569">
              <w:marLeft w:val="0"/>
              <w:marRight w:val="0"/>
              <w:marTop w:val="0"/>
              <w:marBottom w:val="0"/>
              <w:divBdr>
                <w:top w:val="none" w:sz="0" w:space="0" w:color="auto"/>
                <w:left w:val="none" w:sz="0" w:space="0" w:color="auto"/>
                <w:bottom w:val="none" w:sz="0" w:space="0" w:color="auto"/>
                <w:right w:val="none" w:sz="0" w:space="0" w:color="auto"/>
              </w:divBdr>
              <w:divsChild>
                <w:div w:id="1484618625">
                  <w:marLeft w:val="0"/>
                  <w:marRight w:val="0"/>
                  <w:marTop w:val="0"/>
                  <w:marBottom w:val="0"/>
                  <w:divBdr>
                    <w:top w:val="none" w:sz="0" w:space="0" w:color="auto"/>
                    <w:left w:val="none" w:sz="0" w:space="0" w:color="auto"/>
                    <w:bottom w:val="none" w:sz="0" w:space="0" w:color="auto"/>
                    <w:right w:val="none" w:sz="0" w:space="0" w:color="auto"/>
                  </w:divBdr>
                  <w:divsChild>
                    <w:div w:id="1093166857">
                      <w:marLeft w:val="0"/>
                      <w:marRight w:val="0"/>
                      <w:marTop w:val="0"/>
                      <w:marBottom w:val="0"/>
                      <w:divBdr>
                        <w:top w:val="none" w:sz="0" w:space="0" w:color="auto"/>
                        <w:left w:val="none" w:sz="0" w:space="0" w:color="auto"/>
                        <w:bottom w:val="none" w:sz="0" w:space="0" w:color="auto"/>
                        <w:right w:val="none" w:sz="0" w:space="0" w:color="auto"/>
                      </w:divBdr>
                      <w:divsChild>
                        <w:div w:id="16918802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30614914">
      <w:bodyDiv w:val="1"/>
      <w:marLeft w:val="0"/>
      <w:marRight w:val="0"/>
      <w:marTop w:val="0"/>
      <w:marBottom w:val="0"/>
      <w:divBdr>
        <w:top w:val="none" w:sz="0" w:space="0" w:color="auto"/>
        <w:left w:val="none" w:sz="0" w:space="0" w:color="auto"/>
        <w:bottom w:val="none" w:sz="0" w:space="0" w:color="auto"/>
        <w:right w:val="none" w:sz="0" w:space="0" w:color="auto"/>
      </w:divBdr>
    </w:div>
    <w:div w:id="795752621">
      <w:bodyDiv w:val="1"/>
      <w:marLeft w:val="0"/>
      <w:marRight w:val="0"/>
      <w:marTop w:val="0"/>
      <w:marBottom w:val="0"/>
      <w:divBdr>
        <w:top w:val="none" w:sz="0" w:space="0" w:color="auto"/>
        <w:left w:val="none" w:sz="0" w:space="0" w:color="auto"/>
        <w:bottom w:val="none" w:sz="0" w:space="0" w:color="auto"/>
        <w:right w:val="none" w:sz="0" w:space="0" w:color="auto"/>
      </w:divBdr>
    </w:div>
    <w:div w:id="962689240">
      <w:bodyDiv w:val="1"/>
      <w:marLeft w:val="0"/>
      <w:marRight w:val="0"/>
      <w:marTop w:val="0"/>
      <w:marBottom w:val="0"/>
      <w:divBdr>
        <w:top w:val="none" w:sz="0" w:space="0" w:color="auto"/>
        <w:left w:val="none" w:sz="0" w:space="0" w:color="auto"/>
        <w:bottom w:val="none" w:sz="0" w:space="0" w:color="auto"/>
        <w:right w:val="none" w:sz="0" w:space="0" w:color="auto"/>
      </w:divBdr>
    </w:div>
    <w:div w:id="1103301796">
      <w:bodyDiv w:val="1"/>
      <w:marLeft w:val="0"/>
      <w:marRight w:val="0"/>
      <w:marTop w:val="0"/>
      <w:marBottom w:val="0"/>
      <w:divBdr>
        <w:top w:val="none" w:sz="0" w:space="0" w:color="auto"/>
        <w:left w:val="none" w:sz="0" w:space="0" w:color="auto"/>
        <w:bottom w:val="none" w:sz="0" w:space="0" w:color="auto"/>
        <w:right w:val="none" w:sz="0" w:space="0" w:color="auto"/>
      </w:divBdr>
    </w:div>
    <w:div w:id="1456219524">
      <w:bodyDiv w:val="1"/>
      <w:marLeft w:val="0"/>
      <w:marRight w:val="0"/>
      <w:marTop w:val="0"/>
      <w:marBottom w:val="0"/>
      <w:divBdr>
        <w:top w:val="none" w:sz="0" w:space="0" w:color="auto"/>
        <w:left w:val="none" w:sz="0" w:space="0" w:color="auto"/>
        <w:bottom w:val="none" w:sz="0" w:space="0" w:color="auto"/>
        <w:right w:val="none" w:sz="0" w:space="0" w:color="auto"/>
      </w:divBdr>
      <w:divsChild>
        <w:div w:id="515969147">
          <w:marLeft w:val="0"/>
          <w:marRight w:val="0"/>
          <w:marTop w:val="0"/>
          <w:marBottom w:val="0"/>
          <w:divBdr>
            <w:top w:val="none" w:sz="0" w:space="0" w:color="auto"/>
            <w:left w:val="none" w:sz="0" w:space="0" w:color="auto"/>
            <w:bottom w:val="none" w:sz="0" w:space="0" w:color="auto"/>
            <w:right w:val="none" w:sz="0" w:space="0" w:color="auto"/>
          </w:divBdr>
          <w:divsChild>
            <w:div w:id="1117025142">
              <w:marLeft w:val="0"/>
              <w:marRight w:val="0"/>
              <w:marTop w:val="0"/>
              <w:marBottom w:val="0"/>
              <w:divBdr>
                <w:top w:val="none" w:sz="0" w:space="0" w:color="auto"/>
                <w:left w:val="none" w:sz="0" w:space="0" w:color="auto"/>
                <w:bottom w:val="none" w:sz="0" w:space="0" w:color="auto"/>
                <w:right w:val="none" w:sz="0" w:space="0" w:color="auto"/>
              </w:divBdr>
              <w:divsChild>
                <w:div w:id="1273898729">
                  <w:marLeft w:val="0"/>
                  <w:marRight w:val="0"/>
                  <w:marTop w:val="0"/>
                  <w:marBottom w:val="0"/>
                  <w:divBdr>
                    <w:top w:val="none" w:sz="0" w:space="0" w:color="auto"/>
                    <w:left w:val="none" w:sz="0" w:space="0" w:color="auto"/>
                    <w:bottom w:val="none" w:sz="0" w:space="0" w:color="auto"/>
                    <w:right w:val="none" w:sz="0" w:space="0" w:color="auto"/>
                  </w:divBdr>
                  <w:divsChild>
                    <w:div w:id="257520917">
                      <w:marLeft w:val="0"/>
                      <w:marRight w:val="0"/>
                      <w:marTop w:val="0"/>
                      <w:marBottom w:val="0"/>
                      <w:divBdr>
                        <w:top w:val="none" w:sz="0" w:space="0" w:color="auto"/>
                        <w:left w:val="none" w:sz="0" w:space="0" w:color="auto"/>
                        <w:bottom w:val="none" w:sz="0" w:space="0" w:color="auto"/>
                        <w:right w:val="none" w:sz="0" w:space="0" w:color="auto"/>
                      </w:divBdr>
                      <w:divsChild>
                        <w:div w:id="957226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46200584">
      <w:bodyDiv w:val="1"/>
      <w:marLeft w:val="0"/>
      <w:marRight w:val="0"/>
      <w:marTop w:val="0"/>
      <w:marBottom w:val="0"/>
      <w:divBdr>
        <w:top w:val="none" w:sz="0" w:space="0" w:color="auto"/>
        <w:left w:val="none" w:sz="0" w:space="0" w:color="auto"/>
        <w:bottom w:val="none" w:sz="0" w:space="0" w:color="auto"/>
        <w:right w:val="none" w:sz="0" w:space="0" w:color="auto"/>
      </w:divBdr>
      <w:divsChild>
        <w:div w:id="445346833">
          <w:marLeft w:val="0"/>
          <w:marRight w:val="0"/>
          <w:marTop w:val="0"/>
          <w:marBottom w:val="0"/>
          <w:divBdr>
            <w:top w:val="none" w:sz="0" w:space="0" w:color="auto"/>
            <w:left w:val="none" w:sz="0" w:space="0" w:color="auto"/>
            <w:bottom w:val="none" w:sz="0" w:space="0" w:color="auto"/>
            <w:right w:val="none" w:sz="0" w:space="0" w:color="auto"/>
          </w:divBdr>
        </w:div>
        <w:div w:id="1305963193">
          <w:marLeft w:val="0"/>
          <w:marRight w:val="0"/>
          <w:marTop w:val="0"/>
          <w:marBottom w:val="0"/>
          <w:divBdr>
            <w:top w:val="none" w:sz="0" w:space="0" w:color="auto"/>
            <w:left w:val="none" w:sz="0" w:space="0" w:color="auto"/>
            <w:bottom w:val="none" w:sz="0" w:space="0" w:color="auto"/>
            <w:right w:val="none" w:sz="0" w:space="0" w:color="auto"/>
          </w:divBdr>
        </w:div>
        <w:div w:id="1647129132">
          <w:marLeft w:val="0"/>
          <w:marRight w:val="0"/>
          <w:marTop w:val="0"/>
          <w:marBottom w:val="0"/>
          <w:divBdr>
            <w:top w:val="none" w:sz="0" w:space="0" w:color="auto"/>
            <w:left w:val="none" w:sz="0" w:space="0" w:color="auto"/>
            <w:bottom w:val="none" w:sz="0" w:space="0" w:color="auto"/>
            <w:right w:val="none" w:sz="0" w:space="0" w:color="auto"/>
          </w:divBdr>
        </w:div>
        <w:div w:id="168423751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60e5001671f48da830c60555e00d95d" PartId="420d42a82da44f738cd0df9c9eb9fd79">
    <Part Type="preambule" DocPartId="29a18874acb94a7981b81d4e329a7081" PartId="8cae89972fb248cc911d270ff2eaf53b"/>
    <Part Type="pastraipa" DocPartId="38824ab5ffec480599a3bf58939fc35f" PartId="8fcf7e2236fb451cab351aeef0523493"/>
    <Part Type="punktas" Nr="1" Abbr="1 p." DocPartId="f7eceeb2369b4210a3f664235cc0a2ba" PartId="1cd7d7aea95c40e1b06144ba15b26bef">
      <Part Type="citata" DocPartId="90a2409d482945048008a6cdc0bdc802" PartId="363a3c748c344361a25858b1be393787">
        <Part Type="pastraipa" DocPartId="e7b8b4ad99e14ca98e17cd8be0d8b1f9" PartId="433ac738118f40bbbb6a50e73684d1e4"/>
      </Part>
    </Part>
    <Part Type="punktas" Nr="2" Abbr="2 p." DocPartId="1786a72405cd4dbbb260433551416aef" PartId="9f3d45dc76b34d4bb25e4ff8242b29b5">
      <Part Type="papunktis" Nr="2.1" Abbr="2.1 pp." DocPartId="e7494db1176d46b89927d3a7afc6bb13" PartId="25af9ca33bf042ce83a562757f436540"/>
      <Part Type="papunktis" Nr="2.2" Abbr="2.2 pp." DocPartId="b1df91292f34418492743985b878815b" PartId="0a9e9aef9d4d4c0c9e0b1afcc700869f">
        <Part Type="citata" DocPartId="059929a9c1bb4518be7fc6afa0141d62" PartId="59bb0f02bcce477ea874ffb51d378fdb">
          <Part Type="punktas" Nr="44" Abbr="44 p." DocPartId="1d8373ac984643ddaecb26fb30969f5f" PartId="c845a88916be48ec8c4d99679f408790"/>
        </Part>
      </Part>
      <Part Type="papunktis" Nr="2.3" Abbr="2.3 pp." DocPartId="c8b66970c65c4c4a8aaf230db87b9cef" PartId="6ce5f88c7c79434e98a9832a9fa0892d">
        <Part Type="citata" DocPartId="28bfe46bfe0644c2897cb2566b8c650d" PartId="a2d5cff2bd894b638e27534e09f326c6">
          <Part Type="punktas" Nr="121" Abbr="121 p." DocPartId="ed1876057ece47d0bff4184758fdcdbb" PartId="345e79a4206a49f0a3a37f8c934bc4ea"/>
        </Part>
      </Part>
      <Part Type="papunktis" Nr="2.4" Abbr="2.4 pp." DocPartId="766016edb5c94ea4bb3816a050adc8f2" PartId="933a57a154c44c2a886f79762332f8be">
        <Part Type="citata" DocPartId="6eb1ae32b4a84cc1b56944d2e789d4d0" PartId="157790d62e344facafbab55b9a8a3179">
          <Part Type="punktas" Nr="189" Abbr="189 p." DocPartId="988dc3a48c534d0a87d0500eaaa94253" PartId="f311d70191d644fab09ef8cef7dc7134"/>
        </Part>
      </Part>
    </Part>
    <Part Type="signatura" DocPartId="ae8b5636319242caa16c77e335f088f5" PartId="88442784e0544f6f8391df157340ea0a"/>
  </Part>
</Parts>
</file>

<file path=customXml/itemProps1.xml><?xml version="1.0" encoding="utf-8"?>
<ds:datastoreItem xmlns:ds="http://schemas.openxmlformats.org/officeDocument/2006/customXml" ds:itemID="{C366BF1C-65F1-410A-8B15-9A5A3C9C64C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365</Words>
  <Characters>2482</Characters>
  <Application>Microsoft Office Word</Application>
  <DocSecurity>4</DocSecurity>
  <Lines>50</Lines>
  <Paragraphs>23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2824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2024-10-21T10:09:00Z</dcterms:created>
  <dc:creator>ARNAS ILGAUSKAS</dc:creator>
  <lastModifiedBy>adlibuser</lastModifiedBy>
  <lastPrinted>2022-05-19T05:53:00Z</lastPrinted>
  <dcterms:modified xsi:type="dcterms:W3CDTF">2024-10-21T10:09:00Z</dcterms:modified>
  <revision>2</revision>
</coreProperties>
</file>