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fbef5e7fbcea4e55a6a217a7bbc16331"/>
        <w:lock w:val="sdtLocked"/>
        <w:richText/>
      </w:sdtPr>
      <w:sdtContent>
        <w:p>
          <w:pPr>
            <w:tabs>
              <w:tab w:val="center" w:pos="4819"/>
              <w:tab w:val="right" w:pos="9638"/>
            </w:tabs>
            <w:rPr>
              <w:kern w:val="2"/>
              <w:sz w:val="22"/>
              <w:szCs w:val="22"/>
            </w:rPr>
          </w:pPr>
        </w:p>
        <w:p>
          <w:pPr>
            <w:widowControl w:val="0"/>
            <w:suppressAutoHyphens/>
            <w:jc w:val="center"/>
            <w:rPr>
              <w:rFonts w:eastAsia="Arial Unicode MS"/>
              <w:b/>
              <w:bCs/>
              <w:kern w:val="2"/>
              <w:szCs w:val="24"/>
              <w:lang w:eastAsia="lt-LT"/>
            </w:rPr>
          </w:pPr>
          <w:r>
            <w:rPr>
              <w:rFonts w:eastAsia="Arial Unicode MS"/>
              <w:b/>
              <w:bCs/>
              <w:szCs w:val="24"/>
              <w:lang w:eastAsia="lt-LT"/>
            </w:rPr>
            <w:t xml:space="preserve">DIREKTYVOS 2008/98/EB IR </w:t>
          </w:r>
          <w:r>
            <w:rPr>
              <w:rFonts w:eastAsia="Arial Unicode MS"/>
              <w:b/>
              <w:bCs/>
              <w:kern w:val="2"/>
              <w:szCs w:val="24"/>
              <w:lang w:eastAsia="lt-LT"/>
            </w:rPr>
            <w:t xml:space="preserve">LIETUVOS RESPUBLIKOS ATLIEKŲ TVARKYMO ĮSTATYMO NR. </w:t>
          </w:r>
          <w:r>
            <w:rPr>
              <w:b/>
              <w:bCs/>
              <w:kern w:val="2"/>
              <w:szCs w:val="24"/>
            </w:rPr>
            <w:t xml:space="preserve">VIII-787 </w:t>
          </w:r>
          <w:r>
            <w:rPr>
              <w:b/>
              <w:bCs/>
              <w:color w:val="000000"/>
              <w:kern w:val="2"/>
              <w:szCs w:val="24"/>
              <w:lang w:eastAsia="lt-LT"/>
            </w:rPr>
            <w:t xml:space="preserve">1, </w:t>
          </w:r>
          <w:r>
            <w:rPr>
              <w:b/>
              <w:kern w:val="2"/>
              <w:szCs w:val="24"/>
            </w:rPr>
            <w:t xml:space="preserve">2, 4, 30, </w:t>
          </w:r>
          <w:r>
            <w:rPr>
              <w:b/>
              <w:bCs/>
              <w:caps/>
              <w:kern w:val="2"/>
              <w:szCs w:val="24"/>
            </w:rPr>
            <w:t>32</w:t>
          </w:r>
          <w:r>
            <w:rPr>
              <w:b/>
              <w:bCs/>
              <w:caps/>
              <w:kern w:val="2"/>
              <w:szCs w:val="24"/>
              <w:vertAlign w:val="superscript"/>
            </w:rPr>
            <w:t>1</w:t>
          </w:r>
          <w:r>
            <w:rPr>
              <w:b/>
              <w:bCs/>
              <w:caps/>
              <w:kern w:val="2"/>
              <w:szCs w:val="24"/>
            </w:rPr>
            <w:t>, 34</w:t>
          </w:r>
          <w:r>
            <w:rPr>
              <w:b/>
              <w:bCs/>
              <w:caps/>
              <w:kern w:val="2"/>
              <w:szCs w:val="24"/>
              <w:vertAlign w:val="superscript"/>
            </w:rPr>
            <w:t>1</w:t>
          </w:r>
          <w:r>
            <w:rPr>
              <w:b/>
              <w:bCs/>
              <w:caps/>
              <w:kern w:val="2"/>
              <w:szCs w:val="24"/>
            </w:rPr>
            <w:t xml:space="preserve">, </w:t>
          </w:r>
          <w:r>
            <w:rPr>
              <w:b/>
              <w:kern w:val="2"/>
              <w:szCs w:val="24"/>
            </w:rPr>
            <w:t>34</w:t>
          </w:r>
          <w:r>
            <w:rPr>
              <w:b/>
              <w:kern w:val="2"/>
              <w:szCs w:val="24"/>
              <w:vertAlign w:val="superscript"/>
            </w:rPr>
            <w:t>15</w:t>
          </w:r>
          <w:r>
            <w:rPr>
              <w:b/>
              <w:kern w:val="2"/>
              <w:szCs w:val="24"/>
            </w:rPr>
            <w:t>, 34</w:t>
          </w:r>
          <w:r>
            <w:rPr>
              <w:b/>
              <w:kern w:val="2"/>
              <w:szCs w:val="24"/>
              <w:vertAlign w:val="superscript"/>
            </w:rPr>
            <w:t>16</w:t>
          </w:r>
          <w:r>
            <w:rPr>
              <w:b/>
              <w:kern w:val="2"/>
              <w:szCs w:val="24"/>
            </w:rPr>
            <w:t>, 34</w:t>
          </w:r>
          <w:r>
            <w:rPr>
              <w:b/>
              <w:kern w:val="2"/>
              <w:szCs w:val="24"/>
              <w:vertAlign w:val="superscript"/>
            </w:rPr>
            <w:t>18</w:t>
          </w:r>
          <w:r>
            <w:rPr>
              <w:b/>
              <w:kern w:val="2"/>
              <w:szCs w:val="24"/>
            </w:rPr>
            <w:t>, 34</w:t>
          </w:r>
          <w:r>
            <w:rPr>
              <w:b/>
              <w:kern w:val="2"/>
              <w:szCs w:val="24"/>
              <w:vertAlign w:val="superscript"/>
            </w:rPr>
            <w:t>22</w:t>
          </w:r>
          <w:r>
            <w:rPr>
              <w:b/>
              <w:kern w:val="2"/>
              <w:szCs w:val="24"/>
            </w:rPr>
            <w:t>, 34</w:t>
          </w:r>
          <w:r>
            <w:rPr>
              <w:b/>
              <w:kern w:val="2"/>
              <w:szCs w:val="24"/>
              <w:vertAlign w:val="superscript"/>
            </w:rPr>
            <w:t>24</w:t>
          </w:r>
          <w:r>
            <w:rPr>
              <w:b/>
              <w:kern w:val="2"/>
              <w:szCs w:val="24"/>
            </w:rPr>
            <w:t>, 34</w:t>
          </w:r>
          <w:r>
            <w:rPr>
              <w:b/>
              <w:kern w:val="2"/>
              <w:szCs w:val="24"/>
              <w:vertAlign w:val="superscript"/>
            </w:rPr>
            <w:t>25</w:t>
          </w:r>
          <w:r>
            <w:rPr>
              <w:b/>
              <w:kern w:val="2"/>
              <w:szCs w:val="24"/>
            </w:rPr>
            <w:t>, 34</w:t>
          </w:r>
          <w:r>
            <w:rPr>
              <w:b/>
              <w:kern w:val="2"/>
              <w:szCs w:val="24"/>
              <w:vertAlign w:val="superscript"/>
            </w:rPr>
            <w:t>26</w:t>
          </w:r>
          <w:r>
            <w:rPr>
              <w:b/>
              <w:kern w:val="2"/>
              <w:szCs w:val="24"/>
            </w:rPr>
            <w:t>, 34</w:t>
          </w:r>
          <w:r>
            <w:rPr>
              <w:b/>
              <w:kern w:val="2"/>
              <w:szCs w:val="24"/>
              <w:vertAlign w:val="superscript"/>
            </w:rPr>
            <w:t>30</w:t>
          </w:r>
          <w:r>
            <w:rPr>
              <w:b/>
              <w:kern w:val="2"/>
              <w:szCs w:val="24"/>
            </w:rPr>
            <w:t>, 34</w:t>
          </w:r>
          <w:r>
            <w:rPr>
              <w:b/>
              <w:kern w:val="2"/>
              <w:szCs w:val="24"/>
              <w:vertAlign w:val="superscript"/>
            </w:rPr>
            <w:t>31</w:t>
          </w:r>
          <w:r>
            <w:rPr>
              <w:b/>
              <w:kern w:val="2"/>
              <w:szCs w:val="24"/>
            </w:rPr>
            <w:t xml:space="preserve"> STRAIPSNIŲ, AŠTUNTOJO</w:t>
          </w:r>
          <w:r>
            <w:rPr>
              <w:b/>
              <w:kern w:val="2"/>
              <w:szCs w:val="24"/>
              <w:vertAlign w:val="superscript"/>
            </w:rPr>
            <w:t>4</w:t>
          </w:r>
          <w:r>
            <w:rPr>
              <w:b/>
              <w:kern w:val="2"/>
              <w:szCs w:val="24"/>
            </w:rPr>
            <w:t xml:space="preserve"> IR AŠTUNTOJO</w:t>
          </w:r>
          <w:r>
            <w:rPr>
              <w:b/>
              <w:kern w:val="2"/>
              <w:szCs w:val="24"/>
              <w:vertAlign w:val="superscript"/>
            </w:rPr>
            <w:t>5</w:t>
          </w:r>
          <w:r>
            <w:rPr>
              <w:b/>
              <w:kern w:val="2"/>
              <w:szCs w:val="24"/>
            </w:rPr>
            <w:t xml:space="preserve"> SKIRSNIŲ PAVADINIMŲ, 5 PRIEDO PAKEITIMO, ĮSTATYMO PAPILDYMO 4</w:t>
          </w:r>
          <w:r>
            <w:rPr>
              <w:b/>
              <w:kern w:val="2"/>
              <w:szCs w:val="24"/>
              <w:vertAlign w:val="superscript"/>
            </w:rPr>
            <w:t>3</w:t>
          </w:r>
          <w:r>
            <w:rPr>
              <w:b/>
              <w:kern w:val="2"/>
              <w:szCs w:val="24"/>
            </w:rPr>
            <w:t xml:space="preserve"> STRAIPSNIU IR 34</w:t>
          </w:r>
          <w:r>
            <w:rPr>
              <w:b/>
              <w:kern w:val="2"/>
              <w:szCs w:val="24"/>
              <w:vertAlign w:val="superscript"/>
            </w:rPr>
            <w:t>17</w:t>
          </w:r>
          <w:r>
            <w:rPr>
              <w:b/>
              <w:kern w:val="2"/>
              <w:szCs w:val="24"/>
            </w:rPr>
            <w:t xml:space="preserve"> STRAIPSNIO PRIPAŽINIMO NETEKUSIU GALIOS </w:t>
          </w:r>
          <w:r>
            <w:rPr>
              <w:b/>
              <w:bCs/>
              <w:kern w:val="2"/>
              <w:szCs w:val="24"/>
            </w:rPr>
            <w:t>ĮSTATYMO PROJEKTO</w:t>
          </w:r>
          <w:r>
            <w:rPr>
              <w:rFonts w:eastAsia="Arial Unicode MS"/>
              <w:b/>
              <w:bCs/>
              <w:kern w:val="2"/>
              <w:szCs w:val="24"/>
              <w:lang w:eastAsia="lt-LT"/>
            </w:rPr>
            <w:t xml:space="preserve"> ATITIKTIES LENTELĖ</w:t>
          </w:r>
        </w:p>
        <w:p>
          <w:pPr>
            <w:widowControl w:val="0"/>
            <w:suppressAutoHyphens/>
            <w:jc w:val="center"/>
            <w:rPr>
              <w:rFonts w:eastAsia="Arial Unicode MS"/>
              <w:b/>
              <w:bCs/>
              <w:szCs w:val="24"/>
              <w:lang w:eastAsia="lt-LT"/>
            </w:rPr>
          </w:pPr>
        </w:p>
        <w:p>
          <w:pPr>
            <w:widowControl w:val="0"/>
            <w:suppressAutoHyphens/>
            <w:jc w:val="center"/>
            <w:rPr>
              <w:rFonts w:eastAsia="Arial Unicode MS"/>
              <w:b/>
              <w:bC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2"/>
            <w:gridCol w:w="6379"/>
            <w:gridCol w:w="2232"/>
          </w:tblGrid>
          <w:tr>
            <w:tc>
              <w:tcPr>
                <w:tcW w:w="5382" w:type="dxa"/>
              </w:tcPr>
              <w:p>
                <w:pPr>
                  <w:widowControl w:val="0"/>
                  <w:suppressAutoHyphens/>
                  <w:jc w:val="both"/>
                  <w:rPr>
                    <w:rFonts w:eastAsia="Arial Unicode MS"/>
                    <w:b/>
                    <w:bCs/>
                    <w:szCs w:val="24"/>
                    <w:lang w:eastAsia="lt-LT"/>
                  </w:rPr>
                </w:pPr>
                <w:r>
                  <w:rPr>
                    <w:rFonts w:eastAsia="Arial Unicode MS"/>
                    <w:b/>
                    <w:bCs/>
                    <w:szCs w:val="24"/>
                    <w:lang w:eastAsia="lt-LT"/>
                  </w:rPr>
                  <w:t xml:space="preserve">2008 m. lapkričio 19 d. Europos Parlamento ir Tarybos direktyva </w:t>
                </w:r>
                <w:fldSimple w:instr="HYPERLINK http://eur-lex.europa.eu/legal-content/LIT/TXT/?uri=CELEX:32008L0098&amp;locale=lt \t _blank">
                  <w:r>
                    <w:rPr>
                      <w:rFonts w:eastAsia="Arial Unicode MS"/>
                      <w:b/>
                      <w:bCs/>
                      <w:szCs w:val="24"/>
                      <w:lang w:eastAsia="lt-LT"/>
                      <w:u w:val="single"/>
                      <w:color w:val="0000FF" w:themeColor="hyperlink"/>
                    </w:rPr>
                    <w:t>2008/98/EB</w:t>
                  </w:r>
                </w:fldSimple>
                <w:r>
                  <w:rPr>
                    <w:rFonts w:eastAsia="Arial Unicode MS"/>
                    <w:b/>
                    <w:bCs/>
                    <w:szCs w:val="24"/>
                    <w:lang w:eastAsia="lt-LT"/>
                  </w:rPr>
                  <w:t xml:space="preserve"> dėl atliekų ir panaikinanti kai kurias direktyvas</w:t>
                </w:r>
              </w:p>
            </w:tc>
            <w:tc>
              <w:tcPr>
                <w:tcW w:w="6379" w:type="dxa"/>
              </w:tcPr>
              <w:p>
                <w:pPr>
                  <w:widowControl w:val="0"/>
                  <w:suppressAutoHyphens/>
                  <w:jc w:val="both"/>
                  <w:rPr>
                    <w:rFonts w:eastAsia="Arial Unicode MS"/>
                    <w:b/>
                    <w:bCs/>
                    <w:szCs w:val="24"/>
                    <w:lang w:eastAsia="lt-LT"/>
                  </w:rPr>
                </w:pPr>
                <w:r>
                  <w:rPr>
                    <w:b/>
                    <w:kern w:val="2"/>
                    <w:szCs w:val="24"/>
                  </w:rPr>
                  <w:t xml:space="preserve">Lietuvos Respublikos </w:t>
                </w:r>
                <w:r>
                  <w:rPr>
                    <w:b/>
                    <w:bCs/>
                    <w:kern w:val="2"/>
                    <w:szCs w:val="24"/>
                  </w:rPr>
                  <w:t>atliekų tvarkymo įstatymo Nr. VIII</w:t>
                  <w:noBreakHyphen/>
                  <w:t xml:space="preserve">787 1, 2, 4, 30, </w:t>
                </w:r>
                <w:r>
                  <w:rPr>
                    <w:b/>
                    <w:bCs/>
                    <w:caps/>
                    <w:kern w:val="2"/>
                    <w:szCs w:val="24"/>
                  </w:rPr>
                  <w:t>32</w:t>
                </w:r>
                <w:r>
                  <w:rPr>
                    <w:b/>
                    <w:bCs/>
                    <w:caps/>
                    <w:kern w:val="2"/>
                    <w:szCs w:val="24"/>
                    <w:vertAlign w:val="superscript"/>
                  </w:rPr>
                  <w:t>1</w:t>
                </w:r>
                <w:r>
                  <w:rPr>
                    <w:b/>
                    <w:bCs/>
                    <w:caps/>
                    <w:kern w:val="2"/>
                    <w:szCs w:val="24"/>
                  </w:rPr>
                  <w:t>, 34</w:t>
                </w:r>
                <w:r>
                  <w:rPr>
                    <w:b/>
                    <w:bCs/>
                    <w:caps/>
                    <w:kern w:val="2"/>
                    <w:szCs w:val="24"/>
                    <w:vertAlign w:val="superscript"/>
                  </w:rPr>
                  <w:t>1</w:t>
                </w:r>
                <w:r>
                  <w:rPr>
                    <w:b/>
                    <w:bCs/>
                    <w:caps/>
                    <w:kern w:val="2"/>
                    <w:szCs w:val="24"/>
                  </w:rPr>
                  <w:t xml:space="preserve">, </w:t>
                </w:r>
                <w:r>
                  <w:rPr>
                    <w:b/>
                    <w:bCs/>
                    <w:kern w:val="2"/>
                    <w:szCs w:val="24"/>
                  </w:rPr>
                  <w:t>34</w:t>
                </w:r>
                <w:r>
                  <w:rPr>
                    <w:b/>
                    <w:bCs/>
                    <w:kern w:val="2"/>
                    <w:szCs w:val="24"/>
                    <w:vertAlign w:val="superscript"/>
                  </w:rPr>
                  <w:t>15</w:t>
                </w:r>
                <w:r>
                  <w:rPr>
                    <w:b/>
                    <w:bCs/>
                    <w:kern w:val="2"/>
                    <w:szCs w:val="24"/>
                  </w:rPr>
                  <w:t>, 34</w:t>
                </w:r>
                <w:r>
                  <w:rPr>
                    <w:b/>
                    <w:bCs/>
                    <w:kern w:val="2"/>
                    <w:szCs w:val="24"/>
                    <w:vertAlign w:val="superscript"/>
                  </w:rPr>
                  <w:t>16</w:t>
                </w:r>
                <w:r>
                  <w:rPr>
                    <w:b/>
                    <w:bCs/>
                    <w:kern w:val="2"/>
                    <w:szCs w:val="24"/>
                  </w:rPr>
                  <w:t>, 34</w:t>
                </w:r>
                <w:r>
                  <w:rPr>
                    <w:b/>
                    <w:bCs/>
                    <w:kern w:val="2"/>
                    <w:szCs w:val="24"/>
                    <w:vertAlign w:val="superscript"/>
                  </w:rPr>
                  <w:t>18</w:t>
                </w:r>
                <w:r>
                  <w:rPr>
                    <w:b/>
                    <w:bCs/>
                    <w:kern w:val="2"/>
                    <w:szCs w:val="24"/>
                  </w:rPr>
                  <w:t>, 34</w:t>
                </w:r>
                <w:r>
                  <w:rPr>
                    <w:b/>
                    <w:bCs/>
                    <w:kern w:val="2"/>
                    <w:szCs w:val="24"/>
                    <w:vertAlign w:val="superscript"/>
                  </w:rPr>
                  <w:t>22</w:t>
                </w:r>
                <w:r>
                  <w:rPr>
                    <w:b/>
                    <w:bCs/>
                    <w:kern w:val="2"/>
                    <w:szCs w:val="24"/>
                  </w:rPr>
                  <w:t>, 34</w:t>
                </w:r>
                <w:r>
                  <w:rPr>
                    <w:b/>
                    <w:bCs/>
                    <w:kern w:val="2"/>
                    <w:szCs w:val="24"/>
                    <w:vertAlign w:val="superscript"/>
                  </w:rPr>
                  <w:t>24</w:t>
                </w:r>
                <w:r>
                  <w:rPr>
                    <w:b/>
                    <w:bCs/>
                    <w:kern w:val="2"/>
                    <w:szCs w:val="24"/>
                  </w:rPr>
                  <w:t>, 34</w:t>
                </w:r>
                <w:r>
                  <w:rPr>
                    <w:b/>
                    <w:bCs/>
                    <w:kern w:val="2"/>
                    <w:szCs w:val="24"/>
                    <w:vertAlign w:val="superscript"/>
                  </w:rPr>
                  <w:t>25</w:t>
                </w:r>
                <w:r>
                  <w:rPr>
                    <w:b/>
                    <w:bCs/>
                    <w:kern w:val="2"/>
                    <w:szCs w:val="24"/>
                  </w:rPr>
                  <w:t>, 34</w:t>
                </w:r>
                <w:r>
                  <w:rPr>
                    <w:b/>
                    <w:bCs/>
                    <w:kern w:val="2"/>
                    <w:szCs w:val="24"/>
                    <w:vertAlign w:val="superscript"/>
                  </w:rPr>
                  <w:t>26</w:t>
                </w:r>
                <w:r>
                  <w:rPr>
                    <w:b/>
                    <w:bCs/>
                    <w:kern w:val="2"/>
                    <w:szCs w:val="24"/>
                  </w:rPr>
                  <w:t>, 34</w:t>
                </w:r>
                <w:r>
                  <w:rPr>
                    <w:b/>
                    <w:bCs/>
                    <w:kern w:val="2"/>
                    <w:szCs w:val="24"/>
                    <w:vertAlign w:val="superscript"/>
                  </w:rPr>
                  <w:t>30</w:t>
                </w:r>
                <w:r>
                  <w:rPr>
                    <w:b/>
                    <w:bCs/>
                    <w:kern w:val="2"/>
                    <w:szCs w:val="24"/>
                  </w:rPr>
                  <w:t>, 34</w:t>
                </w:r>
                <w:r>
                  <w:rPr>
                    <w:b/>
                    <w:bCs/>
                    <w:kern w:val="2"/>
                    <w:szCs w:val="24"/>
                    <w:vertAlign w:val="superscript"/>
                  </w:rPr>
                  <w:t>31</w:t>
                </w:r>
                <w:r>
                  <w:rPr>
                    <w:b/>
                    <w:bCs/>
                    <w:kern w:val="2"/>
                    <w:szCs w:val="24"/>
                  </w:rPr>
                  <w:t xml:space="preserve"> straipsnių, aštuntojo</w:t>
                </w:r>
                <w:r>
                  <w:rPr>
                    <w:b/>
                    <w:bCs/>
                    <w:kern w:val="2"/>
                    <w:szCs w:val="24"/>
                    <w:vertAlign w:val="superscript"/>
                  </w:rPr>
                  <w:t>4</w:t>
                </w:r>
                <w:r>
                  <w:rPr>
                    <w:b/>
                    <w:bCs/>
                    <w:kern w:val="2"/>
                    <w:szCs w:val="24"/>
                  </w:rPr>
                  <w:t xml:space="preserve"> ir aštuntojo</w:t>
                </w:r>
                <w:r>
                  <w:rPr>
                    <w:b/>
                    <w:bCs/>
                    <w:kern w:val="2"/>
                    <w:szCs w:val="24"/>
                    <w:vertAlign w:val="superscript"/>
                  </w:rPr>
                  <w:t>5</w:t>
                </w:r>
                <w:r>
                  <w:rPr>
                    <w:b/>
                    <w:bCs/>
                    <w:kern w:val="2"/>
                    <w:szCs w:val="24"/>
                  </w:rPr>
                  <w:t xml:space="preserve"> skirsnių pavadinimų, 5 priedo pakeitimo, Įstatymo papildymo 4</w:t>
                </w:r>
                <w:r>
                  <w:rPr>
                    <w:b/>
                    <w:bCs/>
                    <w:kern w:val="2"/>
                    <w:szCs w:val="24"/>
                    <w:vertAlign w:val="superscript"/>
                  </w:rPr>
                  <w:t>3</w:t>
                </w:r>
                <w:r>
                  <w:rPr>
                    <w:b/>
                    <w:bCs/>
                    <w:kern w:val="2"/>
                    <w:szCs w:val="24"/>
                  </w:rPr>
                  <w:t> straipsniu straipsnio ir 34</w:t>
                </w:r>
                <w:r>
                  <w:rPr>
                    <w:b/>
                    <w:bCs/>
                    <w:kern w:val="2"/>
                    <w:szCs w:val="24"/>
                    <w:vertAlign w:val="superscript"/>
                  </w:rPr>
                  <w:t>17</w:t>
                </w:r>
                <w:r>
                  <w:rPr>
                    <w:b/>
                    <w:bCs/>
                    <w:kern w:val="2"/>
                    <w:szCs w:val="24"/>
                  </w:rPr>
                  <w:t xml:space="preserve"> straipsnio pripažinimo netekusiu galios įstatymo </w:t>
                </w:r>
                <w:r>
                  <w:rPr>
                    <w:b/>
                    <w:bCs/>
                    <w:color w:val="000000"/>
                    <w:kern w:val="2"/>
                    <w:szCs w:val="24"/>
                    <w:lang w:eastAsia="lt-LT"/>
                  </w:rPr>
                  <w:t>projektas</w:t>
                </w:r>
              </w:p>
            </w:tc>
            <w:tc>
              <w:tcPr>
                <w:tcW w:w="2232" w:type="dxa"/>
              </w:tcPr>
              <w:p>
                <w:pPr>
                  <w:widowControl w:val="0"/>
                  <w:suppressAutoHyphens/>
                  <w:jc w:val="center"/>
                  <w:rPr>
                    <w:rFonts w:eastAsia="Arial Unicode MS"/>
                    <w:b/>
                    <w:bCs/>
                    <w:szCs w:val="24"/>
                    <w:lang w:eastAsia="lt-LT"/>
                  </w:rPr>
                </w:pPr>
                <w:r>
                  <w:rPr>
                    <w:rFonts w:eastAsia="Arial Unicode MS"/>
                    <w:b/>
                    <w:szCs w:val="24"/>
                    <w:lang w:eastAsia="lt-LT"/>
                  </w:rPr>
                  <w:t xml:space="preserve">ES teisės akto įgyvendinimo lygis </w:t>
                </w:r>
              </w:p>
            </w:tc>
          </w:tr>
          <w:tr>
            <w:tc>
              <w:tcPr>
                <w:tcW w:w="5382" w:type="dxa"/>
              </w:tcPr>
              <w:p>
                <w:pPr>
                  <w:jc w:val="both"/>
                  <w:rPr>
                    <w:b/>
                    <w:bCs/>
                    <w:szCs w:val="24"/>
                    <w:lang w:eastAsia="lt-LT"/>
                  </w:rPr>
                </w:pPr>
                <w:r>
                  <w:rPr>
                    <w:b/>
                    <w:bCs/>
                    <w:szCs w:val="24"/>
                    <w:lang w:eastAsia="lt-LT"/>
                  </w:rPr>
                  <w:t>8a straipsnio 4 dalies b punktas</w:t>
                </w:r>
              </w:p>
              <w:p>
                <w:pPr>
                  <w:jc w:val="both"/>
                  <w:rPr>
                    <w:szCs w:val="24"/>
                    <w:lang w:eastAsia="lt-LT"/>
                  </w:rPr>
                </w:pPr>
                <w:r>
                  <w:rPr>
                    <w:szCs w:val="24"/>
                    <w:lang w:eastAsia="lt-LT"/>
                  </w:rPr>
                  <w:t>4. Valstybės narės imasi reikiamų priemonių siekdamos užtikrinti, kad finansiniai įnašai, produktų gamintojų mokami siekiant vykdyti didesnės gamintojo atsakomybės įpareigojimus:</w:t>
                </w:r>
              </w:p>
              <w:p>
                <w:pPr>
                  <w:jc w:val="both"/>
                  <w:rPr>
                    <w:szCs w:val="24"/>
                    <w:lang w:eastAsia="lt-LT"/>
                  </w:rPr>
                </w:pPr>
                <w:r>
                  <w:rPr>
                    <w:szCs w:val="24"/>
                    <w:lang w:eastAsia="lt-LT"/>
                  </w:rPr>
                  <w:t>&lt;...&gt;</w:t>
                </w:r>
              </w:p>
              <w:p>
                <w:pPr>
                  <w:jc w:val="both"/>
                  <w:rPr>
                    <w:szCs w:val="24"/>
                    <w:lang w:eastAsia="lt-LT"/>
                  </w:rPr>
                </w:pPr>
                <w:r>
                  <w:rPr>
                    <w:szCs w:val="24"/>
                    <w:lang w:eastAsia="lt-LT"/>
                  </w:rPr>
                  <w:t xml:space="preserve">b) tais atvejais, kai didesnės gamintojo atsakomybės įpareigojimai vykdomi kolektyviai, būtų moduliuojami, kai įmanoma, už kiekvieną produktą arba panašių produktų grupę, konkrečiai atsižvelgiant į jų patvarumą, taisomumą, tinkamumą pakartotinai naudoti ir perdirbamumą, taip pat į tai, ar juose yra pavojingų medžiagų, tokiu būdu laikantis gyvavimo ciklo požiūrio, būtų suderinti su atitinkamų Sąjungos teisės aktų reikalavimais ir, kai esama suderintų kriterijų, būtų jais pagrįsti, kad būtų užtikrintas sklandus vidaus rinkos veikimas; ir </w:t>
                </w:r>
              </w:p>
              <w:p>
                <w:pPr>
                  <w:rPr>
                    <w:b/>
                    <w:bCs/>
                    <w:kern w:val="2"/>
                    <w:sz w:val="22"/>
                    <w:szCs w:val="22"/>
                    <w:lang w:eastAsia="lt-LT"/>
                  </w:rPr>
                </w:pPr>
                <w:r>
                  <w:rPr>
                    <w:kern w:val="2"/>
                    <w:szCs w:val="24"/>
                    <w:lang w:eastAsia="lt-LT"/>
                  </w:rPr>
                  <w:t>&lt;....&gt;</w:t>
                </w:r>
              </w:p>
            </w:tc>
            <w:tc>
              <w:tcPr>
                <w:tcW w:w="6379" w:type="dxa"/>
              </w:tcPr>
              <w:p>
                <w:pPr>
                  <w:jc w:val="both"/>
                  <w:textAlignment w:val="baseline"/>
                  <w:rPr>
                    <w:b/>
                    <w:bCs/>
                    <w:szCs w:val="24"/>
                    <w:lang w:eastAsia="lt-LT"/>
                  </w:rPr>
                </w:pPr>
                <w:r>
                  <w:rPr>
                    <w:b/>
                    <w:bCs/>
                    <w:szCs w:val="24"/>
                    <w:lang w:eastAsia="lt-LT"/>
                  </w:rPr>
                  <w:t>9 straipsnis. 32</w:t>
                </w:r>
                <w:r>
                  <w:rPr>
                    <w:b/>
                    <w:bCs/>
                    <w:szCs w:val="24"/>
                    <w:vertAlign w:val="superscript"/>
                    <w:lang w:eastAsia="lt-LT"/>
                  </w:rPr>
                  <w:t>1</w:t>
                </w:r>
                <w:r>
                  <w:rPr>
                    <w:b/>
                    <w:bCs/>
                    <w:szCs w:val="24"/>
                    <w:lang w:eastAsia="lt-LT"/>
                  </w:rPr>
                  <w:t xml:space="preserve"> straipsnio pakeitimas</w:t>
                </w:r>
              </w:p>
              <w:p>
                <w:pPr>
                  <w:spacing w:line="276" w:lineRule="auto"/>
                  <w:jc w:val="both"/>
                  <w:rPr>
                    <w:b/>
                    <w:bCs/>
                    <w:color w:val="000000"/>
                    <w:kern w:val="2"/>
                    <w:szCs w:val="24"/>
                  </w:rPr>
                </w:pPr>
                <w:r>
                  <w:rPr>
                    <w:b/>
                    <w:bCs/>
                    <w:kern w:val="2"/>
                    <w:szCs w:val="24"/>
                  </w:rPr>
                  <w:t>Pakeisti 32</w:t>
                </w:r>
                <w:r>
                  <w:rPr>
                    <w:b/>
                    <w:bCs/>
                    <w:kern w:val="2"/>
                    <w:szCs w:val="24"/>
                    <w:vertAlign w:val="superscript"/>
                  </w:rPr>
                  <w:t>1</w:t>
                </w:r>
                <w:r>
                  <w:rPr>
                    <w:b/>
                    <w:bCs/>
                    <w:color w:val="000000"/>
                    <w:kern w:val="2"/>
                    <w:szCs w:val="24"/>
                  </w:rPr>
                  <w:t xml:space="preserve"> straipsnio 3 dalį ir ją išdėstyti taip:</w:t>
                </w:r>
              </w:p>
              <w:p>
                <w:pPr>
                  <w:jc w:val="both"/>
                  <w:textAlignment w:val="baseline"/>
                  <w:rPr>
                    <w:rFonts w:eastAsia="Arial Unicode MS"/>
                    <w:b/>
                    <w:bCs/>
                    <w:szCs w:val="24"/>
                    <w:lang w:eastAsia="lt-LT"/>
                  </w:rPr>
                </w:pPr>
                <w:r>
                  <w:rPr>
                    <w:b/>
                    <w:bCs/>
                    <w:color w:val="000000"/>
                    <w:szCs w:val="24"/>
                    <w:lang w:eastAsia="lt-LT"/>
                  </w:rPr>
                  <w:t>„</w:t>
                </w:r>
                <w:r>
                  <w:rPr>
                    <w:b/>
                    <w:bCs/>
                    <w:szCs w:val="24"/>
                    <w:lang w:eastAsia="lt-LT"/>
                  </w:rPr>
                  <w:t>3. Gamintojų ir importuotojų organizacija, nurodyta šio Įstatymo 34</w:t>
                </w:r>
                <w:r>
                  <w:rPr>
                    <w:b/>
                    <w:bCs/>
                    <w:szCs w:val="24"/>
                    <w:vertAlign w:val="superscript"/>
                    <w:lang w:eastAsia="lt-LT"/>
                  </w:rPr>
                  <w:t>22</w:t>
                </w:r>
                <w:r>
                  <w:rPr>
                    <w:b/>
                    <w:bCs/>
                    <w:szCs w:val="24"/>
                    <w:lang w:eastAsia="lt-LT"/>
                  </w:rPr>
                  <w:t xml:space="preserve"> straipsnyje, nustatydama įmokų už gaminių atliekų tvarkymą, kurias organizacijai turi mokėti organizacijos nariai ir pavedimo davėjai (toliau – organizacijos įkainiai), dydžius, turi juos diferencijuoti, jeigu įmanoma, atsižvelgdama į gaminio ar gaminių grupės patvarumą, pataisomumą, tinkamumą pakartotinai naudoti, perdirbti, pavojingųjų medžiagų kiekį gaminio sudėtyje, gamintojo atsakomybę perimanti organizacija – vadovaudamasi Reglamente </w:t>
                </w:r>
                <w:fldSimple w:instr="HYPERLINK http://eur-lex.europa.eu/legal-content/LIT/TXT/?uri=CELEX:32023R1542&amp;locale=lt \t _blank">
                  <w:r>
                    <w:rPr>
                      <w:b/>
                      <w:bCs/>
                      <w:szCs w:val="24"/>
                      <w:lang w:eastAsia="lt-LT"/>
                      <w:u w:val="single"/>
                      <w:color w:val="0000FF" w:themeColor="hyperlink"/>
                    </w:rPr>
                    <w:t>(ES) 2023/1542</w:t>
                  </w:r>
                </w:fldSimple>
                <w:r>
                  <w:rPr>
                    <w:b/>
                    <w:bCs/>
                    <w:szCs w:val="24"/>
                    <w:lang w:eastAsia="lt-LT"/>
                  </w:rPr>
                  <w:t xml:space="preserve"> nustatytais gamintojų mokamų finansinių įnašų moduliavimo kriterijais</w:t>
                </w:r>
                <w:r>
                  <w:rPr>
                    <w:b/>
                    <w:bCs/>
                    <w:color w:val="000000"/>
                    <w:szCs w:val="24"/>
                    <w:lang w:eastAsia="lt-LT"/>
                  </w:rPr>
                  <w:t>.“</w:t>
                </w:r>
              </w:p>
            </w:tc>
            <w:tc>
              <w:tcPr>
                <w:tcW w:w="2232" w:type="dxa"/>
              </w:tcPr>
              <w:p>
                <w:pPr>
                  <w:widowControl w:val="0"/>
                  <w:suppressAutoHyphens/>
                  <w:rPr>
                    <w:rFonts w:eastAsia="Arial Unicode MS"/>
                    <w:b/>
                    <w:bCs/>
                    <w:szCs w:val="24"/>
                    <w:lang w:eastAsia="lt-LT"/>
                  </w:rPr>
                </w:pPr>
                <w:r>
                  <w:rPr>
                    <w:rFonts w:eastAsia="Arial Unicode MS"/>
                    <w:b/>
                    <w:bCs/>
                    <w:szCs w:val="24"/>
                    <w:lang w:eastAsia="lt-LT"/>
                  </w:rPr>
                  <w:t>Visiškas</w:t>
                </w:r>
              </w:p>
            </w:tc>
          </w:tr>
        </w:tbl>
        <w:p>
          <w:pPr>
            <w:spacing w:line="259" w:lineRule="auto"/>
            <w:jc w:val="center"/>
            <w:rPr>
              <w:kern w:val="2"/>
              <w:sz w:val="22"/>
              <w:szCs w:val="22"/>
            </w:rPr>
          </w:pPr>
        </w:p>
        <w:p>
          <w:pPr>
            <w:rPr>
              <w:sz w:val="14"/>
              <w:szCs w:val="14"/>
            </w:rPr>
          </w:pPr>
        </w:p>
      </w:sdtContent>
    </w:sdt>
    <w:sdt>
      <w:sdtPr>
        <w:alias w:val="pastraipa"/>
        <w:tag w:val="part_aac6b7b2f3d642e9a24e3669dc738ec8"/>
        <w:lock w:val="sdtLocked"/>
        <w:richText/>
      </w:sdtPr>
      <w:sdtContent>
        <w:p>
          <w:pPr>
            <w:spacing w:line="259" w:lineRule="auto"/>
            <w:jc w:val="center"/>
            <w:rPr>
              <w:kern w:val="2"/>
              <w:sz w:val="22"/>
              <w:szCs w:val="22"/>
            </w:rPr>
          </w:pPr>
          <w:r>
            <w:rPr>
              <w:kern w:val="2"/>
              <w:sz w:val="22"/>
              <w:szCs w:val="22"/>
            </w:rPr>
            <w:t>___________________________</w:t>
          </w:r>
        </w:p>
      </w:sdtContent>
    </w:sdt>
    <w:sectPr>
      <w:headerReference w:type="even" r:id="rId9"/>
      <w:headerReference w:type="default" r:id="rId10"/>
      <w:footerReference w:type="even" r:id="rId11"/>
      <w:footerReference w:type="default" r:id="rId12"/>
      <w:headerReference w:type="first" r:id="rId13"/>
      <w:footerReference w:type="first" r:id="rId14"/>
      <w:pgSz w:w="16838" w:h="11906" w:orient="landscape"/>
      <w:pgMar w:top="170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 w:type="continuationNotice" w:id="1">
    <w:p>
      <w:pPr>
        <w:rPr>
          <w:kern w:val="2"/>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 w:type="continuationNotice" w:id="1">
    <w:p>
      <w:pPr>
        <w:rPr>
          <w:kern w:val="2"/>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 w:val="22"/>
        <w:szCs w:val="22"/>
      </w:rPr>
    </w:pPr>
    <w:r>
      <w:rPr>
        <w:kern w:val="2"/>
        <w:sz w:val="22"/>
        <w:szCs w:val="22"/>
      </w:rPr>
      <w:fldChar w:fldCharType="begin"/>
    </w:r>
    <w:r>
      <w:rPr>
        <w:kern w:val="2"/>
        <w:sz w:val="22"/>
        <w:szCs w:val="22"/>
      </w:rPr>
      <w:instrText>PAGE   \* MERGEFORMAT</w:instrText>
    </w:r>
    <w:r>
      <w:rPr>
        <w:kern w:val="2"/>
        <w:sz w:val="22"/>
        <w:szCs w:val="22"/>
      </w:rPr>
      <w:fldChar w:fldCharType="separate"/>
    </w:r>
    <w:r>
      <w:rPr>
        <w:kern w:val="2"/>
        <w:sz w:val="22"/>
        <w:szCs w:val="22"/>
      </w:rPr>
      <w:t>2</w:t>
    </w:r>
    <w:r>
      <w:rPr>
        <w:kern w:val="2"/>
        <w:sz w:val="22"/>
        <w:szCs w:val="22"/>
      </w:rPr>
      <w:fldChar w:fldCharType="end"/>
    </w:r>
  </w:p>
  <w:p>
    <w:pPr>
      <w:tabs>
        <w:tab w:val="center" w:pos="4819"/>
        <w:tab w:val="right" w:pos="9638"/>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2F4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98C502-FE5A-4D26-BE77-C7085B1863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02449911">
      <w:bodyDiv w:val="1"/>
      <w:marLeft w:val="0"/>
      <w:marRight w:val="0"/>
      <w:marTop w:val="0"/>
      <w:marBottom w:val="0"/>
      <w:divBdr>
        <w:top w:val="none" w:sz="0" w:space="0" w:color="auto"/>
        <w:left w:val="none" w:sz="0" w:space="0" w:color="auto"/>
        <w:bottom w:val="none" w:sz="0" w:space="0" w:color="auto"/>
        <w:right w:val="none" w:sz="0" w:space="0" w:color="auto"/>
      </w:divBdr>
      <w:divsChild>
        <w:div w:id="240068301">
          <w:marLeft w:val="0"/>
          <w:marRight w:val="0"/>
          <w:marTop w:val="0"/>
          <w:marBottom w:val="0"/>
          <w:divBdr>
            <w:top w:val="none" w:sz="0" w:space="0" w:color="auto"/>
            <w:left w:val="none" w:sz="0" w:space="0" w:color="auto"/>
            <w:bottom w:val="none" w:sz="0" w:space="0" w:color="auto"/>
            <w:right w:val="none" w:sz="0" w:space="0" w:color="auto"/>
          </w:divBdr>
        </w:div>
        <w:div w:id="323583253">
          <w:marLeft w:val="0"/>
          <w:marRight w:val="0"/>
          <w:marTop w:val="0"/>
          <w:marBottom w:val="0"/>
          <w:divBdr>
            <w:top w:val="none" w:sz="0" w:space="0" w:color="auto"/>
            <w:left w:val="none" w:sz="0" w:space="0" w:color="auto"/>
            <w:bottom w:val="none" w:sz="0" w:space="0" w:color="auto"/>
            <w:right w:val="none" w:sz="0" w:space="0" w:color="auto"/>
          </w:divBdr>
        </w:div>
        <w:div w:id="451435629">
          <w:marLeft w:val="0"/>
          <w:marRight w:val="0"/>
          <w:marTop w:val="0"/>
          <w:marBottom w:val="0"/>
          <w:divBdr>
            <w:top w:val="none" w:sz="0" w:space="0" w:color="auto"/>
            <w:left w:val="none" w:sz="0" w:space="0" w:color="auto"/>
            <w:bottom w:val="none" w:sz="0" w:space="0" w:color="auto"/>
            <w:right w:val="none" w:sz="0" w:space="0" w:color="auto"/>
          </w:divBdr>
        </w:div>
        <w:div w:id="658071709">
          <w:marLeft w:val="0"/>
          <w:marRight w:val="0"/>
          <w:marTop w:val="0"/>
          <w:marBottom w:val="0"/>
          <w:divBdr>
            <w:top w:val="none" w:sz="0" w:space="0" w:color="auto"/>
            <w:left w:val="none" w:sz="0" w:space="0" w:color="auto"/>
            <w:bottom w:val="none" w:sz="0" w:space="0" w:color="auto"/>
            <w:right w:val="none" w:sz="0" w:space="0" w:color="auto"/>
          </w:divBdr>
        </w:div>
        <w:div w:id="753671325">
          <w:marLeft w:val="0"/>
          <w:marRight w:val="0"/>
          <w:marTop w:val="0"/>
          <w:marBottom w:val="0"/>
          <w:divBdr>
            <w:top w:val="none" w:sz="0" w:space="0" w:color="auto"/>
            <w:left w:val="none" w:sz="0" w:space="0" w:color="auto"/>
            <w:bottom w:val="none" w:sz="0" w:space="0" w:color="auto"/>
            <w:right w:val="none" w:sz="0" w:space="0" w:color="auto"/>
          </w:divBdr>
        </w:div>
        <w:div w:id="993683456">
          <w:marLeft w:val="0"/>
          <w:marRight w:val="0"/>
          <w:marTop w:val="0"/>
          <w:marBottom w:val="0"/>
          <w:divBdr>
            <w:top w:val="none" w:sz="0" w:space="0" w:color="auto"/>
            <w:left w:val="none" w:sz="0" w:space="0" w:color="auto"/>
            <w:bottom w:val="none" w:sz="0" w:space="0" w:color="auto"/>
            <w:right w:val="none" w:sz="0" w:space="0" w:color="auto"/>
          </w:divBdr>
        </w:div>
        <w:div w:id="1026129733">
          <w:marLeft w:val="0"/>
          <w:marRight w:val="0"/>
          <w:marTop w:val="0"/>
          <w:marBottom w:val="0"/>
          <w:divBdr>
            <w:top w:val="none" w:sz="0" w:space="0" w:color="auto"/>
            <w:left w:val="none" w:sz="0" w:space="0" w:color="auto"/>
            <w:bottom w:val="none" w:sz="0" w:space="0" w:color="auto"/>
            <w:right w:val="none" w:sz="0" w:space="0" w:color="auto"/>
          </w:divBdr>
        </w:div>
        <w:div w:id="1171264223">
          <w:marLeft w:val="0"/>
          <w:marRight w:val="0"/>
          <w:marTop w:val="0"/>
          <w:marBottom w:val="0"/>
          <w:divBdr>
            <w:top w:val="none" w:sz="0" w:space="0" w:color="auto"/>
            <w:left w:val="none" w:sz="0" w:space="0" w:color="auto"/>
            <w:bottom w:val="none" w:sz="0" w:space="0" w:color="auto"/>
            <w:right w:val="none" w:sz="0" w:space="0" w:color="auto"/>
          </w:divBdr>
        </w:div>
        <w:div w:id="1434789889">
          <w:marLeft w:val="0"/>
          <w:marRight w:val="0"/>
          <w:marTop w:val="0"/>
          <w:marBottom w:val="0"/>
          <w:divBdr>
            <w:top w:val="none" w:sz="0" w:space="0" w:color="auto"/>
            <w:left w:val="none" w:sz="0" w:space="0" w:color="auto"/>
            <w:bottom w:val="none" w:sz="0" w:space="0" w:color="auto"/>
            <w:right w:val="none" w:sz="0" w:space="0" w:color="auto"/>
          </w:divBdr>
        </w:div>
        <w:div w:id="1692874237">
          <w:marLeft w:val="0"/>
          <w:marRight w:val="0"/>
          <w:marTop w:val="0"/>
          <w:marBottom w:val="0"/>
          <w:divBdr>
            <w:top w:val="none" w:sz="0" w:space="0" w:color="auto"/>
            <w:left w:val="none" w:sz="0" w:space="0" w:color="auto"/>
            <w:bottom w:val="none" w:sz="0" w:space="0" w:color="auto"/>
            <w:right w:val="none" w:sz="0" w:space="0" w:color="auto"/>
          </w:divBdr>
        </w:div>
        <w:div w:id="18953146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9" ma:contentTypeDescription="Create a new document." ma:contentTypeScope="" ma:versionID="b449e51851ecef6313d1a8a90b6a0449">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05822cd2f187b26fcfaa279de054585b"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7ec3436e-2e75-43d1-b565-6f6c5970dbd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5aad5d0-9c26-490e-8743-a6c7ceabd501">
      <Terms xmlns="http://schemas.microsoft.com/office/infopath/2007/PartnerControls"/>
    </lcf76f155ced4ddcb4097134ff3c332f>
    <TaxCatchAll xmlns="19cf09c5-daa1-4028-a0ff-74a0be4ec5cc" xsi:nil="true"/>
  </documentManagement>
</p:properties>
</file>

<file path=customXml/item4.xml><?xml version="1.0" encoding="utf-8"?>
<Parts xmlns="http://lrs.lt/TAIS/DocParts">
  <Part Type="lentele" DocPartId="b8a3fdee46404462b36a4e3e03e4b786" PartId="fbef5e7fbcea4e55a6a217a7bbc16331"/>
  <Part Type="pastraipa" DocPartId="76da473c8db0439db07b581378bc1dfa" PartId="aac6b7b2f3d642e9a24e3669dc738ec8"/>
</Parts>
</file>

<file path=customXml/itemProps1.xml><?xml version="1.0" encoding="utf-8"?>
<ds:datastoreItem xmlns:ds="http://schemas.openxmlformats.org/officeDocument/2006/customXml" ds:itemID="{5DBC9DB6-06F6-478D-8E39-B1FB0D331B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C98695-46DF-4CF4-85ED-D996A05AF7D9}">
  <ds:schemaRefs>
    <ds:schemaRef ds:uri="http://schemas.microsoft.com/sharepoint/v3/contenttype/forms"/>
  </ds:schemaRefs>
</ds:datastoreItem>
</file>

<file path=customXml/itemProps3.xml><?xml version="1.0" encoding="utf-8"?>
<ds:datastoreItem xmlns:ds="http://schemas.openxmlformats.org/officeDocument/2006/customXml" ds:itemID="{7C703015-FAE5-43E2-8D8F-4164F922D116}">
  <ds:schemaRefs>
    <ds:schemaRef ds:uri="http://purl.org/dc/elements/1.1/"/>
    <ds:schemaRef ds:uri="http://schemas.microsoft.com/office/2006/metadata/properties"/>
    <ds:schemaRef ds:uri="http://www.w3.org/XML/1998/namespace"/>
    <ds:schemaRef ds:uri="f5aad5d0-9c26-490e-8743-a6c7ceabd501"/>
    <ds:schemaRef ds:uri="http://purl.org/dc/term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19cf09c5-daa1-4028-a0ff-74a0be4ec5cc"/>
  </ds:schemaRefs>
</ds:datastoreItem>
</file>

<file path=customXml/itemProps4.xml><?xml version="1.0" encoding="utf-8"?>
<ds:datastoreItem xmlns:ds="http://schemas.openxmlformats.org/officeDocument/2006/customXml" ds:itemID="{EA2EFEE6-527A-4D92-A768-22DBB4CE28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297</Words>
  <Characters>2052</Characters>
  <Application>Microsoft Office Word</Application>
  <DocSecurity>4</DocSecurity>
  <Lines>52</Lines>
  <Paragraphs>16</Paragraphs>
  <ScaleCrop>false</ScaleCrop>
  <Company/>
  <LinksUpToDate>false</LinksUpToDate>
  <CharactersWithSpaces>2333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2025-11-28T14:09:00Z</dcterms:created>
  <dc:creator>Aurimas Jančiauskas</dc:creator>
  <lastModifiedBy>adlibuser</lastModifiedBy>
  <dcterms:modified xsi:type="dcterms:W3CDTF">2025-11-28T14:09:00Z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