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76aeff8246d4eff9a65cc05ea5e8a40"/>
        <w:lock w:val="sdtLocked"/>
        <w:richText/>
      </w:sdtPr>
      <w:sdtContent>
        <w:p w14:paraId="6CE728B4" w14:textId="77777777">
          <w:pPr>
            <w:widowControl w:val="0"/>
            <w:tabs>
              <w:tab w:val="center" w:pos="4819"/>
              <w:tab w:val="right" w:pos="9638"/>
            </w:tabs>
            <w:suppressAutoHyphens/>
            <w:jc w:val="center"/>
            <w:rPr>
              <w:rFonts w:eastAsia="Lucida Sans Unicode"/>
              <w:szCs w:val="24"/>
              <w:lang w:val="x-none"/>
            </w:rPr>
          </w:pPr>
        </w:p>
        <w:p w14:paraId="7B116C76" w14:textId="77777777">
          <w:pPr>
            <w:widowControl w:val="0"/>
            <w:tabs>
              <w:tab w:val="center" w:pos="4819"/>
              <w:tab w:val="right" w:pos="9638"/>
            </w:tabs>
            <w:suppressAutoHyphens/>
            <w:rPr>
              <w:rFonts w:eastAsia="Lucida Sans Unicode"/>
              <w:szCs w:val="24"/>
              <w:lang w:val="x-none"/>
            </w:rPr>
          </w:pPr>
        </w:p>
        <w:p w14:paraId="1A6752A0" w14:textId="76066D7F">
          <w:pPr>
            <w:widowControl w:val="0"/>
            <w:suppressAutoHyphens/>
            <w:jc w:val="center"/>
            <w:rPr>
              <w:rFonts w:eastAsia="Lucida Sans Unicode"/>
              <w:b/>
              <w:bCs/>
              <w:color w:val="000000"/>
              <w:szCs w:val="24"/>
              <w:lang w:eastAsia="lt-LT"/>
            </w:rPr>
          </w:pPr>
          <w:r>
            <w:rPr>
              <w:rFonts w:eastAsia="Lucida Sans Unicode"/>
              <w:b/>
              <w:kern w:val="1"/>
              <w:szCs w:val="24"/>
              <w:lang w:eastAsia="ar-SA"/>
            </w:rPr>
            <w:t xml:space="preserve">REGLAMENTO (EB) NR. 1013/2006 </w:t>
          </w:r>
          <w:r>
            <w:rPr>
              <w:b/>
              <w:szCs w:val="24"/>
            </w:rPr>
            <w:t xml:space="preserve">IR </w:t>
          </w:r>
          <w:r>
            <w:rPr>
              <w:rFonts w:eastAsia="Lucida Sans Unicode"/>
              <w:b/>
              <w:szCs w:val="24"/>
              <w:lang w:val="en-US"/>
            </w:rPr>
            <w:t xml:space="preserve">LIETUVOS RESPUBLIKOS </w:t>
          </w:r>
          <w:r>
            <w:rPr>
              <w:b/>
              <w:bCs/>
              <w:color w:val="000000"/>
              <w:szCs w:val="24"/>
              <w:lang w:eastAsia="lt-LT"/>
            </w:rPr>
            <w:t xml:space="preserve">ATLIEKŲ TVARKYMO ĮSTATYMO NR. VIII-787 1, </w:t>
          </w:r>
          <w:r>
            <w:rPr>
              <w:rFonts w:eastAsia="Lucida Sans Unicode"/>
              <w:b/>
              <w:szCs w:val="24"/>
            </w:rPr>
            <w:t xml:space="preserve">2, 4, 30, </w:t>
          </w:r>
          <w:r>
            <w:rPr>
              <w:rFonts w:eastAsia="Lucida Sans Unicode"/>
              <w:b/>
              <w:bCs/>
              <w:caps/>
              <w:szCs w:val="24"/>
            </w:rPr>
            <w:t>32</w:t>
          </w:r>
          <w:r>
            <w:rPr>
              <w:rFonts w:eastAsia="Lucida Sans Unicode"/>
              <w:b/>
              <w:bCs/>
              <w:caps/>
              <w:szCs w:val="24"/>
              <w:vertAlign w:val="superscript"/>
            </w:rPr>
            <w:t>1</w:t>
          </w:r>
          <w:r>
            <w:rPr>
              <w:rFonts w:eastAsia="Lucida Sans Unicode"/>
              <w:b/>
              <w:bCs/>
              <w:caps/>
              <w:szCs w:val="24"/>
            </w:rPr>
            <w:t>, 34</w:t>
          </w:r>
          <w:r>
            <w:rPr>
              <w:rFonts w:eastAsia="Lucida Sans Unicode"/>
              <w:b/>
              <w:bCs/>
              <w:caps/>
              <w:szCs w:val="24"/>
              <w:vertAlign w:val="superscript"/>
            </w:rPr>
            <w:t>1</w:t>
          </w:r>
          <w:r>
            <w:rPr>
              <w:rFonts w:eastAsia="Lucida Sans Unicode"/>
              <w:b/>
              <w:bCs/>
              <w:caps/>
              <w:szCs w:val="24"/>
            </w:rPr>
            <w:t xml:space="preserve">, </w:t>
          </w:r>
          <w:r>
            <w:rPr>
              <w:rFonts w:eastAsia="Lucida Sans Unicode"/>
              <w:b/>
              <w:szCs w:val="24"/>
            </w:rPr>
            <w:t>34</w:t>
          </w:r>
          <w:r>
            <w:rPr>
              <w:rFonts w:eastAsia="Lucida Sans Unicode"/>
              <w:b/>
              <w:szCs w:val="24"/>
              <w:vertAlign w:val="superscript"/>
            </w:rPr>
            <w:t>15</w:t>
          </w:r>
          <w:r>
            <w:rPr>
              <w:rFonts w:eastAsia="Lucida Sans Unicode"/>
              <w:b/>
              <w:szCs w:val="24"/>
            </w:rPr>
            <w:t>, 34</w:t>
          </w:r>
          <w:r>
            <w:rPr>
              <w:rFonts w:eastAsia="Lucida Sans Unicode"/>
              <w:b/>
              <w:szCs w:val="24"/>
              <w:vertAlign w:val="superscript"/>
            </w:rPr>
            <w:t>16</w:t>
          </w:r>
          <w:r>
            <w:rPr>
              <w:rFonts w:eastAsia="Lucida Sans Unicode"/>
              <w:b/>
              <w:szCs w:val="24"/>
            </w:rPr>
            <w:t>, 34</w:t>
          </w:r>
          <w:r>
            <w:rPr>
              <w:rFonts w:eastAsia="Lucida Sans Unicode"/>
              <w:b/>
              <w:szCs w:val="24"/>
              <w:vertAlign w:val="superscript"/>
            </w:rPr>
            <w:t>18</w:t>
          </w:r>
          <w:r>
            <w:rPr>
              <w:rFonts w:eastAsia="Lucida Sans Unicode"/>
              <w:b/>
              <w:szCs w:val="24"/>
            </w:rPr>
            <w:t>, 34</w:t>
          </w:r>
          <w:r>
            <w:rPr>
              <w:rFonts w:eastAsia="Lucida Sans Unicode"/>
              <w:b/>
              <w:szCs w:val="24"/>
              <w:vertAlign w:val="superscript"/>
            </w:rPr>
            <w:t>22</w:t>
          </w:r>
          <w:r>
            <w:rPr>
              <w:rFonts w:eastAsia="Lucida Sans Unicode"/>
              <w:b/>
              <w:szCs w:val="24"/>
            </w:rPr>
            <w:t>, 34</w:t>
          </w:r>
          <w:r>
            <w:rPr>
              <w:rFonts w:eastAsia="Lucida Sans Unicode"/>
              <w:b/>
              <w:szCs w:val="24"/>
              <w:vertAlign w:val="superscript"/>
            </w:rPr>
            <w:t>24</w:t>
          </w:r>
          <w:r>
            <w:rPr>
              <w:rFonts w:eastAsia="Lucida Sans Unicode"/>
              <w:b/>
              <w:szCs w:val="24"/>
            </w:rPr>
            <w:t>, 34</w:t>
          </w:r>
          <w:r>
            <w:rPr>
              <w:rFonts w:eastAsia="Lucida Sans Unicode"/>
              <w:b/>
              <w:szCs w:val="24"/>
              <w:vertAlign w:val="superscript"/>
            </w:rPr>
            <w:t>25</w:t>
          </w:r>
          <w:r>
            <w:rPr>
              <w:rFonts w:eastAsia="Lucida Sans Unicode"/>
              <w:b/>
              <w:szCs w:val="24"/>
            </w:rPr>
            <w:t>, 34</w:t>
          </w:r>
          <w:r>
            <w:rPr>
              <w:rFonts w:eastAsia="Lucida Sans Unicode"/>
              <w:b/>
              <w:szCs w:val="24"/>
              <w:vertAlign w:val="superscript"/>
            </w:rPr>
            <w:t>26</w:t>
          </w:r>
          <w:r>
            <w:rPr>
              <w:rFonts w:eastAsia="Lucida Sans Unicode"/>
              <w:b/>
              <w:szCs w:val="24"/>
            </w:rPr>
            <w:t>, 34</w:t>
          </w:r>
          <w:r>
            <w:rPr>
              <w:rFonts w:eastAsia="Lucida Sans Unicode"/>
              <w:b/>
              <w:szCs w:val="24"/>
              <w:vertAlign w:val="superscript"/>
            </w:rPr>
            <w:t>30</w:t>
          </w:r>
          <w:r>
            <w:rPr>
              <w:rFonts w:eastAsia="Lucida Sans Unicode"/>
              <w:b/>
              <w:szCs w:val="24"/>
            </w:rPr>
            <w:t>, 34</w:t>
          </w:r>
          <w:r>
            <w:rPr>
              <w:rFonts w:eastAsia="Lucida Sans Unicode"/>
              <w:b/>
              <w:szCs w:val="24"/>
              <w:vertAlign w:val="superscript"/>
            </w:rPr>
            <w:t>31</w:t>
          </w:r>
          <w:r>
            <w:rPr>
              <w:rFonts w:eastAsia="Lucida Sans Unicode"/>
              <w:b/>
              <w:szCs w:val="24"/>
            </w:rPr>
            <w:t xml:space="preserve"> STRAIPSNIŲ, AŠTUNTOJO</w:t>
          </w:r>
          <w:r>
            <w:rPr>
              <w:rFonts w:eastAsia="Lucida Sans Unicode"/>
              <w:b/>
              <w:szCs w:val="24"/>
              <w:vertAlign w:val="superscript"/>
            </w:rPr>
            <w:t>4</w:t>
          </w:r>
          <w:r>
            <w:rPr>
              <w:rFonts w:eastAsia="Lucida Sans Unicode"/>
              <w:b/>
              <w:szCs w:val="24"/>
            </w:rPr>
            <w:t xml:space="preserve"> IR AŠTUNTOJO</w:t>
          </w:r>
          <w:r>
            <w:rPr>
              <w:rFonts w:eastAsia="Lucida Sans Unicode"/>
              <w:b/>
              <w:szCs w:val="24"/>
              <w:vertAlign w:val="superscript"/>
            </w:rPr>
            <w:t>5</w:t>
          </w:r>
          <w:r>
            <w:rPr>
              <w:rFonts w:eastAsia="Lucida Sans Unicode"/>
              <w:b/>
              <w:szCs w:val="24"/>
            </w:rPr>
            <w:t xml:space="preserve"> SKIRSNIŲ PAVADINIMŲ, 5 PRIEDO PAKEITIMO, ĮSTATYMO PAPILDYMO 4</w:t>
          </w:r>
          <w:r>
            <w:rPr>
              <w:rFonts w:eastAsia="Lucida Sans Unicode"/>
              <w:b/>
              <w:szCs w:val="24"/>
              <w:vertAlign w:val="superscript"/>
            </w:rPr>
            <w:t>3</w:t>
          </w:r>
          <w:r>
            <w:rPr>
              <w:rFonts w:eastAsia="Lucida Sans Unicode"/>
              <w:b/>
              <w:szCs w:val="24"/>
            </w:rPr>
            <w:t xml:space="preserve"> STRAIPSNIU IR 34</w:t>
          </w:r>
          <w:r>
            <w:rPr>
              <w:rFonts w:eastAsia="Lucida Sans Unicode"/>
              <w:b/>
              <w:szCs w:val="24"/>
              <w:vertAlign w:val="superscript"/>
            </w:rPr>
            <w:t>17</w:t>
          </w:r>
          <w:r>
            <w:rPr>
              <w:rFonts w:eastAsia="Lucida Sans Unicode"/>
              <w:b/>
              <w:szCs w:val="24"/>
            </w:rPr>
            <w:t xml:space="preserve"> STRAIPSNIO PRIPAŽINIMO NETEKUSIU GALIOS ĮSTATYMO PROJEKTO</w:t>
          </w:r>
        </w:p>
        <w:p w14:paraId="12BA801D" w14:textId="58323D52">
          <w:pPr>
            <w:widowControl w:val="0"/>
            <w:suppressAutoHyphens/>
            <w:spacing w:line="23" w:lineRule="atLeast"/>
            <w:jc w:val="center"/>
            <w:rPr>
              <w:rFonts w:eastAsia="Lucida Sans Unicode"/>
              <w:b/>
              <w:szCs w:val="24"/>
            </w:rPr>
          </w:pPr>
          <w:r>
            <w:rPr>
              <w:rFonts w:eastAsia="Lucida Sans Unicode"/>
              <w:b/>
              <w:bCs/>
              <w:szCs w:val="24"/>
            </w:rPr>
            <w:t>ATITIKTIES LENTELĖ</w:t>
          </w:r>
        </w:p>
        <w:p w14:paraId="17D19FA5" w14:textId="77777777">
          <w:pPr>
            <w:widowControl w:val="0"/>
            <w:suppressAutoHyphens/>
            <w:spacing w:line="23" w:lineRule="atLeast"/>
            <w:jc w:val="center"/>
            <w:rPr>
              <w:rFonts w:eastAsia="Lucida Sans Unicode"/>
              <w:szCs w:val="24"/>
            </w:rPr>
          </w:pPr>
        </w:p>
        <w:tbl>
          <w:tblPr>
            <w:tblW w:w="14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8363"/>
            <w:gridCol w:w="2524"/>
          </w:tblGrid>
          <w:tr w14:paraId="52DF4158" w14:textId="77777777">
            <w:tc>
              <w:tcPr>
                <w:tcW w:w="4106" w:type="dxa"/>
              </w:tcPr>
              <w:p w14:paraId="1F071196" w14:textId="77777777">
                <w:pPr>
                  <w:jc w:val="both"/>
                  <w:rPr>
                    <w:rFonts w:eastAsia="Lucida Sans Unicode"/>
                    <w:b/>
                    <w:kern w:val="1"/>
                    <w:szCs w:val="24"/>
                    <w:lang w:eastAsia="ar-SA"/>
                  </w:rPr>
                </w:pPr>
                <w:r>
                  <w:rPr>
                    <w:rFonts w:eastAsia="Lucida Sans Unicode"/>
                    <w:b/>
                    <w:szCs w:val="24"/>
                  </w:rPr>
                  <w:t xml:space="preserve">2006 m. birželio 14 d. Europos Parlamento ir Tarybos Reglamentas </w:t>
                </w:r>
                <w:fldSimple w:instr="HYPERLINK http://eur-lex.europa.eu/legal-content/LIT/TXT/?uri=CELEX:32006R1013&amp;locale=lt \t _blank">
                  <w:r>
                    <w:rPr>
                      <w:rFonts w:eastAsia="Lucida Sans Unicode"/>
                      <w:b/>
                      <w:szCs w:val="24"/>
                      <w:u w:val="single"/>
                      <w:color w:val="0000FF" w:themeColor="hyperlink"/>
                    </w:rPr>
                    <w:t>(EB) Nr. 1013/2006</w:t>
                  </w:r>
                </w:fldSimple>
                <w:r>
                  <w:rPr>
                    <w:rFonts w:eastAsia="Lucida Sans Unicode"/>
                    <w:b/>
                    <w:szCs w:val="24"/>
                  </w:rPr>
                  <w:t xml:space="preserve"> dėl atliekų vežimo</w:t>
                </w:r>
              </w:p>
            </w:tc>
            <w:tc>
              <w:tcPr>
                <w:tcW w:w="8363" w:type="dxa"/>
              </w:tcPr>
              <w:p w14:paraId="6D3A64C8" w14:textId="02FDBEEB">
                <w:pPr>
                  <w:widowControl w:val="0"/>
                  <w:suppressAutoHyphens/>
                  <w:jc w:val="both"/>
                  <w:rPr>
                    <w:rFonts w:eastAsia="Lucida Sans Unicode"/>
                    <w:b/>
                    <w:bCs/>
                    <w:szCs w:val="24"/>
                  </w:rPr>
                </w:pPr>
                <w:r>
                  <w:rPr>
                    <w:rFonts w:eastAsia="Lucida Sans Unicode"/>
                    <w:b/>
                    <w:szCs w:val="24"/>
                  </w:rPr>
                  <w:t xml:space="preserve">Lietuvos Respublikos </w:t>
                </w:r>
                <w:r>
                  <w:rPr>
                    <w:rFonts w:eastAsia="Lucida Sans Unicode"/>
                    <w:b/>
                    <w:bCs/>
                    <w:szCs w:val="24"/>
                  </w:rPr>
                  <w:t xml:space="preserve">atliekų tvarkymo įstatymo Nr. VIII-787 1, 2, 4, 30, </w:t>
                </w:r>
                <w:r>
                  <w:rPr>
                    <w:rFonts w:eastAsia="Lucida Sans Unicode"/>
                    <w:b/>
                    <w:bCs/>
                    <w:caps/>
                    <w:szCs w:val="24"/>
                  </w:rPr>
                  <w:t>32</w:t>
                </w:r>
                <w:r>
                  <w:rPr>
                    <w:rFonts w:eastAsia="Lucida Sans Unicode"/>
                    <w:b/>
                    <w:bCs/>
                    <w:caps/>
                    <w:szCs w:val="24"/>
                    <w:vertAlign w:val="superscript"/>
                  </w:rPr>
                  <w:t>1</w:t>
                </w:r>
                <w:r>
                  <w:rPr>
                    <w:rFonts w:eastAsia="Lucida Sans Unicode"/>
                    <w:b/>
                    <w:bCs/>
                    <w:caps/>
                    <w:szCs w:val="24"/>
                  </w:rPr>
                  <w:t>, 34</w:t>
                </w:r>
                <w:r>
                  <w:rPr>
                    <w:rFonts w:eastAsia="Lucida Sans Unicode"/>
                    <w:b/>
                    <w:bCs/>
                    <w:caps/>
                    <w:szCs w:val="24"/>
                    <w:vertAlign w:val="superscript"/>
                  </w:rPr>
                  <w:t>1</w:t>
                </w:r>
                <w:r>
                  <w:rPr>
                    <w:rFonts w:eastAsia="Lucida Sans Unicode"/>
                    <w:b/>
                    <w:bCs/>
                    <w:caps/>
                    <w:szCs w:val="24"/>
                  </w:rPr>
                  <w:t xml:space="preserve">, </w:t>
                </w:r>
                <w:r>
                  <w:rPr>
                    <w:rFonts w:eastAsia="Lucida Sans Unicode"/>
                    <w:b/>
                    <w:bCs/>
                    <w:szCs w:val="24"/>
                  </w:rPr>
                  <w:t>34</w:t>
                </w:r>
                <w:r>
                  <w:rPr>
                    <w:rFonts w:eastAsia="Lucida Sans Unicode"/>
                    <w:b/>
                    <w:bCs/>
                    <w:szCs w:val="24"/>
                    <w:vertAlign w:val="superscript"/>
                  </w:rPr>
                  <w:t>15</w:t>
                </w:r>
                <w:r>
                  <w:rPr>
                    <w:rFonts w:eastAsia="Lucida Sans Unicode"/>
                    <w:b/>
                    <w:bCs/>
                    <w:szCs w:val="24"/>
                  </w:rPr>
                  <w:t>, 34</w:t>
                </w:r>
                <w:r>
                  <w:rPr>
                    <w:rFonts w:eastAsia="Lucida Sans Unicode"/>
                    <w:b/>
                    <w:bCs/>
                    <w:szCs w:val="24"/>
                    <w:vertAlign w:val="superscript"/>
                  </w:rPr>
                  <w:t>16</w:t>
                </w:r>
                <w:r>
                  <w:rPr>
                    <w:rFonts w:eastAsia="Lucida Sans Unicode"/>
                    <w:b/>
                    <w:bCs/>
                    <w:szCs w:val="24"/>
                  </w:rPr>
                  <w:t>, 34</w:t>
                </w:r>
                <w:r>
                  <w:rPr>
                    <w:rFonts w:eastAsia="Lucida Sans Unicode"/>
                    <w:b/>
                    <w:bCs/>
                    <w:szCs w:val="24"/>
                    <w:vertAlign w:val="superscript"/>
                  </w:rPr>
                  <w:t>18</w:t>
                </w:r>
                <w:r>
                  <w:rPr>
                    <w:rFonts w:eastAsia="Lucida Sans Unicode"/>
                    <w:b/>
                    <w:bCs/>
                    <w:szCs w:val="24"/>
                  </w:rPr>
                  <w:t>, 34</w:t>
                </w:r>
                <w:r>
                  <w:rPr>
                    <w:rFonts w:eastAsia="Lucida Sans Unicode"/>
                    <w:b/>
                    <w:bCs/>
                    <w:szCs w:val="24"/>
                    <w:vertAlign w:val="superscript"/>
                  </w:rPr>
                  <w:t>22</w:t>
                </w:r>
                <w:r>
                  <w:rPr>
                    <w:rFonts w:eastAsia="Lucida Sans Unicode"/>
                    <w:b/>
                    <w:bCs/>
                    <w:szCs w:val="24"/>
                  </w:rPr>
                  <w:t>, 34</w:t>
                </w:r>
                <w:r>
                  <w:rPr>
                    <w:rFonts w:eastAsia="Lucida Sans Unicode"/>
                    <w:b/>
                    <w:bCs/>
                    <w:szCs w:val="24"/>
                    <w:vertAlign w:val="superscript"/>
                  </w:rPr>
                  <w:t>24</w:t>
                </w:r>
                <w:r>
                  <w:rPr>
                    <w:rFonts w:eastAsia="Lucida Sans Unicode"/>
                    <w:b/>
                    <w:bCs/>
                    <w:szCs w:val="24"/>
                  </w:rPr>
                  <w:t>, 34</w:t>
                </w:r>
                <w:r>
                  <w:rPr>
                    <w:rFonts w:eastAsia="Lucida Sans Unicode"/>
                    <w:b/>
                    <w:bCs/>
                    <w:szCs w:val="24"/>
                    <w:vertAlign w:val="superscript"/>
                  </w:rPr>
                  <w:t>25</w:t>
                </w:r>
                <w:r>
                  <w:rPr>
                    <w:rFonts w:eastAsia="Lucida Sans Unicode"/>
                    <w:b/>
                    <w:bCs/>
                    <w:szCs w:val="24"/>
                  </w:rPr>
                  <w:t>, 34</w:t>
                </w:r>
                <w:r>
                  <w:rPr>
                    <w:rFonts w:eastAsia="Lucida Sans Unicode"/>
                    <w:b/>
                    <w:bCs/>
                    <w:szCs w:val="24"/>
                    <w:vertAlign w:val="superscript"/>
                  </w:rPr>
                  <w:t>26</w:t>
                </w:r>
                <w:r>
                  <w:rPr>
                    <w:rFonts w:eastAsia="Lucida Sans Unicode"/>
                    <w:b/>
                    <w:bCs/>
                    <w:szCs w:val="24"/>
                  </w:rPr>
                  <w:t>, 34</w:t>
                </w:r>
                <w:r>
                  <w:rPr>
                    <w:rFonts w:eastAsia="Lucida Sans Unicode"/>
                    <w:b/>
                    <w:bCs/>
                    <w:szCs w:val="24"/>
                    <w:vertAlign w:val="superscript"/>
                  </w:rPr>
                  <w:t>30</w:t>
                </w:r>
                <w:r>
                  <w:rPr>
                    <w:rFonts w:eastAsia="Lucida Sans Unicode"/>
                    <w:b/>
                    <w:bCs/>
                    <w:szCs w:val="24"/>
                  </w:rPr>
                  <w:t>, 34</w:t>
                </w:r>
                <w:r>
                  <w:rPr>
                    <w:rFonts w:eastAsia="Lucida Sans Unicode"/>
                    <w:b/>
                    <w:bCs/>
                    <w:szCs w:val="24"/>
                    <w:vertAlign w:val="superscript"/>
                  </w:rPr>
                  <w:t>31</w:t>
                </w:r>
                <w:r>
                  <w:rPr>
                    <w:rFonts w:eastAsia="Lucida Sans Unicode"/>
                    <w:b/>
                    <w:bCs/>
                    <w:szCs w:val="24"/>
                  </w:rPr>
                  <w:t xml:space="preserve"> straipsnių, aštuntojo</w:t>
                </w:r>
                <w:r>
                  <w:rPr>
                    <w:rFonts w:eastAsia="Lucida Sans Unicode"/>
                    <w:b/>
                    <w:bCs/>
                    <w:szCs w:val="24"/>
                    <w:vertAlign w:val="superscript"/>
                  </w:rPr>
                  <w:t>4</w:t>
                </w:r>
                <w:r>
                  <w:rPr>
                    <w:rFonts w:eastAsia="Lucida Sans Unicode"/>
                    <w:b/>
                    <w:bCs/>
                    <w:szCs w:val="24"/>
                  </w:rPr>
                  <w:t xml:space="preserve"> ir aštuntojo</w:t>
                </w:r>
                <w:r>
                  <w:rPr>
                    <w:rFonts w:eastAsia="Lucida Sans Unicode"/>
                    <w:b/>
                    <w:bCs/>
                    <w:szCs w:val="24"/>
                    <w:vertAlign w:val="superscript"/>
                  </w:rPr>
                  <w:t>5</w:t>
                </w:r>
                <w:r>
                  <w:rPr>
                    <w:rFonts w:eastAsia="Lucida Sans Unicode"/>
                    <w:b/>
                    <w:bCs/>
                    <w:szCs w:val="24"/>
                  </w:rPr>
                  <w:t xml:space="preserve"> skirsnių pavadinimų, 5 priedo pakeitimo, Įstatymo papildymo 4</w:t>
                </w:r>
                <w:r>
                  <w:rPr>
                    <w:rFonts w:eastAsia="Lucida Sans Unicode"/>
                    <w:b/>
                    <w:bCs/>
                    <w:szCs w:val="24"/>
                    <w:vertAlign w:val="superscript"/>
                  </w:rPr>
                  <w:t>3</w:t>
                </w:r>
                <w:r>
                  <w:rPr>
                    <w:rFonts w:eastAsia="Lucida Sans Unicode"/>
                    <w:b/>
                    <w:bCs/>
                    <w:szCs w:val="24"/>
                  </w:rPr>
                  <w:t xml:space="preserve"> straipsniu straipsnio ir 34</w:t>
                </w:r>
                <w:r>
                  <w:rPr>
                    <w:rFonts w:eastAsia="Lucida Sans Unicode"/>
                    <w:b/>
                    <w:bCs/>
                    <w:szCs w:val="24"/>
                    <w:vertAlign w:val="superscript"/>
                  </w:rPr>
                  <w:t>17</w:t>
                </w:r>
                <w:r>
                  <w:rPr>
                    <w:rFonts w:eastAsia="Lucida Sans Unicode"/>
                    <w:b/>
                    <w:bCs/>
                    <w:szCs w:val="24"/>
                  </w:rPr>
                  <w:t xml:space="preserve"> straipsnio pripažinimo netekusiu galios įstatymo </w:t>
                </w:r>
                <w:r>
                  <w:rPr>
                    <w:rFonts w:eastAsia="Lucida Sans Unicode"/>
                    <w:b/>
                    <w:bCs/>
                    <w:color w:val="000000"/>
                    <w:szCs w:val="24"/>
                    <w:lang w:eastAsia="lt-LT"/>
                  </w:rPr>
                  <w:t>projektas</w:t>
                </w:r>
              </w:p>
            </w:tc>
            <w:tc>
              <w:tcPr>
                <w:tcW w:w="2524" w:type="dxa"/>
              </w:tcPr>
              <w:p w14:paraId="74393CD2" w14:textId="40C68AF7">
                <w:pPr>
                  <w:widowControl w:val="0"/>
                  <w:suppressAutoHyphens/>
                  <w:jc w:val="both"/>
                  <w:rPr>
                    <w:rFonts w:eastAsia="Lucida Sans Unicode"/>
                    <w:szCs w:val="24"/>
                  </w:rPr>
                </w:pPr>
                <w:r>
                  <w:rPr>
                    <w:rFonts w:eastAsia="Lucida Sans Unicode"/>
                    <w:b/>
                    <w:bCs/>
                    <w:szCs w:val="24"/>
                  </w:rPr>
                  <w:t>Reglamento įgyvendinimo lygis</w:t>
                </w:r>
              </w:p>
            </w:tc>
          </w:tr>
          <w:tr w14:paraId="04D0C37C" w14:textId="77777777">
            <w:trPr>
              <w:trHeight w:val="432"/>
            </w:trPr>
            <w:tc>
              <w:tcPr>
                <w:tcW w:w="4106" w:type="dxa"/>
              </w:tcPr>
              <w:p w14:paraId="2A4D9709" w14:textId="503D0F35">
                <w:pPr>
                  <w:jc w:val="both"/>
                  <w:rPr>
                    <w:szCs w:val="24"/>
                  </w:rPr>
                </w:pPr>
                <w:r>
                  <w:rPr>
                    <w:b/>
                    <w:bCs/>
                    <w:iCs/>
                    <w:szCs w:val="24"/>
                  </w:rPr>
                  <w:t>14 straipsnis</w:t>
                </w:r>
                <w:r>
                  <w:rPr>
                    <w:b/>
                    <w:szCs w:val="24"/>
                  </w:rPr>
                  <w:t>.</w:t>
                </w:r>
                <w:r>
                  <w:rPr>
                    <w:szCs w:val="24"/>
                  </w:rPr>
                  <w:t xml:space="preserve"> </w:t>
                </w:r>
                <w:r>
                  <w:rPr>
                    <w:b/>
                    <w:bCs/>
                    <w:iCs/>
                    <w:szCs w:val="24"/>
                  </w:rPr>
                  <w:t>Išankstiniai leidimai naudojimo įrenginiams</w:t>
                </w:r>
              </w:p>
              <w:p w14:paraId="17DFF859" w14:textId="78DD1382">
                <w:pPr>
                  <w:shd w:val="clear" w:color="auto" w:fill="FFFFFF"/>
                  <w:jc w:val="both"/>
                  <w:rPr>
                    <w:color w:val="000000"/>
                    <w:szCs w:val="24"/>
                    <w:lang w:eastAsia="lt-LT"/>
                  </w:rPr>
                </w:pPr>
                <w:r>
                  <w:rPr>
                    <w:color w:val="000000"/>
                    <w:szCs w:val="24"/>
                    <w:lang w:eastAsia="lt-LT"/>
                  </w:rPr>
                  <w:t>1. Paskirties kompetentingos institucijos, kurių jurisdikcijai priklauso specifiniai atliekų naudojimo įrenginiai, gali nuspręsti suteikti šiems įrenginiams išankstinius leidimus.</w:t>
                </w:r>
              </w:p>
              <w:p w14:paraId="205788F6" w14:textId="46AA42A3">
                <w:pPr>
                  <w:shd w:val="clear" w:color="auto" w:fill="FFFFFF"/>
                  <w:jc w:val="both"/>
                  <w:rPr>
                    <w:color w:val="000000"/>
                    <w:szCs w:val="24"/>
                    <w:lang w:eastAsia="lt-LT"/>
                  </w:rPr>
                </w:pPr>
                <w:r>
                  <w:rPr>
                    <w:color w:val="000000"/>
                    <w:szCs w:val="24"/>
                    <w:lang w:eastAsia="lt-LT"/>
                  </w:rPr>
                  <w:t>Šie sprendimai galioja apibrėžtą laikotarpį ir bet kuriuo metu gali būti panaikinami.</w:t>
                </w:r>
              </w:p>
            </w:tc>
            <w:tc>
              <w:tcPr>
                <w:tcW w:w="8363" w:type="dxa"/>
              </w:tcPr>
              <w:p w14:paraId="4F82FE56" w14:textId="5585A99D">
                <w:pPr>
                  <w:widowControl w:val="0"/>
                  <w:suppressAutoHyphens/>
                  <w:ind w:firstLine="709"/>
                  <w:jc w:val="both"/>
                  <w:rPr>
                    <w:rFonts w:eastAsia="Lucida Sans Unicode"/>
                    <w:b/>
                    <w:bCs/>
                    <w:color w:val="000000"/>
                    <w:szCs w:val="24"/>
                  </w:rPr>
                </w:pPr>
                <w:r>
                  <w:rPr>
                    <w:rFonts w:eastAsia="Lucida Sans Unicode"/>
                    <w:b/>
                    <w:bCs/>
                    <w:color w:val="000000"/>
                    <w:szCs w:val="24"/>
                  </w:rPr>
                  <w:t>2 straipsnis. 2 straipsnio pakeitimas</w:t>
                </w:r>
              </w:p>
              <w:p w14:paraId="6F6417FC" w14:textId="77777777">
                <w:pPr>
                  <w:widowControl w:val="0"/>
                  <w:suppressAutoHyphens/>
                  <w:ind w:firstLine="709"/>
                  <w:jc w:val="both"/>
                  <w:rPr>
                    <w:rFonts w:eastAsia="Lucida Sans Unicode"/>
                    <w:b/>
                    <w:bCs/>
                    <w:szCs w:val="24"/>
                  </w:rPr>
                </w:pPr>
                <w:r>
                  <w:rPr>
                    <w:rFonts w:eastAsia="Lucida Sans Unicode"/>
                    <w:b/>
                    <w:bCs/>
                    <w:szCs w:val="24"/>
                  </w:rPr>
                  <w:t>1. Papildyti 2 straipsnį 11</w:t>
                </w:r>
                <w:r>
                  <w:rPr>
                    <w:rFonts w:eastAsia="Lucida Sans Unicode"/>
                    <w:b/>
                    <w:bCs/>
                    <w:szCs w:val="24"/>
                    <w:vertAlign w:val="superscript"/>
                  </w:rPr>
                  <w:t>2</w:t>
                </w:r>
                <w:r>
                  <w:rPr>
                    <w:rFonts w:eastAsia="Lucida Sans Unicode"/>
                    <w:b/>
                    <w:bCs/>
                    <w:szCs w:val="24"/>
                  </w:rPr>
                  <w:t xml:space="preserve"> dalimi:</w:t>
                </w:r>
              </w:p>
              <w:p w14:paraId="6DF90A37" w14:textId="47EEB887">
                <w:pPr>
                  <w:widowControl w:val="0"/>
                  <w:suppressAutoHyphens/>
                  <w:ind w:firstLine="709"/>
                  <w:jc w:val="both"/>
                  <w:rPr>
                    <w:rFonts w:eastAsia="Lucida Sans Unicode"/>
                    <w:szCs w:val="24"/>
                  </w:rPr>
                </w:pPr>
                <w:r>
                  <w:rPr>
                    <w:rFonts w:eastAsia="Lucida Sans Unicode"/>
                    <w:b/>
                    <w:bCs/>
                    <w:szCs w:val="24"/>
                  </w:rPr>
                  <w:t>„11</w:t>
                </w:r>
                <w:r>
                  <w:rPr>
                    <w:rFonts w:eastAsia="Lucida Sans Unicode"/>
                    <w:b/>
                    <w:bCs/>
                    <w:szCs w:val="24"/>
                    <w:vertAlign w:val="superscript"/>
                  </w:rPr>
                  <w:t>2</w:t>
                </w:r>
                <w:r>
                  <w:rPr>
                    <w:rFonts w:eastAsia="Lucida Sans Unicode"/>
                    <w:b/>
                    <w:bCs/>
                    <w:szCs w:val="24"/>
                  </w:rPr>
                  <w:t>. Atliekų naudojimo įrenginys – atliekoms naudoti skirtas stacionarus ar mobilus įrenginys ar įrenginių kompleksas, kuriame vykdomos Lietuvos Respublikos atliekų tvarkymo įstatyme apibrėžtos atliekų naudojimo veiklos.“</w:t>
                </w:r>
              </w:p>
              <w:p w14:paraId="0609E0F0" w14:textId="0F49ABA7">
                <w:pPr>
                  <w:widowControl w:val="0"/>
                  <w:suppressAutoHyphens/>
                  <w:ind w:firstLine="709"/>
                  <w:jc w:val="both"/>
                  <w:rPr>
                    <w:rFonts w:eastAsia="Lucida Sans Unicode"/>
                    <w:szCs w:val="24"/>
                  </w:rPr>
                </w:pPr>
                <w:r>
                  <w:rPr>
                    <w:rFonts w:eastAsia="Lucida Sans Unicode"/>
                    <w:szCs w:val="24"/>
                  </w:rPr>
                  <w:t>&lt;...&gt;</w:t>
                </w:r>
              </w:p>
              <w:p w14:paraId="2BEAC1D4" w14:textId="637A6BCB">
                <w:pPr>
                  <w:widowControl w:val="0"/>
                  <w:suppressAutoHyphens/>
                  <w:ind w:firstLine="720"/>
                  <w:jc w:val="both"/>
                  <w:rPr>
                    <w:rFonts w:eastAsia="Lucida Sans Unicode"/>
                    <w:b/>
                    <w:bCs/>
                    <w:szCs w:val="24"/>
                  </w:rPr>
                </w:pPr>
                <w:r>
                  <w:rPr>
                    <w:rFonts w:eastAsia="Lucida Sans Unicode"/>
                    <w:b/>
                    <w:bCs/>
                    <w:szCs w:val="24"/>
                  </w:rPr>
                  <w:t>8. Papildyti 2 straipsnį nauja 38</w:t>
                </w:r>
                <w:r>
                  <w:rPr>
                    <w:rFonts w:eastAsia="Lucida Sans Unicode"/>
                    <w:b/>
                    <w:bCs/>
                    <w:szCs w:val="24"/>
                    <w:vertAlign w:val="superscript"/>
                  </w:rPr>
                  <w:t>1</w:t>
                </w:r>
                <w:r>
                  <w:rPr>
                    <w:rFonts w:eastAsia="Lucida Sans Unicode"/>
                    <w:b/>
                    <w:bCs/>
                    <w:szCs w:val="24"/>
                  </w:rPr>
                  <w:t xml:space="preserve"> dalimi:</w:t>
                </w:r>
              </w:p>
              <w:p w14:paraId="087BB59C" w14:textId="34BD55C2">
                <w:pPr>
                  <w:widowControl w:val="0"/>
                  <w:suppressAutoHyphens/>
                  <w:ind w:firstLine="720"/>
                  <w:jc w:val="both"/>
                  <w:rPr>
                    <w:rFonts w:eastAsia="Lucida Sans Unicode"/>
                    <w:b/>
                    <w:bCs/>
                    <w:strike/>
                    <w:szCs w:val="24"/>
                  </w:rPr>
                </w:pPr>
                <w:r>
                  <w:rPr>
                    <w:rFonts w:eastAsia="Lucida Sans Unicode"/>
                    <w:b/>
                    <w:bCs/>
                    <w:szCs w:val="24"/>
                  </w:rPr>
                  <w:t>„38</w:t>
                </w:r>
                <w:r>
                  <w:rPr>
                    <w:rFonts w:eastAsia="Lucida Sans Unicode"/>
                    <w:b/>
                    <w:bCs/>
                    <w:szCs w:val="24"/>
                    <w:vertAlign w:val="superscript"/>
                  </w:rPr>
                  <w:t>1</w:t>
                </w:r>
                <w:r>
                  <w:rPr>
                    <w:rFonts w:eastAsia="Lucida Sans Unicode"/>
                    <w:b/>
                    <w:bCs/>
                    <w:szCs w:val="24"/>
                  </w:rPr>
                  <w:t xml:space="preserve">. Išankstinis sutikimas dėl atliekų naudojimo įrenginio (toliau – išankstinis sutikimas) – pagal Reglamento </w:t>
                </w:r>
                <w:fldSimple w:instr="HYPERLINK http://eur-lex.europa.eu/legal-content/LIT/TXT/?uri=CELEX:32006R1013&amp;locale=lt \t _blank">
                  <w:r>
                    <w:rPr>
                      <w:rFonts w:eastAsia="Lucida Sans Unicode"/>
                      <w:b/>
                      <w:bCs/>
                      <w:szCs w:val="24"/>
                      <w:u w:val="single"/>
                      <w:color w:val="0000FF" w:themeColor="hyperlink"/>
                    </w:rPr>
                    <w:t>(EB) Nr. 1013/2006</w:t>
                  </w:r>
                </w:fldSimple>
                <w:r>
                  <w:rPr>
                    <w:rFonts w:eastAsia="Lucida Sans Unicode"/>
                    <w:b/>
                    <w:bCs/>
                    <w:szCs w:val="24"/>
                  </w:rPr>
                  <w:t xml:space="preserve"> 14 straipsnį atliekų tvarkytojui iš anksto duodamas sutikimas naudoti atitinkamame atliekų naudojimo įrenginyje iš valstybių narių, Ekonominio bendradarbiavimo ir plėtros organizacijos valstybių ir (arba) Bazelio konvencijos dėl pavojingų atliekų tarpvalstybinių pervežimų, jų tvarkymo kontrolės šalių įvežamas, importuojamas atliekas.“</w:t>
                </w:r>
              </w:p>
              <w:p w14:paraId="20E80FF9" w14:textId="76774A35">
                <w:pPr>
                  <w:widowControl w:val="0"/>
                  <w:suppressAutoHyphens/>
                  <w:ind w:firstLine="720"/>
                  <w:jc w:val="both"/>
                  <w:rPr>
                    <w:rFonts w:eastAsia="Lucida Sans Unicode"/>
                    <w:b/>
                    <w:bCs/>
                    <w:szCs w:val="24"/>
                  </w:rPr>
                </w:pPr>
              </w:p>
              <w:p w14:paraId="5CF74C16" w14:textId="69117379">
                <w:pPr>
                  <w:widowControl w:val="0"/>
                  <w:suppressAutoHyphens/>
                  <w:ind w:firstLine="709"/>
                  <w:jc w:val="both"/>
                  <w:rPr>
                    <w:rFonts w:eastAsia="Lucida Sans Unicode"/>
                    <w:szCs w:val="24"/>
                  </w:rPr>
                </w:pPr>
                <w:r>
                  <w:rPr>
                    <w:rFonts w:eastAsia="Lucida Sans Unicode"/>
                    <w:b/>
                    <w:bCs/>
                    <w:szCs w:val="24"/>
                  </w:rPr>
                  <w:t>4 straipsnis. 4 straipsnio pakeitimas</w:t>
                </w:r>
              </w:p>
              <w:p w14:paraId="2569A265" w14:textId="213BE9B0">
                <w:pPr>
                  <w:widowControl w:val="0"/>
                  <w:suppressAutoHyphens/>
                  <w:ind w:firstLine="709"/>
                  <w:jc w:val="both"/>
                  <w:rPr>
                    <w:rFonts w:eastAsia="Lucida Sans Unicode"/>
                    <w:b/>
                    <w:bCs/>
                    <w:szCs w:val="24"/>
                  </w:rPr>
                </w:pPr>
                <w:r>
                  <w:rPr>
                    <w:rFonts w:eastAsia="Lucida Sans Unicode"/>
                    <w:b/>
                    <w:bCs/>
                    <w:szCs w:val="24"/>
                  </w:rPr>
                  <w:t>Pakeisti 4 straipsnio 5 dalį ir ją išdėstyti taip:</w:t>
                </w:r>
              </w:p>
              <w:p w14:paraId="648530A0" w14:textId="1447829B">
                <w:pPr>
                  <w:widowControl w:val="0"/>
                  <w:suppressAutoHyphens/>
                  <w:ind w:firstLine="709"/>
                  <w:jc w:val="both"/>
                  <w:rPr>
                    <w:rFonts w:eastAsia="Lucida Sans Unicode"/>
                    <w:szCs w:val="24"/>
                  </w:rPr>
                </w:pPr>
                <w:r>
                  <w:rPr>
                    <w:rFonts w:eastAsia="Lucida Sans Unicode"/>
                    <w:b/>
                    <w:bCs/>
                    <w:szCs w:val="24"/>
                  </w:rPr>
                  <w:t xml:space="preserve">„5. Atliekų vežimą tranzitu, išvežimą, eksportą iš Lietuvos Respublikos, įvežimą, importą į Lietuvos Respubliką ir išankstinio sutikimo išdavimą, keitimą, galiojimo panaikinimą reglamentuoja Lietuvos Respublikos, Europos Sąjungos teisės aktai ir tarptautinės sutartys, reglamentuojančios atliekų tarpvalstybinius vežimus. Aplinkos ministro įgaliota institucija pagal kompetenciją atlieka kompetentingos institucijos, susirašinėtojo, bendradarbiavimo funkcijas ir (ar) prižiūri atliekų vežimo tranzitu, išvežimo, eksporto iš Lietuvos Respublikos ir įvežimo, importo į Lietuvos Respubliką reikalavimų vykdymą pagal Reglamentą </w:t>
                </w:r>
                <w:fldSimple w:instr="HYPERLINK http://eur-lex.europa.eu/legal-content/LIT/TXT/?uri=CELEX:32006R1013&amp;locale=lt \t _blank">
                  <w:r>
                    <w:rPr>
                      <w:rFonts w:eastAsia="Lucida Sans Unicode"/>
                      <w:b/>
                      <w:bCs/>
                      <w:szCs w:val="24"/>
                      <w:u w:val="single"/>
                      <w:color w:val="0000FF" w:themeColor="hyperlink"/>
                    </w:rPr>
                    <w:t>(EB) Nr. 1013/2006</w:t>
                  </w:r>
                </w:fldSimple>
                <w:r>
                  <w:rPr>
                    <w:rFonts w:eastAsia="Lucida Sans Unicode"/>
                    <w:b/>
                    <w:bCs/>
                    <w:szCs w:val="24"/>
                  </w:rPr>
                  <w:t xml:space="preserve"> ir kitų Lietuvos Respublikos, Europos Sąjungos teisės aktų ir tarptautinių sutarčių nuostatas, reglamentuojančias atliekų tarpvalstybinius vežimus. Atliekų tarpvalstybinių vežimų tvarką tvirtina aplinkos ministras.“</w:t>
                </w:r>
              </w:p>
              <w:p w14:paraId="035C867C" w14:textId="77777777">
                <w:pPr>
                  <w:widowControl w:val="0"/>
                  <w:suppressAutoHyphens/>
                  <w:ind w:firstLine="709"/>
                  <w:jc w:val="both"/>
                  <w:rPr>
                    <w:rFonts w:eastAsia="Lucida Sans Unicode"/>
                    <w:b/>
                    <w:bCs/>
                    <w:szCs w:val="24"/>
                  </w:rPr>
                </w:pPr>
              </w:p>
              <w:p w14:paraId="229EF158" w14:textId="166A3413">
                <w:pPr>
                  <w:widowControl w:val="0"/>
                  <w:suppressAutoHyphens/>
                  <w:ind w:firstLine="709"/>
                  <w:jc w:val="both"/>
                  <w:rPr>
                    <w:rFonts w:eastAsia="Lucida Sans Unicode"/>
                    <w:b/>
                    <w:bCs/>
                    <w:szCs w:val="24"/>
                  </w:rPr>
                </w:pPr>
                <w:r>
                  <w:rPr>
                    <w:rFonts w:eastAsia="Lucida Sans Unicode"/>
                    <w:b/>
                    <w:bCs/>
                    <w:szCs w:val="24"/>
                  </w:rPr>
                  <w:t>6 straipsnis. Įstatymo papildymas 4</w:t>
                </w:r>
                <w:r>
                  <w:rPr>
                    <w:rFonts w:eastAsia="Lucida Sans Unicode"/>
                    <w:b/>
                    <w:bCs/>
                    <w:szCs w:val="24"/>
                    <w:vertAlign w:val="superscript"/>
                  </w:rPr>
                  <w:t>3</w:t>
                </w:r>
                <w:r>
                  <w:rPr>
                    <w:rFonts w:eastAsia="Lucida Sans Unicode"/>
                    <w:b/>
                    <w:bCs/>
                    <w:szCs w:val="24"/>
                  </w:rPr>
                  <w:t xml:space="preserve"> straipsniu </w:t>
                </w:r>
              </w:p>
              <w:p w14:paraId="469D84D3" w14:textId="0E96362F">
                <w:pPr>
                  <w:widowControl w:val="0"/>
                  <w:suppressAutoHyphens/>
                  <w:ind w:firstLine="709"/>
                  <w:jc w:val="both"/>
                  <w:rPr>
                    <w:rFonts w:eastAsia="Lucida Sans Unicode"/>
                    <w:b/>
                    <w:bCs/>
                    <w:szCs w:val="24"/>
                  </w:rPr>
                </w:pPr>
                <w:r>
                  <w:rPr>
                    <w:rFonts w:eastAsia="Lucida Sans Unicode"/>
                    <w:b/>
                    <w:bCs/>
                    <w:szCs w:val="24"/>
                  </w:rPr>
                  <w:t>Papildyti Įstatymą 4</w:t>
                </w:r>
                <w:r>
                  <w:rPr>
                    <w:rFonts w:eastAsia="Lucida Sans Unicode"/>
                    <w:b/>
                    <w:bCs/>
                    <w:szCs w:val="24"/>
                    <w:vertAlign w:val="superscript"/>
                  </w:rPr>
                  <w:t>3</w:t>
                </w:r>
                <w:r>
                  <w:rPr>
                    <w:rFonts w:eastAsia="Lucida Sans Unicode"/>
                    <w:b/>
                    <w:bCs/>
                    <w:szCs w:val="24"/>
                  </w:rPr>
                  <w:t xml:space="preserve"> straipsniu:</w:t>
                </w:r>
              </w:p>
              <w:p w14:paraId="23FD73E9" w14:textId="33A974D4">
                <w:pPr>
                  <w:widowControl w:val="0"/>
                  <w:suppressAutoHyphens/>
                  <w:ind w:firstLine="709"/>
                  <w:jc w:val="both"/>
                  <w:rPr>
                    <w:rFonts w:eastAsia="Lucida Sans Unicode"/>
                    <w:b/>
                    <w:bCs/>
                    <w:szCs w:val="24"/>
                  </w:rPr>
                </w:pPr>
                <w:r>
                  <w:rPr>
                    <w:rFonts w:eastAsia="Lucida Sans Unicode"/>
                    <w:b/>
                    <w:bCs/>
                    <w:szCs w:val="24"/>
                  </w:rPr>
                  <w:t>„4</w:t>
                </w:r>
                <w:r>
                  <w:rPr>
                    <w:rFonts w:eastAsia="Lucida Sans Unicode"/>
                    <w:b/>
                    <w:bCs/>
                    <w:szCs w:val="24"/>
                    <w:vertAlign w:val="superscript"/>
                  </w:rPr>
                  <w:t xml:space="preserve">3 </w:t>
                </w:r>
                <w:r>
                  <w:rPr>
                    <w:rFonts w:eastAsia="Lucida Sans Unicode"/>
                    <w:b/>
                    <w:bCs/>
                    <w:szCs w:val="24"/>
                  </w:rPr>
                  <w:t>straipsnis. Išankstinio sutikimo išdavimas, keitimas, galiojimo panaikinimas</w:t>
                </w:r>
              </w:p>
              <w:p w14:paraId="4D5482A4" w14:textId="06F3B4FF">
                <w:pPr>
                  <w:widowControl w:val="0"/>
                  <w:suppressAutoHyphens/>
                  <w:ind w:firstLine="709"/>
                  <w:jc w:val="both"/>
                  <w:rPr>
                    <w:rFonts w:eastAsia="Lucida Sans Unicode"/>
                    <w:b/>
                    <w:bCs/>
                    <w:szCs w:val="24"/>
                    <w:lang w:val="fi-FI"/>
                  </w:rPr>
                </w:pPr>
                <w:r>
                  <w:rPr>
                    <w:rFonts w:eastAsia="Lucida Sans Unicode"/>
                    <w:b/>
                    <w:bCs/>
                    <w:szCs w:val="24"/>
                  </w:rPr>
                  <w:t>1. Išankstinis sutikimas išduodamas, jeigu atliekų tvarkytojas atitinka visas šias sąlygas:</w:t>
                </w:r>
              </w:p>
              <w:p w14:paraId="3E24B4FB" w14:textId="4D3C5434">
                <w:pPr>
                  <w:widowControl w:val="0"/>
                  <w:suppressAutoHyphens/>
                  <w:ind w:firstLine="709"/>
                  <w:jc w:val="both"/>
                  <w:rPr>
                    <w:rFonts w:eastAsia="Lucida Sans Unicode"/>
                    <w:b/>
                    <w:bCs/>
                    <w:szCs w:val="24"/>
                    <w:lang w:val="fi-FI"/>
                  </w:rPr>
                </w:pPr>
                <w:r>
                  <w:rPr>
                    <w:rFonts w:eastAsia="Lucida Sans Unicode"/>
                    <w:b/>
                    <w:bCs/>
                    <w:szCs w:val="24"/>
                  </w:rPr>
                  <w:t>1) turi leidimą ketinamų įvežti, importuoti atliekų naudojimo veikloms;</w:t>
                </w:r>
              </w:p>
              <w:p w14:paraId="213FCE23" w14:textId="5C2FCAB7">
                <w:pPr>
                  <w:widowControl w:val="0"/>
                  <w:suppressAutoHyphens/>
                  <w:ind w:firstLine="709"/>
                  <w:jc w:val="both"/>
                  <w:rPr>
                    <w:rFonts w:eastAsia="Lucida Sans Unicode"/>
                    <w:b/>
                    <w:bCs/>
                    <w:szCs w:val="24"/>
                    <w:lang w:val="fi-FI"/>
                  </w:rPr>
                </w:pPr>
                <w:r>
                  <w:rPr>
                    <w:rFonts w:eastAsia="Lucida Sans Unicode"/>
                    <w:b/>
                    <w:bCs/>
                    <w:szCs w:val="24"/>
                  </w:rPr>
                  <w:t xml:space="preserve">2) yra įsidiegęs aplinkosaugos vadybos sistemą pagal 2009 m. lapkričio 25 d. Europos Parlamento ir Tarybos reglamentą </w:t>
                </w:r>
                <w:fldSimple w:instr="HYPERLINK http://eur-lex.europa.eu/legal-content/LIT/TXT/?uri=CELEX:32009R1221&amp;locale=lt \t _blank">
                  <w:r>
                    <w:rPr>
                      <w:rFonts w:eastAsia="Lucida Sans Unicode"/>
                      <w:b/>
                      <w:bCs/>
                      <w:szCs w:val="24"/>
                      <w:u w:val="single"/>
                      <w:color w:val="0000FF" w:themeColor="hyperlink"/>
                    </w:rPr>
                    <w:t>(EB) Nr. 1221/2009</w:t>
                  </w:r>
                </w:fldSimple>
                <w:r>
                  <w:rPr>
                    <w:rFonts w:eastAsia="Lucida Sans Unicode"/>
                    <w:b/>
                    <w:bCs/>
                    <w:szCs w:val="24"/>
                  </w:rPr>
                  <w:t xml:space="preserve"> dėl organizacijų savanoriško Bendrijos aplinkosaugos vadybos ir audito sistemos (EMAS) taikymo, panaikinantį Reglamentą </w:t>
                </w:r>
                <w:fldSimple w:instr="HYPERLINK http://eur-lex.europa.eu/legal-content/LIT/TXT/?uri=CELEX:32001R0761&amp;locale=lt \t _blank">
                  <w:r>
                    <w:rPr>
                      <w:rFonts w:eastAsia="Lucida Sans Unicode"/>
                      <w:b/>
                      <w:bCs/>
                      <w:szCs w:val="24"/>
                      <w:u w:val="single"/>
                      <w:color w:val="0000FF" w:themeColor="hyperlink"/>
                    </w:rPr>
                    <w:t>(EB) Nr. 761/2001</w:t>
                  </w:r>
                </w:fldSimple>
                <w:r>
                  <w:rPr>
                    <w:rFonts w:eastAsia="Lucida Sans Unicode"/>
                    <w:b/>
                    <w:bCs/>
                    <w:szCs w:val="24"/>
                  </w:rPr>
                  <w:t xml:space="preserve"> ir Komisijos sprendimus </w:t>
                </w:r>
                <w:fldSimple w:instr="HYPERLINK http://eur-lex.europa.eu/legal-content/LIT/TXT/?uri=CELEX:32001D0681&amp;locale=lt \t _blank">
                  <w:r>
                    <w:rPr>
                      <w:rFonts w:eastAsia="Lucida Sans Unicode"/>
                      <w:b/>
                      <w:bCs/>
                      <w:szCs w:val="24"/>
                      <w:u w:val="single"/>
                      <w:color w:val="0000FF" w:themeColor="hyperlink"/>
                    </w:rPr>
                    <w:t>2001/681/EB</w:t>
                  </w:r>
                </w:fldSimple>
                <w:r>
                  <w:rPr>
                    <w:rFonts w:eastAsia="Lucida Sans Unicode"/>
                    <w:b/>
                    <w:bCs/>
                    <w:szCs w:val="24"/>
                  </w:rPr>
                  <w:t xml:space="preserve"> bei </w:t>
                </w:r>
                <w:fldSimple w:instr="HYPERLINK http://eur-lex.europa.eu/legal-content/LIT/TXT/?uri=CELEX:32006D0193&amp;locale=lt \t _blank">
                  <w:r>
                    <w:rPr>
                      <w:rFonts w:eastAsia="Lucida Sans Unicode"/>
                      <w:b/>
                      <w:bCs/>
                      <w:szCs w:val="24"/>
                      <w:u w:val="single"/>
                      <w:color w:val="0000FF" w:themeColor="hyperlink"/>
                    </w:rPr>
                    <w:t>2006/193/EB</w:t>
                  </w:r>
                </w:fldSimple>
                <w:r>
                  <w:rPr>
                    <w:rFonts w:eastAsia="Lucida Sans Unicode"/>
                    <w:b/>
                    <w:bCs/>
                    <w:szCs w:val="24"/>
                  </w:rPr>
                  <w:t>, su visais pakeitimais, ar atitinkamą standartą;</w:t>
                </w:r>
              </w:p>
              <w:p w14:paraId="27D3DD19" w14:textId="26EBD92B">
                <w:pPr>
                  <w:widowControl w:val="0"/>
                  <w:suppressAutoHyphens/>
                  <w:ind w:firstLine="709"/>
                  <w:jc w:val="both"/>
                  <w:rPr>
                    <w:rFonts w:eastAsia="Lucida Sans Unicode"/>
                    <w:b/>
                    <w:bCs/>
                    <w:szCs w:val="24"/>
                    <w:lang w:val="fi-FI"/>
                  </w:rPr>
                </w:pPr>
                <w:r>
                  <w:rPr>
                    <w:rFonts w:eastAsia="Lucida Sans Unicode"/>
                    <w:b/>
                    <w:bCs/>
                    <w:szCs w:val="24"/>
                  </w:rPr>
                  <w:t xml:space="preserve">3) įvežtas, importuotas atliekas, dėl kurių prašoma išduoti išankstinį sutikimą, ketina naudoti, išskyrus atvejį, jei įvežtas, importuotas atliekas ketina tik laikyti, kaip apibrėžiama Reglamento </w:t>
                </w:r>
                <w:fldSimple w:instr="HYPERLINK http://eur-lex.europa.eu/legal-content/LIT/TXT/?uri=CELEX:32006R1013&amp;locale=lt \t _blank">
                  <w:r>
                    <w:rPr>
                      <w:rFonts w:eastAsia="Lucida Sans Unicode"/>
                      <w:b/>
                      <w:bCs/>
                      <w:szCs w:val="24"/>
                      <w:u w:val="single"/>
                      <w:color w:val="0000FF" w:themeColor="hyperlink"/>
                    </w:rPr>
                    <w:t>(EB) Nr. 1013/2006</w:t>
                  </w:r>
                </w:fldSimple>
                <w:r>
                  <w:rPr>
                    <w:rFonts w:eastAsia="Lucida Sans Unicode"/>
                    <w:b/>
                    <w:bCs/>
                    <w:szCs w:val="24"/>
                  </w:rPr>
                  <w:t xml:space="preserve"> 9 straipsnio 7 dalyje, ir (ar) naudoti, kaip numatyta šio Įstatymo 4</w:t>
                </w:r>
                <w:r>
                  <w:rPr>
                    <w:rFonts w:eastAsia="Lucida Sans Unicode"/>
                    <w:b/>
                    <w:bCs/>
                    <w:szCs w:val="24"/>
                    <w:vertAlign w:val="superscript"/>
                  </w:rPr>
                  <w:t>1</w:t>
                </w:r>
                <w:r>
                  <w:rPr>
                    <w:rFonts w:eastAsia="Lucida Sans Unicode"/>
                    <w:b/>
                    <w:bCs/>
                    <w:szCs w:val="24"/>
                  </w:rPr>
                  <w:t xml:space="preserve"> straipsnyje;</w:t>
                </w:r>
              </w:p>
              <w:p w14:paraId="05D5CD65" w14:textId="7E268A4E">
                <w:pPr>
                  <w:widowControl w:val="0"/>
                  <w:suppressAutoHyphens/>
                  <w:ind w:firstLine="709"/>
                  <w:jc w:val="both"/>
                  <w:rPr>
                    <w:rFonts w:eastAsia="Lucida Sans Unicode"/>
                    <w:b/>
                    <w:bCs/>
                    <w:szCs w:val="24"/>
                    <w:lang w:val="fi-FI"/>
                  </w:rPr>
                </w:pPr>
                <w:r>
                  <w:rPr>
                    <w:rFonts w:eastAsia="Lucida Sans Unicode"/>
                    <w:b/>
                    <w:bCs/>
                    <w:szCs w:val="24"/>
                  </w:rPr>
                  <w:t>4) pagal</w:t>
                </w:r>
                <w:r>
                  <w:rPr>
                    <w:rFonts w:eastAsia="Lucida Sans Unicode"/>
                    <w:b/>
                    <w:bCs/>
                    <w:szCs w:val="24"/>
                    <w:lang w:val="en-US"/>
                  </w:rPr>
                  <w:t xml:space="preserve"> </w:t>
                </w:r>
                <w:r>
                  <w:rPr>
                    <w:rFonts w:eastAsia="Lucida Sans Unicode"/>
                    <w:b/>
                    <w:bCs/>
                    <w:szCs w:val="24"/>
                  </w:rPr>
                  <w:t>aplinkos ministro nustatytą tvarką</w:t>
                </w:r>
                <w:r>
                  <w:rPr>
                    <w:rFonts w:eastAsia="Lucida Sans Unicode"/>
                    <w:b/>
                    <w:bCs/>
                    <w:szCs w:val="24"/>
                    <w:lang w:val="en-US"/>
                  </w:rPr>
                  <w:t xml:space="preserve"> </w:t>
                </w:r>
                <w:r>
                  <w:rPr>
                    <w:rFonts w:eastAsia="Lucida Sans Unicode"/>
                    <w:b/>
                    <w:bCs/>
                    <w:szCs w:val="24"/>
                  </w:rPr>
                  <w:t>yra parengęs atliekų naudojimo įrenginyje vykdomos atliekų naudojimo veiklos aprašymą, kuriame nurodyti per paskutinius trejus metus apdorotų atliekų kiekiai ir rūšys;</w:t>
                </w:r>
              </w:p>
              <w:p w14:paraId="76354FD7" w14:textId="5D36E632">
                <w:pPr>
                  <w:widowControl w:val="0"/>
                  <w:suppressAutoHyphens/>
                  <w:ind w:firstLine="709"/>
                  <w:jc w:val="both"/>
                  <w:rPr>
                    <w:rFonts w:eastAsia="Lucida Sans Unicode"/>
                    <w:b/>
                    <w:bCs/>
                    <w:szCs w:val="24"/>
                    <w:lang w:val="fi-FI"/>
                  </w:rPr>
                </w:pPr>
                <w:r>
                  <w:rPr>
                    <w:rFonts w:eastAsia="Lucida Sans Unicode"/>
                    <w:b/>
                    <w:bCs/>
                    <w:szCs w:val="24"/>
                  </w:rPr>
                  <w:t xml:space="preserve">5) per penkerius metus iki prašymo išduoti išankstinį sutikimą dienos atliekų tvarkytojas, naudojantis atliekų naudojimo įrenginį, dėl jo veiksmų nebuvo pripažintas kaltu dėl neteisėto atliekų vežimo, kaip numatyta Reglamento </w:t>
                </w:r>
                <w:fldSimple w:instr="HYPERLINK http://eur-lex.europa.eu/legal-content/LIT/TXT/?uri=CELEX:32006R1013&amp;locale=lt \t _blank">
                  <w:r>
                    <w:rPr>
                      <w:rFonts w:eastAsia="Lucida Sans Unicode"/>
                      <w:b/>
                      <w:bCs/>
                      <w:szCs w:val="24"/>
                      <w:u w:val="single"/>
                      <w:color w:val="0000FF" w:themeColor="hyperlink"/>
                    </w:rPr>
                    <w:t>(EB) Nr. 1013/2006</w:t>
                  </w:r>
                </w:fldSimple>
                <w:r>
                  <w:rPr>
                    <w:rFonts w:eastAsia="Lucida Sans Unicode"/>
                    <w:b/>
                    <w:bCs/>
                    <w:szCs w:val="24"/>
                  </w:rPr>
                  <w:t xml:space="preserve"> </w:t>
                </w:r>
                <w:r>
                  <w:rPr>
                    <w:rFonts w:eastAsia="Lucida Sans Unicode"/>
                    <w:b/>
                    <w:bCs/>
                    <w:szCs w:val="24"/>
                    <w:lang w:val="fi-FI"/>
                  </w:rPr>
                  <w:t xml:space="preserve">2 </w:t>
                </w:r>
                <w:r>
                  <w:rPr>
                    <w:rFonts w:eastAsia="Lucida Sans Unicode"/>
                    <w:b/>
                    <w:bCs/>
                    <w:szCs w:val="24"/>
                  </w:rPr>
                  <w:t>straipsnio</w:t>
                </w:r>
                <w:r>
                  <w:rPr>
                    <w:rFonts w:eastAsia="Lucida Sans Unicode"/>
                    <w:b/>
                    <w:bCs/>
                    <w:szCs w:val="24"/>
                    <w:lang w:val="fi-FI"/>
                  </w:rPr>
                  <w:t xml:space="preserve"> 35 </w:t>
                </w:r>
                <w:r>
                  <w:rPr>
                    <w:rFonts w:eastAsia="Lucida Sans Unicode"/>
                    <w:b/>
                    <w:bCs/>
                    <w:szCs w:val="24"/>
                    <w:lang w:val="lt"/>
                  </w:rPr>
                  <w:t>dalyje</w:t>
                </w:r>
                <w:r>
                  <w:rPr>
                    <w:rFonts w:eastAsia="Lucida Sans Unicode"/>
                    <w:b/>
                    <w:bCs/>
                    <w:szCs w:val="24"/>
                  </w:rPr>
                  <w:t>.</w:t>
                </w:r>
              </w:p>
              <w:p w14:paraId="7644D520" w14:textId="09372970">
                <w:pPr>
                  <w:widowControl w:val="0"/>
                  <w:suppressAutoHyphens/>
                  <w:ind w:firstLine="709"/>
                  <w:jc w:val="both"/>
                  <w:rPr>
                    <w:rFonts w:eastAsia="Lucida Sans Unicode"/>
                    <w:b/>
                    <w:bCs/>
                    <w:szCs w:val="24"/>
                    <w:lang w:val="fi-FI"/>
                  </w:rPr>
                </w:pPr>
                <w:r>
                  <w:rPr>
                    <w:rFonts w:eastAsia="Lucida Sans Unicode"/>
                    <w:b/>
                    <w:bCs/>
                    <w:szCs w:val="24"/>
                  </w:rPr>
                  <w:t>2. Išankstinis sutikimas išduodamas arba atsisakoma jį išduoti per 55 dienas nuo šio straipsnio 1 dalyje nurodytos informacijos ir (ar) dokumentų gavimo dienos.</w:t>
                </w:r>
              </w:p>
              <w:p w14:paraId="49B12DBA" w14:textId="6D90790E">
                <w:pPr>
                  <w:widowControl w:val="0"/>
                  <w:suppressAutoHyphens/>
                  <w:ind w:firstLine="709"/>
                  <w:jc w:val="both"/>
                  <w:rPr>
                    <w:rFonts w:eastAsia="Lucida Sans Unicode"/>
                    <w:b/>
                    <w:bCs/>
                    <w:szCs w:val="24"/>
                    <w:lang w:val="fi-FI"/>
                  </w:rPr>
                </w:pPr>
                <w:r>
                  <w:rPr>
                    <w:rFonts w:eastAsia="Lucida Sans Unicode"/>
                    <w:b/>
                    <w:bCs/>
                    <w:szCs w:val="24"/>
                  </w:rPr>
                  <w:t>3. Išankstinis sutikimas išduodamas dešimties metų laikotarpiui.</w:t>
                </w:r>
              </w:p>
              <w:p w14:paraId="2D341136" w14:textId="5A80F244">
                <w:pPr>
                  <w:widowControl w:val="0"/>
                  <w:suppressAutoHyphens/>
                  <w:ind w:firstLine="709"/>
                  <w:jc w:val="both"/>
                  <w:rPr>
                    <w:rFonts w:eastAsia="Lucida Sans Unicode"/>
                    <w:b/>
                    <w:bCs/>
                    <w:szCs w:val="24"/>
                  </w:rPr>
                </w:pPr>
                <w:r>
                  <w:rPr>
                    <w:rFonts w:eastAsia="Lucida Sans Unicode"/>
                    <w:b/>
                    <w:bCs/>
                    <w:szCs w:val="24"/>
                  </w:rPr>
                  <w:t>4. Išankstinių sutikimų išdavimo, keitimo ir galiojimo panaikinimo tvarką tvirtina aplinkos ministras. Išankstinius sutikimus išduoda, atsisako juos išduoti, juos keičia ir jų galiojimą panaikina aplinkos ministro įgaliota institucija.</w:t>
                </w:r>
              </w:p>
              <w:p w14:paraId="418519E3" w14:textId="1FDAEF00">
                <w:pPr>
                  <w:widowControl w:val="0"/>
                  <w:suppressAutoHyphens/>
                  <w:ind w:firstLine="709"/>
                  <w:jc w:val="both"/>
                  <w:rPr>
                    <w:rFonts w:eastAsia="Lucida Sans Unicode"/>
                    <w:b/>
                    <w:bCs/>
                    <w:szCs w:val="24"/>
                    <w:lang w:val="fi-FI"/>
                  </w:rPr>
                </w:pPr>
                <w:r>
                  <w:rPr>
                    <w:rFonts w:eastAsia="Lucida Sans Unicode"/>
                    <w:b/>
                    <w:bCs/>
                    <w:szCs w:val="24"/>
                  </w:rPr>
                  <w:t>5. Išankstiniame sutikime turi būti nurodyta:</w:t>
                </w:r>
              </w:p>
              <w:p w14:paraId="2A3EE811" w14:textId="2EDB9FE0">
                <w:pPr>
                  <w:widowControl w:val="0"/>
                  <w:suppressAutoHyphens/>
                  <w:ind w:firstLine="709"/>
                  <w:jc w:val="both"/>
                  <w:rPr>
                    <w:rFonts w:eastAsia="Lucida Sans Unicode"/>
                    <w:b/>
                    <w:bCs/>
                    <w:szCs w:val="24"/>
                    <w:lang w:val="fi-FI"/>
                  </w:rPr>
                </w:pPr>
                <w:r>
                  <w:rPr>
                    <w:rFonts w:eastAsia="Lucida Sans Unicode"/>
                    <w:b/>
                    <w:bCs/>
                    <w:szCs w:val="24"/>
                  </w:rPr>
                  <w:t>1) atliekų tvarkytojo ir atliekų tvarkymo įrenginio duomenys;</w:t>
                </w:r>
              </w:p>
              <w:p w14:paraId="701F222D" w14:textId="22505F40">
                <w:pPr>
                  <w:widowControl w:val="0"/>
                  <w:suppressAutoHyphens/>
                  <w:ind w:firstLine="709"/>
                  <w:jc w:val="both"/>
                  <w:rPr>
                    <w:rFonts w:eastAsia="Lucida Sans Unicode"/>
                    <w:b/>
                    <w:bCs/>
                    <w:szCs w:val="24"/>
                    <w:lang w:val="fi-FI"/>
                  </w:rPr>
                </w:pPr>
                <w:r>
                  <w:rPr>
                    <w:rFonts w:eastAsia="Lucida Sans Unicode"/>
                    <w:b/>
                    <w:bCs/>
                    <w:szCs w:val="24"/>
                    <w:lang w:val="en-US"/>
                  </w:rPr>
                  <w:t>2</w:t>
                </w:r>
                <w:r>
                  <w:rPr>
                    <w:rFonts w:eastAsia="Lucida Sans Unicode"/>
                    <w:b/>
                    <w:bCs/>
                    <w:szCs w:val="24"/>
                  </w:rPr>
                  <w:t>) ketinamų naudoti įvežtų, importuotų atliekų kodai ir pavadinimai, fizinės savybės ir sudėtis, atliekų naudojimo veiklų kodai ir pavadinimai;</w:t>
                </w:r>
              </w:p>
              <w:p w14:paraId="756F07FD" w14:textId="550E224C">
                <w:pPr>
                  <w:widowControl w:val="0"/>
                  <w:suppressAutoHyphens/>
                  <w:ind w:firstLine="709"/>
                  <w:jc w:val="both"/>
                  <w:rPr>
                    <w:rFonts w:eastAsia="Lucida Sans Unicode"/>
                    <w:b/>
                    <w:bCs/>
                    <w:szCs w:val="24"/>
                    <w:lang w:val="fi-FI"/>
                  </w:rPr>
                </w:pPr>
                <w:r>
                  <w:rPr>
                    <w:rFonts w:eastAsia="Lucida Sans Unicode"/>
                    <w:b/>
                    <w:bCs/>
                    <w:szCs w:val="24"/>
                  </w:rPr>
                  <w:t>3) taikomų technologijų aprašymas;</w:t>
                </w:r>
              </w:p>
              <w:p w14:paraId="3F9267A0" w14:textId="6E411D70">
                <w:pPr>
                  <w:widowControl w:val="0"/>
                  <w:suppressAutoHyphens/>
                  <w:ind w:firstLine="709"/>
                  <w:jc w:val="both"/>
                  <w:rPr>
                    <w:rFonts w:eastAsia="Lucida Sans Unicode"/>
                    <w:b/>
                    <w:bCs/>
                    <w:szCs w:val="24"/>
                    <w:lang w:val="fi-FI"/>
                  </w:rPr>
                </w:pPr>
                <w:r>
                  <w:rPr>
                    <w:rFonts w:eastAsia="Lucida Sans Unicode"/>
                    <w:b/>
                    <w:bCs/>
                    <w:szCs w:val="24"/>
                  </w:rPr>
                  <w:t>4) bendras išankstinio sutikimo galiojimo laikotarpiu planuojamų naudoti įvežtų, importuotų atliekų kiekis.</w:t>
                </w:r>
              </w:p>
              <w:p w14:paraId="486C5532" w14:textId="286BE7A6">
                <w:pPr>
                  <w:widowControl w:val="0"/>
                  <w:suppressAutoHyphens/>
                  <w:ind w:firstLine="709"/>
                  <w:jc w:val="both"/>
                  <w:rPr>
                    <w:rFonts w:eastAsia="Lucida Sans Unicode"/>
                    <w:b/>
                    <w:bCs/>
                    <w:szCs w:val="24"/>
                    <w:lang w:val="fi-FI"/>
                  </w:rPr>
                </w:pPr>
                <w:r>
                  <w:rPr>
                    <w:rFonts w:eastAsia="Lucida Sans Unicode"/>
                    <w:b/>
                    <w:bCs/>
                    <w:szCs w:val="24"/>
                  </w:rPr>
                  <w:t xml:space="preserve">6. Išankstinis sutikimas keičiamas per 10 darbo dienų nuo išankstinio sutikimo turėtojo prašymo pateikimo dienos, jeigu keičiasi bent viena šio straipsnio </w:t>
                </w:r>
                <w:r>
                  <w:rPr>
                    <w:rFonts w:eastAsia="Lucida Sans Unicode"/>
                    <w:b/>
                    <w:bCs/>
                    <w:szCs w:val="24"/>
                    <w:lang w:val="fi-FI"/>
                  </w:rPr>
                  <w:t>1</w:t>
                </w:r>
                <w:r>
                  <w:rPr>
                    <w:rFonts w:eastAsia="Lucida Sans Unicode"/>
                    <w:b/>
                    <w:bCs/>
                    <w:szCs w:val="24"/>
                  </w:rPr>
                  <w:t xml:space="preserve"> dalyje nurodyta sąlyga ir (ar) šio straipsnio </w:t>
                </w:r>
                <w:r>
                  <w:rPr>
                    <w:rFonts w:eastAsia="Lucida Sans Unicode"/>
                    <w:b/>
                    <w:bCs/>
                    <w:szCs w:val="24"/>
                    <w:lang w:val="fi-FI"/>
                  </w:rPr>
                  <w:t>5</w:t>
                </w:r>
                <w:r>
                  <w:rPr>
                    <w:rFonts w:eastAsia="Lucida Sans Unicode"/>
                    <w:b/>
                    <w:bCs/>
                    <w:szCs w:val="24"/>
                  </w:rPr>
                  <w:t xml:space="preserve"> dalyje nurodytos informacija.</w:t>
                </w:r>
              </w:p>
              <w:p w14:paraId="7F0D32B5" w14:textId="5041B2A4">
                <w:pPr>
                  <w:widowControl w:val="0"/>
                  <w:suppressAutoHyphens/>
                  <w:ind w:firstLine="709"/>
                  <w:jc w:val="both"/>
                  <w:rPr>
                    <w:rFonts w:eastAsia="Lucida Sans Unicode"/>
                    <w:b/>
                    <w:bCs/>
                    <w:szCs w:val="24"/>
                    <w:lang w:val="fi-FI"/>
                  </w:rPr>
                </w:pPr>
                <w:r>
                  <w:rPr>
                    <w:rFonts w:eastAsia="Lucida Sans Unicode"/>
                    <w:b/>
                    <w:bCs/>
                    <w:szCs w:val="24"/>
                  </w:rPr>
                  <w:t>7. Išankstinio sutikimo galiojimas panaikinamas per 10 darbo dienų nuo išankstinio sutikimo turėtojo prašymo panaikinti išankstinį sutikimą gavimo dienos arba nuo dienos, kai sužinoma bent viena iš šių sąlygų:</w:t>
                </w:r>
              </w:p>
              <w:p w14:paraId="385F37E6" w14:textId="036F0DC1">
                <w:pPr>
                  <w:widowControl w:val="0"/>
                  <w:suppressAutoHyphens/>
                  <w:ind w:firstLine="709"/>
                  <w:jc w:val="both"/>
                  <w:rPr>
                    <w:rFonts w:eastAsia="Lucida Sans Unicode"/>
                    <w:b/>
                    <w:bCs/>
                    <w:szCs w:val="24"/>
                    <w:lang w:val="fi-FI"/>
                  </w:rPr>
                </w:pPr>
                <w:r>
                  <w:rPr>
                    <w:rFonts w:eastAsia="Lucida Sans Unicode"/>
                    <w:b/>
                    <w:bCs/>
                    <w:szCs w:val="24"/>
                  </w:rPr>
                  <w:t>1) panaikintas leidimo galiojimas;</w:t>
                </w:r>
              </w:p>
              <w:p w14:paraId="37F04CFE" w14:textId="566F663A">
                <w:pPr>
                  <w:widowControl w:val="0"/>
                  <w:suppressAutoHyphens/>
                  <w:ind w:firstLine="709"/>
                  <w:jc w:val="both"/>
                  <w:rPr>
                    <w:rFonts w:eastAsia="Lucida Sans Unicode"/>
                    <w:b/>
                    <w:bCs/>
                    <w:szCs w:val="24"/>
                    <w:lang w:val="fi-FI"/>
                  </w:rPr>
                </w:pPr>
                <w:r>
                  <w:rPr>
                    <w:rFonts w:eastAsia="Lucida Sans Unicode"/>
                    <w:b/>
                    <w:bCs/>
                    <w:szCs w:val="24"/>
                  </w:rPr>
                  <w:t>2) neįdiegta šio straipsnio 1 dalies 2 punkte nurodyta aplinkosaugos vadybos sistema;</w:t>
                </w:r>
              </w:p>
              <w:p w14:paraId="18C68F55" w14:textId="5B7FB624">
                <w:pPr>
                  <w:widowControl w:val="0"/>
                  <w:suppressAutoHyphens/>
                  <w:ind w:firstLine="709"/>
                  <w:jc w:val="both"/>
                  <w:rPr>
                    <w:rFonts w:eastAsia="Lucida Sans Unicode"/>
                    <w:b/>
                    <w:bCs/>
                    <w:szCs w:val="24"/>
                    <w:lang w:val="fi-FI"/>
                  </w:rPr>
                </w:pPr>
                <w:r>
                  <w:rPr>
                    <w:rFonts w:eastAsia="Lucida Sans Unicode"/>
                    <w:b/>
                    <w:bCs/>
                    <w:szCs w:val="24"/>
                  </w:rPr>
                  <w:t xml:space="preserve">3) atliekų tvarkytojas nenaudojo įvežtas, importuotas atliekas, bet laikė jas ilgiau nei apibrėžiama Reglamento </w:t>
                </w:r>
                <w:fldSimple w:instr="HYPERLINK http://eur-lex.europa.eu/legal-content/LIT/TXT/?uri=CELEX:32006R1013&amp;locale=lt \t _blank">
                  <w:r>
                    <w:rPr>
                      <w:rFonts w:eastAsia="Lucida Sans Unicode"/>
                      <w:b/>
                      <w:bCs/>
                      <w:szCs w:val="24"/>
                      <w:u w:val="single"/>
                      <w:color w:val="0000FF" w:themeColor="hyperlink"/>
                    </w:rPr>
                    <w:t>(EB) Nr. 1013/2006</w:t>
                  </w:r>
                </w:fldSimple>
                <w:r>
                  <w:rPr>
                    <w:rFonts w:eastAsia="Lucida Sans Unicode"/>
                    <w:b/>
                    <w:bCs/>
                    <w:szCs w:val="24"/>
                  </w:rPr>
                  <w:t xml:space="preserve"> 9 straipsnio 7 dalyje, ir (ar) pažeidė šio Įstatymo 4</w:t>
                </w:r>
                <w:r>
                  <w:rPr>
                    <w:rFonts w:eastAsia="Lucida Sans Unicode"/>
                    <w:b/>
                    <w:bCs/>
                    <w:szCs w:val="24"/>
                    <w:vertAlign w:val="superscript"/>
                  </w:rPr>
                  <w:t>1</w:t>
                </w:r>
                <w:r>
                  <w:rPr>
                    <w:rFonts w:eastAsia="Lucida Sans Unicode"/>
                    <w:b/>
                    <w:bCs/>
                    <w:szCs w:val="24"/>
                  </w:rPr>
                  <w:t xml:space="preserve"> straipsnyje numatytus reikalavimus;</w:t>
                </w:r>
              </w:p>
              <w:p w14:paraId="1475684E" w14:textId="57F5D7D9">
                <w:pPr>
                  <w:widowControl w:val="0"/>
                  <w:suppressAutoHyphens/>
                  <w:ind w:firstLine="709"/>
                  <w:jc w:val="both"/>
                  <w:rPr>
                    <w:rFonts w:eastAsia="Lucida Sans Unicode"/>
                    <w:b/>
                    <w:bCs/>
                    <w:szCs w:val="24"/>
                    <w:lang w:val="fi-FI"/>
                  </w:rPr>
                </w:pPr>
                <w:r>
                  <w:rPr>
                    <w:rFonts w:eastAsia="Lucida Sans Unicode"/>
                    <w:b/>
                    <w:bCs/>
                    <w:szCs w:val="24"/>
                    <w:lang w:val="fi-FI"/>
                  </w:rPr>
                  <w:t>4</w:t>
                </w:r>
                <w:r>
                  <w:rPr>
                    <w:rFonts w:eastAsia="Lucida Sans Unicode"/>
                    <w:b/>
                    <w:bCs/>
                    <w:szCs w:val="24"/>
                  </w:rPr>
                  <w:t>) planuojamų naudoti įvežtų, importuotų atliekų, dėl kurių išduotas išankstinis sutikimas, kodai, pavadinimai, fizinės savybės ir sudėtis, atliekų naudojimo veiklų kodai ir pavadinimai neatitinka išankstiniame sutikime pateiktos informacijos;</w:t>
                </w:r>
              </w:p>
              <w:p w14:paraId="772F2331" w14:textId="3A998022">
                <w:pPr>
                  <w:widowControl w:val="0"/>
                  <w:suppressAutoHyphens/>
                  <w:ind w:firstLine="709"/>
                  <w:jc w:val="both"/>
                  <w:rPr>
                    <w:rFonts w:eastAsia="Lucida Sans Unicode"/>
                    <w:b/>
                    <w:bCs/>
                    <w:szCs w:val="24"/>
                    <w:lang w:val="fi-FI"/>
                  </w:rPr>
                </w:pPr>
                <w:r>
                  <w:rPr>
                    <w:rFonts w:eastAsia="Lucida Sans Unicode"/>
                    <w:b/>
                    <w:bCs/>
                    <w:szCs w:val="24"/>
                  </w:rPr>
                  <w:t>5) pateiktas tikrovės neatitinkantis aprašymas apie bendrą kiekį kiekvienos rūšies atliekų, dėl kurių buvo išduotas išankstinis sutikimas, palyginti su atliekų naudojimo įrenginio apdorojimo pajėgumais, dėl kurių atliekų naudojimo įrenginiui išduotas leidimas;</w:t>
                </w:r>
              </w:p>
              <w:p w14:paraId="66660B1B" w14:textId="2DD56DD9">
                <w:pPr>
                  <w:widowControl w:val="0"/>
                  <w:suppressAutoHyphens/>
                  <w:ind w:firstLine="709"/>
                  <w:jc w:val="both"/>
                  <w:rPr>
                    <w:rFonts w:eastAsia="Lucida Sans Unicode"/>
                    <w:b/>
                    <w:bCs/>
                    <w:szCs w:val="24"/>
                    <w:lang w:val="fi-FI"/>
                  </w:rPr>
                </w:pPr>
                <w:r>
                  <w:rPr>
                    <w:rFonts w:eastAsia="Lucida Sans Unicode"/>
                    <w:b/>
                    <w:bCs/>
                    <w:szCs w:val="24"/>
                  </w:rPr>
                  <w:t>6) pateiktas tikrovės neatitinkantis aprašymas apie atliekų, susidariusių po atliekų panaudojimo, kiekį, palyginti su panaudotų atliekų kiekiu, ir planuojamą tolesnio (galutinio) atliekų panaudojimo ar šalinimo būdą;</w:t>
                </w:r>
              </w:p>
              <w:p w14:paraId="73C4F1D5" w14:textId="1EC158AF">
                <w:pPr>
                  <w:widowControl w:val="0"/>
                  <w:suppressAutoHyphens/>
                  <w:ind w:firstLine="709"/>
                  <w:jc w:val="both"/>
                  <w:rPr>
                    <w:rFonts w:eastAsia="Lucida Sans Unicode"/>
                    <w:b/>
                    <w:bCs/>
                    <w:szCs w:val="24"/>
                    <w:lang w:val="fi-FI"/>
                  </w:rPr>
                </w:pPr>
                <w:r>
                  <w:rPr>
                    <w:rFonts w:eastAsia="Lucida Sans Unicode"/>
                    <w:b/>
                    <w:bCs/>
                    <w:szCs w:val="24"/>
                  </w:rPr>
                  <w:t>7) netaikyti išankstiniame sutikime nurodyti po įvežtų, importuotų atliekų panaudojimo susidariusių atliekų panaudojimo ir (ar) šalinimo būdai;</w:t>
                </w:r>
              </w:p>
              <w:p w14:paraId="592E10D2" w14:textId="27A792E0">
                <w:pPr>
                  <w:widowControl w:val="0"/>
                  <w:suppressAutoHyphens/>
                  <w:ind w:firstLine="709"/>
                  <w:jc w:val="both"/>
                  <w:rPr>
                    <w:color w:val="000000"/>
                    <w:szCs w:val="24"/>
                    <w:lang w:eastAsia="lt-LT"/>
                  </w:rPr>
                </w:pPr>
                <w:r>
                  <w:rPr>
                    <w:rFonts w:eastAsia="Lucida Sans Unicode"/>
                    <w:b/>
                    <w:bCs/>
                    <w:szCs w:val="24"/>
                  </w:rPr>
                  <w:t>8) atliekų naudojimo įrenginio veiklos, susijusios su atliekų naudojimu, aprašyme, kuriame nurodomi per paskutinius trejus metus apdorotų atliekų kiekiai ir rūšys, pateikta tikrovės neatitinkanti informacija.“</w:t>
                </w:r>
              </w:p>
            </w:tc>
            <w:tc>
              <w:tcPr>
                <w:tcW w:w="2524" w:type="dxa"/>
              </w:tcPr>
              <w:p w14:paraId="5F2B4AEC" w14:textId="5A3F93BE">
                <w:pPr>
                  <w:widowControl w:val="0"/>
                  <w:suppressAutoHyphens/>
                  <w:rPr>
                    <w:rFonts w:eastAsia="Lucida Sans Unicode"/>
                    <w:b/>
                    <w:szCs w:val="24"/>
                  </w:rPr>
                </w:pPr>
                <w:r>
                  <w:rPr>
                    <w:rFonts w:eastAsia="Lucida Sans Unicode"/>
                    <w:b/>
                    <w:szCs w:val="24"/>
                  </w:rPr>
                  <w:t>Dalinis</w:t>
                </w:r>
              </w:p>
              <w:p w14:paraId="57481EC1" w14:textId="6673CF58">
                <w:pPr>
                  <w:widowControl w:val="0"/>
                  <w:suppressAutoHyphens/>
                  <w:rPr>
                    <w:rFonts w:eastAsia="Lucida Sans Unicode"/>
                    <w:i/>
                    <w:iCs/>
                    <w:szCs w:val="24"/>
                  </w:rPr>
                </w:pPr>
                <w:r>
                  <w:rPr>
                    <w:rFonts w:eastAsia="Lucida Sans Unicode"/>
                    <w:i/>
                    <w:iCs/>
                    <w:szCs w:val="24"/>
                  </w:rPr>
                  <w:t xml:space="preserve">Pastaba. Visiškai bus įgyvendinta patvirtinus Lietuvos Respublikos aplinkos ministro 2004 m. balandžio </w:t>
                </w:r>
                <w:r>
                  <w:rPr>
                    <w:rFonts w:eastAsia="Lucida Sans Unicode"/>
                    <w:i/>
                    <w:iCs/>
                    <w:szCs w:val="24"/>
                    <w:lang w:val="en-US"/>
                  </w:rPr>
                  <w:t>27</w:t>
                </w:r>
                <w:r>
                  <w:rPr>
                    <w:rFonts w:eastAsia="Lucida Sans Unicode"/>
                    <w:i/>
                    <w:iCs/>
                    <w:szCs w:val="24"/>
                  </w:rPr>
                  <w:t> d. įsakymo Nr. D1</w:t>
                  <w:noBreakHyphen/>
                  <w:t>207 „Dėl Atliekų tarpvalstybinių vežimų tvarkos aprašo patvirtinimo“</w:t>
                </w:r>
                <w:r>
                  <w:rPr>
                    <w:rFonts w:eastAsia="Lucida Sans Unicode"/>
                    <w:i/>
                    <w:iCs/>
                    <w:color w:val="000000"/>
                    <w:szCs w:val="24"/>
                  </w:rPr>
                  <w:t xml:space="preserve"> pakeitimo“ pakeitimą.</w:t>
                </w:r>
              </w:p>
            </w:tc>
          </w:tr>
          <w:tr w14:paraId="643F580F" w14:textId="77777777">
            <w:trPr>
              <w:trHeight w:val="1475"/>
            </w:trPr>
            <w:tc>
              <w:tcPr>
                <w:tcW w:w="4106" w:type="dxa"/>
              </w:tcPr>
              <w:p w14:paraId="3BCA21E8" w14:textId="77777777">
                <w:pPr>
                  <w:jc w:val="both"/>
                  <w:rPr>
                    <w:szCs w:val="24"/>
                  </w:rPr>
                </w:pPr>
                <w:r>
                  <w:rPr>
                    <w:b/>
                    <w:bCs/>
                    <w:iCs/>
                    <w:szCs w:val="24"/>
                  </w:rPr>
                  <w:t>53 straipsnis</w:t>
                </w:r>
                <w:r>
                  <w:rPr>
                    <w:b/>
                    <w:szCs w:val="24"/>
                  </w:rPr>
                  <w:t>.</w:t>
                </w:r>
                <w:r>
                  <w:rPr>
                    <w:szCs w:val="24"/>
                  </w:rPr>
                  <w:t xml:space="preserve"> </w:t>
                </w:r>
                <w:r>
                  <w:rPr>
                    <w:b/>
                    <w:szCs w:val="24"/>
                  </w:rPr>
                  <w:t>Kompetentingų institucijų paskyrimas</w:t>
                </w:r>
              </w:p>
              <w:p w14:paraId="5483A23D" w14:textId="77777777">
                <w:pPr>
                  <w:jc w:val="both"/>
                  <w:rPr>
                    <w:szCs w:val="24"/>
                  </w:rPr>
                </w:pPr>
                <w:r>
                  <w:rPr>
                    <w:szCs w:val="24"/>
                  </w:rPr>
                  <w:t>Valstybės narės paskiria kompetentingą instituciją ar institucijas, atsakingas už šio reglamento nuostatų įgyvendinimą. Kiekviena valstybė narė paskiria tik po vieną tranzito kompetentingą instituciją.</w:t>
                </w:r>
              </w:p>
            </w:tc>
            <w:tc>
              <w:tcPr>
                <w:tcW w:w="8363" w:type="dxa"/>
              </w:tcPr>
              <w:p w14:paraId="0997C7F8" w14:textId="69117379">
                <w:pPr>
                  <w:widowControl w:val="0"/>
                  <w:suppressAutoHyphens/>
                  <w:ind w:firstLine="709"/>
                  <w:jc w:val="both"/>
                  <w:rPr>
                    <w:rFonts w:eastAsia="Lucida Sans Unicode"/>
                    <w:szCs w:val="24"/>
                  </w:rPr>
                </w:pPr>
                <w:r>
                  <w:rPr>
                    <w:rFonts w:eastAsia="Lucida Sans Unicode"/>
                    <w:b/>
                    <w:bCs/>
                    <w:szCs w:val="24"/>
                  </w:rPr>
                  <w:t>4 straipsnis. 4 straipsnio pakeitimas</w:t>
                </w:r>
              </w:p>
              <w:p w14:paraId="1EDF182A" w14:textId="213BE9B0">
                <w:pPr>
                  <w:widowControl w:val="0"/>
                  <w:suppressAutoHyphens/>
                  <w:ind w:firstLine="709"/>
                  <w:jc w:val="both"/>
                  <w:rPr>
                    <w:rFonts w:eastAsia="Lucida Sans Unicode"/>
                    <w:b/>
                    <w:bCs/>
                    <w:szCs w:val="24"/>
                  </w:rPr>
                </w:pPr>
                <w:r>
                  <w:rPr>
                    <w:rFonts w:eastAsia="Lucida Sans Unicode"/>
                    <w:b/>
                    <w:bCs/>
                    <w:szCs w:val="24"/>
                  </w:rPr>
                  <w:t>Pakeisti 4 straipsnio 5 dalį ir ją išdėstyti taip:</w:t>
                </w:r>
              </w:p>
              <w:p w14:paraId="1DF186D4" w14:textId="5051F2C7">
                <w:pPr>
                  <w:widowControl w:val="0"/>
                  <w:suppressAutoHyphens/>
                  <w:ind w:firstLine="709"/>
                  <w:jc w:val="both"/>
                  <w:rPr>
                    <w:rFonts w:eastAsia="Lucida Sans Unicode"/>
                    <w:szCs w:val="24"/>
                  </w:rPr>
                </w:pPr>
                <w:r>
                  <w:rPr>
                    <w:rFonts w:eastAsia="Lucida Sans Unicode"/>
                    <w:b/>
                    <w:bCs/>
                    <w:szCs w:val="24"/>
                  </w:rPr>
                  <w:t xml:space="preserve">„5. Atliekų vežimą tranzitu, išvežimą, eksportą iš Lietuvos Respublikos, įvežimą, importą į Lietuvos Respubliką ir išankstinio sutikimo išdavimą, keitimą, galiojimo panaikinimą reglamentuoja Lietuvos Respublikos, Europos Sąjungos teisės aktai ir tarptautinės sutartys, reglamentuojančios atliekų tarpvalstybinius vežimus. Aplinkos ministro įgaliota institucija pagal kompetenciją atlieka kompetentingos institucijos, susirašinėtojo, bendradarbiavimo funkcijas ir (ar) prižiūri atliekų vežimo tranzitu, išvežimo, eksporto iš Lietuvos Respublikos ir įvežimo, importo į Lietuvos Respubliką reikalavimų vykdymą pagal Reglamentą </w:t>
                </w:r>
                <w:fldSimple w:instr="HYPERLINK http://eur-lex.europa.eu/legal-content/LIT/TXT/?uri=CELEX:32006R1013&amp;locale=lt \t _blank">
                  <w:r>
                    <w:rPr>
                      <w:rFonts w:eastAsia="Lucida Sans Unicode"/>
                      <w:b/>
                      <w:bCs/>
                      <w:szCs w:val="24"/>
                      <w:u w:val="single"/>
                      <w:color w:val="0000FF" w:themeColor="hyperlink"/>
                    </w:rPr>
                    <w:t>(EB) Nr. 1013/2006</w:t>
                  </w:r>
                </w:fldSimple>
                <w:r>
                  <w:rPr>
                    <w:rFonts w:eastAsia="Lucida Sans Unicode"/>
                    <w:b/>
                    <w:bCs/>
                    <w:szCs w:val="24"/>
                  </w:rPr>
                  <w:t xml:space="preserve"> ir kitų Lietuvos Respublikos, Europos Sąjungos teisės aktų ir tarptautinių sutarčių nuostatas, reglamentuojančias atliekų tarpvalstybinius vežimus. Atliekų tarpvalstybinių vežimų tvarką tvirtina aplinkos ministras.“</w:t>
                </w:r>
              </w:p>
            </w:tc>
            <w:tc>
              <w:tcPr>
                <w:tcW w:w="2524" w:type="dxa"/>
              </w:tcPr>
              <w:p w14:paraId="03A88272" w14:textId="77777777">
                <w:pPr>
                  <w:widowControl w:val="0"/>
                  <w:suppressAutoHyphens/>
                  <w:rPr>
                    <w:rFonts w:eastAsia="Lucida Sans Unicode"/>
                    <w:b/>
                    <w:szCs w:val="24"/>
                  </w:rPr>
                </w:pPr>
                <w:r>
                  <w:rPr>
                    <w:rFonts w:eastAsia="Lucida Sans Unicode"/>
                    <w:b/>
                    <w:szCs w:val="24"/>
                  </w:rPr>
                  <w:t>Dalinis.</w:t>
                </w:r>
              </w:p>
              <w:p w14:paraId="55CE3E78" w14:textId="213D38AF">
                <w:pPr>
                  <w:widowControl w:val="0"/>
                  <w:suppressAutoHyphens/>
                  <w:rPr>
                    <w:rFonts w:eastAsia="Lucida Sans Unicode"/>
                    <w:b/>
                    <w:bCs/>
                    <w:szCs w:val="24"/>
                  </w:rPr>
                </w:pPr>
                <w:r>
                  <w:rPr>
                    <w:rFonts w:eastAsia="Lucida Sans Unicode"/>
                    <w:i/>
                    <w:iCs/>
                    <w:szCs w:val="24"/>
                  </w:rPr>
                  <w:t xml:space="preserve">Pastaba. Visiškai bus įgyvendinta patvirtinus Lietuvos Respublikos aplinkos ministro 2004 m. balandžio </w:t>
                </w:r>
                <w:r>
                  <w:rPr>
                    <w:rFonts w:eastAsia="Lucida Sans Unicode"/>
                    <w:i/>
                    <w:iCs/>
                    <w:szCs w:val="24"/>
                    <w:lang w:val="en-US"/>
                  </w:rPr>
                  <w:t>27</w:t>
                </w:r>
                <w:r>
                  <w:rPr>
                    <w:rFonts w:eastAsia="Lucida Sans Unicode"/>
                    <w:i/>
                    <w:iCs/>
                    <w:szCs w:val="24"/>
                  </w:rPr>
                  <w:t> d. įsakymo Nr. D1</w:t>
                  <w:noBreakHyphen/>
                  <w:t>207 „Dėl Atliekų tarpvalstybinių vežimų tvarkos aprašo patvirtinimo“ pakeitimą.</w:t>
                </w:r>
              </w:p>
            </w:tc>
          </w:tr>
          <w:tr w14:paraId="6D1888F8" w14:textId="77777777">
            <w:trPr>
              <w:trHeight w:val="50"/>
            </w:trPr>
            <w:tc>
              <w:tcPr>
                <w:tcW w:w="4106" w:type="dxa"/>
              </w:tcPr>
              <w:p w14:paraId="6D2228D0" w14:textId="77777777">
                <w:pPr>
                  <w:jc w:val="both"/>
                  <w:rPr>
                    <w:rFonts w:eastAsia="Arial Unicode MS"/>
                    <w:bCs/>
                    <w:color w:val="000000"/>
                    <w:szCs w:val="24"/>
                    <w:lang w:eastAsia="lt-LT"/>
                  </w:rPr>
                </w:pPr>
                <w:r>
                  <w:rPr>
                    <w:rFonts w:eastAsia="Arial Unicode MS"/>
                    <w:b/>
                    <w:bCs/>
                    <w:color w:val="000000"/>
                    <w:szCs w:val="24"/>
                    <w:lang w:eastAsia="lt-LT"/>
                  </w:rPr>
                  <w:t>54 straipsnis.</w:t>
                </w:r>
                <w:r>
                  <w:rPr>
                    <w:rFonts w:eastAsia="Arial Unicode MS"/>
                    <w:bCs/>
                    <w:color w:val="000000"/>
                    <w:szCs w:val="24"/>
                    <w:lang w:eastAsia="lt-LT"/>
                  </w:rPr>
                  <w:t xml:space="preserve"> </w:t>
                </w:r>
                <w:r>
                  <w:rPr>
                    <w:rFonts w:eastAsia="Arial Unicode MS"/>
                    <w:b/>
                    <w:bCs/>
                    <w:color w:val="000000"/>
                    <w:szCs w:val="24"/>
                    <w:lang w:eastAsia="lt-LT"/>
                  </w:rPr>
                  <w:t>Susirašinėtojų paskyrimas</w:t>
                </w:r>
              </w:p>
              <w:p w14:paraId="5284ACF2" w14:textId="2C2C180C">
                <w:pPr>
                  <w:widowControl w:val="0"/>
                  <w:suppressAutoHyphens/>
                  <w:jc w:val="both"/>
                  <w:rPr>
                    <w:rFonts w:eastAsia="Lucida Sans Unicode"/>
                    <w:szCs w:val="24"/>
                  </w:rPr>
                </w:pPr>
                <w:r>
                  <w:rPr>
                    <w:rFonts w:eastAsia="Lucida Sans Unicode"/>
                    <w:szCs w:val="24"/>
                  </w:rPr>
                  <w:t>Valstybės narės ir Komisija paskiria po vieną ar daugiau susirašinėtojų, atsakingų už informacijos teikimą ar pranešimą asmenims ar įmonėms, teikiančioms užklausimus. Komisijos susirašinėtojas valstybių narių susirašinėtojams siunčia jam pateiktus klausimus, susijusius su valstybėmis narėmis, ir atvirkščiai.</w:t>
                </w:r>
              </w:p>
            </w:tc>
            <w:tc>
              <w:tcPr>
                <w:tcW w:w="8363" w:type="dxa"/>
              </w:tcPr>
              <w:p w14:paraId="4821AEBE" w14:textId="06A0C39D">
                <w:pPr>
                  <w:widowControl w:val="0"/>
                  <w:suppressAutoHyphens/>
                  <w:ind w:firstLine="709"/>
                  <w:jc w:val="both"/>
                  <w:rPr>
                    <w:rFonts w:eastAsia="Lucida Sans Unicode"/>
                    <w:szCs w:val="24"/>
                  </w:rPr>
                </w:pPr>
                <w:r>
                  <w:rPr>
                    <w:rFonts w:eastAsia="Lucida Sans Unicode"/>
                    <w:b/>
                    <w:bCs/>
                    <w:szCs w:val="24"/>
                  </w:rPr>
                  <w:t>4 straipsnis. 4 straipsnio pakeitimas</w:t>
                </w:r>
              </w:p>
              <w:p w14:paraId="4F399467" w14:textId="5DE0A6AA">
                <w:pPr>
                  <w:widowControl w:val="0"/>
                  <w:suppressAutoHyphens/>
                  <w:ind w:firstLine="709"/>
                  <w:jc w:val="both"/>
                  <w:rPr>
                    <w:rFonts w:eastAsia="Lucida Sans Unicode"/>
                    <w:b/>
                    <w:bCs/>
                    <w:szCs w:val="24"/>
                  </w:rPr>
                </w:pPr>
                <w:r>
                  <w:rPr>
                    <w:rFonts w:eastAsia="Lucida Sans Unicode"/>
                    <w:b/>
                    <w:bCs/>
                    <w:szCs w:val="24"/>
                  </w:rPr>
                  <w:t>Pakeisti 4 straipsnio 5 dalį ir ją išdėstyti taip:</w:t>
                </w:r>
              </w:p>
              <w:p w14:paraId="4DA15BFA" w14:textId="4120B297">
                <w:pPr>
                  <w:widowControl w:val="0"/>
                  <w:suppressAutoHyphens/>
                  <w:ind w:firstLine="709"/>
                  <w:jc w:val="both"/>
                  <w:rPr>
                    <w:rFonts w:eastAsia="Lucida Sans Unicode"/>
                    <w:szCs w:val="24"/>
                  </w:rPr>
                </w:pPr>
                <w:r>
                  <w:rPr>
                    <w:rFonts w:eastAsia="Lucida Sans Unicode"/>
                    <w:b/>
                    <w:bCs/>
                    <w:szCs w:val="24"/>
                  </w:rPr>
                  <w:t xml:space="preserve">„5. Atliekų vežimą tranzitu, išvežimą, eksportą iš Lietuvos Respublikos, įvežimą, importą į Lietuvos Respubliką ir išankstinio sutikimo išdavimą, keitimą, galiojimo panaikinimą reglamentuoja Lietuvos Respublikos, Europos Sąjungos teisės aktai ir tarptautinės sutartys, reglamentuojančios atliekų tarpvalstybinius vežimus. Aplinkos ministro įgaliota institucija pagal kompetenciją atlieka kompetentingos institucijos, susirašinėtojo, bendradarbiavimo funkcijas ir (ar) prižiūri atliekų vežimo tranzitu, išvežimo, eksporto iš Lietuvos Respublikos ir įvežimo, importo į Lietuvos Respubliką reikalavimų vykdymą pagal Reglamentą </w:t>
                </w:r>
                <w:fldSimple w:instr="HYPERLINK http://eur-lex.europa.eu/legal-content/LIT/TXT/?uri=CELEX:32006R1013&amp;locale=lt \t _blank">
                  <w:r>
                    <w:rPr>
                      <w:rFonts w:eastAsia="Lucida Sans Unicode"/>
                      <w:b/>
                      <w:bCs/>
                      <w:szCs w:val="24"/>
                      <w:u w:val="single"/>
                      <w:color w:val="0000FF" w:themeColor="hyperlink"/>
                    </w:rPr>
                    <w:t>(EB) Nr. 1013/2006</w:t>
                  </w:r>
                </w:fldSimple>
                <w:r>
                  <w:rPr>
                    <w:rFonts w:eastAsia="Lucida Sans Unicode"/>
                    <w:b/>
                    <w:bCs/>
                    <w:szCs w:val="24"/>
                  </w:rPr>
                  <w:t xml:space="preserve"> ir kitų Lietuvos Respublikos, Europos Sąjungos teisės aktų ir tarptautinių sutarčių nuostatas, reglamentuojančias atliekų tarpvalstybinius vežimus. Atliekų tarpvalstybinių vežimų tvarką tvirtina aplinkos ministras.“</w:t>
                </w:r>
              </w:p>
            </w:tc>
            <w:tc>
              <w:tcPr>
                <w:tcW w:w="2524" w:type="dxa"/>
              </w:tcPr>
              <w:p w14:paraId="7FC65EBA" w14:textId="6D2E641C">
                <w:pPr>
                  <w:widowControl w:val="0"/>
                  <w:suppressAutoHyphens/>
                  <w:rPr>
                    <w:rFonts w:eastAsia="Lucida Sans Unicode"/>
                    <w:b/>
                    <w:szCs w:val="24"/>
                  </w:rPr>
                </w:pPr>
                <w:r>
                  <w:rPr>
                    <w:rFonts w:eastAsia="Lucida Sans Unicode"/>
                    <w:b/>
                    <w:szCs w:val="24"/>
                  </w:rPr>
                  <w:t>Dalinis.</w:t>
                </w:r>
              </w:p>
              <w:p w14:paraId="42525F23" w14:textId="5D537D7B">
                <w:pPr>
                  <w:widowControl w:val="0"/>
                  <w:suppressAutoHyphens/>
                  <w:rPr>
                    <w:rFonts w:eastAsia="Lucida Sans Unicode"/>
                    <w:b/>
                    <w:bCs/>
                    <w:szCs w:val="24"/>
                  </w:rPr>
                </w:pPr>
                <w:r>
                  <w:rPr>
                    <w:rFonts w:eastAsia="Lucida Sans Unicode"/>
                    <w:i/>
                    <w:iCs/>
                    <w:szCs w:val="24"/>
                  </w:rPr>
                  <w:t xml:space="preserve">Pastaba. Visiškai bus įgyvendinta patvirtinus Lietuvos Respublikos aplinkos ministro 2004 m. balandžio </w:t>
                </w:r>
                <w:r>
                  <w:rPr>
                    <w:rFonts w:eastAsia="Lucida Sans Unicode"/>
                    <w:i/>
                    <w:iCs/>
                    <w:szCs w:val="24"/>
                    <w:lang w:val="en-US"/>
                  </w:rPr>
                  <w:t>27</w:t>
                </w:r>
                <w:r>
                  <w:rPr>
                    <w:rFonts w:eastAsia="Lucida Sans Unicode"/>
                    <w:i/>
                    <w:iCs/>
                    <w:szCs w:val="24"/>
                  </w:rPr>
                  <w:t> d. įsakymo Nr. D1</w:t>
                  <w:noBreakHyphen/>
                  <w:t>207 „Dėl Atliekų tarpvalstybinių vežimų tvarkos aprašo patvirtinimo“ pakeitimą.</w:t>
                </w:r>
              </w:p>
            </w:tc>
          </w:tr>
        </w:tbl>
        <w:p w14:paraId="614B8854" w14:textId="77777777">
          <w:pPr>
            <w:widowControl w:val="0"/>
            <w:shd w:val="clear" w:color="auto" w:fill="FFFFFF"/>
            <w:suppressAutoHyphens/>
            <w:spacing w:line="23" w:lineRule="atLeast"/>
            <w:rPr>
              <w:rFonts w:eastAsia="Lucida Sans Unicode"/>
              <w:szCs w:val="24"/>
            </w:rPr>
          </w:pPr>
        </w:p>
        <w:sdt>
          <w:sdtPr>
            <w:alias w:val="pabaiga"/>
            <w:tag w:val="part_19463c934f424f0385ea577318e3926b"/>
            <w:lock w:val="sdtLocked"/>
            <w:richText/>
          </w:sdtPr>
          <w:sdtContent>
            <w:p w14:paraId="6E721446" w14:textId="401B6A07">
              <w:pPr>
                <w:widowControl w:val="0"/>
                <w:shd w:val="clear" w:color="auto" w:fill="FFFFFF"/>
                <w:suppressAutoHyphens/>
                <w:spacing w:line="23" w:lineRule="atLeast"/>
                <w:jc w:val="center"/>
                <w:rPr>
                  <w:rFonts w:eastAsia="Lucida Sans Unicode"/>
                  <w:szCs w:val="24"/>
                </w:rPr>
              </w:pPr>
              <w:r>
                <w:rPr>
                  <w:rFonts w:eastAsia="Lucida Sans Unicode"/>
                  <w:szCs w:val="24"/>
                </w:rPr>
                <w:t>____________________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426"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1703B0" w14:textId="77777777">
      <w:pPr>
        <w:widowControl w:val="0"/>
        <w:suppressAutoHyphens/>
        <w:rPr>
          <w:rFonts w:eastAsia="Lucida Sans Unicode"/>
          <w:szCs w:val="24"/>
        </w:rPr>
      </w:pPr>
      <w:r>
        <w:rPr>
          <w:rFonts w:eastAsia="Lucida Sans Unicode"/>
          <w:szCs w:val="24"/>
        </w:rPr>
        <w:separator/>
      </w:r>
    </w:p>
  </w:endnote>
  <w:endnote w:type="continuationSeparator" w:id="0">
    <w:p w14:paraId="3300CCCC" w14:textId="77777777">
      <w:pPr>
        <w:widowControl w:val="0"/>
        <w:suppressAutoHyphens/>
        <w:rPr>
          <w:rFonts w:eastAsia="Lucida Sans Unicode"/>
          <w:szCs w:val="24"/>
        </w:rPr>
      </w:pPr>
      <w:r>
        <w:rPr>
          <w:rFonts w:eastAsia="Lucida Sans Unicode"/>
          <w:szCs w:val="24"/>
        </w:rPr>
        <w:continuationSeparator/>
      </w:r>
    </w:p>
  </w:endnote>
  <w:endnote w:type="continuationNotice" w:id="1">
    <w:p w14:paraId="3FDC208E"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A01636" w14:textId="77777777">
    <w:pPr>
      <w:widowControl w:val="0"/>
      <w:tabs>
        <w:tab w:val="center" w:pos="4819"/>
        <w:tab w:val="right" w:pos="9638"/>
      </w:tabs>
      <w:suppressAutoHyphens/>
      <w:rPr>
        <w:rFonts w:eastAsia="Lucida Sans Unicode"/>
        <w:szCs w:val="24"/>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7E9197" w14:textId="77777777">
    <w:pPr>
      <w:widowControl w:val="0"/>
      <w:tabs>
        <w:tab w:val="center" w:pos="4819"/>
        <w:tab w:val="right" w:pos="9638"/>
      </w:tabs>
      <w:suppressAutoHyphens/>
      <w:rPr>
        <w:rFonts w:eastAsia="Lucida Sans Unicode"/>
        <w:szCs w:val="24"/>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82959F" w14:textId="77777777">
    <w:pPr>
      <w:widowControl w:val="0"/>
      <w:tabs>
        <w:tab w:val="center" w:pos="4819"/>
        <w:tab w:val="right" w:pos="9638"/>
      </w:tabs>
      <w:suppressAutoHyphens/>
      <w:rPr>
        <w:rFonts w:eastAsia="Lucida Sans Unicode"/>
        <w:szCs w:val="24"/>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5E696E" w14:textId="77777777">
      <w:pPr>
        <w:widowControl w:val="0"/>
        <w:suppressAutoHyphens/>
        <w:rPr>
          <w:rFonts w:eastAsia="Lucida Sans Unicode"/>
          <w:szCs w:val="24"/>
        </w:rPr>
      </w:pPr>
      <w:r>
        <w:rPr>
          <w:rFonts w:eastAsia="Lucida Sans Unicode"/>
          <w:szCs w:val="24"/>
        </w:rPr>
        <w:separator/>
      </w:r>
    </w:p>
  </w:footnote>
  <w:footnote w:type="continuationSeparator" w:id="0">
    <w:p w14:paraId="08FB2280" w14:textId="77777777">
      <w:pPr>
        <w:widowControl w:val="0"/>
        <w:suppressAutoHyphens/>
        <w:rPr>
          <w:rFonts w:eastAsia="Lucida Sans Unicode"/>
          <w:szCs w:val="24"/>
        </w:rPr>
      </w:pPr>
      <w:r>
        <w:rPr>
          <w:rFonts w:eastAsia="Lucida Sans Unicode"/>
          <w:szCs w:val="24"/>
        </w:rPr>
        <w:continuationSeparator/>
      </w:r>
    </w:p>
  </w:footnote>
  <w:footnote w:type="continuationNotice" w:id="1">
    <w:p w14:paraId="06E75B4E"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1A86E9" w14:textId="77777777">
    <w:pPr>
      <w:widowControl w:val="0"/>
      <w:tabs>
        <w:tab w:val="center" w:pos="4819"/>
        <w:tab w:val="right" w:pos="9638"/>
      </w:tabs>
      <w:suppressAutoHyphens/>
      <w:rPr>
        <w:rFonts w:eastAsia="Lucida Sans Unicode"/>
        <w:szCs w:val="24"/>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ACB25" w14:textId="77777777">
    <w:pPr>
      <w:widowControl w:val="0"/>
      <w:tabs>
        <w:tab w:val="center" w:pos="4819"/>
        <w:tab w:val="right" w:pos="9638"/>
      </w:tabs>
      <w:suppressAutoHyphens/>
      <w:jc w:val="center"/>
      <w:rPr>
        <w:rFonts w:eastAsia="Lucida Sans Unicode"/>
        <w:szCs w:val="24"/>
        <w:lang w:val="x-none"/>
      </w:rPr>
    </w:pPr>
    <w:r>
      <w:rPr>
        <w:rFonts w:eastAsia="Lucida Sans Unicode"/>
        <w:szCs w:val="24"/>
        <w:lang w:val="x-none"/>
      </w:rPr>
      <w:fldChar w:fldCharType="begin"/>
    </w:r>
    <w:r>
      <w:rPr>
        <w:rFonts w:eastAsia="Lucida Sans Unicode"/>
        <w:szCs w:val="24"/>
        <w:lang w:val="x-none"/>
      </w:rPr>
      <w:instrText xml:space="preserve"> PAGE   \* MERGEFORMAT </w:instrText>
    </w:r>
    <w:r>
      <w:rPr>
        <w:rFonts w:eastAsia="Lucida Sans Unicode"/>
        <w:szCs w:val="24"/>
        <w:lang w:val="x-none"/>
      </w:rPr>
      <w:fldChar w:fldCharType="separate"/>
    </w:r>
    <w:r>
      <w:rPr>
        <w:rFonts w:eastAsia="Lucida Sans Unicode"/>
        <w:szCs w:val="24"/>
        <w:lang w:val="x-none"/>
      </w:rPr>
      <w:t>4</w:t>
    </w:r>
    <w:r>
      <w:rPr>
        <w:rFonts w:eastAsia="Lucida Sans Unicode"/>
        <w:szCs w:val="24"/>
        <w:lang w:val="x-none"/>
      </w:rPr>
      <w:fldChar w:fldCharType="end"/>
    </w:r>
  </w:p>
  <w:p w14:paraId="02400F28" w14:textId="77777777">
    <w:pPr>
      <w:widowControl w:val="0"/>
      <w:tabs>
        <w:tab w:val="center" w:pos="4819"/>
        <w:tab w:val="right" w:pos="9638"/>
      </w:tabs>
      <w:suppressAutoHyphens/>
      <w:rPr>
        <w:rFonts w:eastAsia="Lucida Sans Unicode"/>
        <w:szCs w:val="24"/>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0DEED5" w14:textId="77777777">
    <w:pPr>
      <w:widowControl w:val="0"/>
      <w:tabs>
        <w:tab w:val="center" w:pos="4819"/>
        <w:tab w:val="right" w:pos="9638"/>
      </w:tabs>
      <w:suppressAutoHyphens/>
      <w:rPr>
        <w:rFonts w:eastAsia="Lucida Sans Unicode"/>
        <w:szCs w:val="24"/>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5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F798E"/>
  <w15:docId w15:val="{08A63D4A-83FC-4BB6-9E07-8D9C85444F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341516">
      <w:bodyDiv w:val="1"/>
      <w:marLeft w:val="390"/>
      <w:marRight w:val="390"/>
      <w:marTop w:val="390"/>
      <w:marBottom w:val="0"/>
      <w:divBdr>
        <w:top w:val="none" w:sz="0" w:space="0" w:color="auto"/>
        <w:left w:val="none" w:sz="0" w:space="0" w:color="auto"/>
        <w:bottom w:val="none" w:sz="0" w:space="0" w:color="auto"/>
        <w:right w:val="none" w:sz="0" w:space="0" w:color="auto"/>
      </w:divBdr>
    </w:div>
    <w:div w:id="200896475">
      <w:bodyDiv w:val="1"/>
      <w:marLeft w:val="0"/>
      <w:marRight w:val="0"/>
      <w:marTop w:val="0"/>
      <w:marBottom w:val="0"/>
      <w:divBdr>
        <w:top w:val="none" w:sz="0" w:space="0" w:color="auto"/>
        <w:left w:val="none" w:sz="0" w:space="0" w:color="auto"/>
        <w:bottom w:val="none" w:sz="0" w:space="0" w:color="auto"/>
        <w:right w:val="none" w:sz="0" w:space="0" w:color="auto"/>
      </w:divBdr>
    </w:div>
    <w:div w:id="647248851">
      <w:bodyDiv w:val="1"/>
      <w:marLeft w:val="390"/>
      <w:marRight w:val="390"/>
      <w:marTop w:val="390"/>
      <w:marBottom w:val="0"/>
      <w:divBdr>
        <w:top w:val="none" w:sz="0" w:space="0" w:color="auto"/>
        <w:left w:val="none" w:sz="0" w:space="0" w:color="auto"/>
        <w:bottom w:val="none" w:sz="0" w:space="0" w:color="auto"/>
        <w:right w:val="none" w:sz="0" w:space="0" w:color="auto"/>
      </w:divBdr>
      <w:divsChild>
        <w:div w:id="280691103">
          <w:marLeft w:val="480"/>
          <w:marRight w:val="0"/>
          <w:marTop w:val="0"/>
          <w:marBottom w:val="0"/>
          <w:divBdr>
            <w:top w:val="none" w:sz="0" w:space="0" w:color="auto"/>
            <w:left w:val="none" w:sz="0" w:space="0" w:color="auto"/>
            <w:bottom w:val="none" w:sz="0" w:space="0" w:color="auto"/>
            <w:right w:val="none" w:sz="0" w:space="0" w:color="auto"/>
          </w:divBdr>
        </w:div>
        <w:div w:id="911625916">
          <w:marLeft w:val="480"/>
          <w:marRight w:val="0"/>
          <w:marTop w:val="0"/>
          <w:marBottom w:val="0"/>
          <w:divBdr>
            <w:top w:val="none" w:sz="0" w:space="0" w:color="auto"/>
            <w:left w:val="none" w:sz="0" w:space="0" w:color="auto"/>
            <w:bottom w:val="none" w:sz="0" w:space="0" w:color="auto"/>
            <w:right w:val="none" w:sz="0" w:space="0" w:color="auto"/>
          </w:divBdr>
        </w:div>
      </w:divsChild>
    </w:div>
    <w:div w:id="773746668">
      <w:bodyDiv w:val="1"/>
      <w:marLeft w:val="390"/>
      <w:marRight w:val="390"/>
      <w:marTop w:val="390"/>
      <w:marBottom w:val="0"/>
      <w:divBdr>
        <w:top w:val="none" w:sz="0" w:space="0" w:color="auto"/>
        <w:left w:val="none" w:sz="0" w:space="0" w:color="auto"/>
        <w:bottom w:val="none" w:sz="0" w:space="0" w:color="auto"/>
        <w:right w:val="none" w:sz="0" w:space="0" w:color="auto"/>
      </w:divBdr>
    </w:div>
    <w:div w:id="968779564">
      <w:bodyDiv w:val="1"/>
      <w:marLeft w:val="390"/>
      <w:marRight w:val="390"/>
      <w:marTop w:val="390"/>
      <w:marBottom w:val="0"/>
      <w:divBdr>
        <w:top w:val="none" w:sz="0" w:space="0" w:color="auto"/>
        <w:left w:val="none" w:sz="0" w:space="0" w:color="auto"/>
        <w:bottom w:val="none" w:sz="0" w:space="0" w:color="auto"/>
        <w:right w:val="none" w:sz="0" w:space="0" w:color="auto"/>
      </w:divBdr>
      <w:divsChild>
        <w:div w:id="718475036">
          <w:marLeft w:val="480"/>
          <w:marRight w:val="0"/>
          <w:marTop w:val="0"/>
          <w:marBottom w:val="0"/>
          <w:divBdr>
            <w:top w:val="none" w:sz="0" w:space="0" w:color="auto"/>
            <w:left w:val="none" w:sz="0" w:space="0" w:color="auto"/>
            <w:bottom w:val="none" w:sz="0" w:space="0" w:color="auto"/>
            <w:right w:val="none" w:sz="0" w:space="0" w:color="auto"/>
          </w:divBdr>
        </w:div>
        <w:div w:id="1613628156">
          <w:marLeft w:val="480"/>
          <w:marRight w:val="0"/>
          <w:marTop w:val="0"/>
          <w:marBottom w:val="0"/>
          <w:divBdr>
            <w:top w:val="none" w:sz="0" w:space="0" w:color="auto"/>
            <w:left w:val="none" w:sz="0" w:space="0" w:color="auto"/>
            <w:bottom w:val="none" w:sz="0" w:space="0" w:color="auto"/>
            <w:right w:val="none" w:sz="0" w:space="0" w:color="auto"/>
          </w:divBdr>
        </w:div>
        <w:div w:id="2035112971">
          <w:marLeft w:val="480"/>
          <w:marRight w:val="0"/>
          <w:marTop w:val="0"/>
          <w:marBottom w:val="0"/>
          <w:divBdr>
            <w:top w:val="none" w:sz="0" w:space="0" w:color="auto"/>
            <w:left w:val="none" w:sz="0" w:space="0" w:color="auto"/>
            <w:bottom w:val="none" w:sz="0" w:space="0" w:color="auto"/>
            <w:right w:val="none" w:sz="0" w:space="0" w:color="auto"/>
          </w:divBdr>
        </w:div>
      </w:divsChild>
    </w:div>
    <w:div w:id="1002900958">
      <w:bodyDiv w:val="1"/>
      <w:marLeft w:val="390"/>
      <w:marRight w:val="390"/>
      <w:marTop w:val="390"/>
      <w:marBottom w:val="0"/>
      <w:divBdr>
        <w:top w:val="none" w:sz="0" w:space="0" w:color="auto"/>
        <w:left w:val="none" w:sz="0" w:space="0" w:color="auto"/>
        <w:bottom w:val="none" w:sz="0" w:space="0" w:color="auto"/>
        <w:right w:val="none" w:sz="0" w:space="0" w:color="auto"/>
      </w:divBdr>
    </w:div>
    <w:div w:id="1172918716">
      <w:bodyDiv w:val="1"/>
      <w:marLeft w:val="390"/>
      <w:marRight w:val="390"/>
      <w:marTop w:val="390"/>
      <w:marBottom w:val="0"/>
      <w:divBdr>
        <w:top w:val="none" w:sz="0" w:space="0" w:color="auto"/>
        <w:left w:val="none" w:sz="0" w:space="0" w:color="auto"/>
        <w:bottom w:val="none" w:sz="0" w:space="0" w:color="auto"/>
        <w:right w:val="none" w:sz="0" w:space="0" w:color="auto"/>
      </w:divBdr>
      <w:divsChild>
        <w:div w:id="91978259">
          <w:marLeft w:val="480"/>
          <w:marRight w:val="0"/>
          <w:marTop w:val="0"/>
          <w:marBottom w:val="0"/>
          <w:divBdr>
            <w:top w:val="none" w:sz="0" w:space="0" w:color="auto"/>
            <w:left w:val="none" w:sz="0" w:space="0" w:color="auto"/>
            <w:bottom w:val="none" w:sz="0" w:space="0" w:color="auto"/>
            <w:right w:val="none" w:sz="0" w:space="0" w:color="auto"/>
          </w:divBdr>
        </w:div>
        <w:div w:id="1621499529">
          <w:marLeft w:val="480"/>
          <w:marRight w:val="0"/>
          <w:marTop w:val="0"/>
          <w:marBottom w:val="0"/>
          <w:divBdr>
            <w:top w:val="none" w:sz="0" w:space="0" w:color="auto"/>
            <w:left w:val="none" w:sz="0" w:space="0" w:color="auto"/>
            <w:bottom w:val="none" w:sz="0" w:space="0" w:color="auto"/>
            <w:right w:val="none" w:sz="0" w:space="0" w:color="auto"/>
          </w:divBdr>
        </w:div>
        <w:div w:id="1755739301">
          <w:marLeft w:val="480"/>
          <w:marRight w:val="0"/>
          <w:marTop w:val="0"/>
          <w:marBottom w:val="0"/>
          <w:divBdr>
            <w:top w:val="none" w:sz="0" w:space="0" w:color="auto"/>
            <w:left w:val="none" w:sz="0" w:space="0" w:color="auto"/>
            <w:bottom w:val="none" w:sz="0" w:space="0" w:color="auto"/>
            <w:right w:val="none" w:sz="0" w:space="0" w:color="auto"/>
          </w:divBdr>
        </w:div>
        <w:div w:id="2143183210">
          <w:marLeft w:val="480"/>
          <w:marRight w:val="0"/>
          <w:marTop w:val="0"/>
          <w:marBottom w:val="0"/>
          <w:divBdr>
            <w:top w:val="none" w:sz="0" w:space="0" w:color="auto"/>
            <w:left w:val="none" w:sz="0" w:space="0" w:color="auto"/>
            <w:bottom w:val="none" w:sz="0" w:space="0" w:color="auto"/>
            <w:right w:val="none" w:sz="0" w:space="0" w:color="auto"/>
          </w:divBdr>
        </w:div>
      </w:divsChild>
    </w:div>
    <w:div w:id="1254973273">
      <w:bodyDiv w:val="1"/>
      <w:marLeft w:val="390"/>
      <w:marRight w:val="390"/>
      <w:marTop w:val="390"/>
      <w:marBottom w:val="0"/>
      <w:divBdr>
        <w:top w:val="none" w:sz="0" w:space="0" w:color="auto"/>
        <w:left w:val="none" w:sz="0" w:space="0" w:color="auto"/>
        <w:bottom w:val="none" w:sz="0" w:space="0" w:color="auto"/>
        <w:right w:val="none" w:sz="0" w:space="0" w:color="auto"/>
      </w:divBdr>
    </w:div>
    <w:div w:id="1357584928">
      <w:bodyDiv w:val="1"/>
      <w:marLeft w:val="0"/>
      <w:marRight w:val="0"/>
      <w:marTop w:val="0"/>
      <w:marBottom w:val="0"/>
      <w:divBdr>
        <w:top w:val="none" w:sz="0" w:space="0" w:color="auto"/>
        <w:left w:val="none" w:sz="0" w:space="0" w:color="auto"/>
        <w:bottom w:val="none" w:sz="0" w:space="0" w:color="auto"/>
        <w:right w:val="none" w:sz="0" w:space="0" w:color="auto"/>
      </w:divBdr>
      <w:divsChild>
        <w:div w:id="1427340138">
          <w:marLeft w:val="0"/>
          <w:marRight w:val="0"/>
          <w:marTop w:val="0"/>
          <w:marBottom w:val="0"/>
          <w:divBdr>
            <w:top w:val="none" w:sz="0" w:space="0" w:color="auto"/>
            <w:left w:val="none" w:sz="0" w:space="0" w:color="auto"/>
            <w:bottom w:val="none" w:sz="0" w:space="0" w:color="auto"/>
            <w:right w:val="none" w:sz="0" w:space="0" w:color="auto"/>
          </w:divBdr>
        </w:div>
        <w:div w:id="1914393468">
          <w:marLeft w:val="0"/>
          <w:marRight w:val="0"/>
          <w:marTop w:val="0"/>
          <w:marBottom w:val="0"/>
          <w:divBdr>
            <w:top w:val="none" w:sz="0" w:space="0" w:color="auto"/>
            <w:left w:val="none" w:sz="0" w:space="0" w:color="auto"/>
            <w:bottom w:val="none" w:sz="0" w:space="0" w:color="auto"/>
            <w:right w:val="none" w:sz="0" w:space="0" w:color="auto"/>
          </w:divBdr>
        </w:div>
      </w:divsChild>
    </w:div>
    <w:div w:id="1456556583">
      <w:bodyDiv w:val="1"/>
      <w:marLeft w:val="390"/>
      <w:marRight w:val="390"/>
      <w:marTop w:val="390"/>
      <w:marBottom w:val="0"/>
      <w:divBdr>
        <w:top w:val="none" w:sz="0" w:space="0" w:color="auto"/>
        <w:left w:val="none" w:sz="0" w:space="0" w:color="auto"/>
        <w:bottom w:val="none" w:sz="0" w:space="0" w:color="auto"/>
        <w:right w:val="none" w:sz="0" w:space="0" w:color="auto"/>
      </w:divBdr>
      <w:divsChild>
        <w:div w:id="150950853">
          <w:marLeft w:val="480"/>
          <w:marRight w:val="0"/>
          <w:marTop w:val="0"/>
          <w:marBottom w:val="0"/>
          <w:divBdr>
            <w:top w:val="none" w:sz="0" w:space="0" w:color="auto"/>
            <w:left w:val="none" w:sz="0" w:space="0" w:color="auto"/>
            <w:bottom w:val="none" w:sz="0" w:space="0" w:color="auto"/>
            <w:right w:val="none" w:sz="0" w:space="0" w:color="auto"/>
          </w:divBdr>
        </w:div>
        <w:div w:id="636571856">
          <w:marLeft w:val="480"/>
          <w:marRight w:val="0"/>
          <w:marTop w:val="0"/>
          <w:marBottom w:val="0"/>
          <w:divBdr>
            <w:top w:val="none" w:sz="0" w:space="0" w:color="auto"/>
            <w:left w:val="none" w:sz="0" w:space="0" w:color="auto"/>
            <w:bottom w:val="none" w:sz="0" w:space="0" w:color="auto"/>
            <w:right w:val="none" w:sz="0" w:space="0" w:color="auto"/>
          </w:divBdr>
        </w:div>
        <w:div w:id="1069619701">
          <w:marLeft w:val="480"/>
          <w:marRight w:val="0"/>
          <w:marTop w:val="0"/>
          <w:marBottom w:val="0"/>
          <w:divBdr>
            <w:top w:val="none" w:sz="0" w:space="0" w:color="auto"/>
            <w:left w:val="none" w:sz="0" w:space="0" w:color="auto"/>
            <w:bottom w:val="none" w:sz="0" w:space="0" w:color="auto"/>
            <w:right w:val="none" w:sz="0" w:space="0" w:color="auto"/>
          </w:divBdr>
        </w:div>
        <w:div w:id="1256743178">
          <w:marLeft w:val="480"/>
          <w:marRight w:val="0"/>
          <w:marTop w:val="0"/>
          <w:marBottom w:val="0"/>
          <w:divBdr>
            <w:top w:val="none" w:sz="0" w:space="0" w:color="auto"/>
            <w:left w:val="none" w:sz="0" w:space="0" w:color="auto"/>
            <w:bottom w:val="none" w:sz="0" w:space="0" w:color="auto"/>
            <w:right w:val="none" w:sz="0" w:space="0" w:color="auto"/>
          </w:divBdr>
        </w:div>
        <w:div w:id="1363942263">
          <w:marLeft w:val="480"/>
          <w:marRight w:val="0"/>
          <w:marTop w:val="0"/>
          <w:marBottom w:val="0"/>
          <w:divBdr>
            <w:top w:val="none" w:sz="0" w:space="0" w:color="auto"/>
            <w:left w:val="none" w:sz="0" w:space="0" w:color="auto"/>
            <w:bottom w:val="none" w:sz="0" w:space="0" w:color="auto"/>
            <w:right w:val="none" w:sz="0" w:space="0" w:color="auto"/>
          </w:divBdr>
        </w:div>
      </w:divsChild>
    </w:div>
    <w:div w:id="1473332198">
      <w:bodyDiv w:val="1"/>
      <w:marLeft w:val="390"/>
      <w:marRight w:val="390"/>
      <w:marTop w:val="390"/>
      <w:marBottom w:val="0"/>
      <w:divBdr>
        <w:top w:val="none" w:sz="0" w:space="0" w:color="auto"/>
        <w:left w:val="none" w:sz="0" w:space="0" w:color="auto"/>
        <w:bottom w:val="none" w:sz="0" w:space="0" w:color="auto"/>
        <w:right w:val="none" w:sz="0" w:space="0" w:color="auto"/>
      </w:divBdr>
    </w:div>
    <w:div w:id="1477186913">
      <w:bodyDiv w:val="1"/>
      <w:marLeft w:val="390"/>
      <w:marRight w:val="390"/>
      <w:marTop w:val="390"/>
      <w:marBottom w:val="0"/>
      <w:divBdr>
        <w:top w:val="none" w:sz="0" w:space="0" w:color="auto"/>
        <w:left w:val="none" w:sz="0" w:space="0" w:color="auto"/>
        <w:bottom w:val="none" w:sz="0" w:space="0" w:color="auto"/>
        <w:right w:val="none" w:sz="0" w:space="0" w:color="auto"/>
      </w:divBdr>
      <w:divsChild>
        <w:div w:id="138350565">
          <w:marLeft w:val="480"/>
          <w:marRight w:val="0"/>
          <w:marTop w:val="0"/>
          <w:marBottom w:val="0"/>
          <w:divBdr>
            <w:top w:val="none" w:sz="0" w:space="0" w:color="auto"/>
            <w:left w:val="none" w:sz="0" w:space="0" w:color="auto"/>
            <w:bottom w:val="none" w:sz="0" w:space="0" w:color="auto"/>
            <w:right w:val="none" w:sz="0" w:space="0" w:color="auto"/>
          </w:divBdr>
        </w:div>
        <w:div w:id="341052585">
          <w:marLeft w:val="480"/>
          <w:marRight w:val="0"/>
          <w:marTop w:val="0"/>
          <w:marBottom w:val="0"/>
          <w:divBdr>
            <w:top w:val="none" w:sz="0" w:space="0" w:color="auto"/>
            <w:left w:val="none" w:sz="0" w:space="0" w:color="auto"/>
            <w:bottom w:val="none" w:sz="0" w:space="0" w:color="auto"/>
            <w:right w:val="none" w:sz="0" w:space="0" w:color="auto"/>
          </w:divBdr>
        </w:div>
        <w:div w:id="407194496">
          <w:marLeft w:val="480"/>
          <w:marRight w:val="0"/>
          <w:marTop w:val="0"/>
          <w:marBottom w:val="0"/>
          <w:divBdr>
            <w:top w:val="none" w:sz="0" w:space="0" w:color="auto"/>
            <w:left w:val="none" w:sz="0" w:space="0" w:color="auto"/>
            <w:bottom w:val="none" w:sz="0" w:space="0" w:color="auto"/>
            <w:right w:val="none" w:sz="0" w:space="0" w:color="auto"/>
          </w:divBdr>
        </w:div>
        <w:div w:id="549650908">
          <w:marLeft w:val="480"/>
          <w:marRight w:val="0"/>
          <w:marTop w:val="0"/>
          <w:marBottom w:val="0"/>
          <w:divBdr>
            <w:top w:val="none" w:sz="0" w:space="0" w:color="auto"/>
            <w:left w:val="none" w:sz="0" w:space="0" w:color="auto"/>
            <w:bottom w:val="none" w:sz="0" w:space="0" w:color="auto"/>
            <w:right w:val="none" w:sz="0" w:space="0" w:color="auto"/>
          </w:divBdr>
        </w:div>
        <w:div w:id="701397233">
          <w:marLeft w:val="480"/>
          <w:marRight w:val="0"/>
          <w:marTop w:val="0"/>
          <w:marBottom w:val="0"/>
          <w:divBdr>
            <w:top w:val="none" w:sz="0" w:space="0" w:color="auto"/>
            <w:left w:val="none" w:sz="0" w:space="0" w:color="auto"/>
            <w:bottom w:val="none" w:sz="0" w:space="0" w:color="auto"/>
            <w:right w:val="none" w:sz="0" w:space="0" w:color="auto"/>
          </w:divBdr>
        </w:div>
        <w:div w:id="832448455">
          <w:marLeft w:val="480"/>
          <w:marRight w:val="0"/>
          <w:marTop w:val="0"/>
          <w:marBottom w:val="0"/>
          <w:divBdr>
            <w:top w:val="none" w:sz="0" w:space="0" w:color="auto"/>
            <w:left w:val="none" w:sz="0" w:space="0" w:color="auto"/>
            <w:bottom w:val="none" w:sz="0" w:space="0" w:color="auto"/>
            <w:right w:val="none" w:sz="0" w:space="0" w:color="auto"/>
          </w:divBdr>
        </w:div>
        <w:div w:id="1054618332">
          <w:marLeft w:val="480"/>
          <w:marRight w:val="0"/>
          <w:marTop w:val="0"/>
          <w:marBottom w:val="0"/>
          <w:divBdr>
            <w:top w:val="none" w:sz="0" w:space="0" w:color="auto"/>
            <w:left w:val="none" w:sz="0" w:space="0" w:color="auto"/>
            <w:bottom w:val="none" w:sz="0" w:space="0" w:color="auto"/>
            <w:right w:val="none" w:sz="0" w:space="0" w:color="auto"/>
          </w:divBdr>
        </w:div>
        <w:div w:id="1076248976">
          <w:marLeft w:val="480"/>
          <w:marRight w:val="0"/>
          <w:marTop w:val="0"/>
          <w:marBottom w:val="0"/>
          <w:divBdr>
            <w:top w:val="none" w:sz="0" w:space="0" w:color="auto"/>
            <w:left w:val="none" w:sz="0" w:space="0" w:color="auto"/>
            <w:bottom w:val="none" w:sz="0" w:space="0" w:color="auto"/>
            <w:right w:val="none" w:sz="0" w:space="0" w:color="auto"/>
          </w:divBdr>
        </w:div>
        <w:div w:id="1224565361">
          <w:marLeft w:val="480"/>
          <w:marRight w:val="0"/>
          <w:marTop w:val="0"/>
          <w:marBottom w:val="0"/>
          <w:divBdr>
            <w:top w:val="none" w:sz="0" w:space="0" w:color="auto"/>
            <w:left w:val="none" w:sz="0" w:space="0" w:color="auto"/>
            <w:bottom w:val="none" w:sz="0" w:space="0" w:color="auto"/>
            <w:right w:val="none" w:sz="0" w:space="0" w:color="auto"/>
          </w:divBdr>
        </w:div>
        <w:div w:id="1374384477">
          <w:marLeft w:val="480"/>
          <w:marRight w:val="0"/>
          <w:marTop w:val="0"/>
          <w:marBottom w:val="0"/>
          <w:divBdr>
            <w:top w:val="none" w:sz="0" w:space="0" w:color="auto"/>
            <w:left w:val="none" w:sz="0" w:space="0" w:color="auto"/>
            <w:bottom w:val="none" w:sz="0" w:space="0" w:color="auto"/>
            <w:right w:val="none" w:sz="0" w:space="0" w:color="auto"/>
          </w:divBdr>
        </w:div>
        <w:div w:id="1435056037">
          <w:marLeft w:val="480"/>
          <w:marRight w:val="0"/>
          <w:marTop w:val="0"/>
          <w:marBottom w:val="0"/>
          <w:divBdr>
            <w:top w:val="none" w:sz="0" w:space="0" w:color="auto"/>
            <w:left w:val="none" w:sz="0" w:space="0" w:color="auto"/>
            <w:bottom w:val="none" w:sz="0" w:space="0" w:color="auto"/>
            <w:right w:val="none" w:sz="0" w:space="0" w:color="auto"/>
          </w:divBdr>
        </w:div>
        <w:div w:id="1503205533">
          <w:marLeft w:val="480"/>
          <w:marRight w:val="0"/>
          <w:marTop w:val="0"/>
          <w:marBottom w:val="0"/>
          <w:divBdr>
            <w:top w:val="none" w:sz="0" w:space="0" w:color="auto"/>
            <w:left w:val="none" w:sz="0" w:space="0" w:color="auto"/>
            <w:bottom w:val="none" w:sz="0" w:space="0" w:color="auto"/>
            <w:right w:val="none" w:sz="0" w:space="0" w:color="auto"/>
          </w:divBdr>
        </w:div>
        <w:div w:id="1505825185">
          <w:marLeft w:val="480"/>
          <w:marRight w:val="0"/>
          <w:marTop w:val="0"/>
          <w:marBottom w:val="0"/>
          <w:divBdr>
            <w:top w:val="none" w:sz="0" w:space="0" w:color="auto"/>
            <w:left w:val="none" w:sz="0" w:space="0" w:color="auto"/>
            <w:bottom w:val="none" w:sz="0" w:space="0" w:color="auto"/>
            <w:right w:val="none" w:sz="0" w:space="0" w:color="auto"/>
          </w:divBdr>
        </w:div>
        <w:div w:id="1512599620">
          <w:marLeft w:val="480"/>
          <w:marRight w:val="0"/>
          <w:marTop w:val="0"/>
          <w:marBottom w:val="0"/>
          <w:divBdr>
            <w:top w:val="none" w:sz="0" w:space="0" w:color="auto"/>
            <w:left w:val="none" w:sz="0" w:space="0" w:color="auto"/>
            <w:bottom w:val="none" w:sz="0" w:space="0" w:color="auto"/>
            <w:right w:val="none" w:sz="0" w:space="0" w:color="auto"/>
          </w:divBdr>
        </w:div>
        <w:div w:id="1609392591">
          <w:marLeft w:val="480"/>
          <w:marRight w:val="0"/>
          <w:marTop w:val="0"/>
          <w:marBottom w:val="0"/>
          <w:divBdr>
            <w:top w:val="none" w:sz="0" w:space="0" w:color="auto"/>
            <w:left w:val="none" w:sz="0" w:space="0" w:color="auto"/>
            <w:bottom w:val="none" w:sz="0" w:space="0" w:color="auto"/>
            <w:right w:val="none" w:sz="0" w:space="0" w:color="auto"/>
          </w:divBdr>
        </w:div>
        <w:div w:id="1614363629">
          <w:marLeft w:val="480"/>
          <w:marRight w:val="0"/>
          <w:marTop w:val="0"/>
          <w:marBottom w:val="0"/>
          <w:divBdr>
            <w:top w:val="none" w:sz="0" w:space="0" w:color="auto"/>
            <w:left w:val="none" w:sz="0" w:space="0" w:color="auto"/>
            <w:bottom w:val="none" w:sz="0" w:space="0" w:color="auto"/>
            <w:right w:val="none" w:sz="0" w:space="0" w:color="auto"/>
          </w:divBdr>
        </w:div>
      </w:divsChild>
    </w:div>
    <w:div w:id="1566646857">
      <w:bodyDiv w:val="1"/>
      <w:marLeft w:val="0"/>
      <w:marRight w:val="0"/>
      <w:marTop w:val="0"/>
      <w:marBottom w:val="0"/>
      <w:divBdr>
        <w:top w:val="none" w:sz="0" w:space="0" w:color="auto"/>
        <w:left w:val="none" w:sz="0" w:space="0" w:color="auto"/>
        <w:bottom w:val="none" w:sz="0" w:space="0" w:color="auto"/>
        <w:right w:val="none" w:sz="0" w:space="0" w:color="auto"/>
      </w:divBdr>
    </w:div>
    <w:div w:id="1589846274">
      <w:bodyDiv w:val="1"/>
      <w:marLeft w:val="390"/>
      <w:marRight w:val="390"/>
      <w:marTop w:val="390"/>
      <w:marBottom w:val="0"/>
      <w:divBdr>
        <w:top w:val="none" w:sz="0" w:space="0" w:color="auto"/>
        <w:left w:val="none" w:sz="0" w:space="0" w:color="auto"/>
        <w:bottom w:val="none" w:sz="0" w:space="0" w:color="auto"/>
        <w:right w:val="none" w:sz="0" w:space="0" w:color="auto"/>
      </w:divBdr>
    </w:div>
    <w:div w:id="1674336691">
      <w:bodyDiv w:val="1"/>
      <w:marLeft w:val="390"/>
      <w:marRight w:val="390"/>
      <w:marTop w:val="390"/>
      <w:marBottom w:val="0"/>
      <w:divBdr>
        <w:top w:val="none" w:sz="0" w:space="0" w:color="auto"/>
        <w:left w:val="none" w:sz="0" w:space="0" w:color="auto"/>
        <w:bottom w:val="none" w:sz="0" w:space="0" w:color="auto"/>
        <w:right w:val="none" w:sz="0" w:space="0" w:color="auto"/>
      </w:divBdr>
    </w:div>
    <w:div w:id="1684014804">
      <w:bodyDiv w:val="1"/>
      <w:marLeft w:val="0"/>
      <w:marRight w:val="0"/>
      <w:marTop w:val="0"/>
      <w:marBottom w:val="0"/>
      <w:divBdr>
        <w:top w:val="none" w:sz="0" w:space="0" w:color="auto"/>
        <w:left w:val="none" w:sz="0" w:space="0" w:color="auto"/>
        <w:bottom w:val="none" w:sz="0" w:space="0" w:color="auto"/>
        <w:right w:val="none" w:sz="0" w:space="0" w:color="auto"/>
      </w:divBdr>
    </w:div>
    <w:div w:id="1757633671">
      <w:bodyDiv w:val="1"/>
      <w:marLeft w:val="0"/>
      <w:marRight w:val="0"/>
      <w:marTop w:val="0"/>
      <w:marBottom w:val="0"/>
      <w:divBdr>
        <w:top w:val="none" w:sz="0" w:space="0" w:color="auto"/>
        <w:left w:val="none" w:sz="0" w:space="0" w:color="auto"/>
        <w:bottom w:val="none" w:sz="0" w:space="0" w:color="auto"/>
        <w:right w:val="none" w:sz="0" w:space="0" w:color="auto"/>
      </w:divBdr>
      <w:divsChild>
        <w:div w:id="1578249749">
          <w:marLeft w:val="0"/>
          <w:marRight w:val="0"/>
          <w:marTop w:val="0"/>
          <w:marBottom w:val="0"/>
          <w:divBdr>
            <w:top w:val="none" w:sz="0" w:space="0" w:color="auto"/>
            <w:left w:val="none" w:sz="0" w:space="0" w:color="auto"/>
            <w:bottom w:val="none" w:sz="0" w:space="0" w:color="auto"/>
            <w:right w:val="none" w:sz="0" w:space="0" w:color="auto"/>
          </w:divBdr>
          <w:divsChild>
            <w:div w:id="444084396">
              <w:marLeft w:val="0"/>
              <w:marRight w:val="1"/>
              <w:marTop w:val="0"/>
              <w:marBottom w:val="0"/>
              <w:divBdr>
                <w:top w:val="none" w:sz="0" w:space="0" w:color="auto"/>
                <w:left w:val="none" w:sz="0" w:space="0" w:color="auto"/>
                <w:bottom w:val="none" w:sz="0" w:space="0" w:color="auto"/>
                <w:right w:val="none" w:sz="0" w:space="0" w:color="auto"/>
              </w:divBdr>
            </w:div>
          </w:divsChild>
        </w:div>
      </w:divsChild>
    </w:div>
    <w:div w:id="1934774689">
      <w:bodyDiv w:val="1"/>
      <w:marLeft w:val="390"/>
      <w:marRight w:val="390"/>
      <w:marTop w:val="390"/>
      <w:marBottom w:val="0"/>
      <w:divBdr>
        <w:top w:val="none" w:sz="0" w:space="0" w:color="auto"/>
        <w:left w:val="none" w:sz="0" w:space="0" w:color="auto"/>
        <w:bottom w:val="none" w:sz="0" w:space="0" w:color="auto"/>
        <w:right w:val="none" w:sz="0" w:space="0" w:color="auto"/>
      </w:divBdr>
    </w:div>
    <w:div w:id="1959943936">
      <w:bodyDiv w:val="1"/>
      <w:marLeft w:val="390"/>
      <w:marRight w:val="390"/>
      <w:marTop w:val="39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78b2ebf663a0b641408919b41bcf3202">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75d80d920efa08bb9b56b02d57f3f089"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SharedWithUsers xmlns="19cf09c5-daa1-4028-a0ff-74a0be4ec5cc">
      <UserInfo>
        <DisplayName/>
        <AccountId xsi:nil="true"/>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lentele" DocPartId="bd36fce3ae1841b883a65a0c7318867e" PartId="676aeff8246d4eff9a65cc05ea5e8a40">
    <Part Type="pabaiga" DocPartId="0a1888372273415893efc61de53c0b5a" PartId="19463c934f424f0385ea577318e3926b"/>
  </Part>
</Parts>
</file>

<file path=customXml/itemProps1.xml><?xml version="1.0" encoding="utf-8"?>
<ds:datastoreItem xmlns:ds="http://schemas.openxmlformats.org/officeDocument/2006/customXml" ds:itemID="{87C0C331-5F33-4418-B2E7-C6EDABD80C08}">
  <ds:schemaRefs>
    <ds:schemaRef ds:uri="http://schemas.microsoft.com/sharepoint/v3/contenttype/forms"/>
  </ds:schemaRefs>
</ds:datastoreItem>
</file>

<file path=customXml/itemProps2.xml><?xml version="1.0" encoding="utf-8"?>
<ds:datastoreItem xmlns:ds="http://schemas.openxmlformats.org/officeDocument/2006/customXml" ds:itemID="{CFF2CB64-7A8E-4F59-9D16-0D0928819F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A01C6B-5AB8-499D-B307-A42326F3EDA7}">
  <ds:schemaRefs>
    <ds:schemaRef ds:uri="http://purl.org/dc/terms/"/>
    <ds:schemaRef ds:uri="http://schemas.microsoft.com/office/2006/documentManagement/types"/>
    <ds:schemaRef ds:uri="f5aad5d0-9c26-490e-8743-a6c7ceabd501"/>
    <ds:schemaRef ds:uri="http://purl.org/dc/elements/1.1/"/>
    <ds:schemaRef ds:uri="http://schemas.openxmlformats.org/package/2006/metadata/core-properties"/>
    <ds:schemaRef ds:uri="http://schemas.microsoft.com/office/infopath/2007/PartnerControls"/>
    <ds:schemaRef ds:uri="http://schemas.microsoft.com/office/2006/metadata/properties"/>
    <ds:schemaRef ds:uri="19cf09c5-daa1-4028-a0ff-74a0be4ec5cc"/>
    <ds:schemaRef ds:uri="http://www.w3.org/XML/1998/namespace"/>
    <ds:schemaRef ds:uri="http://purl.org/dc/dcmitype/"/>
  </ds:schemaRefs>
</ds:datastoreItem>
</file>

<file path=customXml/itemProps4.xml><?xml version="1.0" encoding="utf-8"?>
<ds:datastoreItem xmlns:ds="http://schemas.openxmlformats.org/officeDocument/2006/customXml" ds:itemID="{7D59FB04-B63F-49E8-BEBA-03360A83608E}">
  <ds:schemaRefs>
    <ds:schemaRef ds:uri="http://schemas.openxmlformats.org/officeDocument/2006/bibliography"/>
  </ds:schemaRefs>
</ds:datastoreItem>
</file>

<file path=customXml/itemProps5.xml><?xml version="1.0" encoding="utf-8"?>
<ds:datastoreItem xmlns:ds="http://schemas.openxmlformats.org/officeDocument/2006/customXml" ds:itemID="{99A2192E-BCCA-4752-AD4F-881C2DB28F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1251</Words>
  <Characters>9045</Characters>
  <Application>Microsoft Office Word</Application>
  <DocSecurity>4</DocSecurity>
  <Lines>210</Lines>
  <Paragraphs>69</Paragraphs>
  <ScaleCrop>false</ScaleCrop>
  <Company>Hewlett-Packard Company</Company>
  <LinksUpToDate>false</LinksUpToDate>
  <CharactersWithSpaces>10227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2025-11-28T14:09:00Z</dcterms:created>
  <dc:creator>J.Jezukevicius</dc:creator>
  <lastModifiedBy>adlibuser</lastModifiedBy>
  <lastPrinted>2015-03-02T12:26:00Z</lastPrinted>
  <dcterms:modified xsi:type="dcterms:W3CDTF">2025-11-28T14:09:00Z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y fmtid="{D5CDD505-2E9C-101B-9397-08002B2CF9AE}" pid="4" name="Order">
    <vt:r8>2092300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