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1cd23980d23445982be0c7d23cf95ae"/>
        <w:lock w:val="sdtLocked"/>
        <w:richText/>
      </w:sdtPr>
      <w:sdtContent>
        <w:p>
          <w:pPr>
            <w:tabs>
              <w:tab w:val="center" w:pos="4819"/>
              <w:tab w:val="right" w:pos="9638"/>
            </w:tabs>
            <w:rPr>
              <w:kern w:val="2"/>
              <w:sz w:val="22"/>
              <w:szCs w:val="22"/>
            </w:rPr>
          </w:pPr>
        </w:p>
        <w:p>
          <w:pPr>
            <w:widowControl w:val="0"/>
            <w:suppressAutoHyphens/>
            <w:jc w:val="center"/>
            <w:rPr>
              <w:rFonts w:eastAsia="Arial Unicode MS"/>
              <w:b/>
              <w:bCs/>
              <w:kern w:val="2"/>
              <w:szCs w:val="24"/>
              <w:lang w:eastAsia="lt-LT"/>
            </w:rPr>
          </w:pPr>
          <w:r>
            <w:rPr>
              <w:rFonts w:eastAsia="Arial Unicode MS"/>
              <w:b/>
              <w:bCs/>
              <w:szCs w:val="24"/>
              <w:lang w:eastAsia="lt-LT"/>
            </w:rPr>
            <w:t xml:space="preserve">DIREKTYVOS (ES) 2024/884 IR </w:t>
          </w:r>
          <w:r>
            <w:rPr>
              <w:rFonts w:eastAsia="Arial Unicode MS"/>
              <w:b/>
              <w:bCs/>
              <w:kern w:val="2"/>
              <w:szCs w:val="24"/>
              <w:lang w:eastAsia="lt-LT"/>
            </w:rPr>
            <w:t xml:space="preserve">LIETUVOS RESPUBLIKOS ATLIEKŲ TVARKYMO ĮSTATYMO </w:t>
          </w:r>
          <w:r>
            <w:rPr>
              <w:b/>
              <w:bCs/>
              <w:color w:val="000000"/>
              <w:kern w:val="2"/>
              <w:szCs w:val="24"/>
              <w:lang w:eastAsia="lt-LT"/>
            </w:rPr>
            <w:t xml:space="preserve">NR. VIII-787 1, </w:t>
          </w:r>
          <w:r>
            <w:rPr>
              <w:b/>
              <w:kern w:val="2"/>
              <w:szCs w:val="24"/>
            </w:rPr>
            <w:t xml:space="preserve">2, 4, 30, </w:t>
          </w:r>
          <w:r>
            <w:rPr>
              <w:b/>
              <w:bCs/>
              <w:caps/>
              <w:kern w:val="2"/>
              <w:szCs w:val="24"/>
            </w:rPr>
            <w:t>32</w:t>
          </w:r>
          <w:r>
            <w:rPr>
              <w:b/>
              <w:bCs/>
              <w:caps/>
              <w:kern w:val="2"/>
              <w:szCs w:val="24"/>
              <w:vertAlign w:val="superscript"/>
            </w:rPr>
            <w:t>1</w:t>
          </w:r>
          <w:r>
            <w:rPr>
              <w:b/>
              <w:bCs/>
              <w:caps/>
              <w:kern w:val="2"/>
              <w:szCs w:val="24"/>
            </w:rPr>
            <w:t>, 34</w:t>
          </w:r>
          <w:r>
            <w:rPr>
              <w:b/>
              <w:bCs/>
              <w:caps/>
              <w:kern w:val="2"/>
              <w:szCs w:val="24"/>
              <w:vertAlign w:val="superscript"/>
            </w:rPr>
            <w:t>1</w:t>
          </w:r>
          <w:r>
            <w:rPr>
              <w:b/>
              <w:bCs/>
              <w:caps/>
              <w:kern w:val="2"/>
              <w:szCs w:val="24"/>
            </w:rPr>
            <w:t xml:space="preserve">, </w:t>
          </w:r>
          <w:r>
            <w:rPr>
              <w:b/>
              <w:kern w:val="2"/>
              <w:szCs w:val="24"/>
            </w:rPr>
            <w:t>34</w:t>
          </w:r>
          <w:r>
            <w:rPr>
              <w:b/>
              <w:kern w:val="2"/>
              <w:szCs w:val="24"/>
              <w:vertAlign w:val="superscript"/>
            </w:rPr>
            <w:t>15</w:t>
          </w:r>
          <w:r>
            <w:rPr>
              <w:b/>
              <w:kern w:val="2"/>
              <w:szCs w:val="24"/>
            </w:rPr>
            <w:t>, 34</w:t>
          </w:r>
          <w:r>
            <w:rPr>
              <w:b/>
              <w:kern w:val="2"/>
              <w:szCs w:val="24"/>
              <w:vertAlign w:val="superscript"/>
            </w:rPr>
            <w:t>16</w:t>
          </w:r>
          <w:r>
            <w:rPr>
              <w:b/>
              <w:kern w:val="2"/>
              <w:szCs w:val="24"/>
            </w:rPr>
            <w:t>, 34</w:t>
          </w:r>
          <w:r>
            <w:rPr>
              <w:b/>
              <w:kern w:val="2"/>
              <w:szCs w:val="24"/>
              <w:vertAlign w:val="superscript"/>
            </w:rPr>
            <w:t>18</w:t>
          </w:r>
          <w:r>
            <w:rPr>
              <w:b/>
              <w:kern w:val="2"/>
              <w:szCs w:val="24"/>
            </w:rPr>
            <w:t>, 34</w:t>
          </w:r>
          <w:r>
            <w:rPr>
              <w:b/>
              <w:kern w:val="2"/>
              <w:szCs w:val="24"/>
              <w:vertAlign w:val="superscript"/>
            </w:rPr>
            <w:t>22</w:t>
          </w:r>
          <w:r>
            <w:rPr>
              <w:b/>
              <w:kern w:val="2"/>
              <w:szCs w:val="24"/>
            </w:rPr>
            <w:t>, 34</w:t>
          </w:r>
          <w:r>
            <w:rPr>
              <w:b/>
              <w:kern w:val="2"/>
              <w:szCs w:val="24"/>
              <w:vertAlign w:val="superscript"/>
            </w:rPr>
            <w:t>24</w:t>
          </w:r>
          <w:r>
            <w:rPr>
              <w:b/>
              <w:kern w:val="2"/>
              <w:szCs w:val="24"/>
            </w:rPr>
            <w:t>, 34</w:t>
          </w:r>
          <w:r>
            <w:rPr>
              <w:b/>
              <w:kern w:val="2"/>
              <w:szCs w:val="24"/>
              <w:vertAlign w:val="superscript"/>
            </w:rPr>
            <w:t>25</w:t>
          </w:r>
          <w:r>
            <w:rPr>
              <w:b/>
              <w:kern w:val="2"/>
              <w:szCs w:val="24"/>
            </w:rPr>
            <w:t>, 34</w:t>
          </w:r>
          <w:r>
            <w:rPr>
              <w:b/>
              <w:kern w:val="2"/>
              <w:szCs w:val="24"/>
              <w:vertAlign w:val="superscript"/>
            </w:rPr>
            <w:t>26</w:t>
          </w:r>
          <w:r>
            <w:rPr>
              <w:b/>
              <w:kern w:val="2"/>
              <w:szCs w:val="24"/>
            </w:rPr>
            <w:t>, 34</w:t>
          </w:r>
          <w:r>
            <w:rPr>
              <w:b/>
              <w:kern w:val="2"/>
              <w:szCs w:val="24"/>
              <w:vertAlign w:val="superscript"/>
            </w:rPr>
            <w:t>30</w:t>
          </w:r>
          <w:r>
            <w:rPr>
              <w:b/>
              <w:kern w:val="2"/>
              <w:szCs w:val="24"/>
            </w:rPr>
            <w:t>, 34</w:t>
          </w:r>
          <w:r>
            <w:rPr>
              <w:b/>
              <w:kern w:val="2"/>
              <w:szCs w:val="24"/>
              <w:vertAlign w:val="superscript"/>
            </w:rPr>
            <w:t>31</w:t>
          </w:r>
          <w:r>
            <w:rPr>
              <w:b/>
              <w:kern w:val="2"/>
              <w:szCs w:val="24"/>
            </w:rPr>
            <w:t xml:space="preserve"> STRAIPSNIŲ, AŠTUNTOJO</w:t>
          </w:r>
          <w:r>
            <w:rPr>
              <w:b/>
              <w:kern w:val="2"/>
              <w:szCs w:val="24"/>
              <w:vertAlign w:val="superscript"/>
            </w:rPr>
            <w:t>4</w:t>
          </w:r>
          <w:r>
            <w:rPr>
              <w:b/>
              <w:kern w:val="2"/>
              <w:szCs w:val="24"/>
            </w:rPr>
            <w:t xml:space="preserve"> IR AŠTUNTOJO</w:t>
          </w:r>
          <w:r>
            <w:rPr>
              <w:b/>
              <w:kern w:val="2"/>
              <w:szCs w:val="24"/>
              <w:vertAlign w:val="superscript"/>
            </w:rPr>
            <w:t>5</w:t>
          </w:r>
          <w:r>
            <w:rPr>
              <w:b/>
              <w:kern w:val="2"/>
              <w:szCs w:val="24"/>
            </w:rPr>
            <w:t xml:space="preserve"> SKIRSNIŲ PAVADINIMŲ, 5 PRIEDO PAKEITIMO, ĮSTATYMO PAPILDYMO 4</w:t>
          </w:r>
          <w:r>
            <w:rPr>
              <w:b/>
              <w:kern w:val="2"/>
              <w:szCs w:val="24"/>
              <w:vertAlign w:val="superscript"/>
            </w:rPr>
            <w:t>3</w:t>
          </w:r>
          <w:r>
            <w:rPr>
              <w:b/>
              <w:kern w:val="2"/>
              <w:szCs w:val="24"/>
            </w:rPr>
            <w:t xml:space="preserve"> STRAIPSNIU IR 34</w:t>
          </w:r>
          <w:r>
            <w:rPr>
              <w:b/>
              <w:kern w:val="2"/>
              <w:szCs w:val="24"/>
              <w:vertAlign w:val="superscript"/>
            </w:rPr>
            <w:t>17</w:t>
          </w:r>
          <w:r>
            <w:rPr>
              <w:b/>
              <w:kern w:val="2"/>
              <w:szCs w:val="24"/>
            </w:rPr>
            <w:t xml:space="preserve"> STRAIPSNIO PRIPAŽINIMO NETEKUSIU GALIOS </w:t>
          </w:r>
          <w:r>
            <w:rPr>
              <w:b/>
              <w:bCs/>
              <w:kern w:val="2"/>
              <w:szCs w:val="24"/>
            </w:rPr>
            <w:t>PROJEKTO</w:t>
          </w:r>
          <w:r>
            <w:rPr>
              <w:rFonts w:eastAsia="Arial Unicode MS"/>
              <w:b/>
              <w:bCs/>
              <w:kern w:val="2"/>
              <w:szCs w:val="24"/>
              <w:lang w:eastAsia="lt-LT"/>
            </w:rPr>
            <w:t xml:space="preserve"> ATITIKTIES LENTELĖ  </w:t>
          </w:r>
        </w:p>
        <w:p>
          <w:pPr>
            <w:widowControl w:val="0"/>
            <w:suppressAutoHyphens/>
            <w:jc w:val="center"/>
            <w:rPr>
              <w:rFonts w:eastAsia="Arial Unicode MS"/>
              <w:b/>
              <w:bCs/>
              <w:szCs w:val="24"/>
              <w:lang w:eastAsia="lt-LT"/>
            </w:rPr>
          </w:pPr>
        </w:p>
        <w:p>
          <w:pPr>
            <w:widowControl w:val="0"/>
            <w:suppressAutoHyphens/>
            <w:jc w:val="center"/>
            <w:rPr>
              <w:rFonts w:eastAsia="Arial Unicode MS"/>
              <w:b/>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2"/>
            <w:gridCol w:w="6379"/>
            <w:gridCol w:w="2232"/>
          </w:tblGrid>
          <w:tr>
            <w:tc>
              <w:tcPr>
                <w:tcW w:w="5382" w:type="dxa"/>
              </w:tcPr>
              <w:p>
                <w:pPr>
                  <w:widowControl w:val="0"/>
                  <w:suppressAutoHyphens/>
                  <w:jc w:val="both"/>
                  <w:rPr>
                    <w:rFonts w:eastAsia="Arial Unicode MS"/>
                    <w:b/>
                    <w:bCs/>
                    <w:szCs w:val="24"/>
                    <w:lang w:eastAsia="lt-LT"/>
                  </w:rPr>
                </w:pPr>
                <w:r>
                  <w:rPr>
                    <w:rFonts w:eastAsia="Arial Unicode MS"/>
                    <w:b/>
                    <w:bCs/>
                    <w:szCs w:val="24"/>
                    <w:lang w:eastAsia="lt-LT"/>
                  </w:rPr>
                  <w:t xml:space="preserve">2024 m. kovo 13 d. Europos Parlamento ir Tarybos direktyva </w:t>
                </w:r>
                <w:fldSimple w:instr="HYPERLINK http://eur-lex.europa.eu/legal-content/LIT/TXT/?uri=CELEX:32024L0884&amp;locale=lt \t _blank">
                  <w:r>
                    <w:rPr>
                      <w:rFonts w:eastAsia="Arial Unicode MS"/>
                      <w:b/>
                      <w:bCs/>
                      <w:szCs w:val="24"/>
                      <w:lang w:eastAsia="lt-LT"/>
                      <w:u w:val="single"/>
                      <w:color w:val="0000FF" w:themeColor="hyperlink"/>
                    </w:rPr>
                    <w:t>(ES) 2024/884</w:t>
                  </w:r>
                </w:fldSimple>
                <w:r>
                  <w:rPr>
                    <w:rFonts w:eastAsia="Arial Unicode MS"/>
                    <w:b/>
                    <w:bCs/>
                    <w:szCs w:val="24"/>
                    <w:lang w:eastAsia="lt-LT"/>
                  </w:rPr>
                  <w:t xml:space="preserve">, kuria iš dalies keičiama Direktyva </w:t>
                </w:r>
                <w:fldSimple w:instr="HYPERLINK http://eur-lex.europa.eu/legal-content/LIT/TXT/?uri=CELEX:32012L0019&amp;locale=lt \t _blank">
                  <w:r>
                    <w:rPr>
                      <w:rFonts w:eastAsia="Arial Unicode MS"/>
                      <w:b/>
                      <w:bCs/>
                      <w:szCs w:val="24"/>
                      <w:lang w:eastAsia="lt-LT"/>
                      <w:u w:val="single"/>
                      <w:color w:val="0000FF" w:themeColor="hyperlink"/>
                    </w:rPr>
                    <w:t>2012/19/ES</w:t>
                  </w:r>
                </w:fldSimple>
                <w:r>
                  <w:rPr>
                    <w:rFonts w:eastAsia="Arial Unicode MS"/>
                    <w:b/>
                    <w:bCs/>
                    <w:szCs w:val="24"/>
                    <w:lang w:eastAsia="lt-LT"/>
                  </w:rPr>
                  <w:t xml:space="preserve"> dėl elektros ir elektroninės įrangos atliekų</w:t>
                </w:r>
              </w:p>
            </w:tc>
            <w:tc>
              <w:tcPr>
                <w:tcW w:w="6379" w:type="dxa"/>
              </w:tcPr>
              <w:p>
                <w:pPr>
                  <w:widowControl w:val="0"/>
                  <w:suppressAutoHyphens/>
                  <w:jc w:val="both"/>
                  <w:rPr>
                    <w:rFonts w:eastAsia="Arial Unicode MS"/>
                    <w:b/>
                    <w:bCs/>
                    <w:szCs w:val="24"/>
                    <w:lang w:eastAsia="lt-LT"/>
                  </w:rPr>
                </w:pPr>
                <w:r>
                  <w:rPr>
                    <w:b/>
                    <w:kern w:val="2"/>
                    <w:szCs w:val="24"/>
                  </w:rPr>
                  <w:t xml:space="preserve">Lietuvos Respublikos </w:t>
                </w:r>
                <w:r>
                  <w:rPr>
                    <w:b/>
                    <w:bCs/>
                    <w:kern w:val="2"/>
                    <w:szCs w:val="24"/>
                  </w:rPr>
                  <w:t xml:space="preserve">atliekų tvarkymo įstatymo Nr. VIII-787 1, 2, 4, 30, </w:t>
                </w:r>
                <w:r>
                  <w:rPr>
                    <w:b/>
                    <w:bCs/>
                    <w:caps/>
                    <w:kern w:val="2"/>
                    <w:szCs w:val="24"/>
                  </w:rPr>
                  <w:t>32</w:t>
                </w:r>
                <w:r>
                  <w:rPr>
                    <w:b/>
                    <w:bCs/>
                    <w:caps/>
                    <w:kern w:val="2"/>
                    <w:szCs w:val="24"/>
                    <w:vertAlign w:val="superscript"/>
                  </w:rPr>
                  <w:t>1</w:t>
                </w:r>
                <w:r>
                  <w:rPr>
                    <w:b/>
                    <w:bCs/>
                    <w:caps/>
                    <w:kern w:val="2"/>
                    <w:szCs w:val="24"/>
                  </w:rPr>
                  <w:t>, 34</w:t>
                </w:r>
                <w:r>
                  <w:rPr>
                    <w:b/>
                    <w:bCs/>
                    <w:caps/>
                    <w:kern w:val="2"/>
                    <w:szCs w:val="24"/>
                    <w:vertAlign w:val="superscript"/>
                  </w:rPr>
                  <w:t>1</w:t>
                </w:r>
                <w:r>
                  <w:rPr>
                    <w:b/>
                    <w:bCs/>
                    <w:caps/>
                    <w:kern w:val="2"/>
                    <w:szCs w:val="24"/>
                  </w:rPr>
                  <w:t xml:space="preserve">, </w:t>
                </w:r>
                <w:r>
                  <w:rPr>
                    <w:b/>
                    <w:bCs/>
                    <w:kern w:val="2"/>
                    <w:szCs w:val="24"/>
                  </w:rPr>
                  <w:t>34</w:t>
                </w:r>
                <w:r>
                  <w:rPr>
                    <w:b/>
                    <w:bCs/>
                    <w:kern w:val="2"/>
                    <w:szCs w:val="24"/>
                    <w:vertAlign w:val="superscript"/>
                  </w:rPr>
                  <w:t>15</w:t>
                </w:r>
                <w:r>
                  <w:rPr>
                    <w:b/>
                    <w:bCs/>
                    <w:kern w:val="2"/>
                    <w:szCs w:val="24"/>
                  </w:rPr>
                  <w:t>, 34</w:t>
                </w:r>
                <w:r>
                  <w:rPr>
                    <w:b/>
                    <w:bCs/>
                    <w:kern w:val="2"/>
                    <w:szCs w:val="24"/>
                    <w:vertAlign w:val="superscript"/>
                  </w:rPr>
                  <w:t>16</w:t>
                </w:r>
                <w:r>
                  <w:rPr>
                    <w:b/>
                    <w:bCs/>
                    <w:kern w:val="2"/>
                    <w:szCs w:val="24"/>
                  </w:rPr>
                  <w:t>, 34</w:t>
                </w:r>
                <w:r>
                  <w:rPr>
                    <w:b/>
                    <w:bCs/>
                    <w:kern w:val="2"/>
                    <w:szCs w:val="24"/>
                    <w:vertAlign w:val="superscript"/>
                  </w:rPr>
                  <w:t>18</w:t>
                </w:r>
                <w:r>
                  <w:rPr>
                    <w:b/>
                    <w:bCs/>
                    <w:kern w:val="2"/>
                    <w:szCs w:val="24"/>
                  </w:rPr>
                  <w:t>, 34</w:t>
                </w:r>
                <w:r>
                  <w:rPr>
                    <w:b/>
                    <w:bCs/>
                    <w:kern w:val="2"/>
                    <w:szCs w:val="24"/>
                    <w:vertAlign w:val="superscript"/>
                  </w:rPr>
                  <w:t>22</w:t>
                </w:r>
                <w:r>
                  <w:rPr>
                    <w:b/>
                    <w:bCs/>
                    <w:kern w:val="2"/>
                    <w:szCs w:val="24"/>
                  </w:rPr>
                  <w:t>, 34</w:t>
                </w:r>
                <w:r>
                  <w:rPr>
                    <w:b/>
                    <w:bCs/>
                    <w:kern w:val="2"/>
                    <w:szCs w:val="24"/>
                    <w:vertAlign w:val="superscript"/>
                  </w:rPr>
                  <w:t>24</w:t>
                </w:r>
                <w:r>
                  <w:rPr>
                    <w:b/>
                    <w:bCs/>
                    <w:kern w:val="2"/>
                    <w:szCs w:val="24"/>
                  </w:rPr>
                  <w:t>, 34</w:t>
                </w:r>
                <w:r>
                  <w:rPr>
                    <w:b/>
                    <w:bCs/>
                    <w:kern w:val="2"/>
                    <w:szCs w:val="24"/>
                    <w:vertAlign w:val="superscript"/>
                  </w:rPr>
                  <w:t>25</w:t>
                </w:r>
                <w:r>
                  <w:rPr>
                    <w:b/>
                    <w:bCs/>
                    <w:kern w:val="2"/>
                    <w:szCs w:val="24"/>
                  </w:rPr>
                  <w:t>, 34</w:t>
                </w:r>
                <w:r>
                  <w:rPr>
                    <w:b/>
                    <w:bCs/>
                    <w:kern w:val="2"/>
                    <w:szCs w:val="24"/>
                    <w:vertAlign w:val="superscript"/>
                  </w:rPr>
                  <w:t>26</w:t>
                </w:r>
                <w:r>
                  <w:rPr>
                    <w:b/>
                    <w:bCs/>
                    <w:kern w:val="2"/>
                    <w:szCs w:val="24"/>
                  </w:rPr>
                  <w:t>, 34</w:t>
                </w:r>
                <w:r>
                  <w:rPr>
                    <w:b/>
                    <w:bCs/>
                    <w:kern w:val="2"/>
                    <w:szCs w:val="24"/>
                    <w:vertAlign w:val="superscript"/>
                  </w:rPr>
                  <w:t>30</w:t>
                </w:r>
                <w:r>
                  <w:rPr>
                    <w:b/>
                    <w:bCs/>
                    <w:kern w:val="2"/>
                    <w:szCs w:val="24"/>
                  </w:rPr>
                  <w:t>, 34</w:t>
                </w:r>
                <w:r>
                  <w:rPr>
                    <w:b/>
                    <w:bCs/>
                    <w:kern w:val="2"/>
                    <w:szCs w:val="24"/>
                    <w:vertAlign w:val="superscript"/>
                  </w:rPr>
                  <w:t>31</w:t>
                </w:r>
                <w:r>
                  <w:rPr>
                    <w:b/>
                    <w:bCs/>
                    <w:kern w:val="2"/>
                    <w:szCs w:val="24"/>
                  </w:rPr>
                  <w:t xml:space="preserve"> straipsnių, aštuntojo</w:t>
                </w:r>
                <w:r>
                  <w:rPr>
                    <w:b/>
                    <w:bCs/>
                    <w:kern w:val="2"/>
                    <w:szCs w:val="24"/>
                    <w:vertAlign w:val="superscript"/>
                  </w:rPr>
                  <w:t>4</w:t>
                </w:r>
                <w:r>
                  <w:rPr>
                    <w:b/>
                    <w:bCs/>
                    <w:kern w:val="2"/>
                    <w:szCs w:val="24"/>
                  </w:rPr>
                  <w:t xml:space="preserve"> ir aštuntojo</w:t>
                </w:r>
                <w:r>
                  <w:rPr>
                    <w:b/>
                    <w:bCs/>
                    <w:kern w:val="2"/>
                    <w:szCs w:val="24"/>
                    <w:vertAlign w:val="superscript"/>
                  </w:rPr>
                  <w:t>5</w:t>
                </w:r>
                <w:r>
                  <w:rPr>
                    <w:b/>
                    <w:bCs/>
                    <w:kern w:val="2"/>
                    <w:szCs w:val="24"/>
                  </w:rPr>
                  <w:t xml:space="preserve"> skirsnių pavadinimų, 5 priedo pakeitimo, Įstatymo papildymo 4</w:t>
                </w:r>
                <w:r>
                  <w:rPr>
                    <w:b/>
                    <w:bCs/>
                    <w:kern w:val="2"/>
                    <w:szCs w:val="24"/>
                    <w:vertAlign w:val="superscript"/>
                  </w:rPr>
                  <w:t>3</w:t>
                </w:r>
                <w:r>
                  <w:rPr>
                    <w:b/>
                    <w:bCs/>
                    <w:kern w:val="2"/>
                    <w:szCs w:val="24"/>
                  </w:rPr>
                  <w:t> straipsniu straipsnio ir 34</w:t>
                </w:r>
                <w:r>
                  <w:rPr>
                    <w:b/>
                    <w:bCs/>
                    <w:kern w:val="2"/>
                    <w:szCs w:val="24"/>
                    <w:vertAlign w:val="superscript"/>
                  </w:rPr>
                  <w:t>17</w:t>
                </w:r>
                <w:r>
                  <w:rPr>
                    <w:b/>
                    <w:bCs/>
                    <w:kern w:val="2"/>
                    <w:szCs w:val="24"/>
                  </w:rPr>
                  <w:t xml:space="preserve"> straipsnio pripažinimo netekusiu galios įstatymo </w:t>
                </w:r>
                <w:r>
                  <w:rPr>
                    <w:b/>
                    <w:bCs/>
                    <w:color w:val="000000"/>
                    <w:kern w:val="2"/>
                    <w:szCs w:val="24"/>
                    <w:lang w:eastAsia="lt-LT"/>
                  </w:rPr>
                  <w:t>projektas</w:t>
                </w:r>
              </w:p>
            </w:tc>
            <w:tc>
              <w:tcPr>
                <w:tcW w:w="2232" w:type="dxa"/>
              </w:tcPr>
              <w:p>
                <w:pPr>
                  <w:widowControl w:val="0"/>
                  <w:suppressAutoHyphens/>
                  <w:jc w:val="center"/>
                  <w:rPr>
                    <w:rFonts w:eastAsia="Arial Unicode MS"/>
                    <w:b/>
                    <w:bCs/>
                    <w:szCs w:val="24"/>
                    <w:lang w:eastAsia="lt-LT"/>
                  </w:rPr>
                </w:pPr>
                <w:r>
                  <w:rPr>
                    <w:rFonts w:eastAsia="Arial Unicode MS"/>
                    <w:b/>
                    <w:szCs w:val="24"/>
                    <w:lang w:eastAsia="lt-LT"/>
                  </w:rPr>
                  <w:t xml:space="preserve">ES teisės akto įgyvendinimo lygis </w:t>
                </w:r>
              </w:p>
            </w:tc>
          </w:tr>
          <w:tr>
            <w:tc>
              <w:tcPr>
                <w:tcW w:w="5382" w:type="dxa"/>
              </w:tcPr>
              <w:p>
                <w:pPr>
                  <w:jc w:val="both"/>
                  <w:rPr>
                    <w:b/>
                    <w:bCs/>
                    <w:szCs w:val="24"/>
                    <w:lang w:eastAsia="lt-LT"/>
                  </w:rPr>
                </w:pPr>
                <w:r>
                  <w:rPr>
                    <w:b/>
                    <w:bCs/>
                    <w:szCs w:val="24"/>
                    <w:lang w:eastAsia="lt-LT"/>
                  </w:rPr>
                  <w:t>1 straipsnis</w:t>
                </w:r>
              </w:p>
              <w:p>
                <w:pPr>
                  <w:jc w:val="both"/>
                  <w:rPr>
                    <w:szCs w:val="24"/>
                    <w:lang w:eastAsia="lt-LT"/>
                  </w:rPr>
                </w:pPr>
                <w:r>
                  <w:rPr>
                    <w:szCs w:val="24"/>
                    <w:lang w:eastAsia="lt-LT"/>
                  </w:rPr>
                  <w:t xml:space="preserve">Direktyvos </w:t>
                </w:r>
                <w:fldSimple w:instr="HYPERLINK http://eur-lex.europa.eu/legal-content/LIT/TXT/?uri=CELEX:32012L0019&amp;locale=lt \t _blank">
                  <w:r>
                    <w:rPr>
                      <w:szCs w:val="24"/>
                      <w:lang w:eastAsia="lt-LT"/>
                      <w:u w:val="single"/>
                      <w:color w:val="0000FF" w:themeColor="hyperlink"/>
                    </w:rPr>
                    <w:t>2012/19/ES</w:t>
                  </w:r>
                </w:fldSimple>
                <w:r>
                  <w:rPr>
                    <w:szCs w:val="24"/>
                    <w:lang w:eastAsia="lt-LT"/>
                  </w:rPr>
                  <w:t xml:space="preserve"> daliniai pakeitimai</w:t>
                </w:r>
              </w:p>
              <w:p>
                <w:pPr>
                  <w:jc w:val="both"/>
                  <w:rPr>
                    <w:szCs w:val="24"/>
                    <w:lang w:eastAsia="lt-LT"/>
                  </w:rPr>
                </w:pPr>
                <w:r>
                  <w:rPr>
                    <w:szCs w:val="24"/>
                    <w:lang w:eastAsia="lt-LT"/>
                  </w:rPr>
                  <w:t xml:space="preserve">Direktyva </w:t>
                </w:r>
                <w:fldSimple w:instr="HYPERLINK http://eur-lex.europa.eu/legal-content/LIT/TXT/?uri=CELEX:32012L0019&amp;locale=lt \t _blank">
                  <w:r>
                    <w:rPr>
                      <w:szCs w:val="24"/>
                      <w:lang w:eastAsia="lt-LT"/>
                      <w:u w:val="single"/>
                      <w:color w:val="0000FF" w:themeColor="hyperlink"/>
                    </w:rPr>
                    <w:t>2012/19/ES</w:t>
                  </w:r>
                </w:fldSimple>
                <w:r>
                  <w:rPr>
                    <w:szCs w:val="24"/>
                    <w:lang w:eastAsia="lt-LT"/>
                  </w:rPr>
                  <w:t xml:space="preserve"> iš dalies keičiama taip:</w:t>
                </w:r>
              </w:p>
              <w:p>
                <w:pPr>
                  <w:jc w:val="both"/>
                  <w:rPr>
                    <w:szCs w:val="24"/>
                    <w:lang w:eastAsia="lt-LT"/>
                  </w:rPr>
                </w:pPr>
                <w:r>
                  <w:rPr>
                    <w:szCs w:val="24"/>
                    <w:lang w:eastAsia="lt-LT"/>
                  </w:rPr>
                  <w:t>2) 12 straipsnis iš dalies keičiamas taip:</w:t>
                </w:r>
              </w:p>
              <w:p>
                <w:pPr>
                  <w:jc w:val="both"/>
                  <w:rPr>
                    <w:szCs w:val="24"/>
                    <w:lang w:eastAsia="lt-LT"/>
                  </w:rPr>
                </w:pPr>
                <w:r>
                  <w:rPr>
                    <w:szCs w:val="24"/>
                    <w:lang w:eastAsia="lt-LT"/>
                  </w:rPr>
                  <w:t>a) 1 dalis pakeičiama taip:</w:t>
                </w:r>
              </w:p>
              <w:p>
                <w:pPr>
                  <w:jc w:val="both"/>
                  <w:rPr>
                    <w:szCs w:val="24"/>
                    <w:lang w:eastAsia="lt-LT"/>
                  </w:rPr>
                </w:pPr>
                <w:r>
                  <w:rPr>
                    <w:szCs w:val="24"/>
                    <w:lang w:eastAsia="lt-LT"/>
                  </w:rPr>
                  <w:t>„1. Valstybės narės užtikrina, kad gamintojai teiktų bent EEĮ atliekų iš privačių namų ūkių, sukauptų pagal 5 straipsnio 2 dalį įrengtuose surinkimo įrenginiuose, surinkimo, apdorojimo, naudojimo ir aplinką tausojančio šalinimo finansavimą pagal tai:</w:t>
                </w:r>
              </w:p>
              <w:p>
                <w:pPr>
                  <w:jc w:val="both"/>
                  <w:rPr>
                    <w:szCs w:val="24"/>
                    <w:lang w:eastAsia="lt-LT"/>
                  </w:rPr>
                </w:pPr>
                <w:r>
                  <w:rPr>
                    <w:szCs w:val="24"/>
                    <w:lang w:eastAsia="lt-LT"/>
                  </w:rPr>
                  <w:t>a) EEĮ atliekų, gautų iš 2 straipsnio 1 dalies a punkte nurodytos EEĮ, išskyrus fotovoltines plokštes, jei tokia EEĮ buvo pateikta rinkai po 2005 m. rugpjūčio 13 d.;</w:t>
                </w:r>
              </w:p>
              <w:p>
                <w:pPr>
                  <w:jc w:val="both"/>
                  <w:rPr>
                    <w:szCs w:val="24"/>
                    <w:lang w:eastAsia="lt-LT"/>
                  </w:rPr>
                </w:pPr>
                <w:r>
                  <w:rPr>
                    <w:szCs w:val="24"/>
                    <w:lang w:eastAsia="lt-LT"/>
                  </w:rPr>
                  <w:t>b) EEĮ atliekų, gautų iš fotovoltinių plokščių, jei tokios fotovoltinės plokštės buvo pateiktos rinkai nuo 2012 m. rugpjūčio 13 d., ir</w:t>
                </w:r>
              </w:p>
              <w:p>
                <w:pPr>
                  <w:jc w:val="both"/>
                  <w:rPr>
                    <w:szCs w:val="24"/>
                    <w:lang w:eastAsia="lt-LT"/>
                  </w:rPr>
                </w:pPr>
                <w:r>
                  <w:rPr>
                    <w:szCs w:val="24"/>
                    <w:lang w:eastAsia="lt-LT"/>
                  </w:rPr>
                  <w:t>c) EEĮ atliekų, gautų iš 2 straipsnio 1 dalies b punkte nurodytos EEĮ ir nepatenkančių į 2 straipsnio 1 dalies a punkto taikymo sritį, jei tokia EEĮ buvo pateikta rinkai nuo 2018 m. rugpjūčio 15 d.“;</w:t>
                </w:r>
              </w:p>
              <w:p>
                <w:pPr>
                  <w:jc w:val="both"/>
                  <w:rPr>
                    <w:szCs w:val="24"/>
                    <w:lang w:eastAsia="lt-LT"/>
                  </w:rPr>
                </w:pPr>
                <w:r>
                  <w:rPr>
                    <w:szCs w:val="24"/>
                    <w:lang w:eastAsia="lt-LT"/>
                  </w:rPr>
                  <w:t>b) 3 dalies pirma pastraipa pakeičiama taip:</w:t>
                </w:r>
              </w:p>
              <w:p>
                <w:pPr>
                  <w:jc w:val="both"/>
                  <w:rPr>
                    <w:szCs w:val="24"/>
                    <w:lang w:eastAsia="lt-LT"/>
                  </w:rPr>
                </w:pPr>
                <w:r>
                  <w:rPr>
                    <w:szCs w:val="24"/>
                    <w:lang w:eastAsia="lt-LT"/>
                  </w:rPr>
                  <w:t>„3. Kiekvienas gamintojas yra atsakingas už 1 dalyje nurodytų operacijų, vykdomų su jo produktų atliekomis, finansavimą. Gamintojas gali pasirinkti, ar vykdyti šią pareigą individualiai ar prisijungiant prie kolektyvinės sistemos.“;</w:t>
                </w:r>
              </w:p>
              <w:p>
                <w:pPr>
                  <w:jc w:val="both"/>
                  <w:rPr>
                    <w:szCs w:val="24"/>
                    <w:lang w:eastAsia="lt-LT"/>
                  </w:rPr>
                </w:pPr>
                <w:r>
                  <w:rPr>
                    <w:szCs w:val="24"/>
                    <w:lang w:eastAsia="lt-LT"/>
                  </w:rPr>
                  <w:t>c) 4 dalis pakeičiama taip:</w:t>
                </w:r>
              </w:p>
              <w:p>
                <w:pPr>
                  <w:jc w:val="both"/>
                  <w:rPr>
                    <w:szCs w:val="24"/>
                    <w:lang w:eastAsia="lt-LT"/>
                  </w:rPr>
                </w:pPr>
                <w:r>
                  <w:rPr>
                    <w:szCs w:val="24"/>
                    <w:lang w:eastAsia="lt-LT"/>
                  </w:rPr>
                  <w:t>„4. EEĮ produktų atliekų, nurodytų 2 straipsnio 1 dalies a punkte, išskyrus ne vėliau kaip 2005 m. rugpjūčio 13 d. rinkai pateiktas fotovoltines plokštes, (toliau – „istorinės“ atliekos), tvarkymo išlaidų finansavimo atsakomybę prisiima viena ar daugiau sistemų, prie kurių visi tuo metu, kai atsiranda atitinkamų išlaidų, rinkoje dalyvaujantys gamintojai prisideda proporcingai, pavyzdžiui, proporcingai jų užimamai tam tikros rūšies įrangos rinkos daliai.“;</w:t>
                </w:r>
              </w:p>
              <w:p>
                <w:pPr>
                  <w:jc w:val="both"/>
                  <w:rPr>
                    <w:szCs w:val="24"/>
                    <w:lang w:eastAsia="lt-LT"/>
                  </w:rPr>
                </w:pPr>
                <w:r>
                  <w:rPr>
                    <w:szCs w:val="24"/>
                    <w:lang w:eastAsia="lt-LT"/>
                  </w:rPr>
                  <w:t>3) 13 straipsnio 1 dalis pakeičiama taip:</w:t>
                </w:r>
              </w:p>
              <w:p>
                <w:pPr>
                  <w:jc w:val="both"/>
                  <w:rPr>
                    <w:szCs w:val="24"/>
                    <w:lang w:eastAsia="lt-LT"/>
                  </w:rPr>
                </w:pPr>
                <w:r>
                  <w:rPr>
                    <w:szCs w:val="24"/>
                    <w:lang w:eastAsia="lt-LT"/>
                  </w:rPr>
                  <w:t>„1. Valstybės narės užtikrina, kad iš kitų naudotojų, išskyrus privačius namų ūkius, gautų EEĮ atliekų surinkimo, apdorojimo, naudojimo ir aplinką tausojančio šalinimo finansavimo išlaidas padengtų gamintojai pagal tai:</w:t>
                </w:r>
              </w:p>
              <w:p>
                <w:pPr>
                  <w:jc w:val="both"/>
                  <w:rPr>
                    <w:szCs w:val="24"/>
                    <w:lang w:eastAsia="lt-LT"/>
                  </w:rPr>
                </w:pPr>
                <w:r>
                  <w:rPr>
                    <w:szCs w:val="24"/>
                    <w:lang w:eastAsia="lt-LT"/>
                  </w:rPr>
                  <w:t>a) EEĮ atliekų, gautų iš 2 straipsnio 1 dalies a punkte nurodytos EEĮ, išskyrus fotovoltines plokštes, jei tokia EEĮ buvo pateikta rinkai po 2005 m. rugpjūčio 13 d.;</w:t>
                </w:r>
              </w:p>
              <w:p>
                <w:pPr>
                  <w:jc w:val="both"/>
                  <w:rPr>
                    <w:szCs w:val="24"/>
                    <w:lang w:eastAsia="lt-LT"/>
                  </w:rPr>
                </w:pPr>
                <w:r>
                  <w:rPr>
                    <w:szCs w:val="24"/>
                    <w:lang w:eastAsia="lt-LT"/>
                  </w:rPr>
                  <w:t>b) EEĮ atliekų, gautų iš fotovoltinių plokščių, jei tokios fotovoltinės plokštės buvo pateiktos rinkai nuo 2012 m. rugpjūčio 13 d., ir</w:t>
                </w:r>
              </w:p>
              <w:p>
                <w:pPr>
                  <w:jc w:val="both"/>
                  <w:rPr>
                    <w:szCs w:val="24"/>
                    <w:lang w:eastAsia="lt-LT"/>
                  </w:rPr>
                </w:pPr>
                <w:r>
                  <w:rPr>
                    <w:szCs w:val="24"/>
                    <w:lang w:eastAsia="lt-LT"/>
                  </w:rPr>
                  <w:t>c) EEĮ atliekų, gautų iš 2 straipsnio 1 dalies b punkte nurodytos EEĮ, kurios nepatenka į 2 straipsnio 1 dalies a punkto taikymo sritį, jei tokia EEĮ buvo pateikta rinkai nuo 2018 m. rugpjūčio 15 d.</w:t>
                </w:r>
              </w:p>
              <w:p>
                <w:pPr>
                  <w:jc w:val="both"/>
                  <w:rPr>
                    <w:szCs w:val="24"/>
                    <w:lang w:eastAsia="lt-LT"/>
                  </w:rPr>
                </w:pPr>
                <w:r>
                  <w:rPr>
                    <w:szCs w:val="24"/>
                    <w:lang w:eastAsia="lt-LT"/>
                  </w:rPr>
                  <w:t>„Istorinių“ atliekų iš EEĮ, nurodytos 2 straipsnio 1 dalies a punkte, išskyrus fotovoltines plokštes, kurias pakeičia nauji lygiaverčiai produktai ar nauji produktai, atliekantys tas pačias funkcijas, finansavimo išlaidas padengia tų produktų gamintojai, juos tiekdami. Alternatyviai, valstybės narės gali numatyti, kad naudotojai, išskyrus privačius namų ūkius, taip pat gali būti iš dalies ar visiškai atsakingi už tą finansavimą.</w:t>
                </w:r>
              </w:p>
              <w:p>
                <w:pPr>
                  <w:jc w:val="both"/>
                  <w:rPr>
                    <w:rFonts w:ascii="EU Albertina" w:hAnsi="EU Albertina"/>
                    <w:szCs w:val="24"/>
                    <w:lang w:eastAsia="lt-LT"/>
                  </w:rPr>
                </w:pPr>
                <w:r>
                  <w:rPr>
                    <w:szCs w:val="24"/>
                    <w:lang w:eastAsia="lt-LT"/>
                  </w:rPr>
                  <w:t>Kitų „istorinių“ atliekų iš EEĮ, nurodytų 2 straipsnio 1 dalies a punkte, išskyrus fotovoltines plokštes, išlaidų finansavimą padengia naudotojai, išskyrus privačius namų ūkius.“.</w:t>
                </w:r>
              </w:p>
            </w:tc>
            <w:tc>
              <w:tcPr>
                <w:tcW w:w="6379" w:type="dxa"/>
              </w:tcPr>
              <w:p>
                <w:pPr>
                  <w:jc w:val="both"/>
                  <w:textAlignment w:val="baseline"/>
                  <w:rPr>
                    <w:rFonts w:ascii="Segoe UI" w:hAnsi="Segoe UI" w:cs="Segoe UI"/>
                    <w:sz w:val="18"/>
                    <w:szCs w:val="18"/>
                    <w:lang w:eastAsia="lt-LT"/>
                  </w:rPr>
                </w:pPr>
                <w:r>
                  <w:rPr>
                    <w:b/>
                    <w:bCs/>
                    <w:szCs w:val="24"/>
                    <w:lang w:eastAsia="lt-LT"/>
                  </w:rPr>
                  <w:t>10 straipsnis. 34</w:t>
                </w:r>
                <w:r>
                  <w:rPr>
                    <w:b/>
                    <w:bCs/>
                    <w:szCs w:val="24"/>
                    <w:vertAlign w:val="superscript"/>
                    <w:lang w:eastAsia="lt-LT"/>
                  </w:rPr>
                  <w:t>1</w:t>
                </w:r>
                <w:r>
                  <w:rPr>
                    <w:b/>
                    <w:bCs/>
                    <w:szCs w:val="24"/>
                    <w:lang w:eastAsia="lt-LT"/>
                  </w:rPr>
                  <w:t xml:space="preserve"> straipsnio pakeitimas</w:t>
                </w:r>
              </w:p>
              <w:p>
                <w:pPr>
                  <w:jc w:val="both"/>
                  <w:textAlignment w:val="baseline"/>
                  <w:rPr>
                    <w:rFonts w:ascii="Segoe UI" w:hAnsi="Segoe UI" w:cs="Segoe UI"/>
                    <w:b/>
                    <w:bCs/>
                    <w:sz w:val="18"/>
                    <w:szCs w:val="18"/>
                    <w:lang w:eastAsia="lt-LT"/>
                  </w:rPr>
                </w:pPr>
                <w:r>
                  <w:rPr>
                    <w:b/>
                    <w:bCs/>
                    <w:szCs w:val="24"/>
                    <w:lang w:eastAsia="lt-LT"/>
                  </w:rPr>
                  <w:t>1. Pakeisti 34</w:t>
                </w:r>
                <w:r>
                  <w:rPr>
                    <w:b/>
                    <w:bCs/>
                    <w:szCs w:val="24"/>
                    <w:vertAlign w:val="superscript"/>
                    <w:lang w:eastAsia="lt-LT"/>
                  </w:rPr>
                  <w:t>1</w:t>
                </w:r>
                <w:r>
                  <w:rPr>
                    <w:b/>
                    <w:bCs/>
                    <w:szCs w:val="24"/>
                    <w:lang w:eastAsia="lt-LT"/>
                  </w:rPr>
                  <w:t xml:space="preserve"> straipsnio 9 dalį ir ją išdėstyti taip:</w:t>
                </w:r>
              </w:p>
              <w:p>
                <w:pPr>
                  <w:jc w:val="both"/>
                  <w:textAlignment w:val="baseline"/>
                  <w:rPr>
                    <w:rFonts w:ascii="Segoe UI" w:hAnsi="Segoe UI" w:cs="Segoe UI"/>
                    <w:b/>
                    <w:bCs/>
                    <w:sz w:val="18"/>
                    <w:szCs w:val="18"/>
                    <w:lang w:eastAsia="lt-LT"/>
                  </w:rPr>
                </w:pPr>
                <w:r>
                  <w:rPr>
                    <w:b/>
                    <w:bCs/>
                    <w:szCs w:val="24"/>
                    <w:lang w:eastAsia="lt-LT"/>
                  </w:rPr>
                  <w:t>„9. Elektros ir elektroninės įrangos gamintojai ir importuotojai turi organizuoti savo organizuojamose elektros ir elektroninės įrangos atliekų tvarkymo sistemose, komunalinių atliekų tvarkymo sistemai priklausančiose didelių gabaritų atliekų surinkimo aikštelėse, iš platintojų surinktų buitinių elektros ir elektroninės įrangos atliekų tvarkymą taip:</w:t>
                </w:r>
              </w:p>
              <w:p>
                <w:pPr>
                  <w:jc w:val="both"/>
                  <w:textAlignment w:val="baseline"/>
                  <w:rPr>
                    <w:rFonts w:ascii="Segoe UI" w:hAnsi="Segoe UI" w:cs="Segoe UI"/>
                    <w:b/>
                    <w:bCs/>
                    <w:sz w:val="18"/>
                    <w:szCs w:val="18"/>
                    <w:lang w:eastAsia="lt-LT"/>
                  </w:rPr>
                </w:pPr>
                <w:r>
                  <w:rPr>
                    <w:b/>
                    <w:bCs/>
                    <w:szCs w:val="24"/>
                    <w:lang w:eastAsia="lt-LT"/>
                  </w:rPr>
                  <w:t>1) po 2005 m. rugpjūčio 13 d. Lietuvos Respublikos vidaus rinkai verslo tikslais tiektos elektros ir elektroninės įrangos, išskyrus fotovoltines plokštes,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p>
                <w:pPr>
                  <w:jc w:val="both"/>
                  <w:textAlignment w:val="baseline"/>
                  <w:rPr>
                    <w:szCs w:val="24"/>
                    <w:lang w:eastAsia="lt-LT"/>
                  </w:rPr>
                </w:pPr>
                <w:r>
                  <w:rPr>
                    <w:b/>
                    <w:bCs/>
                    <w:szCs w:val="24"/>
                    <w:lang w:eastAsia="lt-LT"/>
                  </w:rPr>
                  <w:t xml:space="preserve">2) elektros ir elektroninės įrangos gamintojai ir importuotojai turi finansuoti buitinių elektros ir elektroninės įrangos atliekų, gautų iš fotovoltinių plokščių, patiektų Lietuvos Respublikos vidaus rinkai verslo tikslais po 2012 m. rugpjūčio 13 d., tvarkymą; </w:t>
                </w:r>
              </w:p>
              <w:p>
                <w:pPr>
                  <w:jc w:val="both"/>
                  <w:textAlignment w:val="baseline"/>
                  <w:rPr>
                    <w:rFonts w:ascii="Segoe UI" w:hAnsi="Segoe UI" w:cs="Segoe UI"/>
                    <w:sz w:val="18"/>
                    <w:szCs w:val="18"/>
                    <w:lang w:eastAsia="lt-LT"/>
                  </w:rPr>
                </w:pPr>
                <w:r>
                  <w:rPr>
                    <w:b/>
                    <w:bCs/>
                    <w:szCs w:val="24"/>
                    <w:lang w:eastAsia="lt-LT"/>
                  </w:rPr>
                  <w:t>3) elektros ir elektroninės įrangos gamintojai ir importuotojai turi finansuoti visos savo nuo 2018 m. rugpjūčio 15 d. Lietuvos Respublikos vidaus rinkai verslo tikslais tiektos elektros ir elektroninės įrangos buitinių atliekų tvarkymą.</w:t>
                </w:r>
                <w:r>
                  <w:rPr>
                    <w:szCs w:val="24"/>
                    <w:lang w:eastAsia="lt-LT"/>
                  </w:rPr>
                  <w:t>“</w:t>
                </w:r>
              </w:p>
              <w:p>
                <w:pPr>
                  <w:jc w:val="both"/>
                  <w:textAlignment w:val="baseline"/>
                  <w:rPr>
                    <w:rFonts w:ascii="Segoe UI" w:hAnsi="Segoe UI" w:cs="Segoe UI"/>
                    <w:b/>
                    <w:bCs/>
                    <w:sz w:val="18"/>
                    <w:szCs w:val="18"/>
                    <w:lang w:eastAsia="lt-LT"/>
                  </w:rPr>
                </w:pPr>
                <w:r>
                  <w:rPr>
                    <w:b/>
                    <w:bCs/>
                    <w:szCs w:val="24"/>
                    <w:lang w:eastAsia="lt-LT"/>
                  </w:rPr>
                  <w:t>2. Pakeisti 34</w:t>
                </w:r>
                <w:r>
                  <w:rPr>
                    <w:b/>
                    <w:bCs/>
                    <w:szCs w:val="24"/>
                    <w:vertAlign w:val="superscript"/>
                    <w:lang w:eastAsia="lt-LT"/>
                  </w:rPr>
                  <w:t>1</w:t>
                </w:r>
                <w:r>
                  <w:rPr>
                    <w:b/>
                    <w:bCs/>
                    <w:szCs w:val="24"/>
                    <w:lang w:eastAsia="lt-LT"/>
                  </w:rPr>
                  <w:t xml:space="preserve"> straipsnio 10 dalį ir ją išdėstyti taip:</w:t>
                </w:r>
              </w:p>
              <w:p>
                <w:pPr>
                  <w:jc w:val="both"/>
                  <w:textAlignment w:val="baseline"/>
                  <w:rPr>
                    <w:rFonts w:ascii="Segoe UI" w:hAnsi="Segoe UI" w:cs="Segoe UI"/>
                    <w:b/>
                    <w:bCs/>
                    <w:sz w:val="18"/>
                    <w:szCs w:val="18"/>
                    <w:lang w:eastAsia="lt-LT"/>
                  </w:rPr>
                </w:pPr>
                <w:r>
                  <w:rPr>
                    <w:b/>
                    <w:bCs/>
                    <w:szCs w:val="24"/>
                    <w:lang w:eastAsia="lt-LT"/>
                  </w:rPr>
                  <w:t>„10. Elektros ir elektroninės įrangos gamintojai ir importuotojai privalo užtikrinti nebuitinių elektros ir elektroninės įrangos atliekų tvarkymą taip:</w:t>
                </w:r>
              </w:p>
              <w:p>
                <w:pPr>
                  <w:jc w:val="both"/>
                  <w:textAlignment w:val="baseline"/>
                  <w:rPr>
                    <w:rFonts w:ascii="Segoe UI" w:hAnsi="Segoe UI" w:cs="Segoe UI"/>
                    <w:b/>
                    <w:bCs/>
                    <w:sz w:val="18"/>
                    <w:szCs w:val="18"/>
                    <w:lang w:eastAsia="lt-LT"/>
                  </w:rPr>
                </w:pPr>
                <w:r>
                  <w:rPr>
                    <w:b/>
                    <w:bCs/>
                    <w:szCs w:val="24"/>
                    <w:lang w:eastAsia="lt-LT"/>
                  </w:rPr>
                  <w:t>1) po 2005 m. rugpjūčio 13 d. Lietuvos Respublikos vidaus rinkai verslo tikslais tiektos elektros ir elektroninės įrangos, išskyrus fotovoltines plokštes, atliekų (istorinių elektros ir elektroninės įrangos atliekų), atiduodamų perkant naują tos pačios paskirties elektros ir elektroninę įrangą, tvarkymą privalo finansuoti gamintojai ir importuotojai, tiekiantys šią įrangą;</w:t>
                </w:r>
              </w:p>
              <w:p>
                <w:pPr>
                  <w:jc w:val="both"/>
                  <w:textAlignment w:val="baseline"/>
                  <w:rPr>
                    <w:szCs w:val="24"/>
                    <w:lang w:eastAsia="lt-LT"/>
                  </w:rPr>
                </w:pPr>
                <w:r>
                  <w:rPr>
                    <w:b/>
                    <w:bCs/>
                    <w:szCs w:val="24"/>
                    <w:lang w:eastAsia="lt-LT"/>
                  </w:rPr>
                  <w:t xml:space="preserve">2) elektros ir elektroninės įrangos gamintojai ir importuotojai turi finansuoti nebuitinių elektros ir elektroninės įrangos atliekų, gautų iš fotovoltinių plokščių, patiektų Lietuvos Respublikos vidaus rinkai verslo tikslais nuo 2012 m. rugpjūčio 13 d., tvarkymą; </w:t>
                </w:r>
              </w:p>
              <w:p>
                <w:pPr>
                  <w:jc w:val="both"/>
                  <w:textAlignment w:val="baseline"/>
                  <w:rPr>
                    <w:rFonts w:ascii="Segoe UI" w:hAnsi="Segoe UI" w:cs="Segoe UI"/>
                    <w:sz w:val="18"/>
                    <w:szCs w:val="18"/>
                    <w:lang w:eastAsia="lt-LT"/>
                  </w:rPr>
                </w:pPr>
                <w:r>
                  <w:rPr>
                    <w:b/>
                    <w:bCs/>
                    <w:szCs w:val="24"/>
                    <w:lang w:eastAsia="lt-LT"/>
                  </w:rPr>
                  <w:t>3) elektros ir elektroninės įrangos gamintojai ir importuotojai privalo finansuoti nuo 2018 m. rugpjūčio 15 d. Lietuvos Respublikos vidaus rinkai verslo tikslais tiektos savo elektros ir elektroninės įrangos nebuitinių atliekų tvarkymą.</w:t>
                </w:r>
                <w:r>
                  <w:rPr>
                    <w:szCs w:val="24"/>
                    <w:lang w:eastAsia="lt-LT"/>
                  </w:rPr>
                  <w:t>“</w:t>
                </w:r>
              </w:p>
              <w:p>
                <w:pPr>
                  <w:widowControl w:val="0"/>
                  <w:suppressAutoHyphens/>
                  <w:jc w:val="both"/>
                  <w:rPr>
                    <w:rFonts w:eastAsia="Arial Unicode MS"/>
                    <w:b/>
                    <w:bCs/>
                    <w:szCs w:val="24"/>
                    <w:lang w:eastAsia="lt-LT"/>
                  </w:rPr>
                </w:pPr>
              </w:p>
            </w:tc>
            <w:tc>
              <w:tcPr>
                <w:tcW w:w="2232" w:type="dxa"/>
              </w:tcPr>
              <w:p>
                <w:pPr>
                  <w:widowControl w:val="0"/>
                  <w:suppressAutoHyphens/>
                  <w:rPr>
                    <w:rFonts w:eastAsia="Arial Unicode MS"/>
                    <w:b/>
                    <w:bCs/>
                    <w:szCs w:val="24"/>
                    <w:lang w:eastAsia="lt-LT"/>
                  </w:rPr>
                </w:pPr>
                <w:r>
                  <w:rPr>
                    <w:rFonts w:eastAsia="Arial Unicode MS"/>
                    <w:b/>
                    <w:bCs/>
                    <w:szCs w:val="24"/>
                    <w:lang w:eastAsia="lt-LT"/>
                  </w:rPr>
                  <w:t>Visiškas</w:t>
                </w:r>
              </w:p>
            </w:tc>
          </w:tr>
        </w:tbl>
        <w:p>
          <w:pPr>
            <w:spacing w:line="259" w:lineRule="auto"/>
            <w:jc w:val="center"/>
            <w:rPr>
              <w:kern w:val="2"/>
              <w:sz w:val="22"/>
              <w:szCs w:val="22"/>
            </w:rPr>
          </w:pPr>
        </w:p>
        <w:p>
          <w:pPr>
            <w:rPr>
              <w:sz w:val="14"/>
              <w:szCs w:val="14"/>
            </w:rPr>
          </w:pPr>
        </w:p>
      </w:sdtContent>
    </w:sdt>
    <w:sdt>
      <w:sdtPr>
        <w:alias w:val="pastraipa"/>
        <w:tag w:val="part_86b576ca19114f908fdf37b5fa2b4ce7"/>
        <w:lock w:val="sdtLocked"/>
        <w:richText/>
      </w:sdtPr>
      <w:sdtContent>
        <w:p>
          <w:pPr>
            <w:spacing w:line="259" w:lineRule="auto"/>
            <w:jc w:val="center"/>
            <w:rPr>
              <w:kern w:val="2"/>
              <w:sz w:val="22"/>
              <w:szCs w:val="22"/>
            </w:rPr>
          </w:pPr>
          <w:r>
            <w:rPr>
              <w:kern w:val="2"/>
              <w:sz w:val="22"/>
              <w:szCs w:val="22"/>
            </w:rPr>
            <w:t>___________________________</w:t>
          </w: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 w:type="continuationNotice" w:id="1">
    <w:p>
      <w:pPr>
        <w:rPr>
          <w:kern w:val="2"/>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 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 w:type="continuationNotice" w:id="1">
    <w:p>
      <w:pPr>
        <w:rPr>
          <w:kern w:val="2"/>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2</w:t>
    </w:r>
    <w:r>
      <w:rPr>
        <w:kern w:val="2"/>
        <w:sz w:val="22"/>
        <w:szCs w:val="22"/>
      </w:rPr>
      <w:fldChar w:fldCharType="end"/>
    </w:r>
  </w:p>
  <w:p>
    <w:pPr>
      <w:tabs>
        <w:tab w:val="center" w:pos="4819"/>
        <w:tab w:val="right" w:pos="9638"/>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F4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98C502-FE5A-4D26-BE77-C7085B1863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2449911">
      <w:bodyDiv w:val="1"/>
      <w:marLeft w:val="0"/>
      <w:marRight w:val="0"/>
      <w:marTop w:val="0"/>
      <w:marBottom w:val="0"/>
      <w:divBdr>
        <w:top w:val="none" w:sz="0" w:space="0" w:color="auto"/>
        <w:left w:val="none" w:sz="0" w:space="0" w:color="auto"/>
        <w:bottom w:val="none" w:sz="0" w:space="0" w:color="auto"/>
        <w:right w:val="none" w:sz="0" w:space="0" w:color="auto"/>
      </w:divBdr>
      <w:divsChild>
        <w:div w:id="240068301">
          <w:marLeft w:val="0"/>
          <w:marRight w:val="0"/>
          <w:marTop w:val="0"/>
          <w:marBottom w:val="0"/>
          <w:divBdr>
            <w:top w:val="none" w:sz="0" w:space="0" w:color="auto"/>
            <w:left w:val="none" w:sz="0" w:space="0" w:color="auto"/>
            <w:bottom w:val="none" w:sz="0" w:space="0" w:color="auto"/>
            <w:right w:val="none" w:sz="0" w:space="0" w:color="auto"/>
          </w:divBdr>
        </w:div>
        <w:div w:id="323583253">
          <w:marLeft w:val="0"/>
          <w:marRight w:val="0"/>
          <w:marTop w:val="0"/>
          <w:marBottom w:val="0"/>
          <w:divBdr>
            <w:top w:val="none" w:sz="0" w:space="0" w:color="auto"/>
            <w:left w:val="none" w:sz="0" w:space="0" w:color="auto"/>
            <w:bottom w:val="none" w:sz="0" w:space="0" w:color="auto"/>
            <w:right w:val="none" w:sz="0" w:space="0" w:color="auto"/>
          </w:divBdr>
        </w:div>
        <w:div w:id="451435629">
          <w:marLeft w:val="0"/>
          <w:marRight w:val="0"/>
          <w:marTop w:val="0"/>
          <w:marBottom w:val="0"/>
          <w:divBdr>
            <w:top w:val="none" w:sz="0" w:space="0" w:color="auto"/>
            <w:left w:val="none" w:sz="0" w:space="0" w:color="auto"/>
            <w:bottom w:val="none" w:sz="0" w:space="0" w:color="auto"/>
            <w:right w:val="none" w:sz="0" w:space="0" w:color="auto"/>
          </w:divBdr>
        </w:div>
        <w:div w:id="658071709">
          <w:marLeft w:val="0"/>
          <w:marRight w:val="0"/>
          <w:marTop w:val="0"/>
          <w:marBottom w:val="0"/>
          <w:divBdr>
            <w:top w:val="none" w:sz="0" w:space="0" w:color="auto"/>
            <w:left w:val="none" w:sz="0" w:space="0" w:color="auto"/>
            <w:bottom w:val="none" w:sz="0" w:space="0" w:color="auto"/>
            <w:right w:val="none" w:sz="0" w:space="0" w:color="auto"/>
          </w:divBdr>
        </w:div>
        <w:div w:id="753671325">
          <w:marLeft w:val="0"/>
          <w:marRight w:val="0"/>
          <w:marTop w:val="0"/>
          <w:marBottom w:val="0"/>
          <w:divBdr>
            <w:top w:val="none" w:sz="0" w:space="0" w:color="auto"/>
            <w:left w:val="none" w:sz="0" w:space="0" w:color="auto"/>
            <w:bottom w:val="none" w:sz="0" w:space="0" w:color="auto"/>
            <w:right w:val="none" w:sz="0" w:space="0" w:color="auto"/>
          </w:divBdr>
        </w:div>
        <w:div w:id="993683456">
          <w:marLeft w:val="0"/>
          <w:marRight w:val="0"/>
          <w:marTop w:val="0"/>
          <w:marBottom w:val="0"/>
          <w:divBdr>
            <w:top w:val="none" w:sz="0" w:space="0" w:color="auto"/>
            <w:left w:val="none" w:sz="0" w:space="0" w:color="auto"/>
            <w:bottom w:val="none" w:sz="0" w:space="0" w:color="auto"/>
            <w:right w:val="none" w:sz="0" w:space="0" w:color="auto"/>
          </w:divBdr>
        </w:div>
        <w:div w:id="1026129733">
          <w:marLeft w:val="0"/>
          <w:marRight w:val="0"/>
          <w:marTop w:val="0"/>
          <w:marBottom w:val="0"/>
          <w:divBdr>
            <w:top w:val="none" w:sz="0" w:space="0" w:color="auto"/>
            <w:left w:val="none" w:sz="0" w:space="0" w:color="auto"/>
            <w:bottom w:val="none" w:sz="0" w:space="0" w:color="auto"/>
            <w:right w:val="none" w:sz="0" w:space="0" w:color="auto"/>
          </w:divBdr>
        </w:div>
        <w:div w:id="1171264223">
          <w:marLeft w:val="0"/>
          <w:marRight w:val="0"/>
          <w:marTop w:val="0"/>
          <w:marBottom w:val="0"/>
          <w:divBdr>
            <w:top w:val="none" w:sz="0" w:space="0" w:color="auto"/>
            <w:left w:val="none" w:sz="0" w:space="0" w:color="auto"/>
            <w:bottom w:val="none" w:sz="0" w:space="0" w:color="auto"/>
            <w:right w:val="none" w:sz="0" w:space="0" w:color="auto"/>
          </w:divBdr>
        </w:div>
        <w:div w:id="1434789889">
          <w:marLeft w:val="0"/>
          <w:marRight w:val="0"/>
          <w:marTop w:val="0"/>
          <w:marBottom w:val="0"/>
          <w:divBdr>
            <w:top w:val="none" w:sz="0" w:space="0" w:color="auto"/>
            <w:left w:val="none" w:sz="0" w:space="0" w:color="auto"/>
            <w:bottom w:val="none" w:sz="0" w:space="0" w:color="auto"/>
            <w:right w:val="none" w:sz="0" w:space="0" w:color="auto"/>
          </w:divBdr>
        </w:div>
        <w:div w:id="1692874237">
          <w:marLeft w:val="0"/>
          <w:marRight w:val="0"/>
          <w:marTop w:val="0"/>
          <w:marBottom w:val="0"/>
          <w:divBdr>
            <w:top w:val="none" w:sz="0" w:space="0" w:color="auto"/>
            <w:left w:val="none" w:sz="0" w:space="0" w:color="auto"/>
            <w:bottom w:val="none" w:sz="0" w:space="0" w:color="auto"/>
            <w:right w:val="none" w:sz="0" w:space="0" w:color="auto"/>
          </w:divBdr>
        </w:div>
        <w:div w:id="18953146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78b2ebf663a0b641408919b41bcf3202">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75d80d920efa08bb9b56b02d57f3f089"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4.xml><?xml version="1.0" encoding="utf-8"?>
<Parts xmlns="http://lrs.lt/TAIS/DocParts">
  <Part Type="lentele" DocPartId="f5545569ae61442f9ebcf5153f9f233b" PartId="11cd23980d23445982be0c7d23cf95ae"/>
  <Part Type="pastraipa" DocPartId="6a7355246cce46cc8fa66f1f13a1e25a" PartId="86b576ca19114f908fdf37b5fa2b4ce7"/>
</Parts>
</file>

<file path=customXml/itemProps1.xml><?xml version="1.0" encoding="utf-8"?>
<ds:datastoreItem xmlns:ds="http://schemas.openxmlformats.org/officeDocument/2006/customXml" ds:itemID="{BBC98695-46DF-4CF4-85ED-D996A05AF7D9}">
  <ds:schemaRefs>
    <ds:schemaRef ds:uri="http://schemas.microsoft.com/sharepoint/v3/contenttype/forms"/>
  </ds:schemaRefs>
</ds:datastoreItem>
</file>

<file path=customXml/itemProps2.xml><?xml version="1.0" encoding="utf-8"?>
<ds:datastoreItem xmlns:ds="http://schemas.openxmlformats.org/officeDocument/2006/customXml" ds:itemID="{10670806-CE6B-4934-826A-73E0D7DC6B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703015-FAE5-43E2-8D8F-4164F922D116}">
  <ds:schemaRefs>
    <ds:schemaRef ds:uri="19cf09c5-daa1-4028-a0ff-74a0be4ec5cc"/>
    <ds:schemaRef ds:uri="http://schemas.microsoft.com/office/2006/documentManagement/types"/>
    <ds:schemaRef ds:uri="http://schemas.microsoft.com/office/2006/metadata/properties"/>
    <ds:schemaRef ds:uri="http://purl.org/dc/terms/"/>
    <ds:schemaRef ds:uri="http://schemas.microsoft.com/office/infopath/2007/PartnerControls"/>
    <ds:schemaRef ds:uri="http://www.w3.org/XML/1998/namespace"/>
    <ds:schemaRef ds:uri="f5aad5d0-9c26-490e-8743-a6c7ceabd501"/>
    <ds:schemaRef ds:uri="http://schemas.openxmlformats.org/package/2006/metadata/core-properties"/>
    <ds:schemaRef ds:uri="http://purl.org/dc/dcmitype/"/>
    <ds:schemaRef ds:uri="http://purl.org/dc/elements/1.1/"/>
  </ds:schemaRefs>
</ds:datastoreItem>
</file>

<file path=customXml/itemProps4.xml><?xml version="1.0" encoding="utf-8"?>
<ds:datastoreItem xmlns:ds="http://schemas.openxmlformats.org/officeDocument/2006/customXml" ds:itemID="{AF4A76B2-EF3B-4AA0-B977-19CF941FAE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881</Words>
  <Characters>5572</Characters>
  <Application>Microsoft Office Word</Application>
  <DocSecurity>4</DocSecurity>
  <Lines>135</Lines>
  <Paragraphs>42</Paragraphs>
  <ScaleCrop>false</ScaleCrop>
  <Company/>
  <LinksUpToDate>false</LinksUpToDate>
  <CharactersWithSpaces>6411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Aurimas Jančiauskas</dc:creator>
  <lastModifiedBy>adlibuser</lastModifiedBy>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