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9cc9ae2c13a479a82ca9afe847b6137"/>
        <w:lock w:val="sdtLocked"/>
        <w:richText/>
      </w:sdtPr>
      <w:sdtContent>
        <w:p>
          <w:pPr>
            <w:jc w:val="center"/>
            <w:rPr>
              <w:b/>
              <w:bCs/>
              <w:color w:val="000000"/>
              <w:lang w:eastAsia="lt-LT"/>
            </w:rPr>
          </w:pPr>
          <w:r>
            <w:rPr>
              <w:b/>
              <w:kern w:val="1"/>
              <w:lang w:eastAsia="ar-SA"/>
            </w:rPr>
            <w:t xml:space="preserve">REGLAMENTO (EB) NR. 2024/1157 </w:t>
          </w:r>
          <w:r>
            <w:rPr>
              <w:b/>
            </w:rPr>
            <w:t xml:space="preserve">IR </w:t>
          </w:r>
          <w:r>
            <w:rPr>
              <w:b/>
              <w:lang w:val="en-US"/>
            </w:rPr>
            <w:t xml:space="preserve">LIETUVOS RESPUBLIKOS </w:t>
          </w:r>
          <w:r>
            <w:rPr>
              <w:b/>
              <w:bCs/>
              <w:color w:val="000000"/>
              <w:lang w:eastAsia="lt-LT"/>
            </w:rPr>
            <w:t xml:space="preserve">ATLIEKŲ TVARKYMO ĮSTATYMO NR. VIII-787 1, </w:t>
          </w:r>
          <w:r>
            <w:rPr>
              <w:b/>
            </w:rPr>
            <w:t xml:space="preserve">2, 4, 30, </w:t>
          </w:r>
          <w:r>
            <w:rPr>
              <w:b/>
              <w:bCs/>
              <w:caps/>
            </w:rPr>
            <w:t>32</w:t>
          </w:r>
          <w:r>
            <w:rPr>
              <w:b/>
              <w:bCs/>
              <w:caps/>
              <w:vertAlign w:val="superscript"/>
            </w:rPr>
            <w:t>1</w:t>
          </w:r>
          <w:r>
            <w:rPr>
              <w:b/>
              <w:bCs/>
              <w:caps/>
            </w:rPr>
            <w:t>, 34</w:t>
          </w:r>
          <w:r>
            <w:rPr>
              <w:b/>
              <w:bCs/>
              <w:caps/>
              <w:vertAlign w:val="superscript"/>
            </w:rPr>
            <w:t>1</w:t>
          </w:r>
          <w:r>
            <w:rPr>
              <w:b/>
              <w:bCs/>
              <w:caps/>
            </w:rPr>
            <w:t xml:space="preserve">, </w:t>
          </w:r>
          <w:r>
            <w:rPr>
              <w:b/>
            </w:rPr>
            <w:t>34</w:t>
          </w:r>
          <w:r>
            <w:rPr>
              <w:b/>
              <w:vertAlign w:val="superscript"/>
            </w:rPr>
            <w:t>15</w:t>
          </w:r>
          <w:r>
            <w:rPr>
              <w:b/>
            </w:rPr>
            <w:t>, 34</w:t>
          </w:r>
          <w:r>
            <w:rPr>
              <w:b/>
              <w:vertAlign w:val="superscript"/>
            </w:rPr>
            <w:t>16</w:t>
          </w:r>
          <w:r>
            <w:rPr>
              <w:b/>
            </w:rPr>
            <w:t>, 34</w:t>
          </w:r>
          <w:r>
            <w:rPr>
              <w:b/>
              <w:vertAlign w:val="superscript"/>
            </w:rPr>
            <w:t>18</w:t>
          </w:r>
          <w:r>
            <w:rPr>
              <w:b/>
            </w:rPr>
            <w:t>, 34</w:t>
          </w:r>
          <w:r>
            <w:rPr>
              <w:b/>
              <w:vertAlign w:val="superscript"/>
            </w:rPr>
            <w:t>22</w:t>
          </w:r>
          <w:r>
            <w:rPr>
              <w:b/>
            </w:rPr>
            <w:t>, 34</w:t>
          </w:r>
          <w:r>
            <w:rPr>
              <w:b/>
              <w:vertAlign w:val="superscript"/>
            </w:rPr>
            <w:t>24</w:t>
          </w:r>
          <w:r>
            <w:rPr>
              <w:b/>
            </w:rPr>
            <w:t>, 34</w:t>
          </w:r>
          <w:r>
            <w:rPr>
              <w:b/>
              <w:vertAlign w:val="superscript"/>
            </w:rPr>
            <w:t>25</w:t>
          </w:r>
          <w:r>
            <w:rPr>
              <w:b/>
            </w:rPr>
            <w:t>, 34</w:t>
          </w:r>
          <w:r>
            <w:rPr>
              <w:b/>
              <w:vertAlign w:val="superscript"/>
            </w:rPr>
            <w:t>26</w:t>
          </w:r>
          <w:r>
            <w:rPr>
              <w:b/>
            </w:rPr>
            <w:t>, 34</w:t>
          </w:r>
          <w:r>
            <w:rPr>
              <w:b/>
              <w:vertAlign w:val="superscript"/>
            </w:rPr>
            <w:t>30</w:t>
          </w:r>
          <w:r>
            <w:rPr>
              <w:b/>
            </w:rPr>
            <w:t>, 34</w:t>
          </w:r>
          <w:r>
            <w:rPr>
              <w:b/>
              <w:vertAlign w:val="superscript"/>
            </w:rPr>
            <w:t>31</w:t>
          </w:r>
          <w:r>
            <w:rPr>
              <w:b/>
            </w:rPr>
            <w:t xml:space="preserve"> STRAIPSNIŲ, AŠTUNTOJO</w:t>
          </w:r>
          <w:r>
            <w:rPr>
              <w:b/>
              <w:vertAlign w:val="superscript"/>
            </w:rPr>
            <w:t>4</w:t>
          </w:r>
          <w:r>
            <w:rPr>
              <w:b/>
            </w:rPr>
            <w:t xml:space="preserve"> IR AŠTUNTOJO</w:t>
          </w:r>
          <w:r>
            <w:rPr>
              <w:b/>
              <w:vertAlign w:val="superscript"/>
            </w:rPr>
            <w:t>5</w:t>
          </w:r>
          <w:r>
            <w:rPr>
              <w:b/>
            </w:rPr>
            <w:t xml:space="preserve"> SKIRSNIŲ PAVADINIMŲ, 5 PRIEDO PAKEITIMO, ĮSTATYMO PAPILDYMO 4</w:t>
          </w:r>
          <w:r>
            <w:rPr>
              <w:b/>
              <w:vertAlign w:val="superscript"/>
            </w:rPr>
            <w:t>3</w:t>
          </w:r>
          <w:r>
            <w:rPr>
              <w:b/>
            </w:rPr>
            <w:t xml:space="preserve"> STRAIPSNIU IR 34</w:t>
          </w:r>
          <w:r>
            <w:rPr>
              <w:b/>
              <w:vertAlign w:val="superscript"/>
            </w:rPr>
            <w:t>17</w:t>
          </w:r>
          <w:r>
            <w:rPr>
              <w:b/>
            </w:rPr>
            <w:t xml:space="preserve"> STRAIPSNIO PRIPAŽINIMO NETEKUSIU GALIOS ĮSTATYMO PROJEKTO</w:t>
          </w:r>
        </w:p>
        <w:p>
          <w:pPr>
            <w:spacing w:line="23" w:lineRule="atLeast"/>
            <w:jc w:val="center"/>
            <w:rPr>
              <w:b/>
            </w:rPr>
          </w:pPr>
          <w:r>
            <w:rPr>
              <w:b/>
              <w:bCs/>
            </w:rPr>
            <w:t>ATITIKTIES LENTELĖ</w:t>
          </w:r>
        </w:p>
        <w:p>
          <w:pPr>
            <w:widowControl w:val="0"/>
            <w:suppressAutoHyphens/>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8505"/>
            <w:gridCol w:w="3232"/>
          </w:tblGrid>
          <w:tr>
            <w:tc>
              <w:tcPr>
                <w:tcW w:w="3256" w:type="dxa"/>
              </w:tcPr>
              <w:p>
                <w:pPr>
                  <w:jc w:val="both"/>
                  <w:rPr>
                    <w:rFonts w:eastAsia="Lucida Sans Unicode"/>
                    <w:b/>
                    <w:bCs/>
                    <w:kern w:val="1"/>
                    <w:szCs w:val="24"/>
                    <w:lang w:eastAsia="ar-SA"/>
                  </w:rPr>
                </w:pPr>
                <w:r>
                  <w:rPr>
                    <w:rFonts w:eastAsia="Lucida Sans Unicode"/>
                    <w:b/>
                    <w:bCs/>
                    <w:color w:val="000000"/>
                    <w:szCs w:val="24"/>
                    <w:lang w:val="en-US"/>
                  </w:rPr>
                  <w:t xml:space="preserve">2024 m. </w:t>
                </w:r>
                <w:r>
                  <w:rPr>
                    <w:rFonts w:eastAsia="Lucida Sans Unicode"/>
                    <w:b/>
                    <w:bCs/>
                    <w:color w:val="000000"/>
                    <w:szCs w:val="24"/>
                  </w:rPr>
                  <w:t xml:space="preserve">balandžio </w:t>
                </w:r>
                <w:r>
                  <w:rPr>
                    <w:rFonts w:eastAsia="Lucida Sans Unicode"/>
                    <w:b/>
                    <w:bCs/>
                    <w:color w:val="000000"/>
                    <w:szCs w:val="24"/>
                    <w:lang w:val="en-US"/>
                  </w:rPr>
                  <w:t xml:space="preserve">11 d. </w:t>
                </w:r>
                <w:r>
                  <w:rPr>
                    <w:rFonts w:eastAsia="Lucida Sans Unicode"/>
                    <w:b/>
                    <w:bCs/>
                    <w:color w:val="000000"/>
                    <w:szCs w:val="24"/>
                  </w:rPr>
                  <w:t xml:space="preserve">Europos Parlamento ir Tarybos reglamentas </w:t>
                </w:r>
                <w:fldSimple w:instr="HYPERLINK http://eur-lex.europa.eu/legal-content/LIT/TXT/?uri=CELEX:32024R1157&amp;locale=lt \t _blank">
                  <w:r>
                    <w:rPr>
                      <w:rFonts w:eastAsia="Lucida Sans Unicode"/>
                      <w:b/>
                      <w:bCs/>
                      <w:szCs w:val="24"/>
                      <w:u w:val="single"/>
                      <w:color w:val="0000FF" w:themeColor="hyperlink"/>
                    </w:rPr>
                    <w:t>(ES) 2024/1157</w:t>
                  </w:r>
                </w:fldSimple>
                <w:r>
                  <w:rPr>
                    <w:rFonts w:eastAsia="Lucida Sans Unicode"/>
                    <w:b/>
                    <w:bCs/>
                    <w:color w:val="000000"/>
                    <w:szCs w:val="24"/>
                  </w:rPr>
                  <w:t xml:space="preserve"> dėl atliekų vežimo, kuriuo iš dalies keičiami Reglamentai </w:t>
                </w:r>
                <w:fldSimple w:instr="HYPERLINK http://eur-lex.europa.eu/legal-content/LIT/TXT/?uri=CELEX:32013R1257&amp;locale=lt \t _blank">
                  <w:r>
                    <w:rPr>
                      <w:rFonts w:eastAsia="Lucida Sans Unicode"/>
                      <w:b/>
                      <w:bCs/>
                      <w:szCs w:val="24"/>
                      <w:u w:val="single"/>
                      <w:color w:val="0000FF" w:themeColor="hyperlink"/>
                    </w:rPr>
                    <w:t>(ES) Nr. 1257/2013</w:t>
                  </w:r>
                </w:fldSimple>
                <w:r>
                  <w:rPr>
                    <w:rFonts w:eastAsia="Lucida Sans Unicode"/>
                    <w:b/>
                    <w:bCs/>
                    <w:color w:val="000000"/>
                    <w:szCs w:val="24"/>
                  </w:rPr>
                  <w:t xml:space="preserve"> ir </w:t>
                </w:r>
                <w:fldSimple w:instr="HYPERLINK http://eur-lex.europa.eu/legal-content/LIT/TXT/?uri=CELEX:32020R1056&amp;locale=lt \t _blank">
                  <w:r>
                    <w:rPr>
                      <w:rFonts w:eastAsia="Lucida Sans Unicode"/>
                      <w:b/>
                      <w:bCs/>
                      <w:szCs w:val="24"/>
                      <w:u w:val="single"/>
                      <w:color w:val="0000FF" w:themeColor="hyperlink"/>
                    </w:rPr>
                    <w:t>(ES) 2020/1056</w:t>
                  </w:r>
                </w:fldSimple>
                <w:r>
                  <w:rPr>
                    <w:rFonts w:eastAsia="Lucida Sans Unicode"/>
                    <w:b/>
                    <w:bCs/>
                    <w:color w:val="000000"/>
                    <w:szCs w:val="24"/>
                  </w:rPr>
                  <w:t xml:space="preserve"> ir panaikinamas Reglamentas </w:t>
                </w:r>
                <w:fldSimple w:instr="HYPERLINK http://eur-lex.europa.eu/legal-content/LIT/TXT/?uri=CELEX:32006R1013&amp;locale=lt \t _blank">
                  <w:r>
                    <w:rPr>
                      <w:rFonts w:eastAsia="Lucida Sans Unicode"/>
                      <w:b/>
                      <w:bCs/>
                      <w:szCs w:val="24"/>
                      <w:u w:val="single"/>
                      <w:color w:val="0000FF" w:themeColor="hyperlink"/>
                    </w:rPr>
                    <w:t>(EB) Nr. 1013/2006</w:t>
                  </w:r>
                </w:fldSimple>
              </w:p>
            </w:tc>
            <w:tc>
              <w:tcPr>
                <w:tcW w:w="8505" w:type="dxa"/>
              </w:tcPr>
              <w:p>
                <w:pPr>
                  <w:widowControl w:val="0"/>
                  <w:suppressAutoHyphens/>
                  <w:jc w:val="both"/>
                  <w:rPr>
                    <w:rFonts w:eastAsia="Lucida Sans Unicode"/>
                    <w:b/>
                    <w:bCs/>
                    <w:szCs w:val="24"/>
                  </w:rPr>
                </w:pPr>
                <w:r>
                  <w:rPr>
                    <w:b/>
                  </w:rPr>
                  <w:t xml:space="preserve">Lietuvos Respublikos </w:t>
                </w:r>
                <w:r>
                  <w:rPr>
                    <w:b/>
                    <w:bCs/>
                  </w:rPr>
                  <w:t xml:space="preserve">atliekų tvarkymo įstatymo Nr. VIII-787 1, 2, 4, 30, </w:t>
                </w:r>
                <w:r>
                  <w:rPr>
                    <w:b/>
                    <w:bCs/>
                    <w:caps/>
                  </w:rPr>
                  <w:t>32</w:t>
                </w:r>
                <w:r>
                  <w:rPr>
                    <w:b/>
                    <w:bCs/>
                    <w:caps/>
                    <w:vertAlign w:val="superscript"/>
                  </w:rPr>
                  <w:t>1</w:t>
                </w:r>
                <w:r>
                  <w:rPr>
                    <w:b/>
                    <w:bCs/>
                    <w:caps/>
                  </w:rPr>
                  <w:t>, 34</w:t>
                </w:r>
                <w:r>
                  <w:rPr>
                    <w:b/>
                    <w:bCs/>
                    <w:caps/>
                    <w:vertAlign w:val="superscript"/>
                  </w:rPr>
                  <w:t>1</w:t>
                </w:r>
                <w:r>
                  <w:rPr>
                    <w:b/>
                    <w:bCs/>
                    <w:caps/>
                  </w:rPr>
                  <w:t xml:space="preserve">, </w:t>
                </w:r>
                <w:r>
                  <w:rPr>
                    <w:b/>
                    <w:bCs/>
                  </w:rPr>
                  <w:t>34</w:t>
                </w:r>
                <w:r>
                  <w:rPr>
                    <w:b/>
                    <w:bCs/>
                    <w:vertAlign w:val="superscript"/>
                  </w:rPr>
                  <w:t>15</w:t>
                </w:r>
                <w:r>
                  <w:rPr>
                    <w:b/>
                    <w:bCs/>
                  </w:rPr>
                  <w:t>, 34</w:t>
                </w:r>
                <w:r>
                  <w:rPr>
                    <w:b/>
                    <w:bCs/>
                    <w:vertAlign w:val="superscript"/>
                  </w:rPr>
                  <w:t>16</w:t>
                </w:r>
                <w:r>
                  <w:rPr>
                    <w:b/>
                    <w:bCs/>
                  </w:rPr>
                  <w:t>, 34</w:t>
                </w:r>
                <w:r>
                  <w:rPr>
                    <w:b/>
                    <w:bCs/>
                    <w:vertAlign w:val="superscript"/>
                  </w:rPr>
                  <w:t>18</w:t>
                </w:r>
                <w:r>
                  <w:rPr>
                    <w:b/>
                    <w:bCs/>
                  </w:rPr>
                  <w:t>, 34</w:t>
                </w:r>
                <w:r>
                  <w:rPr>
                    <w:b/>
                    <w:bCs/>
                    <w:vertAlign w:val="superscript"/>
                  </w:rPr>
                  <w:t>22</w:t>
                </w:r>
                <w:r>
                  <w:rPr>
                    <w:b/>
                    <w:bCs/>
                  </w:rPr>
                  <w:t>, 34</w:t>
                </w:r>
                <w:r>
                  <w:rPr>
                    <w:b/>
                    <w:bCs/>
                    <w:vertAlign w:val="superscript"/>
                  </w:rPr>
                  <w:t>24</w:t>
                </w:r>
                <w:r>
                  <w:rPr>
                    <w:b/>
                    <w:bCs/>
                  </w:rPr>
                  <w:t>, 34</w:t>
                </w:r>
                <w:r>
                  <w:rPr>
                    <w:b/>
                    <w:bCs/>
                    <w:vertAlign w:val="superscript"/>
                  </w:rPr>
                  <w:t>25</w:t>
                </w:r>
                <w:r>
                  <w:rPr>
                    <w:b/>
                    <w:bCs/>
                  </w:rPr>
                  <w:t>, 34</w:t>
                </w:r>
                <w:r>
                  <w:rPr>
                    <w:b/>
                    <w:bCs/>
                    <w:vertAlign w:val="superscript"/>
                  </w:rPr>
                  <w:t>26</w:t>
                </w:r>
                <w:r>
                  <w:rPr>
                    <w:b/>
                    <w:bCs/>
                  </w:rPr>
                  <w:t>, 34</w:t>
                </w:r>
                <w:r>
                  <w:rPr>
                    <w:b/>
                    <w:bCs/>
                    <w:vertAlign w:val="superscript"/>
                  </w:rPr>
                  <w:t>30</w:t>
                </w:r>
                <w:r>
                  <w:rPr>
                    <w:b/>
                    <w:bCs/>
                  </w:rPr>
                  <w:t>, 34</w:t>
                </w:r>
                <w:r>
                  <w:rPr>
                    <w:b/>
                    <w:bCs/>
                    <w:vertAlign w:val="superscript"/>
                  </w:rPr>
                  <w:t>31</w:t>
                </w:r>
                <w:r>
                  <w:rPr>
                    <w:b/>
                    <w:bCs/>
                  </w:rPr>
                  <w:t xml:space="preserve"> straipsnių, aštuntojo</w:t>
                </w:r>
                <w:r>
                  <w:rPr>
                    <w:b/>
                    <w:bCs/>
                    <w:vertAlign w:val="superscript"/>
                  </w:rPr>
                  <w:t>4</w:t>
                </w:r>
                <w:r>
                  <w:rPr>
                    <w:b/>
                    <w:bCs/>
                  </w:rPr>
                  <w:t xml:space="preserve"> ir aštuntojo</w:t>
                </w:r>
                <w:r>
                  <w:rPr>
                    <w:b/>
                    <w:bCs/>
                    <w:vertAlign w:val="superscript"/>
                  </w:rPr>
                  <w:t>5</w:t>
                </w:r>
                <w:r>
                  <w:rPr>
                    <w:b/>
                    <w:bCs/>
                  </w:rPr>
                  <w:t xml:space="preserve"> skirsnių pavadinimų, 5 priedo pakeitimo, Įstatymo papildymo 4</w:t>
                </w:r>
                <w:r>
                  <w:rPr>
                    <w:b/>
                    <w:bCs/>
                    <w:vertAlign w:val="superscript"/>
                  </w:rPr>
                  <w:t>3</w:t>
                </w:r>
                <w:r>
                  <w:rPr>
                    <w:b/>
                    <w:bCs/>
                  </w:rPr>
                  <w:t xml:space="preserve"> straipsniu straipsnio ir 34</w:t>
                </w:r>
                <w:r>
                  <w:rPr>
                    <w:b/>
                    <w:bCs/>
                    <w:vertAlign w:val="superscript"/>
                  </w:rPr>
                  <w:t>17</w:t>
                </w:r>
                <w:r>
                  <w:rPr>
                    <w:b/>
                    <w:bCs/>
                  </w:rPr>
                  <w:t xml:space="preserve"> straipsnio pripažinimo netekusiu galios įstatymo </w:t>
                </w:r>
                <w:r>
                  <w:rPr>
                    <w:b/>
                    <w:bCs/>
                    <w:color w:val="000000"/>
                    <w:lang w:eastAsia="lt-LT"/>
                  </w:rPr>
                  <w:t>projektas</w:t>
                </w:r>
              </w:p>
            </w:tc>
            <w:tc>
              <w:tcPr>
                <w:tcW w:w="3232" w:type="dxa"/>
              </w:tcPr>
              <w:p>
                <w:pPr>
                  <w:widowControl w:val="0"/>
                  <w:suppressAutoHyphens/>
                  <w:rPr>
                    <w:rFonts w:eastAsia="Lucida Sans Unicode"/>
                    <w:b/>
                    <w:bCs/>
                    <w:szCs w:val="24"/>
                  </w:rPr>
                </w:pPr>
                <w:r>
                  <w:rPr>
                    <w:rFonts w:eastAsia="Lucida Sans Unicode"/>
                    <w:b/>
                    <w:bCs/>
                    <w:szCs w:val="24"/>
                  </w:rPr>
                  <w:t>Reglamento įgyvendinimo lygis</w:t>
                </w:r>
              </w:p>
            </w:tc>
          </w:tr>
          <w:tr>
            <w:tc>
              <w:tcPr>
                <w:tcW w:w="3256" w:type="dxa"/>
              </w:tcPr>
              <w:p>
                <w:pPr>
                  <w:jc w:val="both"/>
                  <w:rPr>
                    <w:b/>
                    <w:bCs/>
                    <w:color w:val="000000"/>
                    <w:szCs w:val="24"/>
                    <w:lang w:eastAsia="ar-SA"/>
                  </w:rPr>
                </w:pPr>
                <w:r>
                  <w:rPr>
                    <w:b/>
                    <w:bCs/>
                    <w:color w:val="000000"/>
                    <w:szCs w:val="24"/>
                    <w:lang w:eastAsia="ar-SA"/>
                  </w:rPr>
                  <w:t>14 straipsnis „Naudojimo įrenginiai, dėl kurių gautas išankstinis sutikimas“</w:t>
                </w:r>
              </w:p>
              <w:p>
                <w:pPr>
                  <w:shd w:val="clear" w:color="auto" w:fill="FFFFFF"/>
                  <w:ind w:left="32"/>
                  <w:jc w:val="both"/>
                  <w:rPr>
                    <w:color w:val="000000"/>
                    <w:szCs w:val="24"/>
                    <w:lang w:eastAsia="lt-LT"/>
                  </w:rPr>
                </w:pPr>
                <w:r>
                  <w:rPr>
                    <w:color w:val="000000"/>
                    <w:szCs w:val="24"/>
                    <w:lang w:eastAsia="lt-LT"/>
                  </w:rPr>
                  <w:t>1. Juridinis ar fizinis asmuo, kuriam priklauso naudojimo įrenginys arba kuris jį valdo, gali pateikti pagal 75 straipsnį paskirtai kompetentingai institucijai, kurios jurisdikcijai priklauso įrenginys, prašymą duoti išankstinį sutikimą dėl to įrenginio.</w:t>
                </w:r>
              </w:p>
              <w:p>
                <w:pPr>
                  <w:shd w:val="clear" w:color="auto" w:fill="FFFFFF"/>
                  <w:jc w:val="both"/>
                  <w:rPr>
                    <w:color w:val="000000"/>
                    <w:szCs w:val="24"/>
                    <w:lang w:eastAsia="lt-LT"/>
                  </w:rPr>
                </w:pPr>
                <w:r>
                  <w:rPr>
                    <w:color w:val="000000"/>
                    <w:szCs w:val="24"/>
                    <w:lang w:eastAsia="lt-LT"/>
                  </w:rPr>
                  <w:t>Įrenginiai, kurie atlieka tik R13 operaciją, neatitinka reikalavimų prašymui pateikti, kaip nurodyta pirmoje pastraipoje.</w:t>
                </w:r>
              </w:p>
            </w:tc>
            <w:tc>
              <w:tcPr>
                <w:tcW w:w="8505" w:type="dxa"/>
              </w:tcPr>
              <w:p>
                <w:pPr>
                  <w:widowControl w:val="0"/>
                  <w:suppressAutoHyphens/>
                  <w:ind w:firstLine="709"/>
                  <w:jc w:val="both"/>
                  <w:rPr>
                    <w:b/>
                    <w:bCs/>
                    <w:color w:val="000000"/>
                    <w:szCs w:val="24"/>
                  </w:rPr>
                </w:pPr>
                <w:r>
                  <w:rPr>
                    <w:b/>
                    <w:bCs/>
                    <w:color w:val="000000"/>
                    <w:szCs w:val="24"/>
                  </w:rPr>
                  <w:t>2 straipsnis. 2 straipsnio pakeitimas</w:t>
                </w:r>
              </w:p>
              <w:p>
                <w:pPr>
                  <w:ind w:firstLine="709"/>
                  <w:jc w:val="both"/>
                  <w:rPr>
                    <w:b/>
                    <w:bCs/>
                  </w:rPr>
                </w:pPr>
                <w:r>
                  <w:rPr>
                    <w:b/>
                    <w:bCs/>
                  </w:rPr>
                  <w:t>1. Papildyti 2 straipsnį 11</w:t>
                </w:r>
                <w:r>
                  <w:rPr>
                    <w:b/>
                    <w:bCs/>
                    <w:vertAlign w:val="superscript"/>
                  </w:rPr>
                  <w:t>2</w:t>
                </w:r>
                <w:r>
                  <w:rPr>
                    <w:b/>
                    <w:bCs/>
                  </w:rPr>
                  <w:t xml:space="preserve"> dalimi:</w:t>
                </w:r>
              </w:p>
              <w:p>
                <w:pPr>
                  <w:ind w:firstLine="709"/>
                  <w:jc w:val="both"/>
                </w:pPr>
                <w:r>
                  <w:rPr>
                    <w:b/>
                    <w:bCs/>
                  </w:rPr>
                  <w:t>„11</w:t>
                </w:r>
                <w:r>
                  <w:rPr>
                    <w:b/>
                    <w:bCs/>
                    <w:vertAlign w:val="superscript"/>
                  </w:rPr>
                  <w:t>2</w:t>
                </w:r>
                <w:r>
                  <w:rPr>
                    <w:b/>
                    <w:bCs/>
                  </w:rPr>
                  <w:t>. Atliekų naudojimo įrenginys – atliekoms naudoti skirtas stacionarus ar mobilus įrenginys ar įrenginių kompleksas, kuriame vykdomos Lietuvos Respublikos atliekų tvarkymo įstatyme apibrėžtos atliekų naudojimo veiklos.“</w:t>
                </w:r>
              </w:p>
              <w:p>
                <w:pPr>
                  <w:widowControl w:val="0"/>
                  <w:ind w:firstLine="709"/>
                  <w:jc w:val="both"/>
                  <w:rPr>
                    <w:rFonts w:eastAsia="Lucida Sans Unicode"/>
                    <w:szCs w:val="24"/>
                  </w:rPr>
                </w:pPr>
                <w:r>
                  <w:rPr>
                    <w:rFonts w:eastAsia="Lucida Sans Unicode"/>
                    <w:szCs w:val="24"/>
                  </w:rPr>
                  <w:t>&lt;...&gt;</w:t>
                </w:r>
              </w:p>
              <w:p>
                <w:pPr>
                  <w:ind w:firstLine="720"/>
                  <w:jc w:val="both"/>
                  <w:rPr>
                    <w:rFonts w:eastAsia="Lucida Sans Unicode"/>
                    <w:b/>
                    <w:bCs/>
                    <w:szCs w:val="24"/>
                  </w:rPr>
                </w:pPr>
                <w:r>
                  <w:rPr>
                    <w:rFonts w:eastAsia="Lucida Sans Unicode"/>
                    <w:b/>
                    <w:bCs/>
                    <w:szCs w:val="24"/>
                  </w:rPr>
                  <w:t>3 straipsnis. 2 straipsnio pakeitimas</w:t>
                </w:r>
              </w:p>
              <w:p>
                <w:pPr>
                  <w:ind w:firstLine="709"/>
                  <w:jc w:val="both"/>
                  <w:rPr>
                    <w:b/>
                    <w:bCs/>
                    <w:szCs w:val="24"/>
                  </w:rPr>
                </w:pPr>
                <w:r>
                  <w:rPr>
                    <w:b/>
                    <w:bCs/>
                    <w:szCs w:val="24"/>
                  </w:rPr>
                  <w:t>Papildyti 2 straipsnį nauja 38</w:t>
                </w:r>
                <w:r>
                  <w:rPr>
                    <w:b/>
                    <w:bCs/>
                    <w:szCs w:val="24"/>
                    <w:vertAlign w:val="superscript"/>
                  </w:rPr>
                  <w:t>1</w:t>
                </w:r>
                <w:r>
                  <w:rPr>
                    <w:b/>
                    <w:bCs/>
                    <w:szCs w:val="24"/>
                  </w:rPr>
                  <w:t xml:space="preserve"> dalimi:</w:t>
                </w:r>
              </w:p>
              <w:p>
                <w:pPr>
                  <w:ind w:firstLine="709"/>
                  <w:jc w:val="both"/>
                  <w:rPr>
                    <w:b/>
                    <w:bCs/>
                    <w:strike/>
                    <w:szCs w:val="24"/>
                  </w:rPr>
                </w:pPr>
                <w:r>
                  <w:rPr>
                    <w:b/>
                    <w:bCs/>
                    <w:szCs w:val="24"/>
                  </w:rPr>
                  <w:t>„38</w:t>
                </w:r>
                <w:r>
                  <w:rPr>
                    <w:b/>
                    <w:bCs/>
                    <w:szCs w:val="24"/>
                    <w:vertAlign w:val="superscript"/>
                  </w:rPr>
                  <w:t>1</w:t>
                </w:r>
                <w:r>
                  <w:rPr>
                    <w:b/>
                    <w:bCs/>
                    <w:szCs w:val="24"/>
                  </w:rPr>
                  <w:t xml:space="preserve">. Išankstinis sutikimas dėl atliekų naudojimo įrenginio (toliau – išankstinis sutikimas) – pagal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straipsnį atliekų tvarkytojui iš anksto duodamas sutikimas naudoti atliekų naudojimo įrenginyje iš valstybių narių, Ekonominio bendradarbiavimo ir plėtros organizacijos valstybių ir (arba) Bazelio konvencijos dėl pavojingų atliekų tarpvalstybinių pervežimų bei jų tvarkymo kontrolės šalių įvežamų, importuojamų atliekas.“</w:t>
                </w:r>
              </w:p>
              <w:p>
                <w:pPr>
                  <w:widowControl w:val="0"/>
                  <w:ind w:firstLine="709"/>
                  <w:jc w:val="both"/>
                  <w:rPr>
                    <w:rFonts w:eastAsia="Lucida Sans Unicode"/>
                    <w:szCs w:val="24"/>
                  </w:rPr>
                </w:pPr>
              </w:p>
              <w:p>
                <w:pPr>
                  <w:ind w:firstLine="709"/>
                  <w:jc w:val="both"/>
                  <w:rPr>
                    <w:szCs w:val="24"/>
                  </w:rPr>
                </w:pPr>
                <w:r>
                  <w:rPr>
                    <w:b/>
                    <w:bCs/>
                    <w:szCs w:val="24"/>
                  </w:rPr>
                  <w:t>5 straipsnis. 4 straipsnio pakeitimas</w:t>
                </w:r>
              </w:p>
              <w:p>
                <w:pPr>
                  <w:ind w:firstLine="709"/>
                  <w:jc w:val="both"/>
                  <w:rPr>
                    <w:b/>
                    <w:bCs/>
                    <w:szCs w:val="24"/>
                  </w:rPr>
                </w:pPr>
                <w:r>
                  <w:rPr>
                    <w:b/>
                    <w:bCs/>
                    <w:szCs w:val="24"/>
                  </w:rPr>
                  <w:t>Pakeisti 4 straipsnio 5 dalį ir ją išdėstyti taip:</w:t>
                </w:r>
              </w:p>
              <w:p>
                <w:pPr>
                  <w:ind w:firstLine="709"/>
                  <w:jc w:val="both"/>
                  <w:rPr>
                    <w:szCs w:val="24"/>
                    <w:lang w:val="lt"/>
                  </w:rPr>
                </w:pPr>
                <w:r>
                  <w:rPr>
                    <w:b/>
                    <w:bCs/>
                    <w:szCs w:val="24"/>
                  </w:rPr>
                  <w:t xml:space="preserve">„5.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tc>
            <w:tc>
              <w:tcPr>
                <w:tcW w:w="3232" w:type="dxa"/>
              </w:tcPr>
              <w:p>
                <w:pPr>
                  <w:widowControl w:val="0"/>
                  <w:suppressAutoHyphens/>
                  <w:rPr>
                    <w:rFonts w:eastAsia="Lucida Sans Unicode"/>
                    <w:b/>
                    <w:bCs/>
                    <w:szCs w:val="24"/>
                  </w:rPr>
                </w:pPr>
                <w:r>
                  <w:rPr>
                    <w:rFonts w:eastAsia="Lucida Sans Unicode"/>
                    <w:b/>
                    <w:bCs/>
                    <w:szCs w:val="24"/>
                  </w:rPr>
                  <w:t>Dalinis</w:t>
                </w:r>
              </w:p>
              <w:p>
                <w:pPr>
                  <w:widowControl w:val="0"/>
                  <w:suppressAutoHyphens/>
                  <w:rPr>
                    <w:rFonts w:eastAsia="Lucida Sans Unicode"/>
                    <w:szCs w:val="24"/>
                  </w:rPr>
                </w:pPr>
                <w:r>
                  <w:rPr>
                    <w:i/>
                    <w:iCs/>
                  </w:rPr>
                  <w:t xml:space="preserve">Pastaba. Visiškai bus įgyvendinta patvirtinus Lietuvos Respublikos aplinkos ministro 2004 m. balandžio </w:t>
                </w:r>
                <w:r>
                  <w:rPr>
                    <w:i/>
                    <w:iCs/>
                    <w:lang w:val="en-US"/>
                  </w:rPr>
                  <w:t>27</w:t>
                </w:r>
                <w:r>
                  <w:rPr>
                    <w:i/>
                    <w:iCs/>
                  </w:rPr>
                  <w:t> d. įsakymo Nr. D1-207 „Dėl Atliekų tarpvalstybinių vežimų tvarkos aprašo patvirtinimo“</w:t>
                </w:r>
                <w:r>
                  <w:rPr>
                    <w:i/>
                    <w:iCs/>
                    <w:color w:val="000000"/>
                  </w:rPr>
                  <w:t xml:space="preserve"> pakeitimą.</w:t>
                </w:r>
              </w:p>
            </w:tc>
          </w:tr>
          <w:tr>
            <w:tc>
              <w:tcPr>
                <w:tcW w:w="3256" w:type="dxa"/>
              </w:tcPr>
              <w:p>
                <w:pPr>
                  <w:shd w:val="clear" w:color="auto" w:fill="FFFFFF"/>
                  <w:jc w:val="both"/>
                  <w:rPr>
                    <w:color w:val="000000"/>
                    <w:szCs w:val="24"/>
                    <w:lang w:eastAsia="lt-LT"/>
                  </w:rPr>
                </w:pPr>
                <w:r>
                  <w:rPr>
                    <w:color w:val="000000"/>
                    <w:szCs w:val="24"/>
                    <w:lang w:eastAsia="lt-LT"/>
                  </w:rPr>
                  <w:t xml:space="preserve">7. Nukrypstant nuo 6 dalies, kompetentinga institucija gali atsisakyti patvirtinti išankstinio sutikimo prašymą, jei ji nėra įsitikinusi, kad išankstinio sutikimo davimas užtikrins, kad atliekos būtų tvarkomos laikantis atliekų hierarchijos ir kitų Direktyvoje </w:t>
                </w:r>
                <w:fldSimple w:instr="HYPERLINK http://eur-lex.europa.eu/legal-content/LIT/TXT/?uri=CELEX:32008L0098&amp;locale=lt \t _blank">
                  <w:r>
                    <w:rPr>
                      <w:color w:val="0000FF" w:themeColor="hyperlink"/>
                      <w:szCs w:val="24"/>
                      <w:lang w:eastAsia="lt-LT"/>
                      <w:u w:val="single"/>
                    </w:rPr>
                    <w:t>2008/98/EB</w:t>
                  </w:r>
                </w:fldSimple>
                <w:r>
                  <w:rPr>
                    <w:color w:val="000000"/>
                    <w:szCs w:val="24"/>
                    <w:lang w:eastAsia="lt-LT"/>
                  </w:rPr>
                  <w:t xml:space="preserve"> nustatytų reikalavimų arba, kai aktualu, kad geriausi prieinami gamybos būdai būtų taikomi vadovaujantis išvadomis, padarytomis pagal Direktyvą </w:t>
                </w:r>
                <w:fldSimple w:instr="HYPERLINK http://eur-lex.europa.eu/legal-content/LIT/TXT/?uri=CELEX:32010L0075&amp;locale=lt \t _blank">
                  <w:r>
                    <w:rPr>
                      <w:color w:val="0000FF" w:themeColor="hyperlink"/>
                      <w:szCs w:val="24"/>
                      <w:lang w:eastAsia="lt-LT"/>
                      <w:u w:val="single"/>
                    </w:rPr>
                    <w:t>2010/75/ES</w:t>
                  </w:r>
                </w:fldSimple>
                <w:r>
                  <w:rPr>
                    <w:color w:val="000000"/>
                    <w:szCs w:val="24"/>
                    <w:lang w:eastAsia="lt-LT"/>
                  </w:rPr>
                  <w:t>.</w:t>
                </w:r>
              </w:p>
              <w:p>
                <w:pPr>
                  <w:shd w:val="clear" w:color="auto" w:fill="FFFFFF"/>
                  <w:jc w:val="both"/>
                  <w:rPr>
                    <w:color w:val="000000"/>
                    <w:szCs w:val="24"/>
                    <w:lang w:eastAsia="lt-LT"/>
                  </w:rPr>
                </w:pPr>
                <w:r>
                  <w:rPr>
                    <w:color w:val="000000"/>
                    <w:szCs w:val="24"/>
                    <w:lang w:eastAsia="lt-LT"/>
                  </w:rPr>
                  <w:t>5. Kompetentinga institucija per 55 dienas po prašymo, kuris yra pateiktas pagal 1 dalį ir kuriame pateikiama 2 dalyje nurodyta informacija, gavimo dienos įvertina prašymą ir priima sprendimą dėl jo patvirtinimo.</w:t>
                </w:r>
              </w:p>
              <w:p>
                <w:pPr>
                  <w:shd w:val="clear" w:color="auto" w:fill="FFFFFF"/>
                  <w:jc w:val="both"/>
                  <w:rPr>
                    <w:color w:val="000000"/>
                    <w:szCs w:val="24"/>
                    <w:lang w:eastAsia="lt-LT"/>
                  </w:rPr>
                </w:pPr>
                <w:r>
                  <w:rPr>
                    <w:color w:val="000000"/>
                    <w:szCs w:val="24"/>
                    <w:lang w:eastAsia="lt-LT"/>
                  </w:rPr>
                  <w:t>9. Išankstinis sutikimas dėl naudojimo įrenginio galioja dešimt metų, nebent sprendime patvirtinti prašymą dėl išankstinio sutikimo nurodyta kitaip. Per tą laikotarpį kompetentinga institucija atlieka bent vieną patikrinimą pagal 60 straipsnį. Prireikus papildomi patikrinimai atliekami remiantis rizika grindžiamu vertinimo metodu, kaip nurodyta 62 straipsnyje.</w:t>
                </w:r>
              </w:p>
              <w:p>
                <w:pPr>
                  <w:jc w:val="both"/>
                  <w:rPr>
                    <w:color w:val="000000"/>
                    <w:szCs w:val="24"/>
                    <w:lang w:eastAsia="ar-SA"/>
                  </w:rPr>
                </w:pPr>
                <w:r>
                  <w:rPr>
                    <w:color w:val="000000"/>
                    <w:szCs w:val="24"/>
                    <w:lang w:eastAsia="ar-SA"/>
                  </w:rPr>
                  <w:t>10. Kompetentinga institucija gali bet kuriuo metu atšaukti išankstinį sutikimą dėl naudojimo įrenginio, jei gaunama informacijos, iš kurios matyti, kad pagal 2 dalį pateikta informacija yra klaidinga, arba kad nebetenkinamos 6 dalies sąlygos. Sprendimas atšaukti išankstinį sutikimą turi būti tinkamai pagrįstas ir apie jį turi būti pranešta atitinkamo įrenginio valdytojui.</w:t>
                </w:r>
              </w:p>
              <w:p>
                <w:pPr>
                  <w:shd w:val="clear" w:color="auto" w:fill="FFFFFF"/>
                  <w:jc w:val="both"/>
                  <w:rPr>
                    <w:color w:val="000000"/>
                    <w:szCs w:val="24"/>
                    <w:lang w:eastAsia="ar-SA"/>
                  </w:rPr>
                </w:pPr>
                <w:r>
                  <w:rPr>
                    <w:color w:val="000000"/>
                    <w:szCs w:val="24"/>
                    <w:lang w:val="en-US" w:eastAsia="ar-SA"/>
                  </w:rPr>
                  <w:t xml:space="preserve">11. </w:t>
                </w:r>
                <w:r>
                  <w:rPr>
                    <w:color w:val="000000"/>
                    <w:szCs w:val="24"/>
                    <w:lang w:eastAsia="ar-SA"/>
                  </w:rPr>
                  <w:t>1 dalyje nurodytas juridinis ar fizinis asmuo nedelsdamas praneša atitinkamai kompetentingai institucijai apie bet kokius pagal 2 dalį pateiktos informacijos pasikeitimus. Atitinkama kompetentinga institucija tinkamai įvertina tuos pakeitimus ir prireikus atnaujina arba atšaukia išankstinį sutikimą.</w:t>
                </w:r>
              </w:p>
              <w:p>
                <w:pPr>
                  <w:shd w:val="clear" w:color="auto" w:fill="FFFFFF"/>
                  <w:jc w:val="both"/>
                  <w:rPr>
                    <w:color w:val="000000"/>
                    <w:szCs w:val="24"/>
                    <w:lang w:eastAsia="ar-SA"/>
                  </w:rPr>
                </w:pPr>
                <w:r>
                  <w:rPr>
                    <w:color w:val="000000"/>
                    <w:szCs w:val="24"/>
                    <w:lang w:eastAsia="ar-SA"/>
                  </w:rPr>
                  <w:t xml:space="preserve">13. Kompetentingos institucijos, pagal šį straipsnį davusios išankstinį sutikimą dėl įrenginio, naudodamos VI priede pateiktą formą, Komisijai ir, jei tikslinga, EBPO sekretoriatui pateikia tokią informaciją: </w:t>
                </w:r>
              </w:p>
              <w:p>
                <w:pPr>
                  <w:shd w:val="clear" w:color="auto" w:fill="FFFFFF"/>
                  <w:jc w:val="both"/>
                  <w:rPr>
                    <w:color w:val="000000"/>
                    <w:szCs w:val="24"/>
                    <w:lang w:eastAsia="ar-SA"/>
                  </w:rPr>
                </w:pPr>
                <w:r>
                  <w:rPr>
                    <w:color w:val="000000"/>
                    <w:szCs w:val="24"/>
                    <w:lang w:eastAsia="ar-SA"/>
                  </w:rPr>
                  <w:t xml:space="preserve">a) atliekų naudojimo įrenginio pavadinimą, registracijos numerį ir adresą; </w:t>
                </w:r>
              </w:p>
              <w:p>
                <w:pPr>
                  <w:shd w:val="clear" w:color="auto" w:fill="FFFFFF"/>
                  <w:jc w:val="both"/>
                  <w:rPr>
                    <w:color w:val="000000"/>
                    <w:szCs w:val="24"/>
                    <w:lang w:eastAsia="ar-SA"/>
                  </w:rPr>
                </w:pPr>
                <w:r>
                  <w:rPr>
                    <w:color w:val="000000"/>
                    <w:szCs w:val="24"/>
                    <w:lang w:eastAsia="ar-SA"/>
                  </w:rPr>
                  <w:t xml:space="preserve">b) naudojamos technologijos aprašymą ir R kodą ar kodus, kaip nurodyta Direktyvos </w:t>
                </w:r>
                <w:fldSimple w:instr="HYPERLINK http://eur-lex.europa.eu/legal-content/LIT/TXT/?uri=CELEX:32008L0098&amp;locale=lt \t _blank">
                  <w:r>
                    <w:rPr>
                      <w:color w:val="0000FF" w:themeColor="hyperlink"/>
                      <w:szCs w:val="24"/>
                      <w:lang w:eastAsia="ar-SA"/>
                      <w:u w:val="single"/>
                    </w:rPr>
                    <w:t>2008/98/EB</w:t>
                  </w:r>
                </w:fldSimple>
                <w:r>
                  <w:rPr>
                    <w:color w:val="000000"/>
                    <w:szCs w:val="24"/>
                    <w:lang w:eastAsia="ar-SA"/>
                  </w:rPr>
                  <w:t xml:space="preserve"> II priede; </w:t>
                </w:r>
              </w:p>
              <w:p>
                <w:pPr>
                  <w:shd w:val="clear" w:color="auto" w:fill="FFFFFF"/>
                  <w:jc w:val="both"/>
                  <w:rPr>
                    <w:color w:val="000000"/>
                    <w:szCs w:val="24"/>
                    <w:lang w:eastAsia="ar-SA"/>
                  </w:rPr>
                </w:pPr>
                <w:r>
                  <w:rPr>
                    <w:color w:val="000000"/>
                    <w:szCs w:val="24"/>
                    <w:lang w:eastAsia="ar-SA"/>
                  </w:rPr>
                  <w:t xml:space="preserve">c) atliekų, kurioms taikomas išankstinis sutikimas, identifikavimo kodas ar kodai; </w:t>
                </w:r>
              </w:p>
              <w:p>
                <w:pPr>
                  <w:shd w:val="clear" w:color="auto" w:fill="FFFFFF"/>
                  <w:jc w:val="both"/>
                  <w:rPr>
                    <w:color w:val="000000"/>
                    <w:szCs w:val="24"/>
                    <w:lang w:eastAsia="ar-SA"/>
                  </w:rPr>
                </w:pPr>
                <w:r>
                  <w:rPr>
                    <w:color w:val="000000"/>
                    <w:szCs w:val="24"/>
                    <w:lang w:eastAsia="ar-SA"/>
                  </w:rPr>
                  <w:t xml:space="preserve">d) bendrą kiekį, kuriam gautas išankstinis sutikimas; </w:t>
                </w:r>
              </w:p>
              <w:p>
                <w:pPr>
                  <w:shd w:val="clear" w:color="auto" w:fill="FFFFFF"/>
                  <w:jc w:val="both"/>
                  <w:rPr>
                    <w:color w:val="000000"/>
                    <w:szCs w:val="24"/>
                    <w:lang w:eastAsia="ar-SA"/>
                  </w:rPr>
                </w:pPr>
                <w:r>
                  <w:rPr>
                    <w:color w:val="000000"/>
                    <w:szCs w:val="24"/>
                    <w:lang w:eastAsia="ar-SA"/>
                  </w:rPr>
                  <w:t xml:space="preserve">e) išankstinio sutikimo galiojimo terminą; </w:t>
                </w:r>
              </w:p>
              <w:p>
                <w:pPr>
                  <w:shd w:val="clear" w:color="auto" w:fill="FFFFFF"/>
                  <w:jc w:val="both"/>
                  <w:rPr>
                    <w:color w:val="000000"/>
                    <w:szCs w:val="24"/>
                    <w:lang w:eastAsia="ar-SA"/>
                  </w:rPr>
                </w:pPr>
                <w:r>
                  <w:rPr>
                    <w:color w:val="000000"/>
                    <w:szCs w:val="24"/>
                    <w:lang w:eastAsia="ar-SA"/>
                  </w:rPr>
                  <w:t xml:space="preserve">f) bet kokį išankstinio sutikimo pakeitimą; g) bet kokius praneštos informacijos pakeitimus; </w:t>
                </w:r>
              </w:p>
              <w:p>
                <w:pPr>
                  <w:shd w:val="clear" w:color="auto" w:fill="FFFFFF"/>
                  <w:jc w:val="both"/>
                  <w:rPr>
                    <w:color w:val="000000"/>
                    <w:szCs w:val="24"/>
                    <w:lang w:eastAsia="lt-LT"/>
                  </w:rPr>
                </w:pPr>
                <w:r>
                  <w:rPr>
                    <w:color w:val="000000"/>
                    <w:szCs w:val="24"/>
                    <w:lang w:eastAsia="ar-SA"/>
                  </w:rPr>
                  <w:t>h) bet kokį išankstinio sutikimo atšaukimą.</w:t>
                </w:r>
              </w:p>
            </w:tc>
            <w:tc>
              <w:tcPr>
                <w:tcW w:w="8505" w:type="dxa"/>
              </w:tcPr>
              <w:p>
                <w:pPr>
                  <w:ind w:firstLine="709"/>
                  <w:jc w:val="both"/>
                  <w:rPr>
                    <w:szCs w:val="24"/>
                    <w:lang w:val="fi-FI"/>
                  </w:rPr>
                </w:pPr>
                <w:r>
                  <w:rPr>
                    <w:b/>
                    <w:bCs/>
                    <w:szCs w:val="24"/>
                  </w:rPr>
                  <w:t>7 straipsnis. 4</w:t>
                </w:r>
                <w:r>
                  <w:rPr>
                    <w:b/>
                    <w:bCs/>
                    <w:szCs w:val="24"/>
                    <w:vertAlign w:val="superscript"/>
                  </w:rPr>
                  <w:t>3</w:t>
                </w:r>
                <w:r>
                  <w:rPr>
                    <w:b/>
                    <w:bCs/>
                    <w:szCs w:val="24"/>
                  </w:rPr>
                  <w:t xml:space="preserve"> straipsnio pakeitimas</w:t>
                </w:r>
              </w:p>
              <w:p>
                <w:pPr>
                  <w:ind w:firstLine="709"/>
                  <w:jc w:val="both"/>
                  <w:rPr>
                    <w:b/>
                    <w:bCs/>
                    <w:szCs w:val="24"/>
                    <w:lang w:val="fi-FI"/>
                  </w:rPr>
                </w:pPr>
                <w:r>
                  <w:rPr>
                    <w:b/>
                    <w:bCs/>
                    <w:szCs w:val="24"/>
                  </w:rPr>
                  <w:t>Pakeisti 4</w:t>
                </w:r>
                <w:r>
                  <w:rPr>
                    <w:b/>
                    <w:bCs/>
                    <w:szCs w:val="24"/>
                    <w:vertAlign w:val="superscript"/>
                  </w:rPr>
                  <w:t>3</w:t>
                </w:r>
                <w:r>
                  <w:rPr>
                    <w:b/>
                    <w:bCs/>
                    <w:szCs w:val="24"/>
                  </w:rPr>
                  <w:t xml:space="preserve"> straipsnį ir jį išdėstyti taip:</w:t>
                </w:r>
              </w:p>
              <w:p>
                <w:pPr>
                  <w:ind w:firstLine="709"/>
                  <w:jc w:val="both"/>
                  <w:rPr>
                    <w:szCs w:val="24"/>
                    <w:lang w:val="fi-FI"/>
                  </w:rPr>
                </w:pPr>
                <w:r>
                  <w:rPr>
                    <w:szCs w:val="24"/>
                  </w:rPr>
                  <w:t>„</w:t>
                </w:r>
                <w:r>
                  <w:rPr>
                    <w:b/>
                    <w:bCs/>
                    <w:szCs w:val="24"/>
                  </w:rPr>
                  <w:t>4</w:t>
                </w:r>
                <w:r>
                  <w:rPr>
                    <w:b/>
                    <w:bCs/>
                    <w:szCs w:val="24"/>
                    <w:vertAlign w:val="superscript"/>
                  </w:rPr>
                  <w:t xml:space="preserve">3 </w:t>
                </w:r>
                <w:r>
                  <w:rPr>
                    <w:b/>
                    <w:bCs/>
                    <w:szCs w:val="24"/>
                  </w:rPr>
                  <w:t>straipsnis. Išankstinio sutikimo išdavimas, keitimas, galiojimo panaikinimas</w:t>
                </w:r>
                <w:r>
                  <w:rPr>
                    <w:szCs w:val="24"/>
                    <w:lang w:val="fi-FI"/>
                  </w:rPr>
                  <w:t> </w:t>
                </w:r>
              </w:p>
              <w:p>
                <w:pPr>
                  <w:ind w:firstLine="709"/>
                  <w:jc w:val="both"/>
                  <w:rPr>
                    <w:b/>
                    <w:bCs/>
                    <w:strike/>
                    <w:szCs w:val="24"/>
                  </w:rPr>
                </w:pPr>
                <w:r>
                  <w:rPr>
                    <w:b/>
                    <w:bCs/>
                    <w:szCs w:val="24"/>
                  </w:rPr>
                  <w:t xml:space="preserve">1. Išankstinis sutikimas išduodamas pagal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6 dalį, jeigu atliekų tvarkytojas ir atitinkamas atliekų naudojimo įrenginys atitinka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2 ir 7 dalyse nurodytas sąlygas.</w:t>
                </w:r>
              </w:p>
              <w:p>
                <w:pPr>
                  <w:ind w:firstLine="709"/>
                  <w:jc w:val="both"/>
                  <w:rPr>
                    <w:b/>
                    <w:bCs/>
                    <w:szCs w:val="24"/>
                  </w:rPr>
                </w:pPr>
                <w:r>
                  <w:rPr>
                    <w:b/>
                    <w:bCs/>
                    <w:szCs w:val="24"/>
                  </w:rPr>
                  <w:t xml:space="preserve">2. Išankstinis sutikimas išduodamas per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5 dalyje nurodytą terminą,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9 dalyje nurodytam laikotarpiui arba atliekų tvarkytojo nurodytam trumpesniam laikotarpiui.</w:t>
                </w:r>
              </w:p>
              <w:p>
                <w:pPr>
                  <w:ind w:firstLine="709"/>
                  <w:jc w:val="both"/>
                  <w:rPr>
                    <w:b/>
                    <w:bCs/>
                    <w:szCs w:val="24"/>
                  </w:rPr>
                </w:pPr>
                <w:r>
                  <w:rPr>
                    <w:b/>
                    <w:bCs/>
                    <w:szCs w:val="24"/>
                  </w:rPr>
                  <w:t>3. Išankstinių sutikimų išdavimo, keitimo ir galiojimo panaikinimo tvarką tvirtina aplinkos ministras. Išankstinius sutikimus išduoda, atsisako juos išduoti, juos keičia ir jų galiojimą panaikina aplinkos ministro įgaliota institucija.</w:t>
                </w:r>
              </w:p>
              <w:p>
                <w:pPr>
                  <w:ind w:firstLine="709"/>
                  <w:jc w:val="both"/>
                  <w:rPr>
                    <w:b/>
                    <w:bCs/>
                    <w:szCs w:val="24"/>
                  </w:rPr>
                </w:pPr>
                <w:r>
                  <w:rPr>
                    <w:b/>
                    <w:bCs/>
                    <w:szCs w:val="24"/>
                  </w:rPr>
                  <w:t xml:space="preserve">4. Išankstiniame sutikime turi būti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13 dalies a</w:t>
                </w:r>
                <w:r>
                  <w:rPr>
                    <w:szCs w:val="24"/>
                  </w:rPr>
                  <w:t>–</w:t>
                </w:r>
                <w:r>
                  <w:rPr>
                    <w:b/>
                    <w:bCs/>
                    <w:szCs w:val="24"/>
                  </w:rPr>
                  <w:t>e punktuose nurodyta informacija.</w:t>
                </w:r>
              </w:p>
              <w:p>
                <w:pPr>
                  <w:ind w:firstLine="709"/>
                  <w:jc w:val="both"/>
                  <w:rPr>
                    <w:b/>
                    <w:bCs/>
                    <w:szCs w:val="24"/>
                    <w:lang w:val="fi-FI"/>
                  </w:rPr>
                </w:pPr>
                <w:r>
                  <w:rPr>
                    <w:b/>
                    <w:bCs/>
                    <w:szCs w:val="24"/>
                  </w:rPr>
                  <w:t xml:space="preserve">5. Išankstinis sutikimas keičiamas nuo informacijos, nurodytos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11 dalyje, gavimo dienos.</w:t>
                </w:r>
              </w:p>
              <w:p>
                <w:pPr>
                  <w:ind w:firstLine="709"/>
                  <w:jc w:val="both"/>
                  <w:rPr>
                    <w:b/>
                    <w:bCs/>
                    <w:szCs w:val="24"/>
                    <w:lang w:val="en-US"/>
                  </w:rPr>
                </w:pPr>
                <w:r>
                  <w:rPr>
                    <w:b/>
                    <w:bCs/>
                    <w:szCs w:val="24"/>
                  </w:rPr>
                  <w:t xml:space="preserve">6. Išankstinio sutikimo galiojimas panaikinamas per 10 darbo dienų nuo išankstinio sutikimo turėtojo prašymo panaikinti išankstinį sutikimą gavimo dienos arba nuo dienos, kai paaiškėja bent viena iš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10 ar 11 dalyje nurodytų sąlygų.“</w:t>
                </w:r>
              </w:p>
              <w:p>
                <w:pPr>
                  <w:ind w:firstLine="709"/>
                  <w:jc w:val="both"/>
                  <w:rPr>
                    <w:color w:val="000000"/>
                    <w:szCs w:val="24"/>
                    <w:lang w:eastAsia="lt-LT"/>
                  </w:rPr>
                </w:pPr>
              </w:p>
            </w:tc>
            <w:tc>
              <w:tcPr>
                <w:tcW w:w="3232" w:type="dxa"/>
              </w:tcPr>
              <w:p>
                <w:pPr>
                  <w:widowControl w:val="0"/>
                  <w:suppressAutoHyphens/>
                  <w:rPr>
                    <w:rFonts w:eastAsia="Lucida Sans Unicode"/>
                    <w:b/>
                    <w:bCs/>
                    <w:szCs w:val="24"/>
                  </w:rPr>
                </w:pPr>
                <w:r>
                  <w:rPr>
                    <w:rFonts w:eastAsia="Lucida Sans Unicode"/>
                    <w:b/>
                    <w:bCs/>
                    <w:szCs w:val="24"/>
                  </w:rPr>
                  <w:t>Dalinis</w:t>
                </w:r>
              </w:p>
              <w:p>
                <w:pPr>
                  <w:widowControl w:val="0"/>
                  <w:suppressAutoHyphens/>
                  <w:rPr>
                    <w:rFonts w:eastAsia="Lucida Sans Unicode"/>
                    <w:b/>
                    <w:bCs/>
                    <w:szCs w:val="24"/>
                  </w:rPr>
                </w:pPr>
                <w:r>
                  <w:rPr>
                    <w:i/>
                    <w:iCs/>
                  </w:rPr>
                  <w:t xml:space="preserve">Pastaba. Visiškai bus įgyvendinta patvirtinus Lietuvos Respublikos aplinkos ministro 2004 m. balandžio </w:t>
                </w:r>
                <w:r>
                  <w:rPr>
                    <w:i/>
                    <w:iCs/>
                    <w:lang w:val="en-US"/>
                  </w:rPr>
                  <w:t>27</w:t>
                </w:r>
                <w:r>
                  <w:rPr>
                    <w:i/>
                    <w:iCs/>
                  </w:rPr>
                  <w:t> d. įsakymo Nr. D1-207 „Dėl Atliekų tarpvalstybinių vežimų tvarkos aprašo patvirtinimo“</w:t>
                </w:r>
                <w:r>
                  <w:rPr>
                    <w:i/>
                    <w:iCs/>
                    <w:color w:val="000000"/>
                  </w:rPr>
                  <w:t xml:space="preserve"> pakeitimą.</w:t>
                </w:r>
              </w:p>
            </w:tc>
          </w:tr>
          <w:tr>
            <w:tc>
              <w:tcPr>
                <w:tcW w:w="3256" w:type="dxa"/>
              </w:tcPr>
              <w:p>
                <w:pPr>
                  <w:jc w:val="both"/>
                  <w:rPr>
                    <w:b/>
                    <w:bCs/>
                    <w:color w:val="000000"/>
                    <w:szCs w:val="24"/>
                    <w:lang w:eastAsia="ar-SA"/>
                  </w:rPr>
                </w:pPr>
                <w:r>
                  <w:rPr>
                    <w:color w:val="000000"/>
                    <w:szCs w:val="24"/>
                    <w:lang w:eastAsia="ar-SA"/>
                  </w:rPr>
                  <w:t>6. Jei 1 dalyje nurodytas juridinis ar fizinis asmuo pateikė visą 2 dalyje nurodytą informaciją, kompetentinga institucija patvirtina prašymą ir išduoda išankstinį sutikimą dėl atitinkamo įrenginio. Išankstiniame sutikime gali būti nurodytos sąlygos, susijusios su išankstinio sutikimo galiojimo trukme, atliekų rūšimis ir kiekiais, kuriuos apima išankstinis sutikimas, naudojama technologija, ar kitos sąlygos, būtinos siekiant užtikrinti, kad atliekos būtų tvarkomos aplinkai saugiu būdu.</w:t>
                </w:r>
              </w:p>
            </w:tc>
            <w:tc>
              <w:tcPr>
                <w:tcW w:w="8505" w:type="dxa"/>
              </w:tcPr>
              <w:p>
                <w:pPr>
                  <w:ind w:firstLine="709"/>
                  <w:jc w:val="both"/>
                  <w:rPr>
                    <w:szCs w:val="24"/>
                    <w:lang w:val="fi-FI"/>
                  </w:rPr>
                </w:pPr>
                <w:r>
                  <w:rPr>
                    <w:b/>
                    <w:bCs/>
                    <w:szCs w:val="24"/>
                  </w:rPr>
                  <w:t>7 straipsnis. 4</w:t>
                </w:r>
                <w:r>
                  <w:rPr>
                    <w:b/>
                    <w:bCs/>
                    <w:szCs w:val="24"/>
                    <w:vertAlign w:val="superscript"/>
                  </w:rPr>
                  <w:t>3</w:t>
                </w:r>
                <w:r>
                  <w:rPr>
                    <w:b/>
                    <w:bCs/>
                    <w:szCs w:val="24"/>
                  </w:rPr>
                  <w:t xml:space="preserve"> straipsnio pakeitimas</w:t>
                </w:r>
              </w:p>
              <w:p>
                <w:pPr>
                  <w:ind w:firstLine="709"/>
                  <w:jc w:val="both"/>
                  <w:rPr>
                    <w:b/>
                    <w:bCs/>
                    <w:szCs w:val="24"/>
                    <w:lang w:val="fi-FI"/>
                  </w:rPr>
                </w:pPr>
                <w:r>
                  <w:rPr>
                    <w:b/>
                    <w:bCs/>
                    <w:szCs w:val="24"/>
                  </w:rPr>
                  <w:t>Pakeisti 4</w:t>
                </w:r>
                <w:r>
                  <w:rPr>
                    <w:b/>
                    <w:bCs/>
                    <w:szCs w:val="24"/>
                    <w:vertAlign w:val="superscript"/>
                  </w:rPr>
                  <w:t>3</w:t>
                </w:r>
                <w:r>
                  <w:rPr>
                    <w:b/>
                    <w:bCs/>
                    <w:szCs w:val="24"/>
                  </w:rPr>
                  <w:t xml:space="preserve"> straipsnį ir jį išdėstyti taip:</w:t>
                </w:r>
              </w:p>
              <w:p>
                <w:pPr>
                  <w:ind w:firstLine="709"/>
                  <w:jc w:val="both"/>
                  <w:rPr>
                    <w:szCs w:val="24"/>
                    <w:lang w:val="fi-FI"/>
                  </w:rPr>
                </w:pPr>
                <w:r>
                  <w:rPr>
                    <w:szCs w:val="24"/>
                  </w:rPr>
                  <w:t>„</w:t>
                </w:r>
                <w:r>
                  <w:rPr>
                    <w:b/>
                    <w:bCs/>
                    <w:szCs w:val="24"/>
                  </w:rPr>
                  <w:t>4</w:t>
                </w:r>
                <w:r>
                  <w:rPr>
                    <w:b/>
                    <w:bCs/>
                    <w:szCs w:val="24"/>
                    <w:vertAlign w:val="superscript"/>
                  </w:rPr>
                  <w:t xml:space="preserve">3 </w:t>
                </w:r>
                <w:r>
                  <w:rPr>
                    <w:b/>
                    <w:bCs/>
                    <w:szCs w:val="24"/>
                  </w:rPr>
                  <w:t>straipsnis. Išankstinio sutikimo išdavimas, keitimas, galiojimo panaikinimas</w:t>
                </w:r>
              </w:p>
              <w:p>
                <w:pPr>
                  <w:ind w:firstLine="709"/>
                  <w:jc w:val="both"/>
                  <w:rPr>
                    <w:szCs w:val="24"/>
                    <w:lang w:val="fi-FI"/>
                  </w:rPr>
                </w:pPr>
                <w:r>
                  <w:rPr>
                    <w:szCs w:val="24"/>
                    <w:lang w:val="fi-FI"/>
                  </w:rPr>
                  <w:t>&lt;...&gt;</w:t>
                </w:r>
              </w:p>
              <w:p>
                <w:pPr>
                  <w:ind w:firstLine="709"/>
                  <w:jc w:val="both"/>
                  <w:rPr>
                    <w:b/>
                    <w:bCs/>
                    <w:szCs w:val="24"/>
                  </w:rPr>
                </w:pPr>
                <w:r>
                  <w:rPr>
                    <w:b/>
                    <w:bCs/>
                    <w:szCs w:val="24"/>
                  </w:rPr>
                  <w:t xml:space="preserve">4. Išankstiniame sutikime turi būti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13 dalies a</w:t>
                </w:r>
                <w:r>
                  <w:rPr>
                    <w:szCs w:val="24"/>
                  </w:rPr>
                  <w:t>–</w:t>
                </w:r>
                <w:r>
                  <w:rPr>
                    <w:b/>
                    <w:bCs/>
                    <w:szCs w:val="24"/>
                  </w:rPr>
                  <w:t>e punktuose nurodyta informacija.</w:t>
                </w:r>
              </w:p>
              <w:p>
                <w:pPr>
                  <w:ind w:firstLine="709"/>
                  <w:jc w:val="both"/>
                  <w:rPr>
                    <w:szCs w:val="24"/>
                    <w:lang w:val="en-US"/>
                  </w:rPr>
                </w:pPr>
                <w:r>
                  <w:rPr>
                    <w:szCs w:val="24"/>
                  </w:rPr>
                  <w:t>&lt;..&gt;.“</w:t>
                </w:r>
              </w:p>
              <w:p>
                <w:pPr>
                  <w:widowControl w:val="0"/>
                  <w:suppressAutoHyphens/>
                  <w:jc w:val="both"/>
                  <w:rPr>
                    <w:b/>
                    <w:bCs/>
                    <w:color w:val="000000"/>
                    <w:szCs w:val="24"/>
                  </w:rPr>
                </w:pPr>
              </w:p>
            </w:tc>
            <w:tc>
              <w:tcPr>
                <w:tcW w:w="3232" w:type="dxa"/>
              </w:tcPr>
              <w:p>
                <w:pPr>
                  <w:widowControl w:val="0"/>
                  <w:suppressAutoHyphens/>
                  <w:rPr>
                    <w:rFonts w:eastAsia="Lucida Sans Unicode"/>
                    <w:b/>
                    <w:bCs/>
                    <w:szCs w:val="24"/>
                  </w:rPr>
                </w:pPr>
                <w:r>
                  <w:rPr>
                    <w:rFonts w:eastAsia="Lucida Sans Unicode"/>
                    <w:b/>
                    <w:bCs/>
                    <w:szCs w:val="24"/>
                  </w:rPr>
                  <w:t>Dalinis</w:t>
                </w:r>
              </w:p>
              <w:p>
                <w:pPr>
                  <w:widowControl w:val="0"/>
                  <w:suppressAutoHyphens/>
                  <w:rPr>
                    <w:rFonts w:eastAsia="Lucida Sans Unicode"/>
                    <w:szCs w:val="24"/>
                  </w:rPr>
                </w:pPr>
                <w:r>
                  <w:rPr>
                    <w:i/>
                    <w:iCs/>
                  </w:rPr>
                  <w:t xml:space="preserve">Pastaba. Visiškai bus įgyvendinta patvirtinus Lietuvos Respublikos aplinkos ministro 2004 m. balandžio </w:t>
                </w:r>
                <w:r>
                  <w:rPr>
                    <w:i/>
                    <w:iCs/>
                    <w:lang w:val="en-US"/>
                  </w:rPr>
                  <w:t>27</w:t>
                </w:r>
                <w:r>
                  <w:rPr>
                    <w:i/>
                    <w:iCs/>
                  </w:rPr>
                  <w:t> d. įsakymo Nr. D1-207 „Dėl Atliekų tarpvalstybinių vežimų tvarkos aprašo patvirtinimo“</w:t>
                </w:r>
                <w:r>
                  <w:rPr>
                    <w:i/>
                    <w:iCs/>
                    <w:color w:val="000000"/>
                  </w:rPr>
                  <w:t xml:space="preserve"> pakeitimą</w:t>
                </w:r>
                <w:r>
                  <w:rPr>
                    <w:rFonts w:eastAsia="Lucida Sans Unicode"/>
                    <w:i/>
                    <w:iCs/>
                    <w:color w:val="000000"/>
                    <w:szCs w:val="24"/>
                  </w:rPr>
                  <w:t>.</w:t>
                </w:r>
              </w:p>
            </w:tc>
          </w:tr>
          <w:tr>
            <w:tc>
              <w:tcPr>
                <w:tcW w:w="3256" w:type="dxa"/>
              </w:tcPr>
              <w:p>
                <w:pPr>
                  <w:jc w:val="both"/>
                  <w:rPr>
                    <w:color w:val="000000"/>
                    <w:szCs w:val="24"/>
                    <w:lang w:eastAsia="ar-SA"/>
                  </w:rPr>
                </w:pPr>
                <w:r>
                  <w:rPr>
                    <w:color w:val="000000"/>
                    <w:szCs w:val="24"/>
                    <w:lang w:eastAsia="ar-SA"/>
                  </w:rPr>
                  <w:t>9. Išankstinis sutikimas dėl naudojimo įrenginio galioja dešimt metų, nebent sprendime patvirtinti prašymą dėl išankstinio sutikimo nurodyta kitaip. Per tą laikotarpį kompetentinga institucija atlieka bent vieną patikrinimą pagal 60 straipsnį. Prireikus papildomi patikrinimai atliekami remiantis rizika grindžiamu vertinimo metodu, kaip nurodyta 62 straipsnyje.</w:t>
                </w:r>
              </w:p>
            </w:tc>
            <w:tc>
              <w:tcPr>
                <w:tcW w:w="8505" w:type="dxa"/>
              </w:tcPr>
              <w:p>
                <w:pPr>
                  <w:ind w:firstLine="709"/>
                  <w:jc w:val="both"/>
                  <w:rPr>
                    <w:szCs w:val="24"/>
                    <w:lang w:val="fi-FI"/>
                  </w:rPr>
                </w:pPr>
                <w:r>
                  <w:rPr>
                    <w:b/>
                    <w:bCs/>
                    <w:szCs w:val="24"/>
                  </w:rPr>
                  <w:t>7 straipsnis. 4</w:t>
                </w:r>
                <w:r>
                  <w:rPr>
                    <w:b/>
                    <w:bCs/>
                    <w:szCs w:val="24"/>
                    <w:vertAlign w:val="superscript"/>
                  </w:rPr>
                  <w:t>3</w:t>
                </w:r>
                <w:r>
                  <w:rPr>
                    <w:b/>
                    <w:bCs/>
                    <w:szCs w:val="24"/>
                  </w:rPr>
                  <w:t xml:space="preserve"> straipsnio pakeitimas</w:t>
                </w:r>
              </w:p>
              <w:p>
                <w:pPr>
                  <w:ind w:firstLine="709"/>
                  <w:jc w:val="both"/>
                  <w:rPr>
                    <w:b/>
                    <w:bCs/>
                    <w:szCs w:val="24"/>
                    <w:lang w:val="fi-FI"/>
                  </w:rPr>
                </w:pPr>
                <w:r>
                  <w:rPr>
                    <w:b/>
                    <w:bCs/>
                    <w:szCs w:val="24"/>
                  </w:rPr>
                  <w:t>Pakeisti 4</w:t>
                </w:r>
                <w:r>
                  <w:rPr>
                    <w:b/>
                    <w:bCs/>
                    <w:szCs w:val="24"/>
                    <w:vertAlign w:val="superscript"/>
                  </w:rPr>
                  <w:t>3</w:t>
                </w:r>
                <w:r>
                  <w:rPr>
                    <w:b/>
                    <w:bCs/>
                    <w:szCs w:val="24"/>
                  </w:rPr>
                  <w:t xml:space="preserve"> straipsnį ir jį išdėstyti taip:</w:t>
                </w:r>
              </w:p>
              <w:p>
                <w:pPr>
                  <w:ind w:firstLine="709"/>
                  <w:jc w:val="both"/>
                  <w:rPr>
                    <w:szCs w:val="24"/>
                    <w:lang w:val="fi-FI"/>
                  </w:rPr>
                </w:pPr>
                <w:r>
                  <w:rPr>
                    <w:szCs w:val="24"/>
                  </w:rPr>
                  <w:t>„</w:t>
                </w:r>
                <w:r>
                  <w:rPr>
                    <w:b/>
                    <w:bCs/>
                    <w:szCs w:val="24"/>
                  </w:rPr>
                  <w:t>4</w:t>
                </w:r>
                <w:r>
                  <w:rPr>
                    <w:b/>
                    <w:bCs/>
                    <w:szCs w:val="24"/>
                    <w:vertAlign w:val="superscript"/>
                  </w:rPr>
                  <w:t xml:space="preserve">3 </w:t>
                </w:r>
                <w:r>
                  <w:rPr>
                    <w:b/>
                    <w:bCs/>
                    <w:szCs w:val="24"/>
                  </w:rPr>
                  <w:t>straipsnis. Išankstinio sutikimo išdavimas, keitimas, galiojimo panaikinimas</w:t>
                </w:r>
              </w:p>
              <w:p>
                <w:pPr>
                  <w:ind w:firstLine="709"/>
                  <w:jc w:val="both"/>
                  <w:rPr>
                    <w:szCs w:val="24"/>
                    <w:lang w:val="fi-FI"/>
                  </w:rPr>
                </w:pPr>
                <w:r>
                  <w:rPr>
                    <w:szCs w:val="24"/>
                    <w:lang w:val="fi-FI"/>
                  </w:rPr>
                  <w:t>&lt;...&gt;</w:t>
                </w:r>
              </w:p>
              <w:p>
                <w:pPr>
                  <w:ind w:firstLine="709"/>
                  <w:jc w:val="both"/>
                  <w:rPr>
                    <w:b/>
                    <w:bCs/>
                    <w:szCs w:val="24"/>
                  </w:rPr>
                </w:pPr>
                <w:r>
                  <w:rPr>
                    <w:b/>
                    <w:bCs/>
                    <w:szCs w:val="24"/>
                  </w:rPr>
                  <w:t xml:space="preserve">2. Išankstinis sutikimas išduodamas per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5 dalyje nurodytą terminą,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9 dalyje nurodytam laikotarpiui arba atliekų tvarkytojo nurodytam trumpesniam laikotarpiui.</w:t>
                </w:r>
              </w:p>
              <w:p>
                <w:pPr>
                  <w:ind w:firstLine="709"/>
                  <w:jc w:val="both"/>
                  <w:rPr>
                    <w:szCs w:val="24"/>
                    <w:lang w:val="en-US"/>
                  </w:rPr>
                </w:pPr>
                <w:r>
                  <w:rPr>
                    <w:szCs w:val="24"/>
                  </w:rPr>
                  <w:t>&lt;..&gt;.“</w:t>
                </w:r>
              </w:p>
              <w:p>
                <w:pPr>
                  <w:widowControl w:val="0"/>
                  <w:suppressAutoHyphens/>
                  <w:jc w:val="both"/>
                  <w:rPr>
                    <w:b/>
                    <w:bCs/>
                    <w:color w:val="000000"/>
                    <w:szCs w:val="24"/>
                  </w:rPr>
                </w:pPr>
              </w:p>
            </w:tc>
            <w:tc>
              <w:tcPr>
                <w:tcW w:w="3232" w:type="dxa"/>
              </w:tcPr>
              <w:p>
                <w:pPr>
                  <w:widowControl w:val="0"/>
                  <w:suppressAutoHyphens/>
                  <w:rPr>
                    <w:rFonts w:eastAsia="Lucida Sans Unicode"/>
                    <w:b/>
                    <w:bCs/>
                    <w:szCs w:val="24"/>
                  </w:rPr>
                </w:pPr>
                <w:r>
                  <w:rPr>
                    <w:rFonts w:eastAsia="Lucida Sans Unicode"/>
                    <w:b/>
                    <w:bCs/>
                    <w:szCs w:val="24"/>
                  </w:rPr>
                  <w:t>Visiškas</w:t>
                </w:r>
              </w:p>
            </w:tc>
          </w:tr>
          <w:tr>
            <w:tc>
              <w:tcPr>
                <w:tcW w:w="3256" w:type="dxa"/>
              </w:tcPr>
              <w:p>
                <w:pPr>
                  <w:jc w:val="both"/>
                  <w:rPr>
                    <w:color w:val="000000"/>
                    <w:szCs w:val="24"/>
                    <w:lang w:eastAsia="ar-SA"/>
                  </w:rPr>
                </w:pPr>
                <w:r>
                  <w:rPr>
                    <w:color w:val="000000"/>
                    <w:szCs w:val="24"/>
                    <w:lang w:eastAsia="ar-SA"/>
                  </w:rPr>
                  <w:t>10. Kompetentinga institucija gali bet kuriuo metu atšaukti išankstinį sutikimą dėl naudojimo įrenginio, jei gaunama informacijos, iš kurios matyti, kad pagal 2 dalį pateikta informacija yra klaidinga, arba kad nebetenkinamos 6 dalies sąlygos. Sprendimas atšaukti išankstinį sutikimą turi būti tinkamai pagrįstas ir apie jį turi būti pranešta atitinkamo įrenginio valdytojui.</w:t>
                </w:r>
              </w:p>
              <w:p>
                <w:pPr>
                  <w:jc w:val="both"/>
                  <w:rPr>
                    <w:color w:val="000000"/>
                    <w:szCs w:val="24"/>
                    <w:lang w:val="en-US" w:eastAsia="ar-SA"/>
                  </w:rPr>
                </w:pPr>
                <w:r>
                  <w:rPr>
                    <w:color w:val="000000"/>
                    <w:szCs w:val="24"/>
                    <w:lang w:val="en-US" w:eastAsia="ar-SA"/>
                  </w:rPr>
                  <w:t xml:space="preserve">11. </w:t>
                </w:r>
                <w:r>
                  <w:rPr>
                    <w:color w:val="000000"/>
                    <w:szCs w:val="24"/>
                    <w:lang w:eastAsia="ar-SA"/>
                  </w:rPr>
                  <w:t>1 dalyje nurodytas juridinis ar fizinis asmuo nedelsdamas praneša atitinkamai kompetentingai institucijai apie bet kokius pagal 2 dalį pateiktos informacijos pasikeitimus. Atitinkama kompetentinga institucija tinkamai įvertina tuos pakeitimus ir prireikus atnaujina arba atšaukia išankstinį sutikimą.</w:t>
                </w:r>
              </w:p>
            </w:tc>
            <w:tc>
              <w:tcPr>
                <w:tcW w:w="8505" w:type="dxa"/>
              </w:tcPr>
              <w:p>
                <w:pPr>
                  <w:ind w:firstLine="709"/>
                  <w:jc w:val="both"/>
                  <w:rPr>
                    <w:szCs w:val="24"/>
                    <w:lang w:val="fi-FI"/>
                  </w:rPr>
                </w:pPr>
                <w:r>
                  <w:rPr>
                    <w:b/>
                    <w:bCs/>
                    <w:szCs w:val="24"/>
                  </w:rPr>
                  <w:t>7 straipsnis. 4</w:t>
                </w:r>
                <w:r>
                  <w:rPr>
                    <w:b/>
                    <w:bCs/>
                    <w:szCs w:val="24"/>
                    <w:vertAlign w:val="superscript"/>
                  </w:rPr>
                  <w:t>3</w:t>
                </w:r>
                <w:r>
                  <w:rPr>
                    <w:b/>
                    <w:bCs/>
                    <w:szCs w:val="24"/>
                  </w:rPr>
                  <w:t xml:space="preserve"> straipsnio pakeitimas</w:t>
                </w:r>
              </w:p>
              <w:p>
                <w:pPr>
                  <w:ind w:firstLine="709"/>
                  <w:jc w:val="both"/>
                  <w:rPr>
                    <w:b/>
                    <w:bCs/>
                    <w:szCs w:val="24"/>
                    <w:lang w:val="fi-FI"/>
                  </w:rPr>
                </w:pPr>
                <w:r>
                  <w:rPr>
                    <w:b/>
                    <w:bCs/>
                    <w:szCs w:val="24"/>
                  </w:rPr>
                  <w:t>Pakeisti 4</w:t>
                </w:r>
                <w:r>
                  <w:rPr>
                    <w:b/>
                    <w:bCs/>
                    <w:szCs w:val="24"/>
                    <w:vertAlign w:val="superscript"/>
                  </w:rPr>
                  <w:t>3</w:t>
                </w:r>
                <w:r>
                  <w:rPr>
                    <w:b/>
                    <w:bCs/>
                    <w:szCs w:val="24"/>
                  </w:rPr>
                  <w:t xml:space="preserve"> straipsnį ir jį išdėstyti taip:</w:t>
                </w:r>
              </w:p>
              <w:p>
                <w:pPr>
                  <w:ind w:firstLine="709"/>
                  <w:jc w:val="both"/>
                  <w:rPr>
                    <w:szCs w:val="24"/>
                    <w:lang w:val="fi-FI"/>
                  </w:rPr>
                </w:pPr>
                <w:r>
                  <w:rPr>
                    <w:szCs w:val="24"/>
                  </w:rPr>
                  <w:t>„</w:t>
                </w:r>
                <w:r>
                  <w:rPr>
                    <w:b/>
                    <w:bCs/>
                    <w:szCs w:val="24"/>
                  </w:rPr>
                  <w:t>4</w:t>
                </w:r>
                <w:r>
                  <w:rPr>
                    <w:b/>
                    <w:bCs/>
                    <w:szCs w:val="24"/>
                    <w:vertAlign w:val="superscript"/>
                  </w:rPr>
                  <w:t xml:space="preserve">3 </w:t>
                </w:r>
                <w:r>
                  <w:rPr>
                    <w:b/>
                    <w:bCs/>
                    <w:szCs w:val="24"/>
                  </w:rPr>
                  <w:t>straipsnis. Išankstinio sutikimo išdavimas, keitimas, galiojimo panaikinimas</w:t>
                </w:r>
              </w:p>
              <w:p>
                <w:pPr>
                  <w:ind w:firstLine="709"/>
                  <w:jc w:val="both"/>
                  <w:rPr>
                    <w:szCs w:val="24"/>
                    <w:lang w:val="fi-FI"/>
                  </w:rPr>
                </w:pPr>
                <w:r>
                  <w:rPr>
                    <w:szCs w:val="24"/>
                    <w:lang w:val="fi-FI"/>
                  </w:rPr>
                  <w:t>&lt;...&gt;</w:t>
                </w:r>
              </w:p>
              <w:p>
                <w:pPr>
                  <w:ind w:firstLine="709"/>
                  <w:jc w:val="both"/>
                  <w:rPr>
                    <w:b/>
                    <w:bCs/>
                    <w:szCs w:val="24"/>
                    <w:lang w:val="en-US"/>
                  </w:rPr>
                </w:pPr>
                <w:r>
                  <w:rPr>
                    <w:b/>
                    <w:bCs/>
                    <w:szCs w:val="24"/>
                  </w:rPr>
                  <w:t xml:space="preserve">6. Išankstinio sutikimo galiojimas panaikinamas per 10 darbo dienų nuo išankstinio sutikimo turėtojo prašymo panaikinti išankstinį sutikimą gavimo dienos arba nuo dienos, kai paaiškėja bent viena iš Reglamento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14 straipsnio 10 ar 11 dalyje nurodytų sąlygų.“</w:t>
                </w:r>
              </w:p>
              <w:p>
                <w:pPr>
                  <w:widowControl w:val="0"/>
                  <w:suppressAutoHyphens/>
                  <w:jc w:val="both"/>
                  <w:rPr>
                    <w:b/>
                    <w:bCs/>
                    <w:color w:val="000000"/>
                    <w:szCs w:val="24"/>
                  </w:rPr>
                </w:pPr>
              </w:p>
            </w:tc>
            <w:tc>
              <w:tcPr>
                <w:tcW w:w="3232" w:type="dxa"/>
              </w:tcPr>
              <w:p>
                <w:pPr>
                  <w:widowControl w:val="0"/>
                  <w:suppressAutoHyphens/>
                  <w:rPr>
                    <w:rFonts w:eastAsia="Lucida Sans Unicode"/>
                    <w:b/>
                    <w:bCs/>
                    <w:szCs w:val="24"/>
                  </w:rPr>
                </w:pPr>
                <w:r>
                  <w:rPr>
                    <w:rFonts w:eastAsia="Lucida Sans Unicode"/>
                    <w:b/>
                    <w:bCs/>
                    <w:szCs w:val="24"/>
                  </w:rPr>
                  <w:t>Dalinis</w:t>
                </w:r>
              </w:p>
              <w:p>
                <w:pPr>
                  <w:widowControl w:val="0"/>
                  <w:suppressAutoHyphens/>
                  <w:rPr>
                    <w:rFonts w:eastAsia="Lucida Sans Unicode"/>
                    <w:szCs w:val="24"/>
                  </w:rPr>
                </w:pPr>
                <w:r>
                  <w:rPr>
                    <w:i/>
                    <w:iCs/>
                  </w:rPr>
                  <w:t xml:space="preserve">Pastaba. Visiškai bus įgyvendinta patvirtinus Lietuvos Respublikos aplinkos ministro 2004 m. balandžio </w:t>
                </w:r>
                <w:r>
                  <w:rPr>
                    <w:i/>
                    <w:iCs/>
                    <w:lang w:val="en-US"/>
                  </w:rPr>
                  <w:t>27</w:t>
                </w:r>
                <w:r>
                  <w:rPr>
                    <w:i/>
                    <w:iCs/>
                  </w:rPr>
                  <w:t> d. įsakymo Nr. D1-207 „Dėl Atliekų tarpvalstybinių vežimų tvarkos aprašo patvirtinimo“</w:t>
                </w:r>
                <w:r>
                  <w:rPr>
                    <w:i/>
                    <w:iCs/>
                    <w:color w:val="000000"/>
                  </w:rPr>
                  <w:t xml:space="preserve"> pakeitimą.</w:t>
                </w:r>
              </w:p>
            </w:tc>
          </w:tr>
          <w:tr>
            <w:tc>
              <w:tcPr>
                <w:tcW w:w="3256" w:type="dxa"/>
              </w:tcPr>
              <w:p>
                <w:pPr>
                  <w:shd w:val="clear" w:color="auto" w:fill="FFFFFF"/>
                  <w:suppressAutoHyphens/>
                  <w:jc w:val="both"/>
                  <w:rPr>
                    <w:b/>
                    <w:bCs/>
                    <w:color w:val="000000"/>
                    <w:kern w:val="1"/>
                    <w:szCs w:val="24"/>
                    <w:lang w:eastAsia="ar-SA"/>
                  </w:rPr>
                </w:pPr>
                <w:r>
                  <w:rPr>
                    <w:b/>
                    <w:bCs/>
                    <w:color w:val="000000"/>
                    <w:kern w:val="1"/>
                    <w:szCs w:val="24"/>
                    <w:lang w:eastAsia="ar-SA"/>
                  </w:rPr>
                  <w:t>65 straipsnis „Valstybių narių bendradarbiavimas dėl vykdymo užtikrinimo“</w:t>
                </w:r>
              </w:p>
              <w:p>
                <w:pPr>
                  <w:jc w:val="both"/>
                  <w:rPr>
                    <w:b/>
                    <w:bCs/>
                    <w:color w:val="000000"/>
                    <w:szCs w:val="24"/>
                    <w:lang w:eastAsia="ar-SA"/>
                  </w:rPr>
                </w:pPr>
                <w:r>
                  <w:rPr>
                    <w:rFonts w:eastAsia="Lucida Sans Unicode"/>
                    <w:color w:val="000000"/>
                    <w:szCs w:val="24"/>
                    <w:shd w:val="clear" w:color="auto" w:fill="FFFFFF"/>
                  </w:rPr>
                  <w:t>2. Valstybės narės nustato instituciją ar institucijas ir jų nuolatinius darbuotojus, atsakingus už 1 dalyje nurodytą bendradarbiavimą, ir taip pat nustato instituciją ar institucijas bei atsakingus jų nuolatinius darbuotojus kaip 61 straipsnio 1 dalyje nurodytų fizinių patikrinimų ryšių punktus. Valstybės narės siunčia tą informaciją Komisijai, kuri renka informaciją ir sudaro galimybę nustatytoms institucijoms ir jų nuolatiniams darbuotojams su ja susipažinti.</w:t>
                </w:r>
              </w:p>
            </w:tc>
            <w:tc>
              <w:tcPr>
                <w:tcW w:w="8505" w:type="dxa"/>
              </w:tcPr>
              <w:p>
                <w:pPr>
                  <w:ind w:firstLine="709"/>
                  <w:jc w:val="both"/>
                  <w:rPr>
                    <w:szCs w:val="24"/>
                  </w:rPr>
                </w:pPr>
                <w:r>
                  <w:rPr>
                    <w:b/>
                    <w:bCs/>
                    <w:szCs w:val="24"/>
                  </w:rPr>
                  <w:t>5 straipsnis. 4 straipsnio pakeitimas</w:t>
                </w:r>
              </w:p>
              <w:p>
                <w:pPr>
                  <w:ind w:firstLine="709"/>
                  <w:jc w:val="both"/>
                  <w:rPr>
                    <w:b/>
                    <w:bCs/>
                    <w:szCs w:val="24"/>
                  </w:rPr>
                </w:pPr>
                <w:r>
                  <w:rPr>
                    <w:b/>
                    <w:bCs/>
                    <w:szCs w:val="24"/>
                  </w:rPr>
                  <w:t>Pakeisti 4 straipsnio 5 dalį ir ją išdėstyti taip:</w:t>
                </w:r>
              </w:p>
              <w:p>
                <w:pPr>
                  <w:ind w:firstLine="709"/>
                  <w:jc w:val="both"/>
                  <w:rPr>
                    <w:b/>
                    <w:bCs/>
                    <w:szCs w:val="24"/>
                  </w:rPr>
                </w:pPr>
                <w:r>
                  <w:rPr>
                    <w:b/>
                    <w:bCs/>
                    <w:szCs w:val="24"/>
                  </w:rPr>
                  <w:t xml:space="preserve">„5.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pagal Reglamentą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p>
                <w:pPr>
                  <w:widowControl w:val="0"/>
                  <w:suppressAutoHyphens/>
                  <w:jc w:val="both"/>
                  <w:rPr>
                    <w:b/>
                    <w:bCs/>
                    <w:color w:val="000000"/>
                    <w:szCs w:val="24"/>
                  </w:rPr>
                </w:pPr>
              </w:p>
            </w:tc>
            <w:tc>
              <w:tcPr>
                <w:tcW w:w="3232" w:type="dxa"/>
              </w:tcPr>
              <w:p>
                <w:pPr>
                  <w:widowControl w:val="0"/>
                  <w:suppressAutoHyphens/>
                  <w:rPr>
                    <w:rFonts w:eastAsia="Lucida Sans Unicode"/>
                    <w:b/>
                    <w:bCs/>
                    <w:szCs w:val="24"/>
                  </w:rPr>
                </w:pPr>
                <w:r>
                  <w:rPr>
                    <w:rFonts w:eastAsia="Lucida Sans Unicode"/>
                    <w:b/>
                    <w:bCs/>
                    <w:szCs w:val="24"/>
                  </w:rPr>
                  <w:t>Dalinis</w:t>
                </w:r>
              </w:p>
              <w:p>
                <w:pPr>
                  <w:widowControl w:val="0"/>
                  <w:suppressAutoHyphens/>
                  <w:rPr>
                    <w:rFonts w:eastAsia="Lucida Sans Unicode"/>
                    <w:i/>
                    <w:iCs/>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D1-207 „Dėl Atliekų tarpvalstybinių vežimų tvarkos aprašo patvirtinimo</w:t>
                </w:r>
                <w:r>
                  <w:rPr>
                    <w:rFonts w:eastAsia="Lucida Sans Unicode"/>
                    <w:i/>
                    <w:iCs/>
                    <w:color w:val="000000"/>
                    <w:szCs w:val="24"/>
                  </w:rPr>
                  <w:t>“ pakeitimą.</w:t>
                </w:r>
              </w:p>
            </w:tc>
          </w:tr>
          <w:tr>
            <w:tc>
              <w:tcPr>
                <w:tcW w:w="3256" w:type="dxa"/>
              </w:tcPr>
              <w:p>
                <w:pPr>
                  <w:shd w:val="clear" w:color="auto" w:fill="FFFFFF"/>
                  <w:suppressAutoHyphens/>
                  <w:jc w:val="both"/>
                  <w:rPr>
                    <w:b/>
                    <w:bCs/>
                    <w:color w:val="000000"/>
                    <w:kern w:val="1"/>
                    <w:szCs w:val="24"/>
                    <w:lang w:eastAsia="ar-SA"/>
                  </w:rPr>
                </w:pPr>
                <w:r>
                  <w:rPr>
                    <w:b/>
                    <w:bCs/>
                    <w:color w:val="000000"/>
                    <w:kern w:val="1"/>
                    <w:szCs w:val="24"/>
                    <w:lang w:eastAsia="ar-SA"/>
                  </w:rPr>
                  <w:t>75 straipsnis „Kompetentingų institucijų paskyrimas“</w:t>
                </w:r>
              </w:p>
              <w:p>
                <w:pPr>
                  <w:shd w:val="clear" w:color="auto" w:fill="FFFFFF"/>
                  <w:jc w:val="both"/>
                  <w:rPr>
                    <w:color w:val="000000"/>
                    <w:szCs w:val="24"/>
                    <w:lang w:eastAsia="lt-LT"/>
                  </w:rPr>
                </w:pPr>
                <w:r>
                  <w:rPr>
                    <w:color w:val="000000"/>
                    <w:szCs w:val="24"/>
                    <w:lang w:eastAsia="lt-LT"/>
                  </w:rPr>
                  <w:t>Valstybės narės paskiria kompetentingą (-as) instituciją (-as), atsakingą (-as) už šio reglamento nuostatų įgyvendinimą. Kiekviena valstybė narė paskiria tik po vieną tranzito kompetentingą instituciją.</w:t>
                </w:r>
              </w:p>
            </w:tc>
            <w:tc>
              <w:tcPr>
                <w:tcW w:w="8505" w:type="dxa"/>
              </w:tcPr>
              <w:p>
                <w:pPr>
                  <w:ind w:firstLine="709"/>
                  <w:jc w:val="both"/>
                  <w:rPr>
                    <w:szCs w:val="24"/>
                  </w:rPr>
                </w:pPr>
                <w:r>
                  <w:rPr>
                    <w:b/>
                    <w:bCs/>
                    <w:szCs w:val="24"/>
                  </w:rPr>
                  <w:t>5 straipsnis. 4 straipsnio pakeitimas</w:t>
                </w:r>
              </w:p>
              <w:p>
                <w:pPr>
                  <w:ind w:firstLine="709"/>
                  <w:jc w:val="both"/>
                  <w:rPr>
                    <w:b/>
                    <w:bCs/>
                    <w:szCs w:val="24"/>
                  </w:rPr>
                </w:pPr>
                <w:r>
                  <w:rPr>
                    <w:b/>
                    <w:bCs/>
                    <w:szCs w:val="24"/>
                  </w:rPr>
                  <w:t>Pakeisti 4 straipsnio 5 dalį ir ją išdėstyti taip:</w:t>
                </w:r>
              </w:p>
              <w:p>
                <w:pPr>
                  <w:ind w:firstLine="709"/>
                  <w:jc w:val="both"/>
                  <w:rPr>
                    <w:szCs w:val="24"/>
                  </w:rPr>
                </w:pPr>
                <w:r>
                  <w:rPr>
                    <w:b/>
                    <w:bCs/>
                    <w:szCs w:val="24"/>
                  </w:rPr>
                  <w:t xml:space="preserve">„5.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Reglamentą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tc>
            <w:tc>
              <w:tcPr>
                <w:tcW w:w="3232" w:type="dxa"/>
              </w:tcPr>
              <w:p>
                <w:pPr>
                  <w:widowControl w:val="0"/>
                  <w:suppressAutoHyphens/>
                  <w:rPr>
                    <w:rFonts w:eastAsia="Lucida Sans Unicode"/>
                    <w:b/>
                    <w:szCs w:val="24"/>
                  </w:rPr>
                </w:pPr>
                <w:r>
                  <w:rPr>
                    <w:rFonts w:eastAsia="Lucida Sans Unicode"/>
                    <w:b/>
                    <w:szCs w:val="24"/>
                  </w:rPr>
                  <w:t>Dalinis</w:t>
                </w:r>
              </w:p>
              <w:p>
                <w:pPr>
                  <w:widowControl w:val="0"/>
                  <w:suppressAutoHyphens/>
                  <w:rPr>
                    <w:rFonts w:eastAsia="Lucida Sans Unicode"/>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D1-207 „Dėl Atliekų tarpvalstybinių vežimų tvarkos aprašo patvirtinimo“</w:t>
                </w:r>
                <w:r>
                  <w:rPr>
                    <w:rFonts w:eastAsia="Lucida Sans Unicode"/>
                    <w:i/>
                    <w:iCs/>
                    <w:color w:val="000000"/>
                    <w:szCs w:val="24"/>
                  </w:rPr>
                  <w:t xml:space="preserve"> pakeitimą.</w:t>
                </w:r>
              </w:p>
            </w:tc>
          </w:tr>
          <w:tr>
            <w:tc>
              <w:tcPr>
                <w:tcW w:w="3256" w:type="dxa"/>
              </w:tcPr>
              <w:p>
                <w:pPr>
                  <w:shd w:val="clear" w:color="auto" w:fill="FFFFFF"/>
                  <w:suppressAutoHyphens/>
                  <w:rPr>
                    <w:b/>
                    <w:bCs/>
                    <w:color w:val="000000"/>
                    <w:kern w:val="1"/>
                    <w:szCs w:val="24"/>
                    <w:lang w:eastAsia="ar-SA"/>
                  </w:rPr>
                </w:pPr>
                <w:r>
                  <w:rPr>
                    <w:b/>
                    <w:bCs/>
                    <w:color w:val="000000"/>
                    <w:kern w:val="1"/>
                    <w:szCs w:val="24"/>
                    <w:lang w:eastAsia="ar-SA"/>
                  </w:rPr>
                  <w:t>76 straipsnis „Susirašinėtojų paskyrimas“</w:t>
                </w:r>
              </w:p>
              <w:p>
                <w:pPr>
                  <w:widowControl w:val="0"/>
                  <w:suppressAutoHyphens/>
                  <w:jc w:val="both"/>
                  <w:rPr>
                    <w:rFonts w:eastAsia="Lucida Sans Unicode"/>
                    <w:szCs w:val="24"/>
                    <w:lang w:eastAsia="ar-SA"/>
                  </w:rPr>
                </w:pPr>
                <w:r>
                  <w:rPr>
                    <w:rFonts w:eastAsia="Lucida Sans Unicode"/>
                    <w:color w:val="000000"/>
                    <w:szCs w:val="24"/>
                    <w:shd w:val="clear" w:color="auto" w:fill="FFFFFF"/>
                  </w:rPr>
                  <w:t>Valstybės narės ir Komisija paskiria po vieną ar daugiau susirašinėtojų, atsakingų už informacijos teikimą ar pranešimą asmenims ar įmonėms, teikiančioms su šio reglamento įgyvendinimu susijusias užklausas. Komisijos susirašinėtojas valstybių narių susirašinėtojams siunčia jam pateiktus klausimus, susijusius su valstybėmis narėmis, ir atvirkščiai.</w:t>
                </w:r>
              </w:p>
            </w:tc>
            <w:tc>
              <w:tcPr>
                <w:tcW w:w="8505" w:type="dxa"/>
              </w:tcPr>
              <w:p>
                <w:pPr>
                  <w:ind w:firstLine="709"/>
                  <w:jc w:val="both"/>
                  <w:rPr>
                    <w:szCs w:val="24"/>
                  </w:rPr>
                </w:pPr>
                <w:r>
                  <w:rPr>
                    <w:b/>
                    <w:bCs/>
                    <w:szCs w:val="24"/>
                  </w:rPr>
                  <w:t>5 straipsnis. 4 straipsnio pakeitimas</w:t>
                </w:r>
              </w:p>
              <w:p>
                <w:pPr>
                  <w:ind w:firstLine="709"/>
                  <w:jc w:val="both"/>
                  <w:rPr>
                    <w:b/>
                    <w:bCs/>
                    <w:szCs w:val="24"/>
                  </w:rPr>
                </w:pPr>
                <w:r>
                  <w:rPr>
                    <w:b/>
                    <w:bCs/>
                    <w:szCs w:val="24"/>
                  </w:rPr>
                  <w:t>Pakeisti 4 straipsnio 5 dalį ir ją išdėstyti taip:</w:t>
                </w:r>
              </w:p>
              <w:p>
                <w:pPr>
                  <w:ind w:firstLine="709"/>
                  <w:jc w:val="both"/>
                  <w:rPr>
                    <w:b/>
                    <w:bCs/>
                    <w:szCs w:val="24"/>
                  </w:rPr>
                </w:pPr>
                <w:r>
                  <w:rPr>
                    <w:b/>
                    <w:bCs/>
                    <w:szCs w:val="24"/>
                  </w:rPr>
                  <w:t xml:space="preserve">„5. Atliekų vežimą tranzitu, išvežimą, eksportą iš Lietuvos Respublikos, įvežimą, importą į Lietuvos Respubliką ir išankstinių sutikimų išdavimą, keitimą, galiojimo panaikinimą reglamentuoja Lietuvos Respublikos, Europos Sąjungos teisės aktai ir tarptautinės sutartys, reglamentuojančios atliekų tarpvalstybinius vežimus. Aplinkos ministro įgaliota institucija pagal kompetenciją atlieka kompetentingos institucijos, susirašinėtojo, bendradarbiavimo funkcijas ir (ar) prižiūri atliekų vežimo tranzitu, išvežimo, eksporto iš Lietuvos Respublikos ir įvežimo, importo į Lietuvos Respubliką reikalavimų vykdymą Reglamentą </w:t>
                </w:r>
                <w:fldSimple w:instr="HYPERLINK http://eur-lex.europa.eu/legal-content/LIT/TXT/?uri=CELEX:32024R1157&amp;locale=lt \t _blank">
                  <w:r>
                    <w:rPr>
                      <w:b/>
                      <w:bCs/>
                      <w:szCs w:val="24"/>
                      <w:u w:val="single"/>
                      <w:color w:val="0000FF" w:themeColor="hyperlink"/>
                    </w:rPr>
                    <w:t>(ES) 2024/1157</w:t>
                  </w:r>
                </w:fldSimple>
                <w:r>
                  <w:rPr>
                    <w:b/>
                    <w:bCs/>
                    <w:szCs w:val="24"/>
                  </w:rPr>
                  <w:t xml:space="preserve"> ir kitų Lietuvos Respublikos, Europos Sąjungos teisės aktų ir tarptautinių sutarčių nuostatas, reglamentuojančias atliekų tarpvalstybinius vežimus. Atliekų tarpvalstybinių vežimų tvarką tvirtina aplinkos ministras.“</w:t>
                </w:r>
              </w:p>
            </w:tc>
            <w:tc>
              <w:tcPr>
                <w:tcW w:w="3232" w:type="dxa"/>
              </w:tcPr>
              <w:p>
                <w:pPr>
                  <w:widowControl w:val="0"/>
                  <w:suppressAutoHyphens/>
                  <w:rPr>
                    <w:rFonts w:eastAsia="Lucida Sans Unicode"/>
                    <w:b/>
                    <w:szCs w:val="24"/>
                  </w:rPr>
                </w:pPr>
                <w:r>
                  <w:rPr>
                    <w:rFonts w:eastAsia="Lucida Sans Unicode"/>
                    <w:b/>
                    <w:szCs w:val="24"/>
                  </w:rPr>
                  <w:t>Dalinis</w:t>
                </w:r>
              </w:p>
              <w:p>
                <w:pPr>
                  <w:widowControl w:val="0"/>
                  <w:suppressAutoHyphens/>
                  <w:rPr>
                    <w:rFonts w:eastAsia="Lucida Sans Unicode"/>
                    <w:szCs w:val="24"/>
                  </w:rPr>
                </w:pPr>
                <w:r>
                  <w:rPr>
                    <w:rFonts w:eastAsia="Lucida Sans Unicode"/>
                    <w:i/>
                    <w:iCs/>
                    <w:szCs w:val="24"/>
                  </w:rPr>
                  <w:t xml:space="preserve">Pastaba. Visiškai bus įgyvendinta patvirtinus Lietuvos Respublikos aplinkos ministro 2004 m. balandžio </w:t>
                </w:r>
                <w:r>
                  <w:rPr>
                    <w:rFonts w:eastAsia="Lucida Sans Unicode"/>
                    <w:i/>
                    <w:iCs/>
                    <w:szCs w:val="24"/>
                    <w:lang w:val="en-US"/>
                  </w:rPr>
                  <w:t>27</w:t>
                </w:r>
                <w:r>
                  <w:rPr>
                    <w:rFonts w:eastAsia="Lucida Sans Unicode"/>
                    <w:i/>
                    <w:iCs/>
                    <w:szCs w:val="24"/>
                  </w:rPr>
                  <w:t> d. įsakymo Nr. D1-207 „Dėl Atliekų tarpvalstybinių vežimų tvarkos aprašo patvirtinimo“</w:t>
                </w:r>
                <w:r>
                  <w:rPr>
                    <w:rFonts w:eastAsia="Lucida Sans Unicode"/>
                    <w:i/>
                    <w:iCs/>
                    <w:color w:val="000000"/>
                    <w:szCs w:val="24"/>
                  </w:rPr>
                  <w:t xml:space="preserve"> pakeitimą.</w:t>
                </w:r>
              </w:p>
            </w:tc>
          </w:tr>
        </w:tbl>
        <w:p/>
      </w:sdtContent>
    </w:sdt>
    <w:sdt>
      <w:sdtPr>
        <w:alias w:val="pastraipa"/>
        <w:tag w:val="part_04ddf10d7dc14af8b09bf043fcdcb912"/>
        <w:lock w:val="sdtLocked"/>
        <w:richText/>
      </w:sdtPr>
      <w:sdtContent>
        <w:p>
          <w:pPr>
            <w:widowControl w:val="0"/>
            <w:shd w:val="clear" w:color="auto" w:fill="FFFFFF"/>
            <w:suppressAutoHyphens/>
            <w:jc w:val="center"/>
            <w:rPr>
              <w:rFonts w:eastAsia="Lucida Sans Unicode"/>
              <w:szCs w:val="24"/>
            </w:rPr>
          </w:pPr>
          <w:r>
            <w:rPr>
              <w:rFonts w:eastAsia="Lucida Sans Unicode"/>
              <w:szCs w:val="24"/>
            </w:rPr>
            <w:t>_______________________________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rPr>
      </w:pPr>
      <w:r>
        <w:rPr>
          <w:rFonts w:eastAsia="Lucida Sans Unicode"/>
          <w:szCs w:val="24"/>
        </w:rPr>
        <w:separator/>
      </w:r>
    </w:p>
  </w:endnote>
  <w:endnote w:type="continuationSeparator" w:id="0">
    <w:p>
      <w:pPr>
        <w:widowControl w:val="0"/>
        <w:suppressAutoHyphens/>
        <w:rPr>
          <w:rFonts w:eastAsia="Lucida Sans Unicode"/>
          <w:szCs w:val="24"/>
        </w:rPr>
      </w:pPr>
      <w:r>
        <w:rPr>
          <w:rFonts w:eastAsia="Lucida Sans Unicode"/>
          <w:szCs w:val="24"/>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rPr>
      </w:pPr>
      <w:r>
        <w:rPr>
          <w:rFonts w:eastAsia="Lucida Sans Unicode"/>
          <w:szCs w:val="24"/>
        </w:rPr>
        <w:separator/>
      </w:r>
    </w:p>
  </w:footnote>
  <w:footnote w:type="continuationSeparator" w:id="0">
    <w:p>
      <w:pPr>
        <w:widowControl w:val="0"/>
        <w:suppressAutoHyphens/>
        <w:rPr>
          <w:rFonts w:eastAsia="Lucida Sans Unicode"/>
          <w:szCs w:val="24"/>
        </w:rPr>
      </w:pPr>
      <w:r>
        <w:rPr>
          <w:rFonts w:eastAsia="Lucida Sans Unicode"/>
          <w:szCs w:val="24"/>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eastAsia="Lucida Sans Unicod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A01A96-87CD-430B-A3DA-D9EBEF2D9E4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54933">
      <w:bodyDiv w:val="1"/>
      <w:marLeft w:val="0"/>
      <w:marRight w:val="0"/>
      <w:marTop w:val="0"/>
      <w:marBottom w:val="0"/>
      <w:divBdr>
        <w:top w:val="none" w:sz="0" w:space="0" w:color="auto"/>
        <w:left w:val="none" w:sz="0" w:space="0" w:color="auto"/>
        <w:bottom w:val="none" w:sz="0" w:space="0" w:color="auto"/>
        <w:right w:val="none" w:sz="0" w:space="0" w:color="auto"/>
      </w:divBdr>
      <w:divsChild>
        <w:div w:id="860321202">
          <w:marLeft w:val="0"/>
          <w:marRight w:val="0"/>
          <w:marTop w:val="0"/>
          <w:marBottom w:val="0"/>
          <w:divBdr>
            <w:top w:val="none" w:sz="0" w:space="0" w:color="auto"/>
            <w:left w:val="none" w:sz="0" w:space="0" w:color="auto"/>
            <w:bottom w:val="none" w:sz="0" w:space="0" w:color="auto"/>
            <w:right w:val="none" w:sz="0" w:space="0" w:color="auto"/>
          </w:divBdr>
        </w:div>
        <w:div w:id="1752314296">
          <w:marLeft w:val="0"/>
          <w:marRight w:val="0"/>
          <w:marTop w:val="0"/>
          <w:marBottom w:val="0"/>
          <w:divBdr>
            <w:top w:val="none" w:sz="0" w:space="0" w:color="auto"/>
            <w:left w:val="none" w:sz="0" w:space="0" w:color="auto"/>
            <w:bottom w:val="none" w:sz="0" w:space="0" w:color="auto"/>
            <w:right w:val="none" w:sz="0" w:space="0" w:color="auto"/>
          </w:divBdr>
        </w:div>
      </w:divsChild>
    </w:div>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194076334">
      <w:bodyDiv w:val="1"/>
      <w:marLeft w:val="0"/>
      <w:marRight w:val="0"/>
      <w:marTop w:val="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568224420">
      <w:bodyDiv w:val="1"/>
      <w:marLeft w:val="0"/>
      <w:marRight w:val="0"/>
      <w:marTop w:val="0"/>
      <w:marBottom w:val="0"/>
      <w:divBdr>
        <w:top w:val="none" w:sz="0" w:space="0" w:color="auto"/>
        <w:left w:val="none" w:sz="0" w:space="0" w:color="auto"/>
        <w:bottom w:val="none" w:sz="0" w:space="0" w:color="auto"/>
        <w:right w:val="none" w:sz="0" w:space="0" w:color="auto"/>
      </w:divBdr>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495760093">
      <w:bodyDiv w:val="1"/>
      <w:marLeft w:val="0"/>
      <w:marRight w:val="0"/>
      <w:marTop w:val="0"/>
      <w:marBottom w:val="0"/>
      <w:divBdr>
        <w:top w:val="none" w:sz="0" w:space="0" w:color="auto"/>
        <w:left w:val="none" w:sz="0" w:space="0" w:color="auto"/>
        <w:bottom w:val="none" w:sz="0" w:space="0" w:color="auto"/>
        <w:right w:val="none" w:sz="0" w:space="0" w:color="auto"/>
      </w:divBdr>
      <w:divsChild>
        <w:div w:id="29766306">
          <w:marLeft w:val="0"/>
          <w:marRight w:val="0"/>
          <w:marTop w:val="0"/>
          <w:marBottom w:val="0"/>
          <w:divBdr>
            <w:top w:val="none" w:sz="0" w:space="0" w:color="auto"/>
            <w:left w:val="none" w:sz="0" w:space="0" w:color="auto"/>
            <w:bottom w:val="none" w:sz="0" w:space="0" w:color="auto"/>
            <w:right w:val="none" w:sz="0" w:space="0" w:color="auto"/>
          </w:divBdr>
        </w:div>
        <w:div w:id="313989782">
          <w:marLeft w:val="0"/>
          <w:marRight w:val="0"/>
          <w:marTop w:val="0"/>
          <w:marBottom w:val="0"/>
          <w:divBdr>
            <w:top w:val="none" w:sz="0" w:space="0" w:color="auto"/>
            <w:left w:val="none" w:sz="0" w:space="0" w:color="auto"/>
            <w:bottom w:val="none" w:sz="0" w:space="0" w:color="auto"/>
            <w:right w:val="none" w:sz="0" w:space="0" w:color="auto"/>
          </w:divBdr>
        </w:div>
        <w:div w:id="338627883">
          <w:marLeft w:val="0"/>
          <w:marRight w:val="0"/>
          <w:marTop w:val="0"/>
          <w:marBottom w:val="0"/>
          <w:divBdr>
            <w:top w:val="none" w:sz="0" w:space="0" w:color="auto"/>
            <w:left w:val="none" w:sz="0" w:space="0" w:color="auto"/>
            <w:bottom w:val="none" w:sz="0" w:space="0" w:color="auto"/>
            <w:right w:val="none" w:sz="0" w:space="0" w:color="auto"/>
          </w:divBdr>
        </w:div>
        <w:div w:id="401634907">
          <w:marLeft w:val="0"/>
          <w:marRight w:val="0"/>
          <w:marTop w:val="0"/>
          <w:marBottom w:val="0"/>
          <w:divBdr>
            <w:top w:val="none" w:sz="0" w:space="0" w:color="auto"/>
            <w:left w:val="none" w:sz="0" w:space="0" w:color="auto"/>
            <w:bottom w:val="none" w:sz="0" w:space="0" w:color="auto"/>
            <w:right w:val="none" w:sz="0" w:space="0" w:color="auto"/>
          </w:divBdr>
        </w:div>
        <w:div w:id="420218988">
          <w:marLeft w:val="0"/>
          <w:marRight w:val="0"/>
          <w:marTop w:val="0"/>
          <w:marBottom w:val="0"/>
          <w:divBdr>
            <w:top w:val="none" w:sz="0" w:space="0" w:color="auto"/>
            <w:left w:val="none" w:sz="0" w:space="0" w:color="auto"/>
            <w:bottom w:val="none" w:sz="0" w:space="0" w:color="auto"/>
            <w:right w:val="none" w:sz="0" w:space="0" w:color="auto"/>
          </w:divBdr>
        </w:div>
        <w:div w:id="498038846">
          <w:marLeft w:val="0"/>
          <w:marRight w:val="0"/>
          <w:marTop w:val="0"/>
          <w:marBottom w:val="0"/>
          <w:divBdr>
            <w:top w:val="none" w:sz="0" w:space="0" w:color="auto"/>
            <w:left w:val="none" w:sz="0" w:space="0" w:color="auto"/>
            <w:bottom w:val="none" w:sz="0" w:space="0" w:color="auto"/>
            <w:right w:val="none" w:sz="0" w:space="0" w:color="auto"/>
          </w:divBdr>
        </w:div>
        <w:div w:id="1072582045">
          <w:marLeft w:val="0"/>
          <w:marRight w:val="0"/>
          <w:marTop w:val="0"/>
          <w:marBottom w:val="0"/>
          <w:divBdr>
            <w:top w:val="none" w:sz="0" w:space="0" w:color="auto"/>
            <w:left w:val="none" w:sz="0" w:space="0" w:color="auto"/>
            <w:bottom w:val="none" w:sz="0" w:space="0" w:color="auto"/>
            <w:right w:val="none" w:sz="0" w:space="0" w:color="auto"/>
          </w:divBdr>
        </w:div>
        <w:div w:id="1212840582">
          <w:marLeft w:val="0"/>
          <w:marRight w:val="0"/>
          <w:marTop w:val="0"/>
          <w:marBottom w:val="0"/>
          <w:divBdr>
            <w:top w:val="none" w:sz="0" w:space="0" w:color="auto"/>
            <w:left w:val="none" w:sz="0" w:space="0" w:color="auto"/>
            <w:bottom w:val="none" w:sz="0" w:space="0" w:color="auto"/>
            <w:right w:val="none" w:sz="0" w:space="0" w:color="auto"/>
          </w:divBdr>
        </w:div>
        <w:div w:id="1682854089">
          <w:marLeft w:val="0"/>
          <w:marRight w:val="0"/>
          <w:marTop w:val="0"/>
          <w:marBottom w:val="0"/>
          <w:divBdr>
            <w:top w:val="none" w:sz="0" w:space="0" w:color="auto"/>
            <w:left w:val="none" w:sz="0" w:space="0" w:color="auto"/>
            <w:bottom w:val="none" w:sz="0" w:space="0" w:color="auto"/>
            <w:right w:val="none" w:sz="0" w:space="0" w:color="auto"/>
          </w:divBdr>
        </w:div>
        <w:div w:id="1880433402">
          <w:marLeft w:val="0"/>
          <w:marRight w:val="0"/>
          <w:marTop w:val="0"/>
          <w:marBottom w:val="0"/>
          <w:divBdr>
            <w:top w:val="none" w:sz="0" w:space="0" w:color="auto"/>
            <w:left w:val="none" w:sz="0" w:space="0" w:color="auto"/>
            <w:bottom w:val="none" w:sz="0" w:space="0" w:color="auto"/>
            <w:right w:val="none" w:sz="0" w:space="0" w:color="auto"/>
          </w:divBdr>
        </w:div>
      </w:divsChild>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800761263">
      <w:bodyDiv w:val="1"/>
      <w:marLeft w:val="0"/>
      <w:marRight w:val="0"/>
      <w:marTop w:val="0"/>
      <w:marBottom w:val="0"/>
      <w:divBdr>
        <w:top w:val="none" w:sz="0" w:space="0" w:color="auto"/>
        <w:left w:val="none" w:sz="0" w:space="0" w:color="auto"/>
        <w:bottom w:val="none" w:sz="0" w:space="0" w:color="auto"/>
        <w:right w:val="none" w:sz="0" w:space="0" w:color="auto"/>
      </w:divBdr>
      <w:divsChild>
        <w:div w:id="2115175390">
          <w:marLeft w:val="0"/>
          <w:marRight w:val="0"/>
          <w:marTop w:val="0"/>
          <w:marBottom w:val="0"/>
          <w:divBdr>
            <w:top w:val="none" w:sz="0" w:space="0" w:color="auto"/>
            <w:left w:val="none" w:sz="0" w:space="0" w:color="auto"/>
            <w:bottom w:val="none" w:sz="0" w:space="0" w:color="auto"/>
            <w:right w:val="none" w:sz="0" w:space="0" w:color="auto"/>
          </w:divBdr>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s>
  <w:encoding w:val="windows-1252"/>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SharedWithUsers xmlns="19cf09c5-daa1-4028-a0ff-74a0be4ec5cc">
      <UserInfo>
        <DisplayName/>
        <AccountId xsi:nil="true"/>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9" ma:contentTypeDescription="Create a new document." ma:contentTypeScope="" ma:versionID="78b2ebf663a0b641408919b41bcf3202">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75d80d920efa08bb9b56b02d57f3f089"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7ec3436e-2e75-43d1-b565-6f6c5970dbda}"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afd111b1bc9c4cadb072c2385d6f98a8" PartId="99cc9ae2c13a479a82ca9afe847b6137"/>
  <Part Type="pastraipa" DocPartId="123747b32a844a63af3764da564252b0" PartId="04ddf10d7dc14af8b09bf043fcdcb912"/>
</Parts>
</file>

<file path=customXml/itemProps1.xml><?xml version="1.0" encoding="utf-8"?>
<ds:datastoreItem xmlns:ds="http://schemas.openxmlformats.org/officeDocument/2006/customXml" ds:itemID="{DB3AC7F6-623D-44C1-B582-1CE6A2051807}">
  <ds:schemaRefs>
    <ds:schemaRef ds:uri="http://www.w3.org/XML/1998/namespace"/>
    <ds:schemaRef ds:uri="http://schemas.microsoft.com/office/2006/metadata/properties"/>
    <ds:schemaRef ds:uri="http://purl.org/dc/elements/1.1/"/>
    <ds:schemaRef ds:uri="http://purl.org/dc/dcmitype/"/>
    <ds:schemaRef ds:uri="http://purl.org/dc/terms/"/>
    <ds:schemaRef ds:uri="f5aad5d0-9c26-490e-8743-a6c7ceabd501"/>
    <ds:schemaRef ds:uri="http://schemas.microsoft.com/office/infopath/2007/PartnerControls"/>
    <ds:schemaRef ds:uri="http://schemas.microsoft.com/office/2006/documentManagement/types"/>
    <ds:schemaRef ds:uri="http://schemas.openxmlformats.org/package/2006/metadata/core-properties"/>
    <ds:schemaRef ds:uri="19cf09c5-daa1-4028-a0ff-74a0be4ec5cc"/>
  </ds:schemaRefs>
</ds:datastoreItem>
</file>

<file path=customXml/itemProps2.xml><?xml version="1.0" encoding="utf-8"?>
<ds:datastoreItem xmlns:ds="http://schemas.openxmlformats.org/officeDocument/2006/customXml" ds:itemID="{84BAF20A-3D8D-4EF1-B463-6968442E92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18A557-41DE-47D1-8023-37392E54CFA1}">
  <ds:schemaRefs>
    <ds:schemaRef ds:uri="http://schemas.microsoft.com/sharepoint/v3/contenttype/forms"/>
  </ds:schemaRefs>
</ds:datastoreItem>
</file>

<file path=customXml/itemProps4.xml><?xml version="1.0" encoding="utf-8"?>
<ds:datastoreItem xmlns:ds="http://schemas.openxmlformats.org/officeDocument/2006/customXml" ds:itemID="{BCADB325-7C3E-4644-97F8-124AD7F8AF59}">
  <ds:schemaRefs>
    <ds:schemaRef ds:uri="http://schemas.openxmlformats.org/officeDocument/2006/bibliography"/>
  </ds:schemaRefs>
</ds:datastoreItem>
</file>

<file path=customXml/itemProps5.xml><?xml version="1.0" encoding="utf-8"?>
<ds:datastoreItem xmlns:ds="http://schemas.openxmlformats.org/officeDocument/2006/customXml" ds:itemID="{F4C53178-AD8A-4BDC-8BC7-314AD90224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1858</Words>
  <Characters>13363</Characters>
  <Application>Microsoft Office Word</Application>
  <DocSecurity>4</DocSecurity>
  <Lines>417</Lines>
  <Paragraphs>104</Paragraphs>
  <ScaleCrop>false</ScaleCrop>
  <Company>Hewlett-Packard Company</Company>
  <LinksUpToDate>false</LinksUpToDate>
  <CharactersWithSpaces>15117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2025-11-28T14:09:00Z</dcterms:created>
  <dc:creator>Orinta Vaitkutė</dc:creator>
  <lastModifiedBy>adlibuser</lastModifiedBy>
  <lastPrinted>2015-03-02T12:26:00Z</lastPrinted>
  <dcterms:modified xsi:type="dcterms:W3CDTF">2025-11-28T14:09:00Z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y fmtid="{D5CDD505-2E9C-101B-9397-08002B2CF9AE}" pid="4" name="Order">
    <vt:r8>2092800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