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9ad73788d274027864a09b080fbb5ba"/>
        <w:lock w:val="sdtLocked"/>
        <w:richText/>
      </w:sdtPr>
      <w:sdtContent>
        <w:p w14:paraId="319C5121" w14:textId="77777777">
          <w:pPr>
            <w:widowControl w:val="0"/>
            <w:tabs>
              <w:tab w:val="center" w:pos="4819"/>
              <w:tab w:val="right" w:pos="9638"/>
            </w:tabs>
            <w:suppressAutoHyphens/>
            <w:jc w:val="center"/>
            <w:rPr>
              <w:rFonts w:eastAsia="Lucida Sans Unicode"/>
              <w:szCs w:val="24"/>
              <w:lang w:val="x-none"/>
            </w:rPr>
          </w:pPr>
        </w:p>
        <w:p w14:paraId="54E12951" w14:textId="77777777">
          <w:pPr>
            <w:widowControl w:val="0"/>
            <w:tabs>
              <w:tab w:val="center" w:pos="4819"/>
              <w:tab w:val="right" w:pos="9638"/>
            </w:tabs>
            <w:suppressAutoHyphens/>
            <w:rPr>
              <w:rFonts w:eastAsia="Lucida Sans Unicode"/>
              <w:szCs w:val="24"/>
              <w:lang w:val="x-none"/>
            </w:rPr>
          </w:pPr>
        </w:p>
        <w:p w14:paraId="3264CD79" w14:textId="11BE02DF">
          <w:pPr>
            <w:widowControl w:val="0"/>
            <w:suppressAutoHyphens/>
            <w:jc w:val="center"/>
            <w:rPr>
              <w:rFonts w:eastAsia="Lucida Sans Unicode"/>
              <w:b/>
              <w:bCs/>
              <w:color w:val="000000"/>
              <w:szCs w:val="24"/>
              <w:lang w:eastAsia="lt-LT"/>
            </w:rPr>
          </w:pPr>
          <w:r>
            <w:rPr>
              <w:rFonts w:eastAsia="Lucida Sans Unicode"/>
              <w:b/>
              <w:bCs/>
              <w:kern w:val="1"/>
              <w:szCs w:val="24"/>
              <w:lang w:eastAsia="ar-SA"/>
            </w:rPr>
            <w:t>REGLAMENTO (ES) 2023/1542, NACIONALINIŲ TEISĖS AKTŲ</w:t>
          </w:r>
          <w:r>
            <w:rPr>
              <w:b/>
              <w:bCs/>
              <w:kern w:val="1"/>
              <w:szCs w:val="24"/>
              <w:lang w:eastAsia="ar-SA"/>
            </w:rPr>
            <w:t xml:space="preserve"> </w:t>
          </w:r>
          <w:r>
            <w:rPr>
              <w:b/>
              <w:bCs/>
              <w:szCs w:val="24"/>
            </w:rPr>
            <w:t xml:space="preserve">IR </w:t>
          </w:r>
          <w:r>
            <w:rPr>
              <w:rFonts w:eastAsia="Lucida Sans Unicode"/>
              <w:b/>
              <w:bCs/>
              <w:color w:val="000000"/>
              <w:szCs w:val="24"/>
              <w:lang w:eastAsia="lt-LT"/>
            </w:rPr>
            <w:t xml:space="preserve">ĮSTATYMŲ PROJEKTŲ </w:t>
          </w:r>
        </w:p>
        <w:p w14:paraId="57428B3C" w14:textId="272E32EF">
          <w:pPr>
            <w:widowControl w:val="0"/>
            <w:suppressAutoHyphens/>
            <w:jc w:val="center"/>
            <w:rPr>
              <w:rFonts w:eastAsia="Lucida Sans Unicode"/>
              <w:b/>
              <w:szCs w:val="24"/>
            </w:rPr>
          </w:pPr>
          <w:r>
            <w:rPr>
              <w:rFonts w:eastAsia="Lucida Sans Unicode"/>
              <w:b/>
              <w:bCs/>
              <w:szCs w:val="24"/>
            </w:rPr>
            <w:t>ATITIKTIES LENTELĖ</w:t>
          </w:r>
        </w:p>
        <w:p w14:paraId="2EE45849" w14:textId="77777777">
          <w:pPr>
            <w:widowControl w:val="0"/>
            <w:suppressAutoHyphens/>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9"/>
            <w:gridCol w:w="9078"/>
            <w:gridCol w:w="1756"/>
          </w:tblGrid>
          <w:tr w14:paraId="74F39DEC" w14:textId="77777777">
            <w:tc>
              <w:tcPr>
                <w:tcW w:w="3450" w:type="dxa"/>
              </w:tcPr>
              <w:p w14:paraId="07BD0374" w14:textId="2CF3B143">
                <w:pPr>
                  <w:jc w:val="both"/>
                  <w:rPr>
                    <w:rFonts w:eastAsia="Lucida Sans Unicode"/>
                    <w:b/>
                    <w:kern w:val="1"/>
                    <w:szCs w:val="24"/>
                    <w:lang w:eastAsia="ar-SA"/>
                  </w:rPr>
                </w:pPr>
                <w:r>
                  <w:rPr>
                    <w:rFonts w:eastAsia="Lucida Sans Unicode"/>
                    <w:b/>
                    <w:bCs/>
                    <w:szCs w:val="24"/>
                  </w:rPr>
                  <w:t xml:space="preserve">2023 m. liepos 12 d. Europos Parlamento ir Tarybos reglamentas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dėl baterijų ir baterijų atliekų, kuriuo iš dalies keičiama Direktyva </w:t>
                </w:r>
                <w:fldSimple w:instr="HYPERLINK http://eur-lex.europa.eu/legal-content/LIT/TXT/?uri=CELEX:32008L0098&amp;locale=lt \t _blank">
                  <w:r>
                    <w:rPr>
                      <w:rFonts w:eastAsia="Lucida Sans Unicode"/>
                      <w:b/>
                      <w:bCs/>
                      <w:szCs w:val="24"/>
                      <w:u w:val="single"/>
                      <w:color w:val="0000FF" w:themeColor="hyperlink"/>
                    </w:rPr>
                    <w:t>2008/98/EB</w:t>
                  </w:r>
                </w:fldSimple>
                <w:r>
                  <w:rPr>
                    <w:rFonts w:eastAsia="Lucida Sans Unicode"/>
                    <w:b/>
                    <w:bCs/>
                    <w:szCs w:val="24"/>
                  </w:rPr>
                  <w:t xml:space="preserve"> bei Reglamentas </w:t>
                </w:r>
                <w:fldSimple w:instr="HYPERLINK http://eur-lex.europa.eu/legal-content/LIT/TXT/?uri=CELEX:32019R1020&amp;locale=lt \t _blank">
                  <w:r>
                    <w:rPr>
                      <w:rFonts w:eastAsia="Lucida Sans Unicode"/>
                      <w:b/>
                      <w:bCs/>
                      <w:szCs w:val="24"/>
                      <w:u w:val="single"/>
                      <w:color w:val="0000FF" w:themeColor="hyperlink"/>
                    </w:rPr>
                    <w:t>(ES) 2019/1020</w:t>
                  </w:r>
                </w:fldSimple>
                <w:r>
                  <w:rPr>
                    <w:rFonts w:eastAsia="Lucida Sans Unicode"/>
                    <w:b/>
                    <w:bCs/>
                    <w:szCs w:val="24"/>
                  </w:rPr>
                  <w:t xml:space="preserve"> ir panaikinama Direktyva </w:t>
                </w:r>
                <w:fldSimple w:instr="HYPERLINK http://eur-lex.europa.eu/legal-content/LIT/TXT/?uri=CELEX:32006L0066&amp;locale=lt \t _blank">
                  <w:r>
                    <w:rPr>
                      <w:rFonts w:eastAsia="Lucida Sans Unicode"/>
                      <w:b/>
                      <w:bCs/>
                      <w:szCs w:val="24"/>
                      <w:u w:val="single"/>
                      <w:color w:val="0000FF" w:themeColor="hyperlink"/>
                    </w:rPr>
                    <w:t>2006/66/EB</w:t>
                  </w:r>
                </w:fldSimple>
              </w:p>
            </w:tc>
            <w:tc>
              <w:tcPr>
                <w:tcW w:w="9766" w:type="dxa"/>
              </w:tcPr>
              <w:p w14:paraId="5BB0DF1B" w14:textId="09954C5D">
                <w:pPr>
                  <w:widowControl w:val="0"/>
                  <w:suppressAutoHyphens/>
                  <w:jc w:val="both"/>
                  <w:rPr>
                    <w:rFonts w:eastAsia="Lucida Sans Unicode"/>
                    <w:szCs w:val="24"/>
                  </w:rPr>
                </w:pPr>
                <w:r>
                  <w:rPr>
                    <w:rFonts w:eastAsia="Lucida Sans Unicode"/>
                    <w:szCs w:val="24"/>
                  </w:rPr>
                  <w:t xml:space="preserve">Lietuvos Respublikos aplinkos apsaugos įstatymas Nr. I-2223 </w:t>
                </w:r>
                <w:r>
                  <w:rPr>
                    <w:rFonts w:eastAsia="Lucida Sans Unicode"/>
                    <w:spacing w:val="2"/>
                    <w:szCs w:val="24"/>
                    <w:shd w:val="clear" w:color="auto" w:fill="FFFFFF"/>
                  </w:rPr>
                  <w:t>(suvestinė redakcija nuo 2023-07-01 iki 2023-11-21)</w:t>
                </w:r>
                <w:r>
                  <w:rPr>
                    <w:rFonts w:eastAsia="Lucida Sans Unicode"/>
                    <w:szCs w:val="24"/>
                  </w:rPr>
                  <w:t xml:space="preserve"> (toliau – AAĮ)</w:t>
                </w:r>
              </w:p>
              <w:p w14:paraId="1F6A908B" w14:textId="7E561CF1">
                <w:pPr>
                  <w:widowControl w:val="0"/>
                  <w:suppressAutoHyphens/>
                  <w:jc w:val="both"/>
                  <w:rPr>
                    <w:rFonts w:eastAsia="Lucida Sans Unicode"/>
                    <w:b/>
                    <w:bCs/>
                    <w:szCs w:val="24"/>
                  </w:rPr>
                </w:pPr>
              </w:p>
              <w:p w14:paraId="049FA7B9" w14:textId="626A1745">
                <w:pPr>
                  <w:widowControl w:val="0"/>
                  <w:suppressAutoHyphens/>
                  <w:jc w:val="both"/>
                  <w:rPr>
                    <w:rFonts w:eastAsia="Lucida Sans Unicode"/>
                    <w:szCs w:val="24"/>
                  </w:rPr>
                </w:pPr>
                <w:r>
                  <w:rPr>
                    <w:rFonts w:eastAsia="Lucida Sans Unicode"/>
                    <w:szCs w:val="24"/>
                  </w:rPr>
                  <w:t xml:space="preserve">Lietuvos Respublikos administracinių nusižengimų kodekso patvirtinimo, įsigaliojimo ir įgyvendinimo tvarkos įstatymas Nr. XII-1869. Administracinių nusižengimų kodeksas </w:t>
                </w:r>
                <w:r>
                  <w:rPr>
                    <w:rFonts w:eastAsia="Lucida Sans Unicode"/>
                    <w:spacing w:val="2"/>
                    <w:szCs w:val="24"/>
                    <w:shd w:val="clear" w:color="auto" w:fill="FFFFFF"/>
                  </w:rPr>
                  <w:t>(suvestinė redakcija nuo 2023-07-12 iki 2023-08-31)</w:t>
                </w:r>
                <w:r>
                  <w:rPr>
                    <w:rFonts w:eastAsia="Lucida Sans Unicode"/>
                    <w:szCs w:val="24"/>
                  </w:rPr>
                  <w:t xml:space="preserve"> (toliau – ANK)</w:t>
                </w:r>
              </w:p>
              <w:p w14:paraId="74532A50" w14:textId="2AA90C8C">
                <w:pPr>
                  <w:widowControl w:val="0"/>
                  <w:suppressAutoHyphens/>
                  <w:jc w:val="both"/>
                  <w:rPr>
                    <w:rFonts w:eastAsia="Lucida Sans Unicode"/>
                    <w:b/>
                    <w:bCs/>
                    <w:szCs w:val="24"/>
                  </w:rPr>
                </w:pPr>
              </w:p>
              <w:p w14:paraId="673DC07F" w14:textId="603D3D8C">
                <w:pPr>
                  <w:widowControl w:val="0"/>
                  <w:suppressAutoHyphens/>
                  <w:jc w:val="both"/>
                  <w:rPr>
                    <w:rFonts w:eastAsia="Lucida Sans Unicode"/>
                    <w:szCs w:val="24"/>
                  </w:rPr>
                </w:pPr>
                <w:r>
                  <w:rPr>
                    <w:rFonts w:eastAsia="Lucida Sans Unicode"/>
                    <w:spacing w:val="2"/>
                    <w:szCs w:val="24"/>
                    <w:shd w:val="clear" w:color="auto" w:fill="FFFFFF"/>
                  </w:rPr>
                  <w:t>Lietuvos Respublikos atliekų tvarkymo įstatymas Nr. VIII-787 (suvestinė redakcija nuo 2023-01-31 iki 2023-10-03) (toliau – ATĮ)</w:t>
                </w:r>
              </w:p>
              <w:p w14:paraId="5D751ACE" w14:textId="77777777">
                <w:pPr>
                  <w:widowControl w:val="0"/>
                  <w:suppressAutoHyphens/>
                  <w:jc w:val="both"/>
                  <w:rPr>
                    <w:rFonts w:eastAsia="Lucida Sans Unicode"/>
                    <w:spacing w:val="2"/>
                    <w:szCs w:val="24"/>
                    <w:shd w:val="clear" w:color="auto" w:fill="FFFFFF"/>
                  </w:rPr>
                </w:pPr>
              </w:p>
              <w:p w14:paraId="7A6EC431" w14:textId="5343F661">
                <w:pPr>
                  <w:widowControl w:val="0"/>
                  <w:suppressAutoHyphens/>
                  <w:jc w:val="both"/>
                  <w:rPr>
                    <w:rFonts w:eastAsia="Lucida Sans Unicode"/>
                    <w:szCs w:val="24"/>
                  </w:rPr>
                </w:pPr>
                <w:r>
                  <w:rPr>
                    <w:rFonts w:eastAsia="Lucida Sans Unicode"/>
                    <w:szCs w:val="24"/>
                  </w:rPr>
                  <w:t xml:space="preserve">Lietuvos Respublikos paslaugų įstatymas Nr. XI-570 </w:t>
                </w:r>
                <w:r>
                  <w:rPr>
                    <w:rFonts w:eastAsia="Lucida Sans Unicode"/>
                    <w:spacing w:val="2"/>
                    <w:szCs w:val="24"/>
                    <w:shd w:val="clear" w:color="auto" w:fill="FFFFFF"/>
                  </w:rPr>
                  <w:t>(suvestinė redakcija nuo 2017-07-01 iki 2025-10-06)</w:t>
                </w:r>
                <w:r>
                  <w:rPr>
                    <w:rFonts w:eastAsia="Lucida Sans Unicode"/>
                    <w:szCs w:val="24"/>
                  </w:rPr>
                  <w:t xml:space="preserve"> (toliau – Paslaugų įstatymas)</w:t>
                </w:r>
              </w:p>
              <w:p w14:paraId="01ECC068" w14:textId="77777777">
                <w:pPr>
                  <w:widowControl w:val="0"/>
                  <w:suppressAutoHyphens/>
                  <w:jc w:val="both"/>
                  <w:rPr>
                    <w:rFonts w:eastAsia="Lucida Sans Unicode"/>
                    <w:spacing w:val="2"/>
                    <w:szCs w:val="24"/>
                    <w:shd w:val="clear" w:color="auto" w:fill="FFFFFF"/>
                  </w:rPr>
                </w:pPr>
              </w:p>
              <w:p w14:paraId="17F834AB" w14:textId="07578914">
                <w:pPr>
                  <w:widowControl w:val="0"/>
                  <w:suppressAutoHyphens/>
                  <w:jc w:val="both"/>
                  <w:rPr>
                    <w:rFonts w:eastAsia="Lucida Sans Unicode"/>
                    <w:b/>
                    <w:bCs/>
                    <w:szCs w:val="24"/>
                  </w:rPr>
                </w:pPr>
                <w:r>
                  <w:rPr>
                    <w:rFonts w:eastAsia="Lucida Sans Unicode"/>
                    <w:spacing w:val="2"/>
                    <w:szCs w:val="24"/>
                    <w:shd w:val="clear" w:color="auto" w:fill="FFFFFF"/>
                  </w:rPr>
                  <w:t xml:space="preserve">Lietuvos Respublikos </w:t>
                </w:r>
                <w:r>
                  <w:rPr>
                    <w:rFonts w:eastAsia="Lucida Sans Unicode"/>
                    <w:szCs w:val="24"/>
                  </w:rPr>
                  <w:t xml:space="preserve">atitikties vertinimo įstatymas Nr. VIII-870 (suvestinė redakcija nuo 2021-05-01 iki </w:t>
                </w:r>
                <w:r>
                  <w:rPr>
                    <w:rFonts w:eastAsia="Lucida Sans Unicode"/>
                    <w:spacing w:val="2"/>
                    <w:szCs w:val="24"/>
                    <w:shd w:val="clear" w:color="auto" w:fill="FFFFFF"/>
                  </w:rPr>
                  <w:t>2023-10-31</w:t>
                </w:r>
                <w:r>
                  <w:rPr>
                    <w:rFonts w:eastAsia="Lucida Sans Unicode"/>
                    <w:szCs w:val="24"/>
                  </w:rPr>
                  <w:t xml:space="preserve">) (toliau </w:t>
                </w:r>
                <w:r>
                  <w:rPr>
                    <w:rFonts w:eastAsia="Lucida Sans Unicode"/>
                    <w:spacing w:val="2"/>
                    <w:szCs w:val="24"/>
                    <w:shd w:val="clear" w:color="auto" w:fill="FFFFFF"/>
                  </w:rPr>
                  <w:t>– AVĮ</w:t>
                </w:r>
                <w:r>
                  <w:rPr>
                    <w:rFonts w:eastAsia="Lucida Sans Unicode"/>
                    <w:szCs w:val="24"/>
                  </w:rPr>
                  <w:t>)</w:t>
                </w:r>
              </w:p>
              <w:p w14:paraId="067B9A64" w14:textId="77777777">
                <w:pPr>
                  <w:widowControl w:val="0"/>
                  <w:suppressAutoHyphens/>
                  <w:jc w:val="both"/>
                  <w:rPr>
                    <w:rFonts w:eastAsia="Lucida Sans Unicode"/>
                    <w:b/>
                    <w:bCs/>
                    <w:szCs w:val="24"/>
                  </w:rPr>
                </w:pPr>
              </w:p>
              <w:p w14:paraId="4BB3475F" w14:textId="44326E3A">
                <w:pPr>
                  <w:widowControl w:val="0"/>
                  <w:suppressAutoHyphens/>
                  <w:jc w:val="both"/>
                  <w:rPr>
                    <w:rFonts w:eastAsia="Lucida Sans Unicode"/>
                    <w:b/>
                    <w:bCs/>
                    <w:szCs w:val="24"/>
                  </w:rPr>
                </w:pPr>
                <w:r>
                  <w:rPr>
                    <w:rFonts w:eastAsia="Lucida Sans Unicode"/>
                    <w:szCs w:val="24"/>
                  </w:rPr>
                  <w:t xml:space="preserve">Lietuvos Respublikos produktų saugos įstatymas Nr. VIII-1206 (suvestinė redakcija nuo 2019-05-01 iki 2024-12-12) (toliau </w:t>
                </w:r>
                <w:r>
                  <w:rPr>
                    <w:rFonts w:eastAsia="Lucida Sans Unicode"/>
                    <w:spacing w:val="2"/>
                    <w:szCs w:val="24"/>
                    <w:shd w:val="clear" w:color="auto" w:fill="FFFFFF"/>
                  </w:rPr>
                  <w:t>– PSĮ</w:t>
                </w:r>
                <w:r>
                  <w:rPr>
                    <w:rFonts w:eastAsia="Lucida Sans Unicode"/>
                    <w:szCs w:val="24"/>
                  </w:rPr>
                  <w:t>)</w:t>
                </w:r>
              </w:p>
              <w:p w14:paraId="7D5100EA" w14:textId="77777777">
                <w:pPr>
                  <w:widowControl w:val="0"/>
                  <w:suppressAutoHyphens/>
                  <w:jc w:val="both"/>
                  <w:rPr>
                    <w:rFonts w:eastAsia="Lucida Sans Unicode"/>
                    <w:b/>
                    <w:bCs/>
                    <w:szCs w:val="24"/>
                  </w:rPr>
                </w:pPr>
              </w:p>
              <w:p w14:paraId="3E14CB2F" w14:textId="5DBB761E">
                <w:pPr>
                  <w:widowControl w:val="0"/>
                  <w:suppressAutoHyphens/>
                  <w:jc w:val="both"/>
                  <w:rPr>
                    <w:color w:val="000000"/>
                    <w:szCs w:val="24"/>
                  </w:rPr>
                </w:pPr>
                <w:r>
                  <w:rPr>
                    <w:color w:val="000000"/>
                    <w:szCs w:val="24"/>
                  </w:rPr>
                  <w:t xml:space="preserve">Lietuvos Respublikos Vyriausybės 2006 m. sausio 11 d. nutarimas Nr. 18 „Dėl Gaminių ir (ar) pakuočių atliekų tvarkymo organizavimo licencijavimo taisyklių patvirtinimo“ </w:t>
                </w:r>
                <w:r>
                  <w:rPr>
                    <w:rFonts w:eastAsia="Lucida Sans Unicode"/>
                    <w:szCs w:val="24"/>
                  </w:rPr>
                  <w:t>(suvestinė redakcija nuo 2018-02-24 iki 2023-12-21)</w:t>
                </w:r>
                <w:r>
                  <w:rPr>
                    <w:color w:val="000000"/>
                    <w:szCs w:val="24"/>
                  </w:rPr>
                  <w:t xml:space="preserve"> (toliau – Gaminių ir (ar) pakuočių atliekų tvarkymo organizavimo licencijavimo taisyklės)</w:t>
                </w:r>
              </w:p>
              <w:p w14:paraId="17FEB6A9" w14:textId="77777777">
                <w:pPr>
                  <w:widowControl w:val="0"/>
                  <w:suppressAutoHyphens/>
                  <w:jc w:val="both"/>
                  <w:rPr>
                    <w:rFonts w:eastAsia="Lucida Sans Unicode"/>
                    <w:b/>
                    <w:bCs/>
                    <w:spacing w:val="2"/>
                    <w:szCs w:val="24"/>
                    <w:shd w:val="clear" w:color="auto" w:fill="FFFFFF"/>
                  </w:rPr>
                </w:pPr>
              </w:p>
              <w:p w14:paraId="7D77C51C" w14:textId="77777777">
                <w:pPr>
                  <w:widowControl w:val="0"/>
                  <w:suppressAutoHyphens/>
                  <w:jc w:val="both"/>
                  <w:rPr>
                    <w:rFonts w:eastAsia="Lucida Sans Unicode"/>
                    <w:b/>
                    <w:bCs/>
                    <w:szCs w:val="24"/>
                  </w:rPr>
                </w:pPr>
                <w:r>
                  <w:rPr>
                    <w:rFonts w:eastAsia="Lucida Sans Unicode"/>
                    <w:b/>
                    <w:bCs/>
                    <w:szCs w:val="24"/>
                  </w:rPr>
                  <w:t>Lietuvos Respublikos baterijų ir baterijų atliekų tvarkymo įstatymo projektas (toliau – Baterijų įstatymo projektas)</w:t>
                </w:r>
              </w:p>
              <w:p w14:paraId="0B4BD708" w14:textId="77777777">
                <w:pPr>
                  <w:widowControl w:val="0"/>
                  <w:suppressAutoHyphens/>
                  <w:jc w:val="both"/>
                  <w:rPr>
                    <w:rFonts w:eastAsia="Lucida Sans Unicode"/>
                    <w:b/>
                    <w:bCs/>
                    <w:spacing w:val="2"/>
                    <w:szCs w:val="24"/>
                    <w:shd w:val="clear" w:color="auto" w:fill="FFFFFF"/>
                  </w:rPr>
                </w:pPr>
              </w:p>
              <w:p w14:paraId="463E27D0" w14:textId="42B5B3BE">
                <w:pPr>
                  <w:widowControl w:val="0"/>
                  <w:suppressAutoHyphens/>
                  <w:jc w:val="both"/>
                  <w:rPr>
                    <w:rFonts w:eastAsia="Lucida Sans Unicode"/>
                    <w:b/>
                    <w:bCs/>
                    <w:spacing w:val="2"/>
                    <w:szCs w:val="24"/>
                    <w:shd w:val="clear" w:color="auto" w:fill="FFFFFF"/>
                  </w:rPr>
                </w:pPr>
                <w:r>
                  <w:rPr>
                    <w:rFonts w:eastAsia="Lucida Sans Unicode"/>
                    <w:b/>
                    <w:bCs/>
                    <w:spacing w:val="2"/>
                    <w:szCs w:val="24"/>
                    <w:shd w:val="clear" w:color="auto" w:fill="FFFFFF"/>
                  </w:rPr>
                  <w:t xml:space="preserve">Lietuvos Respublikos aplinkos apsaugos įstatymo </w:t>
                </w:r>
                <w:r>
                  <w:rPr>
                    <w:rFonts w:eastAsia="Lucida Sans Unicode"/>
                    <w:b/>
                    <w:bCs/>
                    <w:szCs w:val="24"/>
                  </w:rPr>
                  <w:t>Nr. I-2223 1, 47, 94, 95, 97, 98, 99, 100, 102 straipsnių ir priedo</w:t>
                </w:r>
                <w:r>
                  <w:rPr>
                    <w:rFonts w:eastAsia="Lucida Sans Unicode"/>
                    <w:b/>
                    <w:bCs/>
                    <w:spacing w:val="2"/>
                    <w:szCs w:val="24"/>
                    <w:shd w:val="clear" w:color="auto" w:fill="FFFFFF"/>
                  </w:rPr>
                  <w:t xml:space="preserve"> pakeitimo, Įstatymo papildymo </w:t>
                </w:r>
                <w:r>
                  <w:rPr>
                    <w:rFonts w:eastAsia="Lucida Sans Unicode"/>
                    <w:b/>
                    <w:bCs/>
                    <w:szCs w:val="24"/>
                  </w:rPr>
                  <w:t>100</w:t>
                </w:r>
                <w:r>
                  <w:rPr>
                    <w:rFonts w:eastAsia="Lucida Sans Unicode"/>
                    <w:b/>
                    <w:bCs/>
                    <w:szCs w:val="24"/>
                    <w:vertAlign w:val="superscript"/>
                  </w:rPr>
                  <w:t>2</w:t>
                </w:r>
                <w:r>
                  <w:rPr>
                    <w:rFonts w:eastAsia="Lucida Sans Unicode"/>
                    <w:b/>
                    <w:bCs/>
                    <w:szCs w:val="24"/>
                  </w:rPr>
                  <w:t xml:space="preserve"> straipsniu</w:t>
                </w:r>
                <w:r>
                  <w:rPr>
                    <w:rFonts w:eastAsia="Lucida Sans Unicode"/>
                    <w:b/>
                    <w:bCs/>
                    <w:spacing w:val="2"/>
                    <w:szCs w:val="24"/>
                    <w:shd w:val="clear" w:color="auto" w:fill="FFFFFF"/>
                  </w:rPr>
                  <w:t xml:space="preserve"> įstatymo projektas (toliau – AAĮ pakeitimo įstatymo projektas) </w:t>
                </w:r>
              </w:p>
              <w:p w14:paraId="598A375E" w14:textId="77777777">
                <w:pPr>
                  <w:widowControl w:val="0"/>
                  <w:suppressAutoHyphens/>
                  <w:jc w:val="both"/>
                  <w:rPr>
                    <w:rFonts w:eastAsia="Lucida Sans Unicode"/>
                    <w:b/>
                    <w:bCs/>
                    <w:spacing w:val="2"/>
                    <w:szCs w:val="24"/>
                    <w:shd w:val="clear" w:color="auto" w:fill="FFFFFF"/>
                  </w:rPr>
                </w:pPr>
              </w:p>
              <w:p w14:paraId="267B0510" w14:textId="2D24D0DB">
                <w:pPr>
                  <w:widowControl w:val="0"/>
                  <w:suppressAutoHyphens/>
                  <w:jc w:val="both"/>
                  <w:rPr>
                    <w:rFonts w:eastAsia="Lucida Sans Unicode"/>
                    <w:b/>
                    <w:bCs/>
                    <w:spacing w:val="2"/>
                    <w:szCs w:val="24"/>
                    <w:shd w:val="clear" w:color="auto" w:fill="FFFFFF"/>
                  </w:rPr>
                </w:pPr>
                <w:r>
                  <w:rPr>
                    <w:rFonts w:eastAsia="Lucida Sans Unicode"/>
                    <w:b/>
                    <w:bCs/>
                    <w:spacing w:val="2"/>
                    <w:szCs w:val="24"/>
                    <w:shd w:val="clear" w:color="auto" w:fill="FFFFFF"/>
                  </w:rPr>
                  <w:t xml:space="preserve">Administracinių nusižengimų kodekso </w:t>
                </w:r>
                <w:r>
                  <w:rPr>
                    <w:rFonts w:eastAsia="Lucida Sans Unicode"/>
                    <w:b/>
                    <w:bCs/>
                    <w:szCs w:val="24"/>
                  </w:rPr>
                  <w:t>252, 255</w:t>
                </w:r>
                <w:r>
                  <w:rPr>
                    <w:rFonts w:eastAsia="Lucida Sans Unicode"/>
                    <w:b/>
                    <w:bCs/>
                    <w:szCs w:val="24"/>
                    <w:vertAlign w:val="superscript"/>
                  </w:rPr>
                  <w:t>1</w:t>
                </w:r>
                <w:r>
                  <w:rPr>
                    <w:rFonts w:eastAsia="Lucida Sans Unicode"/>
                    <w:b/>
                    <w:bCs/>
                    <w:szCs w:val="24"/>
                  </w:rPr>
                  <w:t xml:space="preserve">, 589, 608 straipsnių, priedo pakeitimo ir Kodekso </w:t>
                </w:r>
                <w:r>
                  <w:rPr>
                    <w:b/>
                    <w:bCs/>
                    <w:szCs w:val="24"/>
                  </w:rPr>
                  <w:t xml:space="preserve">papildymo </w:t>
                </w:r>
                <w:r>
                  <w:rPr>
                    <w:b/>
                    <w:bCs/>
                    <w:color w:val="000000"/>
                    <w:szCs w:val="24"/>
                  </w:rPr>
                  <w:t>252</w:t>
                </w:r>
                <w:r>
                  <w:rPr>
                    <w:b/>
                    <w:bCs/>
                    <w:color w:val="000000"/>
                    <w:szCs w:val="24"/>
                    <w:vertAlign w:val="superscript"/>
                  </w:rPr>
                  <w:t>1 </w:t>
                </w:r>
                <w:r>
                  <w:rPr>
                    <w:rFonts w:eastAsia="Lucida Sans Unicode"/>
                    <w:b/>
                    <w:bCs/>
                    <w:szCs w:val="24"/>
                  </w:rPr>
                  <w:t>straipsniu įstatymo projektas</w:t>
                </w:r>
                <w:r>
                  <w:rPr>
                    <w:rFonts w:eastAsia="Lucida Sans Unicode"/>
                    <w:b/>
                    <w:bCs/>
                    <w:spacing w:val="2"/>
                    <w:szCs w:val="24"/>
                    <w:shd w:val="clear" w:color="auto" w:fill="FFFFFF"/>
                  </w:rPr>
                  <w:t xml:space="preserve"> (toliau – ANK pakeitimo įstatymo projektas)</w:t>
                </w:r>
              </w:p>
              <w:p w14:paraId="587E1093" w14:textId="77777777">
                <w:pPr>
                  <w:widowControl w:val="0"/>
                  <w:suppressAutoHyphens/>
                  <w:jc w:val="both"/>
                  <w:rPr>
                    <w:rFonts w:eastAsia="Lucida Sans Unicode"/>
                    <w:b/>
                    <w:bCs/>
                    <w:spacing w:val="2"/>
                    <w:szCs w:val="24"/>
                    <w:shd w:val="clear" w:color="auto" w:fill="FFFFFF"/>
                  </w:rPr>
                </w:pPr>
              </w:p>
              <w:p w14:paraId="713BEC28" w14:textId="77777777">
                <w:pPr>
                  <w:widowControl w:val="0"/>
                  <w:suppressAutoHyphens/>
                  <w:jc w:val="both"/>
                  <w:rPr>
                    <w:rFonts w:eastAsia="Arial Unicode MS"/>
                    <w:b/>
                    <w:bCs/>
                    <w:szCs w:val="24"/>
                    <w:lang w:eastAsia="lt-LT"/>
                  </w:rPr>
                </w:pPr>
                <w:r>
                  <w:rPr>
                    <w:rFonts w:eastAsia="Arial Unicode MS"/>
                    <w:b/>
                    <w:bCs/>
                    <w:szCs w:val="24"/>
                    <w:lang w:eastAsia="lt-LT"/>
                  </w:rPr>
                  <w:t xml:space="preserve">Lietuvos Respublikos Vyriausybės nutarimo „Dėl reglamento </w:t>
                </w:r>
                <w:fldSimple w:instr="HYPERLINK http://eur-lex.europa.eu/legal-content/LIT/TXT/?uri=CELEX:32023R1542&amp;locale=lt \t _blank">
                  <w:r>
                    <w:rPr>
                      <w:rFonts w:eastAsia="Arial Unicode MS"/>
                      <w:b/>
                      <w:bCs/>
                      <w:szCs w:val="24"/>
                      <w:lang w:eastAsia="lt-LT"/>
                      <w:u w:val="single"/>
                      <w:color w:val="0000FF" w:themeColor="hyperlink"/>
                    </w:rPr>
                    <w:t>(ES) 2023/1542</w:t>
                  </w:r>
                </w:fldSimple>
                <w:r>
                  <w:rPr>
                    <w:rFonts w:eastAsia="Arial Unicode MS"/>
                    <w:b/>
                    <w:bCs/>
                    <w:szCs w:val="24"/>
                    <w:lang w:eastAsia="lt-LT"/>
                  </w:rPr>
                  <w:t xml:space="preserve"> įgyvendinimo“ projektas (toliau – Nutarimo projektas)</w:t>
                </w:r>
              </w:p>
              <w:p w14:paraId="469E8B40" w14:textId="77777777">
                <w:pPr>
                  <w:widowControl w:val="0"/>
                  <w:suppressAutoHyphens/>
                  <w:jc w:val="both"/>
                  <w:rPr>
                    <w:rFonts w:eastAsia="Arial Unicode MS"/>
                    <w:b/>
                    <w:bCs/>
                    <w:szCs w:val="24"/>
                    <w:lang w:eastAsia="lt-LT"/>
                  </w:rPr>
                </w:pPr>
              </w:p>
              <w:p w14:paraId="160C2154" w14:textId="482A1A48">
                <w:pPr>
                  <w:widowControl w:val="0"/>
                  <w:suppressAutoHyphens/>
                  <w:jc w:val="both"/>
                  <w:rPr>
                    <w:rFonts w:eastAsia="Lucida Sans Unicode"/>
                    <w:b/>
                    <w:bCs/>
                    <w:color w:val="000000"/>
                    <w:szCs w:val="24"/>
                  </w:rPr>
                </w:pPr>
                <w:r>
                  <w:rPr>
                    <w:rFonts w:eastAsia="Lucida Sans Unicode"/>
                    <w:b/>
                    <w:bCs/>
                    <w:szCs w:val="24"/>
                  </w:rPr>
                  <w:t>Lietuvos Respublikos aplinkos ministro 2009 m. gegužės 27 d. įsakymo Nr. D1-291 „Dėl Gamintojų ir importuotojų registravimo taisyklių patvirtinimo“</w:t>
                </w:r>
                <w:r>
                  <w:rPr>
                    <w:rFonts w:eastAsia="Lucida Sans Unicode"/>
                    <w:b/>
                    <w:bCs/>
                    <w:color w:val="000000"/>
                    <w:szCs w:val="24"/>
                  </w:rPr>
                  <w:t xml:space="preserve"> pakeitimo projektas (toliau – Registravimo taisyklių projektas)</w:t>
                </w:r>
              </w:p>
              <w:p w14:paraId="049A0377" w14:textId="77777777">
                <w:pPr>
                  <w:widowControl w:val="0"/>
                  <w:suppressAutoHyphens/>
                  <w:jc w:val="both"/>
                  <w:rPr>
                    <w:rFonts w:eastAsia="Lucida Sans Unicode"/>
                    <w:b/>
                    <w:bCs/>
                    <w:color w:val="000000"/>
                    <w:szCs w:val="24"/>
                  </w:rPr>
                </w:pPr>
              </w:p>
              <w:p w14:paraId="6A6745CA" w14:textId="1FD0E07A">
                <w:pPr>
                  <w:widowControl w:val="0"/>
                  <w:suppressAutoHyphens/>
                  <w:jc w:val="both"/>
                  <w:rPr>
                    <w:rFonts w:eastAsia="Lucida Sans Unicode"/>
                    <w:b/>
                    <w:bCs/>
                    <w:color w:val="000000"/>
                    <w:szCs w:val="24"/>
                  </w:rPr>
                </w:pPr>
                <w:r>
                  <w:rPr>
                    <w:rFonts w:eastAsia="Lucida Sans Unicode"/>
                    <w:b/>
                    <w:bCs/>
                    <w:szCs w:val="24"/>
                  </w:rPr>
                  <w:t>Lietuvos Respublikos aplinkos ministro 2009 m. gegužės 27 d. įsakymo Nr. D1-290 „Dėl Gaminių apskaitos ir atliekų tvarkymo organizavimo veiklos ataskaitų teikimo taisyklių patvirtinimo“</w:t>
                </w:r>
                <w:r>
                  <w:rPr>
                    <w:rFonts w:eastAsia="Lucida Sans Unicode"/>
                    <w:b/>
                    <w:bCs/>
                    <w:color w:val="000000"/>
                    <w:szCs w:val="24"/>
                  </w:rPr>
                  <w:t xml:space="preserve"> pakeitimo projektas (toliau – Gaminių apskaitos taisyklių projektas)</w:t>
                </w:r>
              </w:p>
              <w:p w14:paraId="2DE8AFA6" w14:textId="77777777">
                <w:pPr>
                  <w:widowControl w:val="0"/>
                  <w:suppressAutoHyphens/>
                  <w:jc w:val="both"/>
                  <w:rPr>
                    <w:rFonts w:eastAsia="Lucida Sans Unicode"/>
                    <w:b/>
                    <w:bCs/>
                    <w:color w:val="000000"/>
                    <w:szCs w:val="24"/>
                  </w:rPr>
                </w:pPr>
              </w:p>
              <w:p w14:paraId="793A293E" w14:textId="16ED5204">
                <w:pPr>
                  <w:widowControl w:val="0"/>
                  <w:suppressAutoHyphens/>
                  <w:jc w:val="both"/>
                  <w:rPr>
                    <w:rFonts w:eastAsia="Arial Unicode MS"/>
                    <w:b/>
                    <w:bCs/>
                    <w:szCs w:val="24"/>
                    <w:lang w:eastAsia="lt-LT"/>
                  </w:rPr>
                </w:pPr>
                <w:r>
                  <w:rPr>
                    <w:rFonts w:eastAsia="Lucida Sans Unicode"/>
                    <w:b/>
                    <w:bCs/>
                    <w:szCs w:val="24"/>
                  </w:rPr>
                  <w:t xml:space="preserve">Lietuvos Respublikos aplinkos ministro 2011 m. gegužės 3 d. įsakymo Nr. D1-367 „Dėl </w:t>
                </w:r>
                <w:r>
                  <w:rPr>
                    <w:rFonts w:eastAsia="Calibri"/>
                    <w:b/>
                    <w:bCs/>
                    <w:color w:val="000000"/>
                    <w:szCs w:val="24"/>
                  </w:rPr>
                  <w:t>Atliekų susidarymo ir tvarkymo apskaitos ir ataskaitų teikimo taisyklių</w:t>
                </w:r>
                <w:r>
                  <w:rPr>
                    <w:rFonts w:eastAsia="Lucida Sans Unicode"/>
                    <w:b/>
                    <w:bCs/>
                    <w:szCs w:val="24"/>
                  </w:rPr>
                  <w:t xml:space="preserve"> patvirtinimo“</w:t>
                </w:r>
                <w:r>
                  <w:rPr>
                    <w:rFonts w:eastAsia="Arial Unicode MS"/>
                    <w:b/>
                    <w:bCs/>
                    <w:szCs w:val="24"/>
                    <w:lang w:eastAsia="lt-LT"/>
                  </w:rPr>
                  <w:t xml:space="preserve"> pakeitimo projektas (toliau – ASTA taisyklių projektas)</w:t>
                </w:r>
              </w:p>
            </w:tc>
            <w:tc>
              <w:tcPr>
                <w:tcW w:w="1777" w:type="dxa"/>
              </w:tcPr>
              <w:p w14:paraId="474D20E4" w14:textId="27FDB8A9">
                <w:pPr>
                  <w:widowControl w:val="0"/>
                  <w:suppressAutoHyphens/>
                  <w:rPr>
                    <w:rFonts w:eastAsia="Lucida Sans Unicode"/>
                    <w:b/>
                    <w:bCs/>
                    <w:szCs w:val="24"/>
                  </w:rPr>
                </w:pPr>
                <w:r>
                  <w:rPr>
                    <w:rFonts w:eastAsia="Lucida Sans Unicode"/>
                    <w:b/>
                    <w:bCs/>
                    <w:szCs w:val="24"/>
                  </w:rPr>
                  <w:t>Reglamento įgyvendinimo lygis</w:t>
                </w:r>
              </w:p>
            </w:tc>
          </w:tr>
          <w:tr w14:paraId="7A801444" w14:textId="77777777">
            <w:tc>
              <w:tcPr>
                <w:tcW w:w="3450" w:type="dxa"/>
              </w:tcPr>
              <w:p w14:paraId="4B93EC15" w14:textId="77777777">
                <w:pPr>
                  <w:widowControl w:val="0"/>
                  <w:suppressAutoHyphens/>
                  <w:ind w:firstLine="709"/>
                  <w:jc w:val="both"/>
                  <w:rPr>
                    <w:rFonts w:eastAsia="Arial Unicode MS"/>
                    <w:b/>
                    <w:bCs/>
                    <w:szCs w:val="24"/>
                    <w:lang w:eastAsia="lt-LT"/>
                  </w:rPr>
                </w:pPr>
                <w:r>
                  <w:rPr>
                    <w:rFonts w:eastAsia="Arial Unicode MS"/>
                    <w:b/>
                    <w:bCs/>
                    <w:szCs w:val="24"/>
                    <w:lang w:eastAsia="lt-LT"/>
                  </w:rPr>
                  <w:t>22 straipsnis</w:t>
                </w:r>
              </w:p>
              <w:p w14:paraId="04D4AF55" w14:textId="77777777">
                <w:pPr>
                  <w:widowControl w:val="0"/>
                  <w:suppressAutoHyphens/>
                  <w:ind w:firstLine="709"/>
                  <w:jc w:val="both"/>
                  <w:rPr>
                    <w:rFonts w:eastAsia="Arial Unicode MS"/>
                    <w:b/>
                    <w:bCs/>
                    <w:szCs w:val="24"/>
                    <w:lang w:eastAsia="lt-LT"/>
                  </w:rPr>
                </w:pPr>
                <w:r>
                  <w:rPr>
                    <w:rFonts w:eastAsia="Arial Unicode MS"/>
                    <w:b/>
                    <w:bCs/>
                    <w:szCs w:val="24"/>
                    <w:lang w:eastAsia="lt-LT"/>
                  </w:rPr>
                  <w:t>Notifikuojančiosios institucijos</w:t>
                </w:r>
              </w:p>
              <w:p w14:paraId="6E571137" w14:textId="236D0BED">
                <w:pPr>
                  <w:widowControl w:val="0"/>
                  <w:suppressAutoHyphens/>
                  <w:ind w:firstLine="709"/>
                  <w:jc w:val="both"/>
                  <w:rPr>
                    <w:rFonts w:eastAsia="Arial Unicode MS"/>
                    <w:szCs w:val="24"/>
                    <w:lang w:eastAsia="lt-LT"/>
                  </w:rPr>
                </w:pPr>
                <w:r>
                  <w:rPr>
                    <w:rFonts w:eastAsia="Arial Unicode MS"/>
                    <w:szCs w:val="24"/>
                    <w:lang w:eastAsia="lt-LT"/>
                  </w:rPr>
                  <w:t>1. Valstybė narė paskiria notifikuojančiąją instituciją, atsakingą už tai, kad būtų nustatytos ir vykdomos reikiamos procedūros, pagal kurias atliekamas atitikties vertinimo įstaigų vertinimas ir jų notifikavimas, ir vykdoma notifikuotųjų įstaigų stebėsena, įskaitant 27 straipsnio laikymąsi.</w:t>
                </w:r>
              </w:p>
              <w:p w14:paraId="6534DFD4" w14:textId="6C31A0FA">
                <w:pPr>
                  <w:ind w:firstLine="709"/>
                  <w:jc w:val="both"/>
                  <w:rPr>
                    <w:rFonts w:eastAsia="Arial Unicode MS"/>
                    <w:color w:val="000000"/>
                    <w:szCs w:val="24"/>
                    <w:lang w:eastAsia="lt-LT"/>
                  </w:rPr>
                </w:pPr>
                <w:r>
                  <w:rPr>
                    <w:rFonts w:eastAsia="Arial Unicode MS"/>
                    <w:szCs w:val="24"/>
                    <w:lang w:eastAsia="lt-LT"/>
                  </w:rPr>
                  <w:t xml:space="preserve">2. Valstybės narės gali nuspręsti, kad 1 dalyje nurodytą vertinimą ir stebėseną turi vykdyti nacionalinė akreditacijos įstaiga, kaip apibrėžta Reglamente </w:t>
                </w:r>
                <w:fldSimple w:instr="HYPERLINK http://eur-lex.europa.eu/legal-content/LIT/TXT/?uri=CELEX:32008R0765&amp;locale=lt \t _blank">
                  <w:r>
                    <w:rPr>
                      <w:rFonts w:eastAsia="Arial Unicode MS"/>
                      <w:szCs w:val="24"/>
                      <w:lang w:eastAsia="lt-LT"/>
                      <w:u w:val="single"/>
                      <w:color w:val="0000FF" w:themeColor="hyperlink"/>
                    </w:rPr>
                    <w:t>(EB) Nr. 765/2008</w:t>
                  </w:r>
                </w:fldSimple>
                <w:r>
                  <w:rPr>
                    <w:rFonts w:eastAsia="Arial Unicode MS"/>
                    <w:szCs w:val="24"/>
                    <w:lang w:eastAsia="lt-LT"/>
                  </w:rPr>
                  <w:t>, laikydamasi to reglamento nuostatų.</w:t>
                </w:r>
              </w:p>
            </w:tc>
            <w:tc>
              <w:tcPr>
                <w:tcW w:w="9766" w:type="dxa"/>
              </w:tcPr>
              <w:p w14:paraId="2E67E42C"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Nutarimo projektas</w:t>
                </w:r>
              </w:p>
              <w:p w14:paraId="62A939C2" w14:textId="19FEBB15">
                <w:pPr>
                  <w:widowControl w:val="0"/>
                  <w:suppressAutoHyphens/>
                  <w:ind w:firstLine="709"/>
                  <w:jc w:val="both"/>
                  <w:rPr>
                    <w:rFonts w:eastAsia="Lucida Sans Unicode"/>
                    <w:b/>
                    <w:bCs/>
                    <w:szCs w:val="24"/>
                    <w:lang w:eastAsia="lt-LT"/>
                  </w:rPr>
                </w:pPr>
                <w:r>
                  <w:rPr>
                    <w:rFonts w:eastAsia="Lucida Sans Unicode"/>
                    <w:b/>
                    <w:bCs/>
                    <w:szCs w:val="24"/>
                    <w:lang w:eastAsia="lt-LT"/>
                  </w:rPr>
                  <w:t xml:space="preserve">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1119B626" w14:textId="77777777">
                <w:pPr>
                  <w:widowControl w:val="0"/>
                  <w:suppressAutoHyphens/>
                  <w:ind w:firstLine="709"/>
                  <w:jc w:val="both"/>
                  <w:rPr>
                    <w:rFonts w:eastAsia="Lucida Sans Unicode"/>
                    <w:b/>
                    <w:bCs/>
                    <w:szCs w:val="24"/>
                  </w:rPr>
                </w:pPr>
                <w:r>
                  <w:rPr>
                    <w:rFonts w:eastAsia="Lucida Sans Unicode"/>
                    <w:b/>
                    <w:bCs/>
                    <w:szCs w:val="24"/>
                  </w:rPr>
                  <w:t>Pavesti:</w:t>
                </w:r>
              </w:p>
              <w:p w14:paraId="226D8E26" w14:textId="26BC27D0">
                <w:pPr>
                  <w:widowControl w:val="0"/>
                  <w:suppressAutoHyphens/>
                  <w:ind w:firstLine="709"/>
                  <w:jc w:val="both"/>
                  <w:rPr>
                    <w:rFonts w:eastAsia="Lucida Sans Unicode"/>
                    <w:b/>
                    <w:bCs/>
                    <w:szCs w:val="24"/>
                  </w:rPr>
                </w:pPr>
                <w:r>
                  <w:rPr>
                    <w:rFonts w:eastAsia="Arial Unicode MS"/>
                    <w:b/>
                    <w:bCs/>
                    <w:szCs w:val="24"/>
                    <w:lang w:eastAsia="lt-LT"/>
                  </w:rPr>
                  <w:t xml:space="preserve">1. Ekonomikos ir inovacijų ministerijai </w:t>
                </w:r>
                <w:r>
                  <w:rPr>
                    <w:rFonts w:eastAsia="Lucida Sans Unicode"/>
                    <w:b/>
                    <w:bCs/>
                    <w:szCs w:val="24"/>
                    <w:lang w:eastAsia="lt-LT"/>
                  </w:rPr>
                  <w:t xml:space="preserve">vykdyti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V skyriuje nurodytas </w:t>
                </w:r>
                <w:r>
                  <w:rPr>
                    <w:rFonts w:eastAsia="Lucida Sans Unicode"/>
                    <w:b/>
                    <w:bCs/>
                    <w:szCs w:val="24"/>
                  </w:rPr>
                  <w:t>notifikuojančiosios institucijos funkcijas ir atlikti atitikties vertinimo įstaigų atitikties</w:t>
                </w:r>
                <w:r>
                  <w:rPr>
                    <w:rFonts w:ascii="Segoe UI" w:eastAsia="Lucida Sans Unicode" w:hAnsi="Segoe UI" w:cs="Segoe UI"/>
                    <w:b/>
                    <w:bCs/>
                    <w:sz w:val="18"/>
                    <w:szCs w:val="18"/>
                  </w:rPr>
                  <w:t xml:space="preserve">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25 straipsnio </w:t>
                </w:r>
                <w:r>
                  <w:rPr>
                    <w:rFonts w:eastAsia="Lucida Sans Unicode"/>
                    <w:b/>
                    <w:bCs/>
                    <w:szCs w:val="24"/>
                  </w:rPr>
                  <w:t xml:space="preserve">reikalavimams vertinimą,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29 straipsnyje nurodytas notifikavimo procedūras</w:t>
                </w:r>
                <w:r>
                  <w:rPr>
                    <w:rFonts w:eastAsia="Lucida Sans Unicode"/>
                    <w:b/>
                    <w:bCs/>
                    <w:szCs w:val="24"/>
                  </w:rPr>
                  <w:t xml:space="preserve">, informuoti Europos Komisiją apie taikomas atitikties vertinimo įstaigų vertinimo ir jų notifikavimo ir notifikuotųjų įstaigų stebėsenos procedūras, taip pat apie bet kokius tų procedūrų pakeitimus, kaip numatyta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24 straipsnyje</w:t>
                </w:r>
                <w:r>
                  <w:rPr>
                    <w:rFonts w:eastAsia="Lucida Sans Unicode"/>
                    <w:b/>
                    <w:bCs/>
                    <w:szCs w:val="24"/>
                  </w:rPr>
                  <w:t>;</w:t>
                </w:r>
              </w:p>
              <w:p w14:paraId="5FF30013" w14:textId="1D0747CF">
                <w:pPr>
                  <w:widowControl w:val="0"/>
                  <w:suppressAutoHyphens/>
                  <w:ind w:firstLine="709"/>
                  <w:jc w:val="both"/>
                  <w:rPr>
                    <w:rFonts w:eastAsia="Arial Unicode MS"/>
                    <w:b/>
                    <w:bCs/>
                    <w:szCs w:val="24"/>
                    <w:lang w:eastAsia="lt-LT"/>
                  </w:rPr>
                </w:pPr>
                <w:r>
                  <w:rPr>
                    <w:rFonts w:eastAsia="Arial Unicode MS"/>
                    <w:b/>
                    <w:bCs/>
                    <w:szCs w:val="24"/>
                    <w:lang w:eastAsia="lt-LT"/>
                  </w:rPr>
                  <w:t xml:space="preserve">2. </w:t>
                </w:r>
                <w:r>
                  <w:rPr>
                    <w:b/>
                    <w:bCs/>
                    <w:lang w:eastAsia="lt-LT"/>
                  </w:rPr>
                  <w:t xml:space="preserve">Nacionaliniam akreditacijos biurui vykdyti </w:t>
                </w:r>
                <w:r>
                  <w:rPr>
                    <w:rFonts w:eastAsia="Lucida Sans Unicode"/>
                    <w:b/>
                    <w:bCs/>
                    <w:szCs w:val="24"/>
                  </w:rPr>
                  <w:t xml:space="preserve">notifikuotųjų atitikties vertinimo įstaigų stebėseną, kaip numatyta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22 straipsnio 1 ir 2 dalyse</w:t>
                </w:r>
                <w:r>
                  <w:rPr>
                    <w:b/>
                    <w:bCs/>
                    <w:lang w:eastAsia="lt-LT"/>
                  </w:rPr>
                  <w:t>;</w:t>
                </w:r>
              </w:p>
              <w:p w14:paraId="387BAFF1" w14:textId="0856C28E">
                <w:pPr>
                  <w:widowControl w:val="0"/>
                  <w:suppressAutoHyphens/>
                  <w:ind w:firstLine="709"/>
                  <w:jc w:val="both"/>
                  <w:rPr>
                    <w:rFonts w:eastAsia="Lucida Sans Unicode"/>
                    <w:b/>
                    <w:bCs/>
                    <w:spacing w:val="2"/>
                    <w:szCs w:val="24"/>
                    <w:shd w:val="clear" w:color="auto" w:fill="FFFFFF"/>
                  </w:rPr>
                </w:pPr>
                <w:r>
                  <w:rPr>
                    <w:rFonts w:eastAsia="Arial Unicode MS"/>
                    <w:szCs w:val="24"/>
                    <w:lang w:eastAsia="lt-LT"/>
                  </w:rPr>
                  <w:t>&lt;...&gt;</w:t>
                </w:r>
              </w:p>
            </w:tc>
            <w:tc>
              <w:tcPr>
                <w:tcW w:w="1777" w:type="dxa"/>
              </w:tcPr>
              <w:p w14:paraId="7C1987EA" w14:textId="0C1D6F9B">
                <w:pPr>
                  <w:widowControl w:val="0"/>
                  <w:suppressAutoHyphens/>
                  <w:rPr>
                    <w:rFonts w:eastAsia="Lucida Sans Unicode"/>
                    <w:b/>
                    <w:bCs/>
                    <w:szCs w:val="24"/>
                  </w:rPr>
                </w:pPr>
                <w:r>
                  <w:rPr>
                    <w:rFonts w:eastAsia="Lucida Sans Unicode"/>
                    <w:b/>
                    <w:bCs/>
                    <w:szCs w:val="24"/>
                  </w:rPr>
                  <w:t>Visiškas</w:t>
                </w:r>
              </w:p>
            </w:tc>
          </w:tr>
          <w:tr w14:paraId="567F3375" w14:textId="77777777">
            <w:tc>
              <w:tcPr>
                <w:tcW w:w="3450" w:type="dxa"/>
              </w:tcPr>
              <w:p w14:paraId="26E5C068" w14:textId="650FE14D">
                <w:pPr>
                  <w:ind w:firstLine="709"/>
                  <w:jc w:val="both"/>
                  <w:rPr>
                    <w:rFonts w:eastAsia="Arial Unicode MS"/>
                    <w:b/>
                    <w:bCs/>
                    <w:color w:val="000000"/>
                    <w:szCs w:val="24"/>
                    <w:lang w:eastAsia="lt-LT"/>
                  </w:rPr>
                </w:pPr>
                <w:r>
                  <w:rPr>
                    <w:rFonts w:eastAsia="Arial Unicode MS"/>
                    <w:b/>
                    <w:bCs/>
                    <w:color w:val="000000"/>
                    <w:szCs w:val="24"/>
                    <w:lang w:eastAsia="lt-LT"/>
                  </w:rPr>
                  <w:t xml:space="preserve">24 straipsnis. Notifikuojančiųjų institucijų pareiga pateikti informaciją </w:t>
                </w:r>
              </w:p>
              <w:p w14:paraId="5C27268D" w14:textId="77777777">
                <w:pPr>
                  <w:ind w:firstLine="709"/>
                  <w:jc w:val="both"/>
                  <w:rPr>
                    <w:rFonts w:eastAsia="Arial Unicode MS"/>
                    <w:color w:val="000000"/>
                    <w:szCs w:val="24"/>
                    <w:lang w:eastAsia="lt-LT"/>
                  </w:rPr>
                </w:pPr>
                <w:r>
                  <w:rPr>
                    <w:rFonts w:eastAsia="Arial Unicode MS"/>
                    <w:color w:val="000000"/>
                    <w:szCs w:val="24"/>
                    <w:lang w:eastAsia="lt-LT"/>
                  </w:rPr>
                  <w:t>Valstybės narės informuoja Komisiją apie jų taikomas atitikties vertinimo įstaigų įvertinimo ir jų notifikavimo ir notifikuotųjų įstaigų stebėsenos procedūras, taip pat apie bet kokius tų procedūrų pakeitimus.</w:t>
                </w:r>
              </w:p>
              <w:p w14:paraId="70A50EAA" w14:textId="5222AC2F">
                <w:pPr>
                  <w:ind w:firstLine="709"/>
                  <w:jc w:val="both"/>
                  <w:rPr>
                    <w:rFonts w:eastAsia="Arial Unicode MS"/>
                    <w:color w:val="000000"/>
                    <w:szCs w:val="24"/>
                    <w:lang w:eastAsia="lt-LT"/>
                  </w:rPr>
                </w:pPr>
                <w:r>
                  <w:rPr>
                    <w:rFonts w:eastAsia="Arial Unicode MS"/>
                    <w:color w:val="000000"/>
                    <w:szCs w:val="24"/>
                    <w:lang w:eastAsia="lt-LT"/>
                  </w:rPr>
                  <w:t>&lt;...&gt;</w:t>
                </w:r>
              </w:p>
            </w:tc>
            <w:tc>
              <w:tcPr>
                <w:tcW w:w="9766" w:type="dxa"/>
              </w:tcPr>
              <w:p w14:paraId="3B42F47A"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Nutarimo projektas</w:t>
                </w:r>
              </w:p>
              <w:p w14:paraId="745F176D" w14:textId="19A31FD3">
                <w:pPr>
                  <w:widowControl w:val="0"/>
                  <w:suppressAutoHyphens/>
                  <w:ind w:firstLine="709"/>
                  <w:jc w:val="both"/>
                  <w:rPr>
                    <w:rFonts w:eastAsia="Lucida Sans Unicode"/>
                    <w:b/>
                    <w:bCs/>
                    <w:szCs w:val="24"/>
                    <w:lang w:eastAsia="lt-LT"/>
                  </w:rPr>
                </w:pPr>
                <w:r>
                  <w:rPr>
                    <w:rFonts w:eastAsia="Lucida Sans Unicode"/>
                    <w:b/>
                    <w:bCs/>
                    <w:szCs w:val="24"/>
                    <w:lang w:eastAsia="lt-LT"/>
                  </w:rPr>
                  <w:t xml:space="preserve">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7F12AE40" w14:textId="77777777">
                <w:pPr>
                  <w:widowControl w:val="0"/>
                  <w:suppressAutoHyphens/>
                  <w:ind w:firstLine="709"/>
                  <w:jc w:val="both"/>
                  <w:rPr>
                    <w:rFonts w:eastAsia="Lucida Sans Unicode"/>
                    <w:b/>
                    <w:bCs/>
                    <w:szCs w:val="24"/>
                  </w:rPr>
                </w:pPr>
                <w:r>
                  <w:rPr>
                    <w:rFonts w:eastAsia="Lucida Sans Unicode"/>
                    <w:b/>
                    <w:bCs/>
                    <w:szCs w:val="24"/>
                  </w:rPr>
                  <w:t>Pavesti:</w:t>
                </w:r>
              </w:p>
              <w:p w14:paraId="0AB3BE9F" w14:textId="26D5036B">
                <w:pPr>
                  <w:widowControl w:val="0"/>
                  <w:suppressAutoHyphens/>
                  <w:ind w:firstLine="709"/>
                  <w:jc w:val="both"/>
                  <w:rPr>
                    <w:rFonts w:eastAsia="Lucida Sans Unicode"/>
                    <w:b/>
                    <w:bCs/>
                    <w:szCs w:val="24"/>
                  </w:rPr>
                </w:pPr>
                <w:r>
                  <w:rPr>
                    <w:rFonts w:eastAsia="Arial Unicode MS"/>
                    <w:b/>
                    <w:bCs/>
                    <w:szCs w:val="24"/>
                    <w:lang w:eastAsia="lt-LT"/>
                  </w:rPr>
                  <w:t xml:space="preserve">1. Ekonomikos ir inovacijų ministerijai </w:t>
                </w:r>
                <w:r>
                  <w:rPr>
                    <w:rFonts w:eastAsia="Lucida Sans Unicode"/>
                    <w:b/>
                    <w:bCs/>
                    <w:szCs w:val="24"/>
                    <w:lang w:eastAsia="lt-LT"/>
                  </w:rPr>
                  <w:t xml:space="preserve">vykdyti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V skyriuje nurodytas </w:t>
                </w:r>
                <w:r>
                  <w:rPr>
                    <w:rFonts w:eastAsia="Lucida Sans Unicode"/>
                    <w:b/>
                    <w:bCs/>
                    <w:szCs w:val="24"/>
                  </w:rPr>
                  <w:t>notifikuojančiosios institucijos funkcijas ir atlikti atitikties vertinimo įstaigų atitikties</w:t>
                </w:r>
                <w:r>
                  <w:rPr>
                    <w:rFonts w:ascii="Segoe UI" w:eastAsia="Lucida Sans Unicode" w:hAnsi="Segoe UI" w:cs="Segoe UI"/>
                    <w:b/>
                    <w:bCs/>
                    <w:sz w:val="18"/>
                    <w:szCs w:val="18"/>
                  </w:rPr>
                  <w:t xml:space="preserve">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25 straipsnio </w:t>
                </w:r>
                <w:r>
                  <w:rPr>
                    <w:rFonts w:eastAsia="Lucida Sans Unicode"/>
                    <w:b/>
                    <w:bCs/>
                    <w:szCs w:val="24"/>
                  </w:rPr>
                  <w:t xml:space="preserve">reikalavimams vertinimą,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29 straipsnyje nurodytas notifikavimo procedūras</w:t>
                </w:r>
                <w:r>
                  <w:rPr>
                    <w:rFonts w:eastAsia="Lucida Sans Unicode"/>
                    <w:b/>
                    <w:bCs/>
                    <w:szCs w:val="24"/>
                  </w:rPr>
                  <w:t xml:space="preserve">, informuoti Europos Komisiją apie taikomas atitikties vertinimo įstaigų vertinimo ir jų notifikavimo ir notifikuotųjų įstaigų stebėsenos procedūras, taip pat apie bet kokius tų procedūrų pakeitimus, kaip numatyta </w:t>
                </w:r>
                <w:r>
                  <w:rPr>
                    <w:rFonts w:eastAsia="Lucida Sans Unicode"/>
                    <w:b/>
                    <w:bCs/>
                    <w:szCs w:val="24"/>
                    <w:lang w:eastAsia="lt-LT"/>
                  </w:rPr>
                  <w:t xml:space="preserve">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24 straipsnyje</w:t>
                </w:r>
                <w:r>
                  <w:rPr>
                    <w:rFonts w:eastAsia="Lucida Sans Unicode"/>
                    <w:b/>
                    <w:bCs/>
                    <w:szCs w:val="24"/>
                  </w:rPr>
                  <w:t>;</w:t>
                </w:r>
              </w:p>
              <w:p w14:paraId="0730950F" w14:textId="6737981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tc>
            <w:tc>
              <w:tcPr>
                <w:tcW w:w="1777" w:type="dxa"/>
              </w:tcPr>
              <w:p w14:paraId="6DD31951" w14:textId="51E39AF7">
                <w:pPr>
                  <w:widowControl w:val="0"/>
                  <w:suppressAutoHyphens/>
                  <w:rPr>
                    <w:rFonts w:eastAsia="Lucida Sans Unicode"/>
                    <w:b/>
                    <w:bCs/>
                    <w:szCs w:val="24"/>
                  </w:rPr>
                </w:pPr>
                <w:r>
                  <w:rPr>
                    <w:rFonts w:eastAsia="Lucida Sans Unicode"/>
                    <w:b/>
                    <w:bCs/>
                    <w:szCs w:val="24"/>
                  </w:rPr>
                  <w:t>Visiškas</w:t>
                </w:r>
              </w:p>
            </w:tc>
          </w:tr>
          <w:tr w14:paraId="396DF8AD" w14:textId="77777777">
            <w:tc>
              <w:tcPr>
                <w:tcW w:w="3450" w:type="dxa"/>
              </w:tcPr>
              <w:p w14:paraId="0E13697A" w14:textId="4DFF56ED">
                <w:pPr>
                  <w:ind w:firstLine="709"/>
                  <w:jc w:val="both"/>
                  <w:rPr>
                    <w:rFonts w:eastAsia="Arial Unicode MS"/>
                    <w:b/>
                    <w:bCs/>
                    <w:color w:val="000000"/>
                    <w:szCs w:val="24"/>
                    <w:lang w:eastAsia="lt-LT"/>
                  </w:rPr>
                </w:pPr>
                <w:r>
                  <w:rPr>
                    <w:rFonts w:eastAsia="Arial Unicode MS"/>
                    <w:b/>
                    <w:bCs/>
                    <w:color w:val="000000"/>
                    <w:szCs w:val="24"/>
                    <w:lang w:eastAsia="lt-LT"/>
                  </w:rPr>
                  <w:t>34 straipsnis. Notifikuotųjų įstaigų sprendimų apskundimas</w:t>
                </w:r>
              </w:p>
              <w:p w14:paraId="2DAE2A53" w14:textId="67534D21">
                <w:pPr>
                  <w:ind w:firstLine="709"/>
                  <w:jc w:val="both"/>
                  <w:rPr>
                    <w:rFonts w:eastAsia="Arial Unicode MS"/>
                    <w:color w:val="000000"/>
                    <w:szCs w:val="24"/>
                    <w:lang w:eastAsia="lt-LT"/>
                  </w:rPr>
                </w:pPr>
                <w:r>
                  <w:rPr>
                    <w:rFonts w:eastAsia="Arial Unicode MS"/>
                    <w:color w:val="000000"/>
                    <w:szCs w:val="24"/>
                    <w:lang w:eastAsia="lt-LT"/>
                  </w:rPr>
                  <w:t>Valstybės narės užtikrina, kad būtų nustatyta notifikuotųjų įstaigų priimtų sprendimų apskundimo procedūra.</w:t>
                </w:r>
              </w:p>
            </w:tc>
            <w:tc>
              <w:tcPr>
                <w:tcW w:w="9766" w:type="dxa"/>
              </w:tcPr>
              <w:p w14:paraId="0EB6316A"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AVĮ</w:t>
                </w:r>
              </w:p>
              <w:p w14:paraId="35CF4779" w14:textId="77777777">
                <w:pPr>
                  <w:widowControl w:val="0"/>
                  <w:suppressAutoHyphens/>
                  <w:ind w:firstLine="709"/>
                  <w:jc w:val="both"/>
                  <w:rPr>
                    <w:rFonts w:eastAsia="Lucida Sans Unicode"/>
                    <w:b/>
                    <w:bCs/>
                    <w:spacing w:val="2"/>
                    <w:szCs w:val="24"/>
                    <w:shd w:val="clear" w:color="auto" w:fill="FFFFFF"/>
                  </w:rPr>
                </w:pPr>
              </w:p>
              <w:p w14:paraId="66A221F1" w14:textId="034CD68B">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18 straipsnis. Sprendimų apskundimo tvarka</w:t>
                </w:r>
              </w:p>
              <w:p w14:paraId="74FD19D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Nacionalinio akreditacijos biuro sprendimai, priimti pagal šį įstatymą, skundžiami:</w:t>
                </w:r>
              </w:p>
              <w:p w14:paraId="2CD5B157"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Nacionaliniam akreditacijos biurui Viešojo administravimo įstatymo nustatyta tvarka;</w:t>
                </w:r>
              </w:p>
              <w:p w14:paraId="0D9A8434" w14:textId="319EE7ED">
                <w:pPr>
                  <w:widowControl w:val="0"/>
                  <w:suppressAutoHyphens/>
                  <w:ind w:firstLine="709"/>
                  <w:jc w:val="both"/>
                  <w:rPr>
                    <w:rFonts w:eastAsia="Lucida Sans Unicode"/>
                    <w:b/>
                    <w:bCs/>
                    <w:spacing w:val="2"/>
                    <w:szCs w:val="24"/>
                    <w:shd w:val="clear" w:color="auto" w:fill="FFFFFF"/>
                  </w:rPr>
                </w:pPr>
                <w:r>
                  <w:rPr>
                    <w:rFonts w:eastAsia="Lucida Sans Unicode"/>
                    <w:spacing w:val="2"/>
                    <w:szCs w:val="24"/>
                    <w:shd w:val="clear" w:color="auto" w:fill="FFFFFF"/>
                  </w:rPr>
                  <w:t>2) administraciniam teismui Lietuvos Respublikos administracinių bylų teisenos įstatymo nustatyta tvarka.</w:t>
                </w:r>
              </w:p>
            </w:tc>
            <w:tc>
              <w:tcPr>
                <w:tcW w:w="1777" w:type="dxa"/>
              </w:tcPr>
              <w:p w14:paraId="7BCE6E64" w14:textId="043B1F2D">
                <w:pPr>
                  <w:widowControl w:val="0"/>
                  <w:suppressAutoHyphens/>
                  <w:rPr>
                    <w:rFonts w:eastAsia="Lucida Sans Unicode"/>
                    <w:b/>
                    <w:bCs/>
                    <w:szCs w:val="24"/>
                  </w:rPr>
                </w:pPr>
                <w:r>
                  <w:rPr>
                    <w:rFonts w:eastAsia="Lucida Sans Unicode"/>
                    <w:b/>
                    <w:bCs/>
                    <w:szCs w:val="24"/>
                  </w:rPr>
                  <w:t xml:space="preserve">Visiškas </w:t>
                </w:r>
              </w:p>
            </w:tc>
          </w:tr>
          <w:tr w14:paraId="1A1E7E71" w14:textId="77777777">
            <w:tc>
              <w:tcPr>
                <w:tcW w:w="3450" w:type="dxa"/>
              </w:tcPr>
              <w:p w14:paraId="5C7EEE6A" w14:textId="77777777">
                <w:pPr>
                  <w:ind w:firstLine="709"/>
                  <w:jc w:val="both"/>
                  <w:rPr>
                    <w:rFonts w:eastAsia="Arial Unicode MS"/>
                    <w:b/>
                    <w:bCs/>
                    <w:color w:val="000000"/>
                    <w:szCs w:val="24"/>
                    <w:lang w:eastAsia="lt-LT"/>
                  </w:rPr>
                </w:pPr>
                <w:r>
                  <w:rPr>
                    <w:rFonts w:eastAsia="Arial Unicode MS"/>
                    <w:b/>
                    <w:bCs/>
                    <w:color w:val="000000"/>
                    <w:szCs w:val="24"/>
                    <w:lang w:eastAsia="lt-LT"/>
                  </w:rPr>
                  <w:t>54 straipsnis. Kompetentinga institucija</w:t>
                </w:r>
              </w:p>
              <w:p w14:paraId="2D1145D6" w14:textId="77777777">
                <w:pPr>
                  <w:ind w:firstLine="709"/>
                  <w:jc w:val="both"/>
                  <w:rPr>
                    <w:rFonts w:eastAsia="Arial Unicode MS"/>
                    <w:color w:val="000000"/>
                    <w:szCs w:val="24"/>
                    <w:lang w:eastAsia="lt-LT"/>
                  </w:rPr>
                </w:pPr>
                <w:r>
                  <w:rPr>
                    <w:rFonts w:eastAsia="Arial Unicode MS"/>
                    <w:color w:val="000000"/>
                    <w:szCs w:val="24"/>
                    <w:lang w:eastAsia="lt-LT"/>
                  </w:rPr>
                  <w:t>1. Valstybės narės paskiria vieną arba daugiau kompetentingų institucijų, atsakingų už šiame skyriuje nustatytų pareigų, visų pirma susijusių su stebėsena ir tikrinimu, ar gamintojai bei gamintojo atsakomybę perimančios organizacijos vykdo pagal šį skyrių jiems nustatytas pareigas, vykdymą.</w:t>
                </w:r>
              </w:p>
              <w:p w14:paraId="44D944D6" w14:textId="77777777">
                <w:pPr>
                  <w:widowControl w:val="0"/>
                  <w:suppressAutoHyphens/>
                  <w:ind w:firstLine="709"/>
                  <w:jc w:val="both"/>
                  <w:rPr>
                    <w:rFonts w:eastAsia="Arial Unicode MS"/>
                    <w:szCs w:val="24"/>
                    <w:lang w:eastAsia="lt-LT"/>
                  </w:rPr>
                </w:pPr>
                <w:r>
                  <w:rPr>
                    <w:rFonts w:eastAsia="Arial Unicode MS"/>
                    <w:szCs w:val="24"/>
                    <w:lang w:eastAsia="lt-LT"/>
                  </w:rPr>
                  <w:t xml:space="preserve">2. Komunikacijos su Komisija pagal 4 dalį tikslu kiekviena valstybė narė taip pat gali vieną iš 1 dalyje nurodytų kompetentingų institucijų paskirti kontaktiniu punktu. </w:t>
                </w:r>
              </w:p>
              <w:p w14:paraId="5E329E75" w14:textId="77777777">
                <w:pPr>
                  <w:widowControl w:val="0"/>
                  <w:suppressAutoHyphens/>
                  <w:ind w:firstLine="709"/>
                  <w:jc w:val="both"/>
                  <w:rPr>
                    <w:rFonts w:eastAsia="Arial Unicode MS"/>
                    <w:szCs w:val="24"/>
                    <w:lang w:eastAsia="lt-LT"/>
                  </w:rPr>
                </w:pPr>
                <w:r>
                  <w:rPr>
                    <w:rFonts w:eastAsia="Arial Unicode MS"/>
                    <w:szCs w:val="24"/>
                    <w:lang w:eastAsia="lt-LT"/>
                  </w:rPr>
                  <w:t>3. Valstybės narės išsamiai nustato kompetentingos institucijos ar institucijų organizacinės struktūros ir veiklos nuostatas, įskaitant administracines ir procedūrines taisykles dėl:</w:t>
                </w:r>
              </w:p>
              <w:p w14:paraId="56F5CABD" w14:textId="77777777">
                <w:pPr>
                  <w:widowControl w:val="0"/>
                  <w:suppressAutoHyphens/>
                  <w:ind w:firstLine="709"/>
                  <w:jc w:val="both"/>
                  <w:rPr>
                    <w:rFonts w:eastAsia="Arial Unicode MS"/>
                    <w:szCs w:val="24"/>
                    <w:lang w:eastAsia="lt-LT"/>
                  </w:rPr>
                </w:pPr>
                <w:r>
                  <w:rPr>
                    <w:rFonts w:eastAsia="Arial Unicode MS"/>
                    <w:szCs w:val="24"/>
                    <w:lang w:eastAsia="lt-LT"/>
                  </w:rPr>
                  <w:t>a) gamintojų registravimo pagal 55 straipsnį;</w:t>
                </w:r>
              </w:p>
              <w:p w14:paraId="182133EC" w14:textId="77777777">
                <w:pPr>
                  <w:widowControl w:val="0"/>
                  <w:suppressAutoHyphens/>
                  <w:ind w:firstLine="709"/>
                  <w:jc w:val="both"/>
                  <w:rPr>
                    <w:rFonts w:eastAsia="Arial Unicode MS"/>
                    <w:szCs w:val="24"/>
                    <w:lang w:eastAsia="lt-LT"/>
                  </w:rPr>
                </w:pPr>
                <w:r>
                  <w:rPr>
                    <w:rFonts w:eastAsia="Arial Unicode MS"/>
                    <w:szCs w:val="24"/>
                    <w:lang w:eastAsia="lt-LT"/>
                  </w:rPr>
                  <w:t xml:space="preserve">b) leidimų gamintojams ir gamintojo atsakomybę perimančioms organizacijoms suteikimo pagal 58 straipsnį; </w:t>
                </w:r>
              </w:p>
              <w:p w14:paraId="0C2D0E79" w14:textId="77777777">
                <w:pPr>
                  <w:widowControl w:val="0"/>
                  <w:suppressAutoHyphens/>
                  <w:ind w:firstLine="709"/>
                  <w:jc w:val="both"/>
                  <w:rPr>
                    <w:rFonts w:eastAsia="Arial Unicode MS"/>
                    <w:szCs w:val="24"/>
                    <w:lang w:eastAsia="lt-LT"/>
                  </w:rPr>
                </w:pPr>
                <w:r>
                  <w:rPr>
                    <w:rFonts w:eastAsia="Arial Unicode MS"/>
                    <w:szCs w:val="24"/>
                    <w:lang w:eastAsia="lt-LT"/>
                  </w:rPr>
                  <w:t>c) didesnės gamintojo atsakomybės pareigų įvykdymo priežiūros pagal 57 straipsnį;</w:t>
                </w:r>
              </w:p>
              <w:p w14:paraId="3790EBCF" w14:textId="77777777">
                <w:pPr>
                  <w:widowControl w:val="0"/>
                  <w:suppressAutoHyphens/>
                  <w:ind w:firstLine="709"/>
                  <w:jc w:val="both"/>
                  <w:rPr>
                    <w:rFonts w:eastAsia="Arial Unicode MS"/>
                    <w:szCs w:val="24"/>
                    <w:lang w:eastAsia="lt-LT"/>
                  </w:rPr>
                </w:pPr>
                <w:r>
                  <w:rPr>
                    <w:rFonts w:eastAsia="Arial Unicode MS"/>
                    <w:szCs w:val="24"/>
                    <w:lang w:eastAsia="lt-LT"/>
                  </w:rPr>
                  <w:t>d) duomenų apie baterijas ir baterijų atliekas rinkimo pagal 75 straipsnį;</w:t>
                </w:r>
              </w:p>
              <w:p w14:paraId="4DB33259" w14:textId="77777777">
                <w:pPr>
                  <w:widowControl w:val="0"/>
                  <w:suppressAutoHyphens/>
                  <w:ind w:firstLine="709"/>
                  <w:jc w:val="both"/>
                  <w:rPr>
                    <w:rFonts w:eastAsia="Arial Unicode MS"/>
                    <w:szCs w:val="24"/>
                    <w:lang w:eastAsia="lt-LT"/>
                  </w:rPr>
                </w:pPr>
                <w:r>
                  <w:rPr>
                    <w:rFonts w:eastAsia="Arial Unicode MS"/>
                    <w:szCs w:val="24"/>
                    <w:lang w:eastAsia="lt-LT"/>
                  </w:rPr>
                  <w:t>e) informacijos prieinamumo pagal 76 straipsnį.</w:t>
                </w:r>
              </w:p>
              <w:p w14:paraId="5F041CCA" w14:textId="6E9F6B7A">
                <w:pPr>
                  <w:ind w:firstLine="709"/>
                  <w:jc w:val="both"/>
                  <w:rPr>
                    <w:rFonts w:eastAsia="Arial Unicode MS"/>
                    <w:color w:val="000000"/>
                    <w:szCs w:val="24"/>
                    <w:lang w:eastAsia="lt-LT"/>
                  </w:rPr>
                </w:pPr>
                <w:r>
                  <w:rPr>
                    <w:rFonts w:eastAsia="Arial Unicode MS"/>
                    <w:szCs w:val="24"/>
                    <w:lang w:eastAsia="lt-LT"/>
                  </w:rPr>
                  <w:t>4. Valstybės narės ne vėliau kaip 2025 m. lapkričio 18 d. praneša Komisijai pagal 1 dalį paskirtų kompetentingų institucijų pavadinimus ir adresus. Valstybės narės nepagrįstai nedelsdamos informuoja Komisiją apie visus tų kompetentingų institucijų pavadinimų ar adresų pasikeitimus.</w:t>
                </w:r>
              </w:p>
            </w:tc>
            <w:tc>
              <w:tcPr>
                <w:tcW w:w="9766" w:type="dxa"/>
              </w:tcPr>
              <w:p w14:paraId="4BB90FDA"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Nutarimo projektas</w:t>
                </w:r>
              </w:p>
              <w:p w14:paraId="4FF3E346" w14:textId="77777777">
                <w:pPr>
                  <w:widowControl w:val="0"/>
                  <w:suppressAutoHyphens/>
                  <w:ind w:firstLine="709"/>
                  <w:jc w:val="both"/>
                  <w:rPr>
                    <w:rFonts w:eastAsia="Lucida Sans Unicode"/>
                    <w:b/>
                    <w:bCs/>
                    <w:szCs w:val="24"/>
                    <w:lang w:eastAsia="lt-LT"/>
                  </w:rPr>
                </w:pPr>
              </w:p>
              <w:p w14:paraId="15A20B2E" w14:textId="20B16171">
                <w:pPr>
                  <w:widowControl w:val="0"/>
                  <w:suppressAutoHyphens/>
                  <w:ind w:firstLine="709"/>
                  <w:jc w:val="both"/>
                  <w:rPr>
                    <w:rFonts w:eastAsia="Lucida Sans Unicode"/>
                    <w:b/>
                    <w:bCs/>
                    <w:szCs w:val="24"/>
                    <w:lang w:eastAsia="lt-LT"/>
                  </w:rPr>
                </w:pPr>
                <w:r>
                  <w:rPr>
                    <w:rFonts w:eastAsia="Lucida Sans Unicode"/>
                    <w:b/>
                    <w:bCs/>
                    <w:szCs w:val="24"/>
                    <w:lang w:eastAsia="lt-LT"/>
                  </w:rPr>
                  <w:t xml:space="preserve">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0493B1F1"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Pavesti:</w:t>
                </w:r>
              </w:p>
              <w:p w14:paraId="311E0FF1"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&lt;...&gt;</w:t>
                </w:r>
              </w:p>
              <w:p w14:paraId="69565C87" w14:textId="77777777">
                <w:pPr>
                  <w:widowControl w:val="0"/>
                  <w:suppressAutoHyphens/>
                  <w:ind w:firstLine="709"/>
                  <w:jc w:val="both"/>
                  <w:textAlignment w:val="center"/>
                  <w:rPr>
                    <w:rFonts w:eastAsia="Lucida Sans Unicode"/>
                    <w:b/>
                    <w:bCs/>
                    <w:szCs w:val="24"/>
                    <w:lang w:eastAsia="lt-LT"/>
                  </w:rPr>
                </w:pPr>
                <w:r>
                  <w:rPr>
                    <w:rFonts w:eastAsia="Arial Unicode MS"/>
                    <w:b/>
                    <w:bCs/>
                    <w:szCs w:val="24"/>
                    <w:lang w:eastAsia="lt-LT"/>
                  </w:rPr>
                  <w:t xml:space="preserve">3. Aplinkos apsaugos agentūrai </w:t>
                </w:r>
                <w:r>
                  <w:rPr>
                    <w:rFonts w:eastAsia="Lucida Sans Unicode"/>
                    <w:b/>
                    <w:bCs/>
                    <w:szCs w:val="24"/>
                    <w:lang w:eastAsia="lt-LT"/>
                  </w:rPr>
                  <w:t>vykdyti kompetentingos institucijos funkcijas, susijusias su:</w:t>
                </w:r>
              </w:p>
              <w:p w14:paraId="312887ED" w14:textId="22465EA5">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3.1. baterijų gamintojų registravimu</w:t>
                </w:r>
                <w:r>
                  <w:rPr>
                    <w:rFonts w:eastAsia="Lucida Sans Unicode"/>
                    <w:b/>
                    <w:bCs/>
                    <w:szCs w:val="24"/>
                  </w:rPr>
                  <w:t xml:space="preserve"> pagal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55 straipsnį</w:t>
                </w:r>
                <w:r>
                  <w:rPr>
                    <w:rFonts w:eastAsia="Arial Unicode MS"/>
                    <w:b/>
                    <w:bCs/>
                    <w:szCs w:val="24"/>
                    <w:lang w:eastAsia="lt-LT"/>
                  </w:rPr>
                  <w:t xml:space="preserve">; </w:t>
                </w:r>
              </w:p>
              <w:p w14:paraId="7AF3639D"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3.2.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58 straipsnyje nurodytų </w:t>
                </w:r>
                <w:r>
                  <w:rPr>
                    <w:rFonts w:eastAsia="Arial Unicode MS"/>
                    <w:b/>
                    <w:bCs/>
                    <w:szCs w:val="24"/>
                    <w:lang w:eastAsia="lt-LT"/>
                  </w:rPr>
                  <w:t xml:space="preserve">leidimų </w:t>
                </w:r>
                <w:r>
                  <w:rPr>
                    <w:rFonts w:eastAsia="Lucida Sans Unicode"/>
                    <w:b/>
                    <w:bCs/>
                    <w:szCs w:val="24"/>
                  </w:rPr>
                  <w:t xml:space="preserve">vykdyti didesnės </w:t>
                </w:r>
                <w:r>
                  <w:rPr>
                    <w:rFonts w:eastAsia="Arial Unicode MS"/>
                    <w:b/>
                    <w:bCs/>
                    <w:szCs w:val="24"/>
                    <w:lang w:eastAsia="lt-LT"/>
                  </w:rPr>
                  <w:t xml:space="preserve">baterijų gamintojų atsakomybės </w:t>
                </w:r>
                <w:r>
                  <w:rPr>
                    <w:rFonts w:eastAsia="Lucida Sans Unicode"/>
                    <w:b/>
                    <w:bCs/>
                    <w:szCs w:val="24"/>
                  </w:rPr>
                  <w:t>pareigas</w:t>
                </w:r>
                <w:r>
                  <w:rPr>
                    <w:rFonts w:eastAsia="Arial Unicode MS"/>
                    <w:b/>
                    <w:bCs/>
                    <w:szCs w:val="24"/>
                    <w:lang w:eastAsia="lt-LT"/>
                  </w:rPr>
                  <w:t xml:space="preserve"> suteikimu; </w:t>
                </w:r>
              </w:p>
              <w:p w14:paraId="66417A0A"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3.3.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75 straipsnyje nurodytų </w:t>
                </w:r>
                <w:r>
                  <w:rPr>
                    <w:rFonts w:eastAsia="Arial Unicode MS"/>
                    <w:b/>
                    <w:bCs/>
                    <w:szCs w:val="24"/>
                    <w:lang w:eastAsia="lt-LT"/>
                  </w:rPr>
                  <w:t>duomenų apie baterijas ir jų atliekų tvarkymą rinkimu;</w:t>
                </w:r>
              </w:p>
              <w:p w14:paraId="78F3C325"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3.4.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76 straipsnyje nurodytų duomenų </w:t>
                </w:r>
                <w:r>
                  <w:rPr>
                    <w:rFonts w:eastAsia="Arial Unicode MS"/>
                    <w:b/>
                    <w:bCs/>
                    <w:szCs w:val="24"/>
                    <w:lang w:eastAsia="lt-LT"/>
                  </w:rPr>
                  <w:t>viešu paskelbimu ir ataskaitų Europos Komisijai teikimu;</w:t>
                </w:r>
              </w:p>
              <w:p w14:paraId="3A9269C3"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3.5.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69 straipsnyje nurodyta nešiojamųjų baterijų atliekų surinkimo tikslinių normų, nustatytų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3 dalyje, ir mažųjų transporto priemonių baterijų atliekų surinkimo tikslinių normų, nustatytų 60 straipsnio 3 dalyje, įvykdymo stebėsena</w:t>
                </w:r>
                <w:r>
                  <w:rPr>
                    <w:rFonts w:eastAsia="Arial Unicode MS"/>
                    <w:b/>
                    <w:bCs/>
                    <w:szCs w:val="24"/>
                    <w:lang w:eastAsia="lt-LT"/>
                  </w:rPr>
                  <w:t>;</w:t>
                </w:r>
              </w:p>
              <w:p w14:paraId="1DF0397B" w14:textId="08747469">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4. Aplinkos apsaugos departamentui prie Aplinkos ministerijos </w:t>
                </w:r>
                <w:r>
                  <w:rPr>
                    <w:rFonts w:eastAsia="Lucida Sans Unicode"/>
                    <w:b/>
                    <w:bCs/>
                    <w:szCs w:val="24"/>
                    <w:lang w:eastAsia="lt-LT"/>
                  </w:rPr>
                  <w:t xml:space="preserve">vykdyti kompetentingos institucijos funkcijas, </w:t>
                </w:r>
                <w:r>
                  <w:rPr>
                    <w:rFonts w:eastAsia="Lucida Sans Unicode"/>
                    <w:b/>
                    <w:bCs/>
                    <w:szCs w:val="24"/>
                  </w:rPr>
                  <w:t>susijusias su</w:t>
                </w:r>
                <w:r>
                  <w:rPr>
                    <w:rFonts w:eastAsia="Arial Unicode MS"/>
                    <w:b/>
                    <w:bCs/>
                    <w:szCs w:val="24"/>
                    <w:lang w:eastAsia="lt-LT"/>
                  </w:rPr>
                  <w:t xml:space="preserve"> didesnės baterijų gamintojo atsakomybės pareigų įvykdymo priežiūra pagal Reglamento </w:t>
                </w:r>
                <w:fldSimple w:instr="HYPERLINK http://eur-lex.europa.eu/legal-content/LIT/TXT/?uri=CELEX:32023R1542&amp;locale=lt \t _blank">
                  <w:r>
                    <w:rPr>
                      <w:rFonts w:eastAsia="Arial Unicode MS"/>
                      <w:b/>
                      <w:bCs/>
                      <w:szCs w:val="24"/>
                      <w:lang w:eastAsia="lt-LT"/>
                      <w:u w:val="single"/>
                      <w:color w:val="0000FF" w:themeColor="hyperlink"/>
                    </w:rPr>
                    <w:t>(ES) 2023/1542</w:t>
                  </w:r>
                </w:fldSimple>
                <w:r>
                  <w:rPr>
                    <w:rFonts w:eastAsia="Arial Unicode MS"/>
                    <w:b/>
                    <w:bCs/>
                    <w:szCs w:val="24"/>
                    <w:lang w:eastAsia="lt-LT"/>
                  </w:rPr>
                  <w:t xml:space="preserve"> 57 straipsnį;</w:t>
                </w:r>
              </w:p>
              <w:p w14:paraId="23D9DCC8"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&lt;...&gt;</w:t>
                </w:r>
              </w:p>
              <w:p w14:paraId="77F7A7DD" w14:textId="32FC076F">
                <w:pPr>
                  <w:widowControl w:val="0"/>
                  <w:suppressAutoHyphens/>
                  <w:ind w:firstLine="709"/>
                  <w:jc w:val="both"/>
                  <w:textAlignment w:val="center"/>
                  <w:rPr>
                    <w:rFonts w:eastAsia="Lucida Sans Unicode"/>
                    <w:b/>
                    <w:bCs/>
                    <w:szCs w:val="24"/>
                  </w:rPr>
                </w:pPr>
                <w:r>
                  <w:rPr>
                    <w:rFonts w:eastAsia="Arial Unicode MS"/>
                    <w:b/>
                    <w:bCs/>
                    <w:szCs w:val="24"/>
                    <w:lang w:eastAsia="lt-LT"/>
                  </w:rPr>
                  <w:t>7.</w:t>
                </w:r>
                <w:r>
                  <w:rPr>
                    <w:rFonts w:eastAsia="Lucida Sans Unicode"/>
                    <w:b/>
                    <w:bCs/>
                    <w:szCs w:val="24"/>
                    <w:lang w:eastAsia="lt-LT"/>
                  </w:rPr>
                  <w:t xml:space="preserve"> Lietuvos Respublikos a</w:t>
                </w:r>
                <w:r>
                  <w:rPr>
                    <w:rFonts w:eastAsia="Lucida Sans Unicode"/>
                    <w:b/>
                    <w:bCs/>
                    <w:szCs w:val="24"/>
                  </w:rPr>
                  <w:t xml:space="preserve">plinkos ministerijai, įgyvendinant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54 straipsnio 4 dalį, pranešti Europos Komisijai apie šio nutarimo 3 ir 4 punktais paskirtas kompetentingas institucijas ir visus po šio pranešimo padarytus jų pavadinimų ir adresų pasikeitimus.</w:t>
                </w:r>
              </w:p>
              <w:p w14:paraId="72EFC6DD" w14:textId="77777777">
                <w:pPr>
                  <w:widowControl w:val="0"/>
                  <w:suppressAutoHyphens/>
                  <w:ind w:firstLine="709"/>
                  <w:jc w:val="both"/>
                  <w:textAlignment w:val="center"/>
                  <w:rPr>
                    <w:rFonts w:eastAsia="Lucida Sans Unicode"/>
                    <w:szCs w:val="24"/>
                  </w:rPr>
                </w:pPr>
              </w:p>
              <w:p w14:paraId="5A62C93F"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Baterijų įstatymo projektas</w:t>
                </w:r>
              </w:p>
              <w:p w14:paraId="1ACF6768" w14:textId="77777777">
                <w:pPr>
                  <w:widowControl w:val="0"/>
                  <w:suppressAutoHyphens/>
                  <w:ind w:firstLine="709"/>
                  <w:jc w:val="both"/>
                  <w:rPr>
                    <w:rFonts w:eastAsia="Lucida Sans Unicode"/>
                    <w:b/>
                    <w:bCs/>
                    <w:szCs w:val="24"/>
                  </w:rPr>
                </w:pPr>
                <w:r>
                  <w:rPr>
                    <w:rFonts w:eastAsia="Lucida Sans Unicode"/>
                    <w:b/>
                    <w:bCs/>
                    <w:szCs w:val="24"/>
                  </w:rPr>
                  <w:t>&lt;...&gt;</w:t>
                </w:r>
              </w:p>
              <w:p w14:paraId="21BEBB61" w14:textId="77777777">
                <w:pPr>
                  <w:widowControl w:val="0"/>
                  <w:suppressAutoHyphens/>
                  <w:ind w:firstLine="709"/>
                  <w:jc w:val="both"/>
                  <w:rPr>
                    <w:rFonts w:eastAsia="MS Mincho"/>
                    <w:b/>
                    <w:bCs/>
                    <w:szCs w:val="24"/>
                  </w:rPr>
                </w:pPr>
                <w:r>
                  <w:rPr>
                    <w:rFonts w:eastAsia="Lucida Sans Unicode"/>
                    <w:b/>
                    <w:bCs/>
                    <w:szCs w:val="24"/>
                  </w:rPr>
                  <w:t>6 straipsnis. Baterijų licencijos išdavimas, įspėjimas apie galimą tokios licencijos galiojimo sustabdymą ar panaikinimą, baterijų licencijos galiojimo sustabdymas ir panaikinimas</w:t>
                </w:r>
                <w:r>
                  <w:rPr>
                    <w:rFonts w:eastAsia="MS Mincho"/>
                    <w:b/>
                    <w:bCs/>
                    <w:szCs w:val="24"/>
                  </w:rPr>
                  <w:t xml:space="preserve"> </w:t>
                </w:r>
              </w:p>
              <w:p w14:paraId="2D272D5D" w14:textId="77777777">
                <w:pPr>
                  <w:widowControl w:val="0"/>
                  <w:suppressAutoHyphens/>
                  <w:ind w:firstLine="709"/>
                  <w:jc w:val="both"/>
                  <w:rPr>
                    <w:rFonts w:eastAsia="MS Mincho"/>
                    <w:b/>
                    <w:bCs/>
                    <w:szCs w:val="24"/>
                  </w:rPr>
                </w:pPr>
                <w:r>
                  <w:rPr>
                    <w:rFonts w:eastAsia="MS Mincho"/>
                    <w:b/>
                    <w:bCs/>
                    <w:szCs w:val="24"/>
                  </w:rPr>
                  <w:t xml:space="preserve">1.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58 straipsnyje nurodytas leidimas </w:t>
                </w:r>
                <w:r>
                  <w:rPr>
                    <w:rFonts w:eastAsia="Lucida Sans Unicode"/>
                    <w:b/>
                    <w:bCs/>
                    <w:color w:val="000000"/>
                    <w:szCs w:val="24"/>
                  </w:rPr>
                  <w:t xml:space="preserve">vykdyti gamintojo atsakomybės pareigas suteikiamas išduodant </w:t>
                </w:r>
                <w:r>
                  <w:rPr>
                    <w:rFonts w:eastAsia="MS Mincho"/>
                    <w:b/>
                    <w:bCs/>
                    <w:szCs w:val="24"/>
                  </w:rPr>
                  <w:t>baterijų licenciją.</w:t>
                </w:r>
              </w:p>
              <w:p w14:paraId="53041A4E" w14:textId="77777777">
                <w:pPr>
                  <w:widowControl w:val="0"/>
                  <w:suppressAutoHyphens/>
                  <w:ind w:firstLine="709"/>
                  <w:jc w:val="both"/>
                  <w:rPr>
                    <w:rFonts w:eastAsia="MS Mincho"/>
                    <w:b/>
                    <w:bCs/>
                    <w:szCs w:val="24"/>
                  </w:rPr>
                </w:pPr>
                <w:r>
                  <w:rPr>
                    <w:rFonts w:eastAsia="MS Mincho"/>
                    <w:b/>
                    <w:bCs/>
                    <w:szCs w:val="24"/>
                  </w:rPr>
                  <w:t>2. Norėdama gauti baterijų licenciją, gamintojo atsakomybę perimanti organizacija turi aplinkos ministro nustatyta tvarka kompetentingai institucijai, vykdančiai Atliekų tvarkymo įstatymo 34</w:t>
                </w:r>
                <w:r>
                  <w:rPr>
                    <w:rFonts w:eastAsia="MS Mincho"/>
                    <w:b/>
                    <w:bCs/>
                    <w:szCs w:val="24"/>
                    <w:vertAlign w:val="superscript"/>
                  </w:rPr>
                  <w:t>23</w:t>
                </w:r>
                <w:r>
                  <w:rPr>
                    <w:rFonts w:eastAsia="MS Mincho"/>
                    <w:b/>
                    <w:bCs/>
                    <w:szCs w:val="24"/>
                  </w:rPr>
                  <w:t> straipsnio 2 dalyje nurodytos licencijas išduodančios institucijos funkcijas (toliau – licencijas išduodanti institucija), pateikti:</w:t>
                </w:r>
              </w:p>
              <w:p w14:paraId="5F721427" w14:textId="77777777">
                <w:pPr>
                  <w:widowControl w:val="0"/>
                  <w:suppressAutoHyphens/>
                  <w:ind w:firstLine="709"/>
                  <w:jc w:val="both"/>
                  <w:rPr>
                    <w:rFonts w:eastAsia="MS Mincho"/>
                    <w:b/>
                    <w:bCs/>
                    <w:szCs w:val="24"/>
                  </w:rPr>
                </w:pPr>
                <w:r>
                  <w:rPr>
                    <w:rFonts w:eastAsia="MS Mincho"/>
                    <w:b/>
                    <w:bCs/>
                    <w:szCs w:val="24"/>
                  </w:rPr>
                  <w:t>1) Atliekų tvarkymo įstatymo 34</w:t>
                </w:r>
                <w:r>
                  <w:rPr>
                    <w:rFonts w:eastAsia="MS Mincho"/>
                    <w:b/>
                    <w:bCs/>
                    <w:szCs w:val="24"/>
                    <w:vertAlign w:val="superscript"/>
                  </w:rPr>
                  <w:t>25</w:t>
                </w:r>
                <w:r>
                  <w:rPr>
                    <w:rFonts w:eastAsia="MS Mincho"/>
                    <w:b/>
                    <w:bCs/>
                    <w:szCs w:val="24"/>
                  </w:rPr>
                  <w:t xml:space="preserve"> straipsnio 1 dalies 1 punkte nurodytą prašymą;</w:t>
                </w:r>
              </w:p>
              <w:p w14:paraId="367BF2A3" w14:textId="77777777">
                <w:pPr>
                  <w:widowControl w:val="0"/>
                  <w:suppressAutoHyphens/>
                  <w:ind w:firstLine="709"/>
                  <w:jc w:val="both"/>
                  <w:rPr>
                    <w:rFonts w:eastAsia="MS Mincho"/>
                    <w:b/>
                    <w:bCs/>
                    <w:szCs w:val="24"/>
                  </w:rPr>
                </w:pPr>
                <w:r>
                  <w:rPr>
                    <w:rFonts w:eastAsia="MS Mincho"/>
                    <w:b/>
                    <w:bCs/>
                    <w:szCs w:val="24"/>
                  </w:rPr>
                  <w:t>2) pagal aplinkos ministro nustatytus reikalavimus parengtą Atliekų tvarkymo įstatymo 34</w:t>
                </w:r>
                <w:r>
                  <w:rPr>
                    <w:rFonts w:eastAsia="MS Mincho"/>
                    <w:b/>
                    <w:bCs/>
                    <w:szCs w:val="24"/>
                    <w:vertAlign w:val="superscript"/>
                  </w:rPr>
                  <w:t>25</w:t>
                </w:r>
                <w:r>
                  <w:rPr>
                    <w:rFonts w:eastAsia="MS Mincho"/>
                    <w:b/>
                    <w:bCs/>
                    <w:szCs w:val="24"/>
                  </w:rPr>
                  <w:t> straipsnio 1 dalies 2 punkto a papunktyje nurodytą baterijų atliekų tvarkymo organizavimo veiklos planą, kuriame turi būti:</w:t>
                </w:r>
              </w:p>
              <w:p w14:paraId="4C182238" w14:textId="77777777">
                <w:pPr>
                  <w:widowControl w:val="0"/>
                  <w:suppressAutoHyphens/>
                  <w:ind w:firstLine="709"/>
                  <w:jc w:val="both"/>
                  <w:rPr>
                    <w:rFonts w:eastAsia="MS Mincho"/>
                    <w:b/>
                    <w:bCs/>
                    <w:szCs w:val="24"/>
                  </w:rPr>
                </w:pPr>
                <w:r>
                  <w:rPr>
                    <w:rFonts w:eastAsia="MS Mincho"/>
                    <w:b/>
                    <w:bCs/>
                    <w:szCs w:val="24"/>
                  </w:rPr>
                  <w:t xml:space="preserve">a)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1 ir 2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nurodyti nešiojamųjų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15 punkte nurodytą baterijų licenciją); </w:t>
                </w:r>
              </w:p>
              <w:p w14:paraId="54E5915D" w14:textId="77777777">
                <w:pPr>
                  <w:widowControl w:val="0"/>
                  <w:suppressAutoHyphens/>
                  <w:ind w:firstLine="709"/>
                  <w:jc w:val="both"/>
                  <w:rPr>
                    <w:rFonts w:eastAsia="MS Mincho"/>
                    <w:b/>
                    <w:bCs/>
                    <w:szCs w:val="24"/>
                  </w:rPr>
                </w:pPr>
                <w:r>
                  <w:rPr>
                    <w:rFonts w:eastAsia="MS Mincho"/>
                    <w:b/>
                    <w:bCs/>
                    <w:szCs w:val="24"/>
                  </w:rPr>
                  <w:t xml:space="preserve">b)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1, 2 ir 4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3 dalyje nurodyti mažųjų transporto priemonių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16 punkte nurodytą baterijų licenciją); </w:t>
                </w:r>
              </w:p>
              <w:p w14:paraId="06068085" w14:textId="77777777">
                <w:pPr>
                  <w:widowControl w:val="0"/>
                  <w:suppressAutoHyphens/>
                  <w:ind w:firstLine="709"/>
                  <w:jc w:val="both"/>
                  <w:rPr>
                    <w:rFonts w:eastAsia="MS Mincho"/>
                    <w:b/>
                    <w:bCs/>
                    <w:szCs w:val="24"/>
                  </w:rPr>
                </w:pPr>
                <w:r>
                  <w:rPr>
                    <w:rFonts w:eastAsia="MS Mincho"/>
                    <w:b/>
                    <w:bCs/>
                    <w:szCs w:val="24"/>
                  </w:rPr>
                  <w:t xml:space="preserve">c)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61 straipsnio 1–3 dalyse nustatytos pareigos (taikoma, jei prašoma išduoti Atliekų tvarkymo įstatymo 34</w:t>
                </w:r>
                <w:r>
                  <w:rPr>
                    <w:rFonts w:eastAsia="MS Mincho"/>
                    <w:b/>
                    <w:bCs/>
                    <w:szCs w:val="24"/>
                    <w:vertAlign w:val="superscript"/>
                  </w:rPr>
                  <w:t>24</w:t>
                </w:r>
                <w:r>
                  <w:rPr>
                    <w:rFonts w:eastAsia="MS Mincho"/>
                    <w:b/>
                    <w:bCs/>
                    <w:szCs w:val="24"/>
                  </w:rPr>
                  <w:t xml:space="preserve"> straipsnio 3 punkte arba 17 punkte, arba 18 punkte, arba 19 punkte nurodytą baterijų licenciją);</w:t>
                </w:r>
              </w:p>
              <w:p w14:paraId="427D18BA" w14:textId="77777777">
                <w:pPr>
                  <w:widowControl w:val="0"/>
                  <w:suppressAutoHyphens/>
                  <w:ind w:firstLine="709"/>
                  <w:jc w:val="both"/>
                  <w:rPr>
                    <w:rFonts w:eastAsia="MS Mincho"/>
                    <w:b/>
                    <w:bCs/>
                    <w:szCs w:val="24"/>
                  </w:rPr>
                </w:pPr>
                <w:r>
                  <w:rPr>
                    <w:rFonts w:eastAsia="MS Mincho"/>
                    <w:b/>
                    <w:bCs/>
                    <w:szCs w:val="24"/>
                  </w:rPr>
                  <w:t xml:space="preserve">d) pateikta informacija apie šios organizacijos taikomą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55 straipsnio 3 dalies d punkte nurodytą sistemą, kuria užtikrinama, kad kompetentingoms institucijoms teikiami patikimi duomenys;</w:t>
                </w:r>
              </w:p>
              <w:p w14:paraId="542A6A11" w14:textId="77777777">
                <w:pPr>
                  <w:widowControl w:val="0"/>
                  <w:suppressAutoHyphens/>
                  <w:ind w:firstLine="709"/>
                  <w:jc w:val="both"/>
                  <w:rPr>
                    <w:rFonts w:eastAsia="MS Mincho"/>
                    <w:b/>
                    <w:bCs/>
                    <w:szCs w:val="24"/>
                  </w:rPr>
                </w:pPr>
                <w:r>
                  <w:rPr>
                    <w:rFonts w:eastAsia="MS Mincho"/>
                    <w:b/>
                    <w:bCs/>
                    <w:szCs w:val="24"/>
                  </w:rPr>
                  <w:t xml:space="preserve">3)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1 ir 2 dalyse nustatytų reikalavimų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nurodyti nešiojamųjų baterijų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15 punkte nurodytą baterijų licenciją); </w:t>
                </w:r>
              </w:p>
              <w:p w14:paraId="7A33E77D" w14:textId="77777777">
                <w:pPr>
                  <w:widowControl w:val="0"/>
                  <w:suppressAutoHyphens/>
                  <w:ind w:firstLine="709"/>
                  <w:jc w:val="both"/>
                  <w:rPr>
                    <w:rFonts w:eastAsia="MS Mincho"/>
                    <w:b/>
                    <w:bCs/>
                    <w:szCs w:val="24"/>
                  </w:rPr>
                </w:pPr>
                <w:r>
                  <w:rPr>
                    <w:rFonts w:eastAsia="MS Mincho"/>
                    <w:b/>
                    <w:bCs/>
                    <w:szCs w:val="24"/>
                  </w:rPr>
                  <w:t xml:space="preserve">4)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1, 2 ir 4 dalyse nustatytų reikalavimų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3 dalyje nurodyti mažųjų transporto priemonių baterijų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16 punkte nurodytą baterijų licenciją); </w:t>
                </w:r>
              </w:p>
              <w:p w14:paraId="34449408" w14:textId="77777777">
                <w:pPr>
                  <w:widowControl w:val="0"/>
                  <w:suppressAutoHyphens/>
                  <w:ind w:firstLine="709"/>
                  <w:jc w:val="both"/>
                  <w:rPr>
                    <w:rFonts w:eastAsia="MS Mincho"/>
                    <w:b/>
                    <w:bCs/>
                    <w:szCs w:val="24"/>
                  </w:rPr>
                </w:pPr>
                <w:r>
                  <w:rPr>
                    <w:rFonts w:eastAsia="MS Mincho"/>
                    <w:b/>
                    <w:bCs/>
                    <w:szCs w:val="24"/>
                  </w:rPr>
                  <w:t xml:space="preserve">5)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61 straipsnio 1, 2 ir 3 dalyse nustatytų reikalavimų (taikoma, jei prašoma išduoti Atliekų tvarkymo įstatymo 34</w:t>
                </w:r>
                <w:r>
                  <w:rPr>
                    <w:rFonts w:eastAsia="MS Mincho"/>
                    <w:b/>
                    <w:bCs/>
                    <w:szCs w:val="24"/>
                    <w:vertAlign w:val="superscript"/>
                  </w:rPr>
                  <w:t>24</w:t>
                </w:r>
                <w:r>
                  <w:rPr>
                    <w:rFonts w:eastAsia="MS Mincho"/>
                    <w:b/>
                    <w:bCs/>
                    <w:szCs w:val="24"/>
                  </w:rPr>
                  <w:t> straipsnio 3 punkte arba 17 punkte, arba 18 punkte, arba 19 punkte nurodytą baterijų licenciją);</w:t>
                </w:r>
              </w:p>
              <w:p w14:paraId="45EFC6DB" w14:textId="77777777">
                <w:pPr>
                  <w:widowControl w:val="0"/>
                  <w:suppressAutoHyphens/>
                  <w:ind w:firstLine="709"/>
                  <w:jc w:val="both"/>
                  <w:rPr>
                    <w:rFonts w:eastAsia="MS Mincho"/>
                    <w:b/>
                    <w:bCs/>
                    <w:szCs w:val="24"/>
                  </w:rPr>
                </w:pPr>
                <w:r>
                  <w:rPr>
                    <w:rFonts w:eastAsia="MS Mincho"/>
                    <w:b/>
                    <w:bCs/>
                    <w:szCs w:val="24"/>
                  </w:rPr>
                  <w:t>6) pagal aplinkos ministro nustatytus reikalavimus parengtą Atliekų tvarkymo įstatymo 34</w:t>
                </w:r>
                <w:r>
                  <w:rPr>
                    <w:rFonts w:eastAsia="MS Mincho"/>
                    <w:b/>
                    <w:bCs/>
                    <w:szCs w:val="24"/>
                    <w:vertAlign w:val="superscript"/>
                  </w:rPr>
                  <w:t>25</w:t>
                </w:r>
                <w:r>
                  <w:rPr>
                    <w:rFonts w:eastAsia="MS Mincho"/>
                    <w:b/>
                    <w:bCs/>
                    <w:szCs w:val="24"/>
                  </w:rPr>
                  <w:t xml:space="preserve"> straipsnio 1 dalies 2 punkto b papunktyje nurodytą finansavimo schemą, garantuojančią, kad bus padengtos su baterijomis, kurias Lietuvos Respublikos rinkai tiekia šiai organizacijai gamintojo atsakomybės pareigas vykdyti pavedę gamintojai, susijusias išlaidas, nurodytas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56 straipsnio 4 dalyje;</w:t>
                </w:r>
              </w:p>
              <w:p w14:paraId="1AAC9222" w14:textId="77777777">
                <w:pPr>
                  <w:widowControl w:val="0"/>
                  <w:suppressAutoHyphens/>
                  <w:ind w:firstLine="709"/>
                  <w:jc w:val="both"/>
                  <w:rPr>
                    <w:rFonts w:eastAsia="MS Mincho"/>
                    <w:b/>
                    <w:bCs/>
                    <w:szCs w:val="24"/>
                  </w:rPr>
                </w:pPr>
                <w:r>
                  <w:rPr>
                    <w:rFonts w:eastAsia="MS Mincho"/>
                    <w:b/>
                    <w:bCs/>
                    <w:szCs w:val="24"/>
                  </w:rPr>
                  <w:t xml:space="preserve">7) visuomenės švietimo ir informavimo programą, kurią vykdant būtų teikiama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74 straipsnio 1 dalyje nurodyta informacija apie baterijų atliekų prevenciją ir tvarkymą.</w:t>
                </w:r>
              </w:p>
              <w:p w14:paraId="2E9EFBCA" w14:textId="696EDC45">
                <w:pPr>
                  <w:widowControl w:val="0"/>
                  <w:suppressAutoHyphens/>
                  <w:ind w:firstLine="709"/>
                  <w:jc w:val="both"/>
                  <w:textAlignment w:val="center"/>
                  <w:rPr>
                    <w:rFonts w:eastAsia="Lucida Sans Unicode"/>
                    <w:color w:val="000000"/>
                    <w:szCs w:val="24"/>
                  </w:rPr>
                </w:pPr>
                <w:r>
                  <w:rPr>
                    <w:rFonts w:eastAsia="Lucida Sans Unicode"/>
                    <w:b/>
                    <w:bCs/>
                    <w:szCs w:val="24"/>
                  </w:rPr>
                  <w:t xml:space="preserve">3. Baterijų licencijos išduodamos laikantis </w:t>
                </w:r>
                <w:r>
                  <w:rPr>
                    <w:rFonts w:eastAsia="MS Mincho"/>
                    <w:b/>
                    <w:bCs/>
                    <w:szCs w:val="24"/>
                  </w:rPr>
                  <w:t>šio Įstatymo 34</w:t>
                </w:r>
                <w:r>
                  <w:rPr>
                    <w:rFonts w:eastAsia="MS Mincho"/>
                    <w:b/>
                    <w:bCs/>
                    <w:szCs w:val="24"/>
                    <w:vertAlign w:val="superscript"/>
                  </w:rPr>
                  <w:t>25</w:t>
                </w:r>
                <w:r>
                  <w:rPr>
                    <w:rFonts w:eastAsia="MS Mincho"/>
                    <w:b/>
                    <w:bCs/>
                    <w:szCs w:val="24"/>
                  </w:rPr>
                  <w:t xml:space="preserve"> straipsnio 5–7 dalyse nustatytų terminų.</w:t>
                </w:r>
                <w:r>
                  <w:rPr>
                    <w:rFonts w:eastAsia="Lucida Sans Unicode"/>
                    <w:color w:val="000000"/>
                    <w:szCs w:val="24"/>
                  </w:rPr>
                  <w:t>&lt;...&gt;</w:t>
                </w:r>
              </w:p>
              <w:p w14:paraId="0BD377DB" w14:textId="77777777">
                <w:pPr>
                  <w:widowControl w:val="0"/>
                  <w:suppressAutoHyphens/>
                  <w:ind w:firstLine="709"/>
                  <w:jc w:val="both"/>
                  <w:textAlignment w:val="center"/>
                  <w:rPr>
                    <w:rFonts w:eastAsia="Lucida Sans Unicode"/>
                    <w:b/>
                    <w:bCs/>
                    <w:color w:val="000000"/>
                    <w:szCs w:val="24"/>
                  </w:rPr>
                </w:pPr>
              </w:p>
              <w:p w14:paraId="4BA81F20" w14:textId="07596710">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ATĮ</w:t>
                </w:r>
              </w:p>
              <w:p w14:paraId="4340E696" w14:textId="451A9CFB">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34</w:t>
                </w:r>
                <w:r>
                  <w:rPr>
                    <w:rFonts w:eastAsia="Lucida Sans Unicode"/>
                    <w:b/>
                    <w:bCs/>
                    <w:color w:val="000000"/>
                    <w:szCs w:val="24"/>
                    <w:vertAlign w:val="superscript"/>
                  </w:rPr>
                  <w:t>25</w:t>
                </w:r>
                <w:r>
                  <w:rPr>
                    <w:rFonts w:eastAsia="Lucida Sans Unicode"/>
                    <w:b/>
                    <w:bCs/>
                    <w:color w:val="000000"/>
                    <w:szCs w:val="24"/>
                  </w:rPr>
                  <w:t xml:space="preserve"> straipsnis. Gaminių ir pakuočių atliekų tvarkymo organizavimo licencijų išdavimo sąlygos</w:t>
                </w:r>
              </w:p>
              <w:p w14:paraId="6E79A804" w14:textId="77777777">
                <w:pPr>
                  <w:widowControl w:val="0"/>
                  <w:suppressAutoHyphens/>
                  <w:ind w:firstLine="709"/>
                  <w:jc w:val="both"/>
                  <w:textAlignment w:val="center"/>
                  <w:rPr>
                    <w:rFonts w:eastAsia="Lucida Sans Unicode"/>
                    <w:color w:val="000000"/>
                    <w:szCs w:val="24"/>
                  </w:rPr>
                </w:pPr>
                <w:r>
                  <w:rPr>
                    <w:rFonts w:eastAsia="Lucida Sans Unicode"/>
                    <w:color w:val="000000"/>
                    <w:szCs w:val="24"/>
                  </w:rPr>
                  <w:t>&lt;...&gt;</w:t>
                </w:r>
              </w:p>
              <w:p w14:paraId="42C2F666" w14:textId="77FE3665">
                <w:pPr>
                  <w:widowControl w:val="0"/>
                  <w:suppressAutoHyphens/>
                  <w:ind w:firstLine="709"/>
                  <w:jc w:val="both"/>
                  <w:textAlignment w:val="center"/>
                  <w:rPr>
                    <w:rFonts w:eastAsia="Lucida Sans Unicode"/>
                    <w:color w:val="000000"/>
                    <w:szCs w:val="24"/>
                  </w:rPr>
                </w:pPr>
                <w:r>
                  <w:rPr>
                    <w:rFonts w:eastAsia="Lucida Sans Unicode"/>
                    <w:color w:val="000000"/>
                    <w:szCs w:val="24"/>
                  </w:rPr>
                  <w:t>5.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p w14:paraId="4C737DF9" w14:textId="77777777">
                <w:pPr>
                  <w:widowControl w:val="0"/>
                  <w:suppressAutoHyphens/>
                  <w:ind w:firstLine="709"/>
                  <w:jc w:val="both"/>
                  <w:textAlignment w:val="center"/>
                  <w:rPr>
                    <w:rFonts w:eastAsia="Lucida Sans Unicode"/>
                    <w:color w:val="000000"/>
                    <w:szCs w:val="24"/>
                  </w:rPr>
                </w:pPr>
                <w:r>
                  <w:rPr>
                    <w:rFonts w:eastAsia="Lucida Sans Unicode"/>
                    <w:color w:val="000000"/>
                    <w:szCs w:val="24"/>
                  </w:rPr>
                  <w:t>6.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p w14:paraId="51B930E6" w14:textId="52DE0E6F">
                <w:pPr>
                  <w:widowControl w:val="0"/>
                  <w:suppressAutoHyphens/>
                  <w:ind w:firstLine="709"/>
                  <w:jc w:val="both"/>
                  <w:textAlignment w:val="center"/>
                  <w:rPr>
                    <w:rFonts w:eastAsia="Lucida Sans Unicode"/>
                    <w:color w:val="000000"/>
                    <w:szCs w:val="24"/>
                  </w:rPr>
                </w:pPr>
                <w:r>
                  <w:rPr>
                    <w:rFonts w:eastAsia="Lucida Sans Unicode"/>
                    <w:color w:val="000000"/>
                    <w:szCs w:val="24"/>
                  </w:rPr>
                  <w:t>7.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p w14:paraId="15F48A8C" w14:textId="77777777">
                <w:pPr>
                  <w:widowControl w:val="0"/>
                  <w:suppressAutoHyphens/>
                  <w:ind w:firstLine="709"/>
                  <w:jc w:val="both"/>
                  <w:textAlignment w:val="center"/>
                  <w:rPr>
                    <w:rFonts w:eastAsia="Lucida Sans Unicode"/>
                    <w:b/>
                    <w:bCs/>
                    <w:color w:val="000000"/>
                    <w:szCs w:val="24"/>
                  </w:rPr>
                </w:pPr>
              </w:p>
              <w:p w14:paraId="67BBB260" w14:textId="77777777">
                <w:pPr>
                  <w:widowControl w:val="0"/>
                  <w:suppressAutoHyphens/>
                  <w:ind w:firstLine="709"/>
                  <w:jc w:val="both"/>
                  <w:rPr>
                    <w:b/>
                    <w:bCs/>
                    <w:szCs w:val="24"/>
                    <w:lang w:val="lt"/>
                  </w:rPr>
                </w:pPr>
                <w:r>
                  <w:rPr>
                    <w:b/>
                    <w:bCs/>
                    <w:color w:val="000000"/>
                    <w:szCs w:val="24"/>
                    <w:lang w:val="lt"/>
                  </w:rPr>
                  <w:t>Gaminių ir (ar) pakuočių atliekų tvarkymo organizavimo licencijavimo taisyklės</w:t>
                </w:r>
                <w:r>
                  <w:rPr>
                    <w:b/>
                    <w:bCs/>
                    <w:szCs w:val="24"/>
                    <w:lang w:val="lt"/>
                  </w:rPr>
                  <w:t xml:space="preserve"> </w:t>
                </w:r>
              </w:p>
              <w:p w14:paraId="3ABB1F79" w14:textId="77777777">
                <w:pPr>
                  <w:widowControl w:val="0"/>
                  <w:suppressAutoHyphens/>
                  <w:ind w:firstLine="709"/>
                  <w:jc w:val="both"/>
                  <w:rPr>
                    <w:color w:val="000000"/>
                    <w:szCs w:val="24"/>
                    <w:lang w:val="lt"/>
                  </w:rPr>
                </w:pPr>
                <w:r>
                  <w:rPr>
                    <w:color w:val="000000"/>
                    <w:szCs w:val="24"/>
                    <w:lang w:val="lt"/>
                  </w:rPr>
                  <w:t>&lt;...&gt;</w:t>
                </w:r>
              </w:p>
              <w:p w14:paraId="188746AF" w14:textId="77777777">
                <w:pPr>
                  <w:widowControl w:val="0"/>
                  <w:suppressAutoHyphens/>
                  <w:ind w:firstLine="709"/>
                  <w:jc w:val="both"/>
                  <w:rPr>
                    <w:szCs w:val="24"/>
                    <w:lang w:val="lt"/>
                  </w:rPr>
                </w:pPr>
                <w:r>
                  <w:rPr>
                    <w:rFonts w:eastAsia="Lucida Sans Unicode"/>
                    <w:color w:val="000000"/>
                    <w:szCs w:val="24"/>
                  </w:rPr>
                  <w:t>11. Licencijuojamos veiklos priežiūrą vykdanti institucija privalo:</w:t>
                </w:r>
              </w:p>
              <w:p w14:paraId="4181F08D" w14:textId="28A40F89">
                <w:pPr>
                  <w:widowControl w:val="0"/>
                  <w:suppressAutoHyphens/>
                  <w:ind w:firstLine="709"/>
                  <w:jc w:val="both"/>
                  <w:rPr>
                    <w:szCs w:val="24"/>
                    <w:lang w:val="lt"/>
                  </w:rPr>
                </w:pPr>
                <w:r>
                  <w:rPr>
                    <w:rFonts w:eastAsia="Lucida Sans Unicode"/>
                    <w:color w:val="000000"/>
                    <w:szCs w:val="24"/>
                  </w:rPr>
                  <w:t>11.1. prižiūrėti organizacijų veiklą, ar jos laikosi Atliekų tvarkymo įstatymo 34</w:t>
                </w:r>
                <w:r>
                  <w:rPr>
                    <w:rFonts w:eastAsia="Lucida Sans Unicode"/>
                    <w:color w:val="000000"/>
                    <w:szCs w:val="24"/>
                    <w:vertAlign w:val="superscript"/>
                  </w:rPr>
                  <w:t>22</w:t>
                </w:r>
                <w:r>
                  <w:rPr>
                    <w:rFonts w:eastAsia="Lucida Sans Unicode"/>
                    <w:color w:val="000000"/>
                    <w:szCs w:val="24"/>
                  </w:rPr>
                  <w:t xml:space="preserve"> straipsnio 4, 10, 14 dalyse išvardytų organizacijoms taikomų reikalavimų ir Atliekų tvarkymo įstatymo 34</w:t>
                </w:r>
                <w:r>
                  <w:rPr>
                    <w:rFonts w:eastAsia="Lucida Sans Unicode"/>
                    <w:color w:val="000000"/>
                    <w:szCs w:val="24"/>
                    <w:vertAlign w:val="superscript"/>
                  </w:rPr>
                  <w:t>26</w:t>
                </w:r>
                <w:r>
                  <w:rPr>
                    <w:rFonts w:eastAsia="Lucida Sans Unicode"/>
                    <w:color w:val="000000"/>
                    <w:szCs w:val="24"/>
                  </w:rPr>
                  <w:t> straipsnio 1 dalyje išvardytų licencijuojamos veiklos sąlygų;</w:t>
                </w:r>
              </w:p>
              <w:p w14:paraId="64AA72FD" w14:textId="77777777">
                <w:pPr>
                  <w:widowControl w:val="0"/>
                  <w:suppressAutoHyphens/>
                  <w:ind w:firstLine="709"/>
                  <w:jc w:val="both"/>
                  <w:rPr>
                    <w:szCs w:val="24"/>
                    <w:lang w:val="lt"/>
                  </w:rPr>
                </w:pPr>
                <w:r>
                  <w:rPr>
                    <w:rFonts w:eastAsia="Lucida Sans Unicode"/>
                    <w:color w:val="000000"/>
                    <w:szCs w:val="24"/>
                  </w:rPr>
                  <w:t>11.2. nustačiusi, kad organizacija nesilaiko Atliekų tvarkymo įstatymo 34</w:t>
                </w:r>
                <w:r>
                  <w:rPr>
                    <w:rFonts w:eastAsia="Lucida Sans Unicode"/>
                    <w:color w:val="000000"/>
                    <w:szCs w:val="24"/>
                    <w:vertAlign w:val="superscript"/>
                  </w:rPr>
                  <w:t>22</w:t>
                </w:r>
                <w:r>
                  <w:rPr>
                    <w:rFonts w:eastAsia="Lucida Sans Unicode"/>
                    <w:color w:val="000000"/>
                    <w:szCs w:val="24"/>
                  </w:rPr>
                  <w:t xml:space="preserve"> straipsnio 4, 10, 14 dalyse išvardytų organizacijoms taikomų reikalavimų ir (ar) 34</w:t>
                </w:r>
                <w:r>
                  <w:rPr>
                    <w:rFonts w:eastAsia="Lucida Sans Unicode"/>
                    <w:color w:val="000000"/>
                    <w:szCs w:val="24"/>
                    <w:vertAlign w:val="superscript"/>
                  </w:rPr>
                  <w:t>26</w:t>
                </w:r>
                <w:r>
                  <w:rPr>
                    <w:rFonts w:eastAsia="Lucida Sans Unicode"/>
                    <w:color w:val="000000"/>
                    <w:szCs w:val="24"/>
                  </w:rPr>
                  <w:t xml:space="preserve"> straipsnio 1 dalyje išvardytų licencijuojamos veiklos sąlygų, per 3 darbo dienas nuo šių aplinkybių nustatymo apie tai informuoti licencijas išduodančią instituciją;</w:t>
                </w:r>
              </w:p>
              <w:p w14:paraId="339F177E" w14:textId="3EE14F42">
                <w:pPr>
                  <w:widowControl w:val="0"/>
                  <w:suppressAutoHyphens/>
                  <w:ind w:firstLine="709"/>
                  <w:jc w:val="both"/>
                  <w:rPr>
                    <w:szCs w:val="24"/>
                    <w:lang w:val="lt"/>
                  </w:rPr>
                </w:pPr>
                <w:r>
                  <w:rPr>
                    <w:rFonts w:eastAsia="Lucida Sans Unicode"/>
                    <w:color w:val="000000"/>
                    <w:szCs w:val="24"/>
                  </w:rPr>
                  <w:t>11.3. vadovaudamasi Licencijavimo pagrindų aprašo 20.6 papunkčiu, savo interneto svetainėje skelbti licencijuojamos veiklos sąlygų laikymosi priežiūros įvertinimo dokumentus, informaciją apie nustatytus Atliekų tvarkymo įstatymo 34</w:t>
                </w:r>
                <w:r>
                  <w:rPr>
                    <w:rFonts w:eastAsia="Lucida Sans Unicode"/>
                    <w:color w:val="000000"/>
                    <w:szCs w:val="24"/>
                    <w:vertAlign w:val="superscript"/>
                  </w:rPr>
                  <w:t>22</w:t>
                </w:r>
                <w:r>
                  <w:rPr>
                    <w:rFonts w:eastAsia="Lucida Sans Unicode"/>
                    <w:color w:val="000000"/>
                    <w:szCs w:val="24"/>
                  </w:rPr>
                  <w:t xml:space="preserve"> straipsnio 4, 10, 14 dalyse išvardytų organizacijoms taikomų reikalavimų pažeidimus.</w:t>
                </w:r>
              </w:p>
              <w:p w14:paraId="72F2FCAD" w14:textId="77777777">
                <w:pPr>
                  <w:widowControl w:val="0"/>
                  <w:suppressAutoHyphens/>
                  <w:ind w:firstLine="709"/>
                  <w:jc w:val="both"/>
                  <w:textAlignment w:val="center"/>
                  <w:rPr>
                    <w:color w:val="000000"/>
                    <w:szCs w:val="24"/>
                  </w:rPr>
                </w:pPr>
                <w:r>
                  <w:rPr>
                    <w:i/>
                    <w:iCs/>
                    <w:color w:val="000000"/>
                    <w:szCs w:val="24"/>
                  </w:rPr>
                  <w:t>Punkto pakeitimai:</w:t>
                </w:r>
              </w:p>
              <w:p w14:paraId="6ED46DA9" w14:textId="67EACAC2">
                <w:pPr>
                  <w:widowControl w:val="0"/>
                  <w:suppressAutoHyphens/>
                  <w:ind w:firstLine="709"/>
                  <w:jc w:val="both"/>
                  <w:textAlignment w:val="center"/>
                  <w:rPr>
                    <w:color w:val="000000"/>
                    <w:szCs w:val="24"/>
                  </w:rPr>
                </w:pPr>
                <w:r>
                  <w:rPr>
                    <w:i/>
                    <w:iCs/>
                    <w:color w:val="000000"/>
                    <w:szCs w:val="24"/>
                  </w:rPr>
                  <w:t xml:space="preserve">Nr. </w:t>
                </w:r>
                <w:hyperlink r:id="rId10" w:tgtFrame="_parent" w:history="1">
                  <w:r>
                    <w:rPr>
                      <w:i/>
                      <w:iCs/>
                      <w:color w:val="0000FF"/>
                      <w:szCs w:val="24"/>
                      <w:u w:val="single"/>
                    </w:rPr>
                    <w:t>993</w:t>
                  </w:r>
                </w:hyperlink>
                <w:r>
                  <w:rPr>
                    <w:i/>
                    <w:iCs/>
                    <w:color w:val="000000"/>
                    <w:szCs w:val="24"/>
                  </w:rPr>
                  <w:t>, 2023-12-20, paskelbta TAR 2023-12-21, i. k. 2023-24901</w:t>
                </w:r>
              </w:p>
              <w:p w14:paraId="3E6FA6F2" w14:textId="77777777">
                <w:pPr>
                  <w:widowControl w:val="0"/>
                  <w:suppressAutoHyphens/>
                  <w:ind w:firstLine="709"/>
                  <w:jc w:val="both"/>
                  <w:textAlignment w:val="center"/>
                  <w:rPr>
                    <w:color w:val="000000"/>
                    <w:szCs w:val="24"/>
                    <w:lang w:val="lt"/>
                  </w:rPr>
                </w:pPr>
              </w:p>
              <w:p w14:paraId="3FF9DEDD" w14:textId="09D3F1C6">
                <w:pPr>
                  <w:widowControl w:val="0"/>
                  <w:suppressAutoHyphens/>
                  <w:ind w:firstLine="709"/>
                  <w:jc w:val="center"/>
                  <w:textAlignment w:val="center"/>
                  <w:rPr>
                    <w:color w:val="000000"/>
                    <w:szCs w:val="24"/>
                  </w:rPr>
                </w:pPr>
                <w:r>
                  <w:rPr>
                    <w:b/>
                    <w:bCs/>
                    <w:color w:val="000000"/>
                    <w:szCs w:val="24"/>
                  </w:rPr>
                  <w:t>V SKYRIUS</w:t>
                </w:r>
              </w:p>
              <w:p w14:paraId="6FE7A910" w14:textId="3E76A5AD">
                <w:pPr>
                  <w:widowControl w:val="0"/>
                  <w:suppressAutoHyphens/>
                  <w:ind w:firstLine="709"/>
                  <w:jc w:val="center"/>
                  <w:textAlignment w:val="center"/>
                  <w:rPr>
                    <w:color w:val="000000"/>
                    <w:szCs w:val="24"/>
                  </w:rPr>
                </w:pPr>
                <w:r>
                  <w:rPr>
                    <w:b/>
                    <w:bCs/>
                    <w:color w:val="000000"/>
                    <w:szCs w:val="24"/>
                  </w:rPr>
                  <w:t>LICENCIJOS IŠDAVIMO, ATSISAKYMO IŠDUOTI LICENCIJĄ TVARKA</w:t>
                </w:r>
              </w:p>
              <w:p w14:paraId="79950111" w14:textId="77777777">
                <w:pPr>
                  <w:widowControl w:val="0"/>
                  <w:suppressAutoHyphens/>
                  <w:ind w:firstLine="709"/>
                  <w:jc w:val="both"/>
                  <w:textAlignment w:val="center"/>
                  <w:rPr>
                    <w:color w:val="000000"/>
                    <w:szCs w:val="24"/>
                    <w:lang w:val="lt"/>
                  </w:rPr>
                </w:pPr>
              </w:p>
              <w:p w14:paraId="622DB82B" w14:textId="425132A7">
                <w:pPr>
                  <w:widowControl w:val="0"/>
                  <w:suppressAutoHyphens/>
                  <w:ind w:firstLine="709"/>
                  <w:jc w:val="both"/>
                  <w:textAlignment w:val="center"/>
                  <w:rPr>
                    <w:rFonts w:eastAsia="Lucida Sans Unicode"/>
                    <w:b/>
                    <w:bCs/>
                    <w:color w:val="000000"/>
                    <w:szCs w:val="24"/>
                  </w:rPr>
                </w:pPr>
                <w:r>
                  <w:rPr>
                    <w:color w:val="000000"/>
                    <w:szCs w:val="24"/>
                    <w:lang w:val="lt"/>
                  </w:rPr>
                  <w:t>12. Organizacija, norinti gauti licenciją, naudodamasi GPAIS arba per Lietuvos Respublikos paslaugų įstatyme nurodytą kontaktinį centrą turi pateikti licencijas išduodančiai institucijai prašymą išduoti licenciją su prašymu pateikdama aplinkos ministro nustatyta tvarka parengtus Atliekų tvarkymo įstatymo 34</w:t>
                </w:r>
                <w:r>
                  <w:rPr>
                    <w:color w:val="000000"/>
                    <w:szCs w:val="24"/>
                    <w:vertAlign w:val="superscript"/>
                    <w:lang w:val="lt"/>
                  </w:rPr>
                  <w:t>25</w:t>
                </w:r>
                <w:r>
                  <w:rPr>
                    <w:color w:val="000000"/>
                    <w:szCs w:val="24"/>
                    <w:lang w:val="lt"/>
                  </w:rPr>
                  <w:t xml:space="preserve"> straipsnio 1 dalies 2 punkto a–c punktuose išvardytus dokumentus. Atliekų tvarkymo įstatymo 34</w:t>
                </w:r>
                <w:r>
                  <w:rPr>
                    <w:color w:val="000000"/>
                    <w:szCs w:val="24"/>
                    <w:vertAlign w:val="superscript"/>
                    <w:lang w:val="lt"/>
                  </w:rPr>
                  <w:t>24</w:t>
                </w:r>
                <w:r>
                  <w:rPr>
                    <w:color w:val="000000"/>
                    <w:szCs w:val="24"/>
                    <w:lang w:val="lt"/>
                  </w:rPr>
                  <w:t> straipsnyje nurodytų kelių rūšių licencijoms gauti gali būti teikiamas vienas prašymas, kai tai leidžiama pagal Atliekų tvarkymo įstatymo 34</w:t>
                </w:r>
                <w:r>
                  <w:rPr>
                    <w:color w:val="000000"/>
                    <w:szCs w:val="24"/>
                    <w:vertAlign w:val="superscript"/>
                    <w:lang w:val="lt"/>
                  </w:rPr>
                  <w:t>25</w:t>
                </w:r>
                <w:r>
                  <w:rPr>
                    <w:color w:val="000000"/>
                    <w:szCs w:val="24"/>
                    <w:lang w:val="lt"/>
                  </w:rPr>
                  <w:t xml:space="preserve"> straipsnio 3 ir 4 dalių nuostatas.</w:t>
                </w:r>
              </w:p>
              <w:p w14:paraId="36026962" w14:textId="77ECD681">
                <w:pPr>
                  <w:widowControl w:val="0"/>
                  <w:suppressAutoHyphens/>
                  <w:ind w:firstLine="709"/>
                  <w:jc w:val="both"/>
                  <w:textAlignment w:val="center"/>
                  <w:rPr>
                    <w:rFonts w:eastAsia="Lucida Sans Unicode"/>
                    <w:color w:val="000000"/>
                    <w:szCs w:val="24"/>
                  </w:rPr>
                </w:pPr>
                <w:r>
                  <w:rPr>
                    <w:rFonts w:eastAsia="Lucida Sans Unicode"/>
                    <w:color w:val="000000"/>
                    <w:szCs w:val="24"/>
                  </w:rPr>
                  <w:t>&lt;...&gt;</w:t>
                </w:r>
              </w:p>
              <w:p w14:paraId="46983A2F" w14:textId="77777777">
                <w:pPr>
                  <w:widowControl w:val="0"/>
                  <w:suppressAutoHyphens/>
                  <w:ind w:firstLine="709"/>
                  <w:jc w:val="both"/>
                  <w:textAlignment w:val="center"/>
                  <w:rPr>
                    <w:rFonts w:eastAsia="Lucida Sans Unicode"/>
                    <w:color w:val="000000"/>
                    <w:szCs w:val="24"/>
                  </w:rPr>
                </w:pPr>
              </w:p>
              <w:p w14:paraId="73ACF69B" w14:textId="7344155D">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Registravimo taisyklių projektas</w:t>
                </w:r>
              </w:p>
              <w:p w14:paraId="4D7D8EEB" w14:textId="77777777">
                <w:pPr>
                  <w:widowControl w:val="0"/>
                  <w:suppressAutoHyphens/>
                  <w:ind w:firstLine="709"/>
                  <w:jc w:val="both"/>
                  <w:rPr>
                    <w:rFonts w:eastAsia="Lucida Sans Unicode"/>
                    <w:b/>
                    <w:bCs/>
                    <w:szCs w:val="24"/>
                  </w:rPr>
                </w:pPr>
                <w:r>
                  <w:rPr>
                    <w:rFonts w:eastAsia="Lucida Sans Unicode"/>
                    <w:b/>
                    <w:bCs/>
                    <w:szCs w:val="24"/>
                  </w:rPr>
                  <w:t xml:space="preserve">2.1. Pakeičiu I skyrių ir jį išdėstau taip: </w:t>
                </w:r>
              </w:p>
              <w:p w14:paraId="64E0BBE3" w14:textId="77777777">
                <w:pPr>
                  <w:widowControl w:val="0"/>
                  <w:suppressAutoHyphens/>
                  <w:ind w:firstLine="709"/>
                  <w:jc w:val="both"/>
                  <w:rPr>
                    <w:rFonts w:eastAsia="Lucida Sans Unicode"/>
                    <w:szCs w:val="24"/>
                  </w:rPr>
                </w:pPr>
                <w:r>
                  <w:rPr>
                    <w:rFonts w:eastAsia="Lucida Sans Unicode"/>
                    <w:szCs w:val="24"/>
                  </w:rPr>
                  <w:t>„&lt;...&gt;</w:t>
                </w:r>
              </w:p>
              <w:p w14:paraId="1C94F099" w14:textId="77777777">
                <w:pPr>
                  <w:widowControl w:val="0"/>
                  <w:suppressAutoHyphens/>
                  <w:ind w:firstLine="709"/>
                  <w:jc w:val="both"/>
                  <w:rPr>
                    <w:rFonts w:eastAsia="Lucida Sans Unicode"/>
                    <w:b/>
                    <w:bCs/>
                    <w:szCs w:val="24"/>
                  </w:rPr>
                </w:pPr>
                <w:r>
                  <w:rPr>
                    <w:rFonts w:eastAsia="Lucida Sans Unicode"/>
                    <w:b/>
                    <w:bCs/>
                    <w:szCs w:val="24"/>
                  </w:rPr>
                  <w:t>1. Gamintojų ir importuotojų registravimo taisyklės (toliau – Taisyklės) nustato Lietuvos Respublikos vidaus rinkai tiekiančių baterijas, elektros ir elektroninę įrangą, transporto priemones, alyvą, apmokestinamuosius gaminius, pripildytas pakuotes gamintojų ir importuotojų, Lietuvos Respublikos vidaus rinkai tuščias pakuotes tiekiančių pakuočių gamintojų registravimo Gamintojų ir importuotojų sąvade (toliau – Sąvadas) tvarką.</w:t>
                </w:r>
              </w:p>
              <w:p w14:paraId="18DEDE19" w14:textId="77777777">
                <w:pPr>
                  <w:widowControl w:val="0"/>
                  <w:suppressAutoHyphens/>
                  <w:ind w:firstLine="709"/>
                  <w:jc w:val="both"/>
                  <w:rPr>
                    <w:rFonts w:eastAsia="Lucida Sans Unicode"/>
                    <w:szCs w:val="24"/>
                  </w:rPr>
                </w:pPr>
                <w:r>
                  <w:rPr>
                    <w:rFonts w:eastAsia="Lucida Sans Unicode"/>
                    <w:szCs w:val="24"/>
                  </w:rPr>
                  <w:t>&lt;...&gt;</w:t>
                </w:r>
              </w:p>
              <w:p w14:paraId="38FB279E" w14:textId="77777777">
                <w:pPr>
                  <w:widowControl w:val="0"/>
                  <w:suppressAutoHyphens/>
                  <w:ind w:firstLine="709"/>
                  <w:jc w:val="both"/>
                  <w:rPr>
                    <w:rFonts w:eastAsia="Lucida Sans Unicode"/>
                    <w:b/>
                    <w:bCs/>
                    <w:szCs w:val="24"/>
                  </w:rPr>
                </w:pPr>
                <w:r>
                  <w:rPr>
                    <w:rFonts w:eastAsia="Lucida Sans Unicode"/>
                    <w:b/>
                    <w:bCs/>
                    <w:szCs w:val="24"/>
                  </w:rPr>
                  <w:t xml:space="preserve">3. Gamintojai, importuotojai, pakuočių gamintojai, užsienio valstybės asmenys ir Lietuvos Respublikoje registruoti įgaliotieji atstovai didesnės gamintojo atsakomybės klausimais, nurodyti Reglamente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ir užsienio valstybės asmenų įgaliotieji atstovai, atsakingi už Atliekų tvarkymo įstatyme apmokestinamųjų gaminių, elektros ir elektroninės įrangos gamintojams ir (ar) importuotojams gamintojams ir (ar) importuotojams nustatytų pareigų vykdymą Lietuvos Respublikoje (toliau – įgaliotieji atstovai), Sąvade registruojasi naudodamiesi Vieninga gaminių, pakuočių ir atliekų apskaitos informacine sistema (toliau – GPAIS).</w:t>
                </w:r>
              </w:p>
              <w:p w14:paraId="162BBDA1" w14:textId="77777777">
                <w:pPr>
                  <w:widowControl w:val="0"/>
                  <w:suppressAutoHyphens/>
                  <w:ind w:firstLine="709"/>
                  <w:jc w:val="both"/>
                  <w:rPr>
                    <w:rFonts w:eastAsia="Lucida Sans Unicode"/>
                    <w:szCs w:val="24"/>
                  </w:rPr>
                </w:pPr>
                <w:r>
                  <w:rPr>
                    <w:rFonts w:eastAsia="Lucida Sans Unicode"/>
                    <w:szCs w:val="24"/>
                  </w:rPr>
                  <w:t>&lt;...&gt;</w:t>
                </w:r>
              </w:p>
              <w:p w14:paraId="27168C2D" w14:textId="77777777">
                <w:pPr>
                  <w:widowControl w:val="0"/>
                  <w:suppressAutoHyphens/>
                  <w:ind w:firstLine="709"/>
                  <w:jc w:val="both"/>
                  <w:rPr>
                    <w:rFonts w:eastAsia="Lucida Sans Unicode"/>
                    <w:b/>
                    <w:bCs/>
                    <w:szCs w:val="24"/>
                  </w:rPr>
                </w:pPr>
                <w:r>
                  <w:rPr>
                    <w:rFonts w:eastAsia="Lucida Sans Unicode"/>
                    <w:b/>
                    <w:bCs/>
                    <w:szCs w:val="24"/>
                  </w:rPr>
                  <w:t>2.6. Papildau 15.5 papunkčiu:</w:t>
                </w:r>
              </w:p>
              <w:p w14:paraId="270C6727" w14:textId="77777777">
                <w:pPr>
                  <w:widowControl w:val="0"/>
                  <w:suppressAutoHyphens/>
                  <w:ind w:firstLine="709"/>
                  <w:jc w:val="both"/>
                  <w:rPr>
                    <w:rFonts w:eastAsia="Lucida Sans Unicode"/>
                    <w:szCs w:val="24"/>
                  </w:rPr>
                </w:pPr>
                <w:r>
                  <w:rPr>
                    <w:rFonts w:eastAsia="Lucida Sans Unicode"/>
                    <w:szCs w:val="24"/>
                  </w:rPr>
                  <w:t>„</w:t>
                </w:r>
                <w:r>
                  <w:rPr>
                    <w:rFonts w:eastAsia="Lucida Sans Unicode"/>
                    <w:b/>
                    <w:bCs/>
                    <w:szCs w:val="24"/>
                  </w:rPr>
                  <w:t xml:space="preserve">15.5.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55 straipsnio 11 dalyje nurodytais atvejais.“</w:t>
                </w:r>
              </w:p>
              <w:p w14:paraId="21DDFD9D" w14:textId="77777777">
                <w:pPr>
                  <w:widowControl w:val="0"/>
                  <w:suppressAutoHyphens/>
                  <w:ind w:firstLine="709"/>
                  <w:jc w:val="both"/>
                  <w:rPr>
                    <w:rFonts w:eastAsia="Lucida Sans Unicode"/>
                    <w:szCs w:val="24"/>
                  </w:rPr>
                </w:pPr>
                <w:r>
                  <w:rPr>
                    <w:rFonts w:eastAsia="Lucida Sans Unicode"/>
                    <w:szCs w:val="24"/>
                  </w:rPr>
                  <w:t>&lt;...&gt;</w:t>
                </w:r>
              </w:p>
              <w:p w14:paraId="5C573D96" w14:textId="77777777">
                <w:pPr>
                  <w:widowControl w:val="0"/>
                  <w:suppressAutoHyphens/>
                  <w:ind w:firstLine="709"/>
                  <w:jc w:val="both"/>
                  <w:rPr>
                    <w:rFonts w:eastAsia="Lucida Sans Unicode"/>
                    <w:b/>
                    <w:bCs/>
                    <w:szCs w:val="24"/>
                  </w:rPr>
                </w:pPr>
                <w:r>
                  <w:rPr>
                    <w:rFonts w:eastAsia="Lucida Sans Unicode"/>
                    <w:b/>
                    <w:bCs/>
                    <w:szCs w:val="24"/>
                  </w:rPr>
                  <w:t>2.8. Pakeičiu priedo 2.4 papunktį ir jį išdėstau taip:</w:t>
                </w:r>
              </w:p>
              <w:p w14:paraId="19E27D42" w14:textId="77777777">
                <w:pPr>
                  <w:widowControl w:val="0"/>
                  <w:suppressAutoHyphens/>
                  <w:ind w:firstLine="709"/>
                  <w:jc w:val="both"/>
                  <w:rPr>
                    <w:rFonts w:eastAsia="Lucida Sans Unicode"/>
                    <w:b/>
                    <w:bCs/>
                    <w:szCs w:val="24"/>
                  </w:rPr>
                </w:pPr>
                <w:r>
                  <w:rPr>
                    <w:rFonts w:eastAsia="Lucida Sans Unicode"/>
                    <w:b/>
                    <w:bCs/>
                    <w:szCs w:val="24"/>
                  </w:rPr>
                  <w:t>„2.4. baterijos;“.</w:t>
                </w:r>
              </w:p>
              <w:p w14:paraId="20EC17AF" w14:textId="77777777">
                <w:pPr>
                  <w:widowControl w:val="0"/>
                  <w:suppressAutoHyphens/>
                  <w:ind w:firstLine="709"/>
                  <w:jc w:val="both"/>
                  <w:rPr>
                    <w:rFonts w:eastAsia="Lucida Sans Unicode"/>
                    <w:szCs w:val="24"/>
                  </w:rPr>
                </w:pPr>
                <w:r>
                  <w:rPr>
                    <w:rFonts w:eastAsia="Lucida Sans Unicode"/>
                    <w:szCs w:val="24"/>
                  </w:rPr>
                  <w:t>&lt;...&gt;</w:t>
                </w:r>
              </w:p>
              <w:p w14:paraId="1C554BB9" w14:textId="77777777">
                <w:pPr>
                  <w:widowControl w:val="0"/>
                  <w:suppressAutoHyphens/>
                  <w:ind w:firstLine="709"/>
                  <w:jc w:val="both"/>
                  <w:rPr>
                    <w:rFonts w:eastAsia="Lucida Sans Unicode"/>
                    <w:b/>
                    <w:bCs/>
                    <w:szCs w:val="24"/>
                  </w:rPr>
                </w:pPr>
                <w:r>
                  <w:rPr>
                    <w:rFonts w:eastAsia="Lucida Sans Unicode"/>
                    <w:b/>
                    <w:bCs/>
                    <w:szCs w:val="24"/>
                  </w:rPr>
                  <w:t>2.10. Pakeičiu priedo II skyriaus pavadinimą ir jį išdėstau taip:</w:t>
                </w:r>
              </w:p>
              <w:p w14:paraId="0F46C610" w14:textId="77777777">
                <w:pPr>
                  <w:widowControl w:val="0"/>
                  <w:suppressAutoHyphens/>
                  <w:ind w:firstLine="709"/>
                  <w:jc w:val="center"/>
                  <w:rPr>
                    <w:rFonts w:eastAsia="Lucida Sans Unicode"/>
                    <w:b/>
                    <w:bCs/>
                    <w:szCs w:val="24"/>
                  </w:rPr>
                </w:pPr>
                <w:r>
                  <w:rPr>
                    <w:rFonts w:eastAsia="Lucida Sans Unicode"/>
                    <w:b/>
                    <w:bCs/>
                    <w:szCs w:val="24"/>
                  </w:rPr>
                  <w:t>„II. INFORMACIJA APIE UŽSIENIO VALSTYBĖS ASMENS PASKIRTĄ ĮGALIOTĄJĮ ATSTOVĄ</w:t>
                </w:r>
              </w:p>
              <w:p w14:paraId="2928FCBA" w14:textId="77777777">
                <w:pPr>
                  <w:widowControl w:val="0"/>
                  <w:suppressAutoHyphens/>
                  <w:ind w:firstLine="709"/>
                  <w:jc w:val="center"/>
                  <w:rPr>
                    <w:rFonts w:eastAsia="Lucida Sans Unicode"/>
                    <w:szCs w:val="24"/>
                  </w:rPr>
                </w:pPr>
                <w:r>
                  <w:rPr>
                    <w:rFonts w:eastAsia="Lucida Sans Unicode"/>
                    <w:b/>
                    <w:bCs/>
                    <w:i/>
                    <w:iCs/>
                    <w:szCs w:val="24"/>
                  </w:rPr>
                  <w:t xml:space="preserve">(pildo užsienio valstybės asmuo, kuris tiekia Lietuvos Respublikos vidaus rinkai elektros ir elektroninę įrangą; užsienio valstybės, išskyrus valstybę narę, asmuo, kuris tiekia Lietuvos Respublikos vidaus rinkai apmokestinamuosius gaminius; Reglamente </w:t>
                </w:r>
                <w:fldSimple w:instr="HYPERLINK http://eur-lex.europa.eu/legal-content/LIT/TXT/?uri=CELEX:32023R1542&amp;locale=lt \t _blank">
                  <w:r>
                    <w:rPr>
                      <w:rFonts w:eastAsia="Lucida Sans Unicode"/>
                      <w:b/>
                      <w:bCs/>
                      <w:i/>
                      <w:iCs/>
                      <w:szCs w:val="24"/>
                      <w:u w:val="single"/>
                      <w:color w:val="0000FF" w:themeColor="hyperlink"/>
                    </w:rPr>
                    <w:t>(ES) 2023/1542</w:t>
                  </w:r>
                </w:fldSimple>
                <w:r>
                  <w:rPr>
                    <w:rFonts w:eastAsia="Lucida Sans Unicode"/>
                    <w:b/>
                    <w:bCs/>
                    <w:i/>
                    <w:iCs/>
                    <w:szCs w:val="24"/>
                  </w:rPr>
                  <w:t xml:space="preserve"> nurodytas įgaliotasis atstovas didesnės gamintojo atsakomybės klausimais)</w:t>
                </w:r>
                <w:r>
                  <w:rPr>
                    <w:rFonts w:eastAsia="Lucida Sans Unicode"/>
                    <w:szCs w:val="24"/>
                  </w:rPr>
                  <w:t>“.</w:t>
                </w:r>
              </w:p>
              <w:p w14:paraId="247425CB" w14:textId="77777777">
                <w:pPr>
                  <w:widowControl w:val="0"/>
                  <w:suppressAutoHyphens/>
                  <w:ind w:firstLine="709"/>
                  <w:jc w:val="both"/>
                  <w:rPr>
                    <w:rFonts w:eastAsia="Lucida Sans Unicode"/>
                    <w:szCs w:val="24"/>
                  </w:rPr>
                </w:pPr>
                <w:r>
                  <w:rPr>
                    <w:rFonts w:eastAsia="Lucida Sans Unicode"/>
                    <w:szCs w:val="24"/>
                  </w:rPr>
                  <w:t>&lt;...&gt;</w:t>
                </w:r>
              </w:p>
              <w:p w14:paraId="16DA9565" w14:textId="77777777">
                <w:pPr>
                  <w:widowControl w:val="0"/>
                  <w:suppressAutoHyphens/>
                  <w:ind w:firstLine="709"/>
                  <w:jc w:val="both"/>
                  <w:rPr>
                    <w:rFonts w:eastAsia="Lucida Sans Unicode"/>
                    <w:b/>
                    <w:bCs/>
                    <w:szCs w:val="24"/>
                  </w:rPr>
                </w:pPr>
                <w:r>
                  <w:rPr>
                    <w:rFonts w:eastAsia="Lucida Sans Unicode"/>
                    <w:b/>
                    <w:bCs/>
                    <w:szCs w:val="24"/>
                  </w:rPr>
                  <w:t>2.15. Pakeičiu priedo 5.4 papunktį ir jį išdėstau taip:</w:t>
                </w:r>
              </w:p>
              <w:p w14:paraId="5AA20374" w14:textId="77777777">
                <w:pPr>
                  <w:widowControl w:val="0"/>
                  <w:suppressAutoHyphens/>
                  <w:ind w:firstLine="709"/>
                  <w:jc w:val="both"/>
                  <w:rPr>
                    <w:rFonts w:eastAsia="Lucida Sans Unicode"/>
                    <w:b/>
                    <w:bCs/>
                    <w:szCs w:val="24"/>
                  </w:rPr>
                </w:pPr>
                <w:r>
                  <w:rPr>
                    <w:rFonts w:eastAsia="Lucida Sans Unicode"/>
                    <w:b/>
                    <w:bCs/>
                    <w:szCs w:val="24"/>
                  </w:rPr>
                  <w:t>„5.4. baterijos:</w:t>
                </w:r>
              </w:p>
              <w:p w14:paraId="146B6916" w14:textId="77777777">
                <w:pPr>
                  <w:widowControl w:val="0"/>
                  <w:suppressAutoHyphens/>
                  <w:ind w:firstLine="709"/>
                  <w:jc w:val="both"/>
                  <w:rPr>
                    <w:rFonts w:eastAsia="Lucida Sans Unicode"/>
                    <w:b/>
                    <w:bCs/>
                    <w:szCs w:val="24"/>
                  </w:rPr>
                </w:pPr>
                <w:r>
                  <w:rPr>
                    <w:rFonts w:eastAsia="Lucida Sans Unicode"/>
                    <w:b/>
                    <w:bCs/>
                    <w:szCs w:val="24"/>
                  </w:rPr>
                  <w:t>5.4.1. kategorija:</w:t>
                </w:r>
              </w:p>
              <w:p w14:paraId="77AB32B4" w14:textId="77777777">
                <w:pPr>
                  <w:widowControl w:val="0"/>
                  <w:suppressAutoHyphens/>
                  <w:ind w:firstLine="709"/>
                  <w:jc w:val="both"/>
                  <w:rPr>
                    <w:rFonts w:eastAsia="Lucida Sans Unicode"/>
                    <w:b/>
                    <w:bCs/>
                    <w:szCs w:val="24"/>
                  </w:rPr>
                </w:pPr>
                <w:r>
                  <w:rPr>
                    <w:rFonts w:eastAsia="Lucida Sans Unicode"/>
                    <w:b/>
                    <w:bCs/>
                    <w:szCs w:val="24"/>
                    <w:lang w:val="en-US"/>
                  </w:rPr>
                  <w:t>5.4.1.1.</w:t>
                </w:r>
                <w:r>
                  <w:rPr>
                    <w:rFonts w:eastAsia="Lucida Sans Unicode"/>
                    <w:b/>
                    <w:bCs/>
                    <w:szCs w:val="24"/>
                  </w:rPr>
                  <w:t xml:space="preserve"> nešiojamosios;</w:t>
                </w:r>
              </w:p>
              <w:p w14:paraId="7DC508B1" w14:textId="77777777">
                <w:pPr>
                  <w:widowControl w:val="0"/>
                  <w:suppressAutoHyphens/>
                  <w:ind w:firstLine="709"/>
                  <w:jc w:val="both"/>
                  <w:rPr>
                    <w:rFonts w:eastAsia="Lucida Sans Unicode"/>
                    <w:b/>
                    <w:bCs/>
                    <w:szCs w:val="24"/>
                  </w:rPr>
                </w:pPr>
                <w:r>
                  <w:rPr>
                    <w:rFonts w:eastAsia="Lucida Sans Unicode"/>
                    <w:b/>
                    <w:bCs/>
                    <w:szCs w:val="24"/>
                    <w:lang w:val="en-US"/>
                  </w:rPr>
                  <w:t>5.4.1.2.</w:t>
                </w:r>
                <w:r>
                  <w:rPr>
                    <w:rFonts w:eastAsia="Lucida Sans Unicode"/>
                    <w:b/>
                    <w:bCs/>
                    <w:szCs w:val="24"/>
                  </w:rPr>
                  <w:t xml:space="preserve"> pramoninės;</w:t>
                </w:r>
              </w:p>
              <w:p w14:paraId="0AEB5E52" w14:textId="77777777">
                <w:pPr>
                  <w:widowControl w:val="0"/>
                  <w:suppressAutoHyphens/>
                  <w:ind w:firstLine="709"/>
                  <w:jc w:val="both"/>
                  <w:rPr>
                    <w:rFonts w:eastAsia="Lucida Sans Unicode"/>
                    <w:b/>
                    <w:bCs/>
                    <w:szCs w:val="24"/>
                  </w:rPr>
                </w:pPr>
                <w:r>
                  <w:rPr>
                    <w:rFonts w:eastAsia="Lucida Sans Unicode"/>
                    <w:b/>
                    <w:bCs/>
                    <w:szCs w:val="24"/>
                    <w:lang w:val="en-US"/>
                  </w:rPr>
                  <w:t xml:space="preserve">5.4.1.3. </w:t>
                </w:r>
                <w:r>
                  <w:rPr>
                    <w:rFonts w:eastAsia="Lucida Sans Unicode"/>
                    <w:b/>
                    <w:bCs/>
                    <w:szCs w:val="24"/>
                  </w:rPr>
                  <w:t>automobilių;</w:t>
                </w:r>
              </w:p>
              <w:p w14:paraId="028E388C" w14:textId="77777777">
                <w:pPr>
                  <w:widowControl w:val="0"/>
                  <w:suppressAutoHyphens/>
                  <w:ind w:firstLine="709"/>
                  <w:jc w:val="both"/>
                  <w:rPr>
                    <w:rFonts w:eastAsia="Lucida Sans Unicode"/>
                    <w:b/>
                    <w:bCs/>
                    <w:szCs w:val="24"/>
                  </w:rPr>
                </w:pPr>
                <w:r>
                  <w:rPr>
                    <w:rFonts w:eastAsia="Lucida Sans Unicode"/>
                    <w:b/>
                    <w:bCs/>
                    <w:szCs w:val="24"/>
                    <w:lang w:val="en-US"/>
                  </w:rPr>
                  <w:t xml:space="preserve">5.4.1.4. </w:t>
                </w:r>
                <w:r>
                  <w:rPr>
                    <w:rFonts w:eastAsia="Lucida Sans Unicode"/>
                    <w:b/>
                    <w:bCs/>
                    <w:szCs w:val="24"/>
                  </w:rPr>
                  <w:t xml:space="preserve">mažųjų transporto priemonių; </w:t>
                </w:r>
              </w:p>
              <w:p w14:paraId="251C14A6" w14:textId="77777777">
                <w:pPr>
                  <w:widowControl w:val="0"/>
                  <w:suppressAutoHyphens/>
                  <w:ind w:firstLine="709"/>
                  <w:jc w:val="both"/>
                  <w:rPr>
                    <w:rFonts w:eastAsia="Lucida Sans Unicode"/>
                    <w:b/>
                    <w:bCs/>
                    <w:szCs w:val="24"/>
                  </w:rPr>
                </w:pPr>
                <w:r>
                  <w:rPr>
                    <w:rFonts w:eastAsia="Lucida Sans Unicode"/>
                    <w:b/>
                    <w:bCs/>
                    <w:szCs w:val="24"/>
                    <w:lang w:val="en-US"/>
                  </w:rPr>
                  <w:t>5.4.1.5.</w:t>
                </w:r>
                <w:r>
                  <w:rPr>
                    <w:rFonts w:eastAsia="Lucida Sans Unicode"/>
                    <w:b/>
                    <w:bCs/>
                    <w:szCs w:val="24"/>
                  </w:rPr>
                  <w:t xml:space="preserve"> elektrinių transporto priemonių;</w:t>
                </w:r>
              </w:p>
              <w:p w14:paraId="4150EA37" w14:textId="77777777">
                <w:pPr>
                  <w:widowControl w:val="0"/>
                  <w:suppressAutoHyphens/>
                  <w:ind w:firstLine="709"/>
                  <w:jc w:val="both"/>
                  <w:rPr>
                    <w:rFonts w:eastAsia="Lucida Sans Unicode"/>
                    <w:b/>
                    <w:bCs/>
                    <w:szCs w:val="24"/>
                  </w:rPr>
                </w:pPr>
                <w:r>
                  <w:rPr>
                    <w:rFonts w:eastAsia="Lucida Sans Unicode"/>
                    <w:b/>
                    <w:bCs/>
                    <w:szCs w:val="24"/>
                    <w:lang w:val="en-US"/>
                  </w:rPr>
                  <w:t>5.4.</w:t>
                </w:r>
                <w:r>
                  <w:rPr>
                    <w:rFonts w:eastAsia="Lucida Sans Unicode"/>
                    <w:b/>
                    <w:bCs/>
                    <w:szCs w:val="24"/>
                  </w:rPr>
                  <w:t>2. cheminė sudėtis:</w:t>
                </w:r>
              </w:p>
              <w:p w14:paraId="58361C84" w14:textId="77777777">
                <w:pPr>
                  <w:widowControl w:val="0"/>
                  <w:suppressAutoHyphens/>
                  <w:ind w:firstLine="709"/>
                  <w:jc w:val="both"/>
                  <w:rPr>
                    <w:rFonts w:eastAsia="Lucida Sans Unicode"/>
                    <w:b/>
                    <w:bCs/>
                    <w:szCs w:val="24"/>
                  </w:rPr>
                </w:pPr>
                <w:r>
                  <w:rPr>
                    <w:rFonts w:eastAsia="Lucida Sans Unicode"/>
                    <w:b/>
                    <w:bCs/>
                    <w:szCs w:val="24"/>
                    <w:lang w:val="en-US"/>
                  </w:rPr>
                  <w:t>5.4.2.1.</w:t>
                </w:r>
                <w:r>
                  <w:rPr>
                    <w:rFonts w:eastAsia="Lucida Sans Unicode"/>
                    <w:b/>
                    <w:bCs/>
                    <w:szCs w:val="24"/>
                  </w:rPr>
                  <w:t xml:space="preserve"> nikelio-kadmio;</w:t>
                </w:r>
              </w:p>
              <w:p w14:paraId="2EF0DA4E" w14:textId="77777777">
                <w:pPr>
                  <w:widowControl w:val="0"/>
                  <w:suppressAutoHyphens/>
                  <w:ind w:firstLine="709"/>
                  <w:jc w:val="both"/>
                  <w:rPr>
                    <w:rFonts w:eastAsia="Lucida Sans Unicode"/>
                    <w:b/>
                    <w:bCs/>
                    <w:szCs w:val="24"/>
                  </w:rPr>
                </w:pPr>
                <w:r>
                  <w:rPr>
                    <w:rFonts w:eastAsia="Lucida Sans Unicode"/>
                    <w:b/>
                    <w:bCs/>
                    <w:szCs w:val="24"/>
                    <w:lang w:val="en-US"/>
                  </w:rPr>
                  <w:t xml:space="preserve">5.4.2.2. </w:t>
                </w:r>
                <w:r>
                  <w:rPr>
                    <w:rFonts w:eastAsia="Lucida Sans Unicode"/>
                    <w:b/>
                    <w:bCs/>
                    <w:szCs w:val="24"/>
                  </w:rPr>
                  <w:t>švino rūgštinės;</w:t>
                </w:r>
              </w:p>
              <w:p w14:paraId="68F3C0D1" w14:textId="77777777">
                <w:pPr>
                  <w:widowControl w:val="0"/>
                  <w:suppressAutoHyphens/>
                  <w:ind w:firstLine="709"/>
                  <w:jc w:val="both"/>
                  <w:rPr>
                    <w:rFonts w:eastAsia="Lucida Sans Unicode"/>
                    <w:b/>
                    <w:bCs/>
                    <w:szCs w:val="24"/>
                  </w:rPr>
                </w:pPr>
                <w:r>
                  <w:rPr>
                    <w:rFonts w:eastAsia="Lucida Sans Unicode"/>
                    <w:b/>
                    <w:bCs/>
                    <w:szCs w:val="24"/>
                    <w:lang w:val="en-US"/>
                  </w:rPr>
                  <w:t>5.4.2.3.</w:t>
                </w:r>
                <w:r>
                  <w:rPr>
                    <w:rFonts w:eastAsia="Lucida Sans Unicode"/>
                    <w:b/>
                    <w:bCs/>
                    <w:szCs w:val="24"/>
                  </w:rPr>
                  <w:t xml:space="preserve"> ličio;</w:t>
                </w:r>
              </w:p>
              <w:p w14:paraId="6A391400" w14:textId="77777777">
                <w:pPr>
                  <w:widowControl w:val="0"/>
                  <w:suppressAutoHyphens/>
                  <w:ind w:firstLine="709"/>
                  <w:jc w:val="both"/>
                  <w:rPr>
                    <w:rFonts w:eastAsia="Lucida Sans Unicode"/>
                    <w:b/>
                    <w:bCs/>
                    <w:szCs w:val="24"/>
                  </w:rPr>
                </w:pPr>
                <w:r>
                  <w:rPr>
                    <w:rFonts w:eastAsia="Lucida Sans Unicode"/>
                    <w:b/>
                    <w:bCs/>
                    <w:szCs w:val="24"/>
                    <w:lang w:val="en-US"/>
                  </w:rPr>
                  <w:t xml:space="preserve">5.4.2.4. </w:t>
                </w:r>
                <w:r>
                  <w:rPr>
                    <w:rFonts w:eastAsia="Lucida Sans Unicode"/>
                    <w:b/>
                    <w:bCs/>
                    <w:szCs w:val="24"/>
                  </w:rPr>
                  <w:t>nikelio;</w:t>
                </w:r>
              </w:p>
              <w:p w14:paraId="2AC12A6E" w14:textId="77777777">
                <w:pPr>
                  <w:widowControl w:val="0"/>
                  <w:suppressAutoHyphens/>
                  <w:ind w:firstLine="709"/>
                  <w:jc w:val="both"/>
                  <w:rPr>
                    <w:rFonts w:eastAsia="Lucida Sans Unicode"/>
                    <w:b/>
                    <w:bCs/>
                    <w:szCs w:val="24"/>
                  </w:rPr>
                </w:pPr>
                <w:r>
                  <w:rPr>
                    <w:rFonts w:eastAsia="Lucida Sans Unicode"/>
                    <w:b/>
                    <w:bCs/>
                    <w:szCs w:val="24"/>
                    <w:lang w:val="en-US"/>
                  </w:rPr>
                  <w:t>5.4.2.5.</w:t>
                </w:r>
                <w:r>
                  <w:rPr>
                    <w:rFonts w:eastAsia="Lucida Sans Unicode"/>
                    <w:b/>
                    <w:bCs/>
                    <w:szCs w:val="24"/>
                  </w:rPr>
                  <w:t xml:space="preserve"> kita;</w:t>
                </w:r>
              </w:p>
              <w:p w14:paraId="4F857D0D" w14:textId="77777777">
                <w:pPr>
                  <w:widowControl w:val="0"/>
                  <w:suppressAutoHyphens/>
                  <w:ind w:firstLine="709"/>
                  <w:jc w:val="both"/>
                  <w:rPr>
                    <w:rFonts w:eastAsia="Lucida Sans Unicode"/>
                    <w:b/>
                    <w:bCs/>
                    <w:szCs w:val="24"/>
                  </w:rPr>
                </w:pPr>
                <w:r>
                  <w:rPr>
                    <w:rFonts w:eastAsia="Lucida Sans Unicode"/>
                    <w:b/>
                    <w:bCs/>
                    <w:szCs w:val="24"/>
                    <w:lang w:val="en-US"/>
                  </w:rPr>
                  <w:t>5.4.</w:t>
                </w:r>
                <w:r>
                  <w:rPr>
                    <w:rFonts w:eastAsia="Lucida Sans Unicode"/>
                    <w:b/>
                    <w:bCs/>
                    <w:szCs w:val="24"/>
                  </w:rPr>
                  <w:t>3. prekės ženklo pavadinimas;“.</w:t>
                </w:r>
              </w:p>
              <w:p w14:paraId="4F1B3350" w14:textId="77777777">
                <w:pPr>
                  <w:widowControl w:val="0"/>
                  <w:suppressAutoHyphens/>
                  <w:ind w:firstLine="709"/>
                  <w:jc w:val="both"/>
                  <w:textAlignment w:val="center"/>
                  <w:rPr>
                    <w:rFonts w:eastAsia="Lucida Sans Unicode"/>
                    <w:b/>
                    <w:bCs/>
                    <w:color w:val="000000"/>
                    <w:szCs w:val="24"/>
                  </w:rPr>
                </w:pPr>
              </w:p>
              <w:p w14:paraId="618C6ADD"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Gaminių apskaitos taisyklių projektas</w:t>
                </w:r>
              </w:p>
              <w:p w14:paraId="62EC8237" w14:textId="77777777">
                <w:pPr>
                  <w:widowControl w:val="0"/>
                  <w:suppressAutoHyphens/>
                  <w:ind w:firstLine="709"/>
                  <w:jc w:val="both"/>
                  <w:rPr>
                    <w:rFonts w:eastAsia="Lucida Sans Unicode"/>
                    <w:b/>
                    <w:bCs/>
                    <w:szCs w:val="24"/>
                  </w:rPr>
                </w:pPr>
                <w:r>
                  <w:rPr>
                    <w:rFonts w:eastAsia="Lucida Sans Unicode"/>
                    <w:b/>
                    <w:bCs/>
                    <w:szCs w:val="24"/>
                  </w:rPr>
                  <w:t xml:space="preserve">2.1. Pakeičiu I skyrių ir jį išdėstau taip: </w:t>
                </w:r>
              </w:p>
              <w:p w14:paraId="264C6155" w14:textId="77777777">
                <w:pPr>
                  <w:widowControl w:val="0"/>
                  <w:suppressAutoHyphens/>
                  <w:ind w:firstLine="709"/>
                  <w:jc w:val="both"/>
                  <w:rPr>
                    <w:rFonts w:eastAsia="Lucida Sans Unicode"/>
                    <w:b/>
                    <w:bCs/>
                    <w:szCs w:val="24"/>
                  </w:rPr>
                </w:pPr>
                <w:r>
                  <w:rPr>
                    <w:rFonts w:eastAsia="Lucida Sans Unicode"/>
                    <w:b/>
                    <w:bCs/>
                    <w:szCs w:val="24"/>
                  </w:rPr>
                  <w:t>„&lt;...&gt;</w:t>
                </w:r>
              </w:p>
              <w:p w14:paraId="5B3EBC30" w14:textId="77777777">
                <w:pPr>
                  <w:widowControl w:val="0"/>
                  <w:suppressAutoHyphens/>
                  <w:ind w:firstLine="709"/>
                  <w:jc w:val="both"/>
                  <w:rPr>
                    <w:rFonts w:eastAsia="Lucida Sans Unicode"/>
                    <w:b/>
                    <w:bCs/>
                    <w:szCs w:val="24"/>
                  </w:rPr>
                </w:pPr>
                <w:r>
                  <w:rPr>
                    <w:rFonts w:eastAsia="Lucida Sans Unicode"/>
                    <w:b/>
                    <w:bCs/>
                    <w:szCs w:val="24"/>
                  </w:rPr>
                  <w:t>1. Gaminių apskaitos ir atliekų tvarkymo organizavimo veiklos ataskaitų teikimo taisyklės (toliau – Taisyklės) nustato tiekiamų Lietuvos Respublikos vidaus rinkai verslo tikslais tiekiamų elektros ir elektroninės įrangos, transporto priemonių, alyvos, apmokestinamųjų gaminių apskaitos tvarkymo reikalavimus ir šių gaminių apskaitos ir atliekų tvarkymo organizavimo veiklos ataskaitų (toliau – Ataskaita) teikimo tvarką, Lietuvos Respublikos rinkai pateikiamų vienkartinių plastikinių gaminių (tabako gaminių su filtrais ir (ar) filtrų, parduodamų naudoti kartu su tabako gaminiais) apskaitos ir apskaitos ataskaitų (toliau – Apskaitos ataskaita), tiekiamų Lietuvos Respublikos rinkai baterijų apskaitos ir apskaitos duomenų teikimo tvarką.</w:t>
                </w:r>
              </w:p>
              <w:p w14:paraId="10C67421" w14:textId="77777777">
                <w:pPr>
                  <w:widowControl w:val="0"/>
                  <w:suppressAutoHyphens/>
                  <w:ind w:firstLine="709"/>
                  <w:jc w:val="both"/>
                  <w:rPr>
                    <w:rFonts w:eastAsia="Lucida Sans Unicode"/>
                    <w:szCs w:val="24"/>
                  </w:rPr>
                </w:pPr>
                <w:r>
                  <w:rPr>
                    <w:rFonts w:eastAsia="Lucida Sans Unicode"/>
                    <w:szCs w:val="24"/>
                  </w:rPr>
                  <w:t>&lt;...&gt;</w:t>
                </w:r>
              </w:p>
              <w:p w14:paraId="2861BEAD"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2.78. Papildau nauju V skyriumi:</w:t>
                </w:r>
              </w:p>
              <w:p w14:paraId="48DCBE86" w14:textId="77777777">
                <w:pPr>
                  <w:widowControl w:val="0"/>
                  <w:suppressAutoHyphens/>
                  <w:ind w:firstLine="709"/>
                  <w:jc w:val="center"/>
                  <w:rPr>
                    <w:rFonts w:eastAsia="Lucida Sans Unicode"/>
                    <w:b/>
                    <w:bCs/>
                    <w:color w:val="000000"/>
                    <w:szCs w:val="24"/>
                  </w:rPr>
                </w:pPr>
                <w:r>
                  <w:rPr>
                    <w:rFonts w:eastAsia="Lucida Sans Unicode"/>
                    <w:b/>
                    <w:bCs/>
                    <w:color w:val="000000"/>
                    <w:szCs w:val="24"/>
                  </w:rPr>
                  <w:t>„V SKYRIUS</w:t>
                </w:r>
              </w:p>
              <w:p w14:paraId="5786060D" w14:textId="77777777">
                <w:pPr>
                  <w:widowControl w:val="0"/>
                  <w:suppressAutoHyphens/>
                  <w:ind w:firstLine="709"/>
                  <w:jc w:val="center"/>
                  <w:rPr>
                    <w:rFonts w:eastAsia="Lucida Sans Unicode"/>
                    <w:b/>
                    <w:bCs/>
                    <w:color w:val="000000"/>
                    <w:szCs w:val="24"/>
                  </w:rPr>
                </w:pPr>
                <w:r>
                  <w:rPr>
                    <w:rFonts w:eastAsia="Lucida Sans Unicode"/>
                    <w:b/>
                    <w:bCs/>
                    <w:color w:val="000000"/>
                    <w:szCs w:val="24"/>
                  </w:rPr>
                  <w:t>BATERIJŲ APSKAITA IR APSKAITOS DUOMENŲ TEIKIMO TVARKA</w:t>
                </w:r>
              </w:p>
              <w:p w14:paraId="4BA305BA" w14:textId="77777777">
                <w:pPr>
                  <w:widowControl w:val="0"/>
                  <w:suppressAutoHyphens/>
                  <w:ind w:firstLine="709"/>
                  <w:jc w:val="both"/>
                  <w:rPr>
                    <w:rFonts w:eastAsia="Lucida Sans Unicode"/>
                    <w:b/>
                    <w:bCs/>
                    <w:color w:val="000000"/>
                    <w:szCs w:val="24"/>
                  </w:rPr>
                </w:pPr>
              </w:p>
              <w:p w14:paraId="481F84B7"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 Baterijas tiekiantis Lietuvos Respublikos vidaus rinkai gamintojas turi gamintojo vadovo ar jo įgalioto asmens nustatyta tvarka savo įmonėje vykdyti tiekiamų Lietuvos Respublikos vidaus rinkai baterijų apskaitą:</w:t>
                </w:r>
              </w:p>
              <w:p w14:paraId="7C3339A4"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 sudaryti Lietuvos Respublikos vidaus rinkai tiekiamų baterijų sąrašą (toliau – Baterijų sąrašas), jame nurodant šiuos duomenis:</w:t>
                </w:r>
              </w:p>
              <w:p w14:paraId="54374EA0"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17.1.1. tiekiamos Lietuvos Respublikos vidaus rinkai baterijos unikalus gaminio kodas (nesikartojantis, skirtas konkrečiam baterijų tipui pagal baterijų prekinį ženklą, kategoriją ir cheminę sudėtį identifikuoti, privalo sutapti su buhalterinėje apskaitoje šiam baterijų tipui identifikuoti naudojamu kodu) ir tikslus pavadinimas;</w:t>
                </w:r>
              </w:p>
              <w:p w14:paraId="68D02850"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17.1.2. baterijos kategorija ir cheminė sudėtis;</w:t>
                </w:r>
              </w:p>
              <w:p w14:paraId="14A77D40"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17.1.3. baterijos svoris tonomis gramo (6 skaitmenų po kablelio) tikslumu;</w:t>
                </w:r>
              </w:p>
              <w:p w14:paraId="787CC136"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17.1.4. baterijai supakuoti panaudotų pakuočių duomenys vadovaujantis Pakuočių ir pakuočių atliekų tvarkymo taisyklėse nustatyta tvarka;</w:t>
                </w:r>
              </w:p>
              <w:p w14:paraId="650D20F6"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17.1.5. data, nuo kada ši baterija pradėta tiekti Lietuvos Respublikos vidaus rinkai;</w:t>
                </w:r>
              </w:p>
              <w:p w14:paraId="43B67062"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17.1.6. data, nuo kada nustota tiekti Lietuvos Respublikos vidaus rinkai šią bateriją (ši data nurodoma nuo tos dienos, kai gamintojas nustoja tiekti Lietuvos Respublikos vidaus rinkai šią bateriją).</w:t>
                </w:r>
              </w:p>
              <w:p w14:paraId="49023279" w14:textId="77777777">
                <w:pPr>
                  <w:widowControl w:val="0"/>
                  <w:suppressAutoHyphens/>
                  <w:ind w:firstLine="709"/>
                  <w:jc w:val="both"/>
                  <w:rPr>
                    <w:rFonts w:eastAsia="Lucida Sans Unicode"/>
                    <w:b/>
                    <w:bCs/>
                    <w:color w:val="000000"/>
                    <w:szCs w:val="24"/>
                  </w:rPr>
                </w:pPr>
                <w:r>
                  <w:rPr>
                    <w:rFonts w:eastAsia="Lucida Sans Unicode"/>
                    <w:b/>
                    <w:bCs/>
                    <w:color w:val="000000"/>
                    <w:szCs w:val="24"/>
                  </w:rPr>
                  <w:t>Baterijų sąrašas papildomas ne vėliau kaip per 5 darbo dienas nuo naujo tipo baterijų, kaip nurodyta Taisyklių 17.1.1 papunktyje, Lietuvos Respublikos vidaus rinkai tiekimo dienos;</w:t>
                </w:r>
              </w:p>
              <w:p w14:paraId="745721BF" w14:textId="77777777">
                <w:pPr>
                  <w:widowControl w:val="0"/>
                  <w:suppressAutoHyphens/>
                  <w:ind w:firstLine="709"/>
                  <w:jc w:val="both"/>
                  <w:rPr>
                    <w:rFonts w:eastAsia="Lucida Sans Unicode"/>
                    <w:b/>
                    <w:bCs/>
                    <w:color w:val="000000"/>
                    <w:szCs w:val="24"/>
                  </w:rPr>
                </w:pPr>
                <w:r>
                  <w:rPr>
                    <w:rFonts w:eastAsia="Lucida Sans Unicode"/>
                    <w:b/>
                    <w:bCs/>
                    <w:color w:val="000000"/>
                    <w:szCs w:val="24"/>
                  </w:rPr>
                  <w:t xml:space="preserve">17.2. pildyti 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75 straipsnio 1 dalies a ir b punktuose, 2 dalies a punkte nurodytus duomenis apie pirmą kartą tiektų Lietuvos Respublikos vidaus rinkai baterijų, nurodytų Baterijų sąraše, kiekį ir šiuos duomenis teikti gamintojo atsakomybę perimančiai organizacijai, kuriai pavedė vykdyti 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VIII skyriuje nustatytas gamintojo atsakomybės pareigas, jos nustatyta tvarka ir terminais.</w:t>
                </w:r>
              </w:p>
              <w:p w14:paraId="4DB69BC4"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18. Pasibaigus kalendoriniams metams, gamintojų atsakomybę perimanti organizacija ne vėliau kaip iki birželio 30 d. naudodamasi GPAIS privalo suvesti jai gamintojų pateiktus praėjusių kalendorinių metų duomenis, nurodytus Taisyklių 17.2 papunktyje (toliau – Baterijų ataskaita) ir pateikti Aplinkos apsaugos agentūrai.</w:t>
                </w:r>
              </w:p>
              <w:p w14:paraId="71827FF2" w14:textId="77777777">
                <w:pPr>
                  <w:widowControl w:val="0"/>
                  <w:suppressAutoHyphens/>
                  <w:ind w:firstLine="709"/>
                  <w:jc w:val="both"/>
                  <w:rPr>
                    <w:rFonts w:eastAsia="Lucida Sans Unicode"/>
                    <w:b/>
                    <w:bCs/>
                    <w:color w:val="000000"/>
                    <w:szCs w:val="24"/>
                  </w:rPr>
                </w:pPr>
                <w:r>
                  <w:rPr>
                    <w:rFonts w:eastAsia="Lucida Sans Unicode"/>
                    <w:b/>
                    <w:bCs/>
                    <w:color w:val="000000"/>
                    <w:szCs w:val="24"/>
                  </w:rPr>
                  <w:t>19. Aplinkos apsaugos agentūra gali prašyti bet kokios papildomos informacijos, būtinos užtikrinti pateiktų duomenų, nurodytų Taisyklių 18 punkte, patikimumą.</w:t>
                </w:r>
              </w:p>
              <w:p w14:paraId="36736DA3"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20. Baterijų ataskaitos iki Taisyklių 18 punkte nurodyto termino nepateikusiai gamintojų atsakomybę perimančiai organizacijai siunčiamas informacinis pranešimas per GPAIS ar kitomis elektroninėmis priemonėmis apie nepateiktą Baterijų ataskaitą ir apie tai informuojamas Aplinkos apsaugos departamentas.</w:t>
                </w:r>
              </w:p>
              <w:p w14:paraId="0541D079"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21. Aplinkos apsaugos agentūra ne vėliau kaip iki lapkričio 1 d. patikrina Baterijų ataskaitose pateiktus duomenis. Baterijų ataskaitoje nenustačius trūkumų, jos būsena „Pateikta“ nesikeičia.</w:t>
                </w:r>
              </w:p>
              <w:p w14:paraId="48E765A8"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22. Jeigu Aplinkos apsaugos agentūra Baterijų ataskaitoje nustato trūkumų, ji grąžina šią ataskaitą tikslinti. Per GPAIS ar kitomis elektroninėmis priemonėmis gamintojų atsakomybę perimančiai organizacijai ir Aplinkos apsaugos departamentui siunčiamas informacinis pranešimas nurodant šalintinus trūkumus.</w:t>
                </w:r>
              </w:p>
              <w:p w14:paraId="7033C49B"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23. Ne vėliau kaip per 20 darbo dienų nuo Taisyklių 22 punkte nurodyto informacinio pranešimo gavimo dienos gamintojų atsakomybę perimanti organizacija turi pašalinti Baterijų ataskaitoje nustatytus trūkumus ir patikslintą Baterijų ataskaitą naudodamasi GPAIS pateikti Aplinkos apsaugos agentūrai.</w:t>
                </w:r>
              </w:p>
              <w:p w14:paraId="0D0A61B4"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24. Jeigu Aplinkos apsaugos agentūros nurodyti trūkumai atsirado ne dėl gamintojų atsakomybę perimančios organizacijos kaltės ir trūkumų ji negali pašalinti, ji, pakartotinai teikdama Baterijų ataskaitą, turi naudodamasi GPAIS ar elektroniniu paštu, apie tai informuoti Aplinkos apsaugos agentūrą ir kartu pateikti tai įrodančią informaciją. Jei pateiktos informacijos nepakanka, Aplinkos apsaugos agentūra gali kreiptis į gamintojų atsakomybę perimančią organizaciją ir prašyti pateikti papildomus įrodymus ir (ar) dokumentus, kuriuos gamintojų atsakomybę perimanti organizacija Aplinkos apsaugos agentūrai privalo pateikti per 5 darbo dienas nuo tokio prašymo gavimo dienos. Jei gamintojų atsakomybę perimanti organizacija tokių įrodymų ir (ar) dokumentų per 5 darbo dienas nepateikia, laikoma, kad Aplinkos apsaugos agentūros nurodyti trūkumai atsirado dėl gamintojų atsakomybę perimančios organizacijos kaltės ir ji privalo juos pašalinti.</w:t>
                </w:r>
              </w:p>
              <w:p w14:paraId="6252DF60"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25. Jeigu gamintojų atsakomybę perimanti organizacija Baterijų ataskaitos nepateikia iki Taisyklių 18 punkte nurodyto termino arba per Taisyklių 23 punkte nurodytą terminą nepateikia patikslintos Baterijų ataskaitos ar Baterijų ataskaitą pateikia, tačiau joje nepašalinti visi nurodyti trūkumai ir nėra aplinkybių, nurodytų Taisyklių 24 punkte, už Baterijų ataskaitos nepateikimą iki nustatyto termino ar klaidingų duomenų šiose je ataskaitoje pateikimą atsako, vadovaujantis Lietuvos Respublikos administracinių nusižengimų kodeksu ir Lietuvos Respublikos aplinkos apsaugos įstatymu, gamintojų atsakomybę perimanti organizacija, jos vadovas arba vadovo paskirti už Baterijų ataskaitų pateikimą atsakingi asmenys.</w:t>
                </w:r>
              </w:p>
              <w:p w14:paraId="20504D6E"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26. Taisyklių 25 punkte nurodytu atveju informacija apie gamintojų atsakomybę perimančią organizaciją per GPAIS ar kitomis elektroninėmis priemonėmis siunčiama Aplinkos apsaugos departamentui. Gavęs šį pranešimą, Aplinkos apsaugos departamentas dėl nurodyto pažeidimo privalo imtis teisės aktuose nustatytų veiksmų.</w:t>
                </w:r>
              </w:p>
              <w:p w14:paraId="43B7297C" w14:textId="77777777">
                <w:pPr>
                  <w:widowControl w:val="0"/>
                  <w:suppressAutoHyphens/>
                  <w:ind w:firstLine="709"/>
                  <w:jc w:val="both"/>
                  <w:rPr>
                    <w:rFonts w:eastAsia="Lucida Sans Unicode"/>
                    <w:b/>
                    <w:bCs/>
                    <w:color w:val="000000"/>
                    <w:szCs w:val="24"/>
                  </w:rPr>
                </w:pPr>
                <w:r>
                  <w:rPr>
                    <w:rFonts w:eastAsia="Lucida Sans Unicode"/>
                    <w:b/>
                    <w:bCs/>
                    <w:color w:val="000000"/>
                    <w:szCs w:val="24"/>
                  </w:rPr>
                  <w:t>26. Jei pateikus Baterijų ataskaitą atliekamas gamintojų atsakomybę perimančios organizacijos patikrinimas ir paaiškėja, kad pateiktoje Baterijų ataskaitoje pateikti klaidingi duomenys, patikrinimą atlikusi institucija per GPAIS ar kitomis elektroninėmis priemonėmis turi informuoti Aplinkos apsaugos agentūrą ir nurodyti trūkumus. Gamintojų atsakomybę perimanti organizacija nustatytus trūkumus privalo ištaisyti ir per Taisyklių 23 punkte nurodytą terminą pateikti patikslintą Baterijų ataskaitą. Patikslintos Baterijų ataskaitos teikiamos ir tikrinamos vadovaujantis šio skyriaus nuostatomis.</w:t>
                </w:r>
              </w:p>
              <w:p w14:paraId="64BF608C"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28. Gamintojų atsakomybę perimančios organizacijos veiklos vykdymo sustabdymo, nutraukimo atveju gamintojų atsakomybę perimanti organizacija privalo paskutinių ataskaitinių metų Baterijų ataskaitą Aplinkos apsaugos agentūrai per GPAIS pateikti iki organizacijos veiklos vykdymo sustabdymo arba nutraukimo.“</w:t>
                </w:r>
              </w:p>
              <w:p w14:paraId="1CE7C748" w14:textId="77777777">
                <w:pPr>
                  <w:widowControl w:val="0"/>
                  <w:suppressAutoHyphens/>
                  <w:ind w:firstLine="709"/>
                  <w:jc w:val="both"/>
                  <w:textAlignment w:val="center"/>
                  <w:rPr>
                    <w:rFonts w:eastAsia="Arial Unicode MS"/>
                    <w:b/>
                    <w:bCs/>
                    <w:szCs w:val="24"/>
                    <w:lang w:eastAsia="lt-LT"/>
                  </w:rPr>
                </w:pPr>
              </w:p>
              <w:p w14:paraId="02D4E8A1" w14:textId="77777777">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ASTA taisyklių projektas</w:t>
                </w:r>
              </w:p>
              <w:p w14:paraId="3CED294D"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1.2.5. Pakeičiu V</w:t>
                </w:r>
                <w:r>
                  <w:rPr>
                    <w:rFonts w:eastAsia="Lucida Sans Unicode"/>
                    <w:b/>
                    <w:bCs/>
                    <w:szCs w:val="24"/>
                    <w:vertAlign w:val="superscript"/>
                    <w:lang w:eastAsia="lt-LT"/>
                  </w:rPr>
                  <w:t>1</w:t>
                </w:r>
                <w:r>
                  <w:rPr>
                    <w:rFonts w:eastAsia="Lucida Sans Unicode"/>
                    <w:b/>
                    <w:bCs/>
                    <w:szCs w:val="24"/>
                    <w:lang w:eastAsia="lt-LT"/>
                  </w:rPr>
                  <w:t xml:space="preserve"> skyriaus pavadinimą ir jį išdėstau taip:</w:t>
                </w:r>
              </w:p>
              <w:p w14:paraId="71564D62" w14:textId="77777777">
                <w:pPr>
                  <w:widowControl w:val="0"/>
                  <w:suppressAutoHyphens/>
                  <w:ind w:firstLine="709"/>
                  <w:jc w:val="center"/>
                  <w:rPr>
                    <w:rFonts w:eastAsia="Lucida Sans Unicode"/>
                    <w:szCs w:val="24"/>
                    <w:lang w:eastAsia="lt-LT"/>
                  </w:rPr>
                </w:pPr>
                <w:r>
                  <w:rPr>
                    <w:rFonts w:eastAsia="Lucida Sans Unicode"/>
                    <w:szCs w:val="24"/>
                    <w:lang w:eastAsia="lt-LT"/>
                  </w:rPr>
                  <w:t>„</w:t>
                </w:r>
                <w:r>
                  <w:rPr>
                    <w:rFonts w:eastAsia="Lucida Sans Unicode"/>
                    <w:b/>
                    <w:bCs/>
                    <w:szCs w:val="24"/>
                    <w:lang w:eastAsia="lt-LT"/>
                  </w:rPr>
                  <w:t>V</w:t>
                </w:r>
                <w:r>
                  <w:rPr>
                    <w:rFonts w:eastAsia="Lucida Sans Unicode"/>
                    <w:b/>
                    <w:bCs/>
                    <w:szCs w:val="24"/>
                    <w:vertAlign w:val="superscript"/>
                    <w:lang w:eastAsia="lt-LT"/>
                  </w:rPr>
                  <w:t>1</w:t>
                </w:r>
                <w:r>
                  <w:rPr>
                    <w:rFonts w:eastAsia="Lucida Sans Unicode"/>
                    <w:b/>
                    <w:bCs/>
                    <w:szCs w:val="24"/>
                    <w:lang w:eastAsia="lt-LT"/>
                  </w:rPr>
                  <w:t xml:space="preserve"> SKYRIUS</w:t>
                </w:r>
              </w:p>
              <w:p w14:paraId="16E3945A" w14:textId="77777777">
                <w:pPr>
                  <w:widowControl w:val="0"/>
                  <w:suppressAutoHyphens/>
                  <w:ind w:firstLine="709"/>
                  <w:jc w:val="center"/>
                  <w:rPr>
                    <w:rFonts w:eastAsia="Lucida Sans Unicode"/>
                    <w:szCs w:val="24"/>
                    <w:lang w:eastAsia="lt-LT"/>
                  </w:rPr>
                </w:pPr>
                <w:r>
                  <w:rPr>
                    <w:rFonts w:eastAsia="Lucida Sans Unicode"/>
                    <w:b/>
                    <w:bCs/>
                    <w:szCs w:val="24"/>
                    <w:lang w:eastAsia="lt-LT"/>
                  </w:rPr>
                  <w:t>METINĖS BATERIJŲ ATLIEKŲ TVARKYMO ATASKAITOS</w:t>
                </w:r>
                <w:r>
                  <w:rPr>
                    <w:rFonts w:eastAsia="Lucida Sans Unicode"/>
                    <w:szCs w:val="24"/>
                    <w:lang w:eastAsia="lt-LT"/>
                  </w:rPr>
                  <w:t>“</w:t>
                </w:r>
              </w:p>
              <w:p w14:paraId="33BEFBF7"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1.2.6. Pakeičiu 67</w:t>
                </w:r>
                <w:r>
                  <w:rPr>
                    <w:rFonts w:eastAsia="Lucida Sans Unicode"/>
                    <w:b/>
                    <w:bCs/>
                    <w:szCs w:val="24"/>
                    <w:vertAlign w:val="superscript"/>
                    <w:lang w:eastAsia="lt-LT"/>
                  </w:rPr>
                  <w:t>1</w:t>
                </w:r>
                <w:r>
                  <w:rPr>
                    <w:rFonts w:eastAsia="Lucida Sans Unicode"/>
                    <w:b/>
                    <w:bCs/>
                    <w:szCs w:val="24"/>
                    <w:lang w:eastAsia="lt-LT"/>
                  </w:rPr>
                  <w:t xml:space="preserve"> punktą ir jį išdėstau taip:</w:t>
                </w:r>
              </w:p>
              <w:p w14:paraId="40D50035"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„67</w:t>
                </w:r>
                <w:r>
                  <w:rPr>
                    <w:rFonts w:eastAsia="Lucida Sans Unicode"/>
                    <w:b/>
                    <w:bCs/>
                    <w:szCs w:val="24"/>
                    <w:vertAlign w:val="superscript"/>
                    <w:lang w:eastAsia="lt-LT"/>
                  </w:rPr>
                  <w:t>1</w:t>
                </w:r>
                <w:r>
                  <w:rPr>
                    <w:rFonts w:eastAsia="Lucida Sans Unicode"/>
                    <w:b/>
                    <w:bCs/>
                    <w:szCs w:val="24"/>
                    <w:lang w:eastAsia="lt-LT"/>
                  </w:rPr>
                  <w:t xml:space="preserve">. Baterijų atliekų perdirbėjai, apdorotojai, įskaitant pradinį apdorojimą, baterijų atliekas išvežantys, eksportuojantys atliekų tvarkytojai (toliau – baterijų atliekų tvarkytojai) kiekvienais metais iki birželio 30 d. per GPAIS Agentūrai pateikia metinę baterijų atliekų tvarkymo ataskaitą, kurioje pateikia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75 straipsnio 3–6 dalyse nurodytus duomenis apie surinktas ir perduotas apdoroti, į kitas valstybes išvežtas apdoroti baterijų atliekas, baterijų atliekų perdirbimo procesų veiksmingumo ir medžiagų, gaunamų perdirbant baterijų atliekas, regeneravimo lygius (toliau – metinės baterijų atliekų perdirbimo veiksmingumo ataskaitos). Baterijų atliekų perdirbimo procesų veiksmingumo ir medžiagų, gaunamų perdirbant baterijų atliekas, regeneravimo lygiai apskaičiuojami vadovaujantis 2025 m. kovo 21 d. Komisijos deleguotuoju reglamentu </w:t>
                </w:r>
                <w:fldSimple w:instr="HYPERLINK http://eur-lex.europa.eu/legal-content/LIT/TXT/?uri=CELEX:32025R0606&amp;locale=lt \t _blank">
                  <w:r>
                    <w:rPr>
                      <w:rFonts w:eastAsia="Lucida Sans Unicode"/>
                      <w:b/>
                      <w:bCs/>
                      <w:szCs w:val="24"/>
                      <w:lang w:eastAsia="lt-LT"/>
                      <w:u w:val="single"/>
                      <w:color w:val="0000FF" w:themeColor="hyperlink"/>
                    </w:rPr>
                    <w:t>(ES) 2025/606</w:t>
                  </w:r>
                </w:fldSimple>
                <w:r>
                  <w:rPr>
                    <w:rFonts w:eastAsia="Lucida Sans Unicode"/>
                    <w:b/>
                    <w:bCs/>
                    <w:szCs w:val="24"/>
                    <w:lang w:eastAsia="lt-LT"/>
                  </w:rPr>
                  <w:t xml:space="preserve">, kuriuo Europos Parlamento ir Tarybos reglamentas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papildomas nustatant baterijų atliekų perdirbimo veiksmingumo ir medžiagų regeneravimo iš baterijų atliekų lygių apskaičiavimo ir patikros metodiką ir atitinkamų dokumentų formą; duomenys apie baterijų atliekų perdirbimo procesų veiksmingumą ir medžiagų, gaunamų perdirbant baterijų atliekas, regeneravimo lygius Agentūrai pateikiami užpildant Reglamento </w:t>
                </w:r>
                <w:fldSimple w:instr="HYPERLINK http://eur-lex.europa.eu/legal-content/LIT/TXT/?uri=CELEX:32025R0606&amp;locale=lt \t _blank">
                  <w:r>
                    <w:rPr>
                      <w:rFonts w:eastAsia="Lucida Sans Unicode"/>
                      <w:b/>
                      <w:bCs/>
                      <w:szCs w:val="24"/>
                      <w:lang w:eastAsia="lt-LT"/>
                      <w:u w:val="single"/>
                      <w:color w:val="0000FF" w:themeColor="hyperlink"/>
                    </w:rPr>
                    <w:t>(ES) 2025/606</w:t>
                  </w:r>
                </w:fldSimple>
                <w:r>
                  <w:rPr>
                    <w:rFonts w:eastAsia="Lucida Sans Unicode"/>
                    <w:b/>
                    <w:bCs/>
                    <w:szCs w:val="24"/>
                    <w:lang w:eastAsia="lt-LT"/>
                  </w:rPr>
                  <w:t xml:space="preserve"> priedo 6–9 skirsniuose nustatytos formos dokumentus, susijusius su baterijų atliekų perdirbimo veiksmingumo ir medžiagų regeneravimo lygiais.“</w:t>
                </w:r>
              </w:p>
              <w:p w14:paraId="4675C40D" w14:textId="77777777">
                <w:pPr>
                  <w:widowControl w:val="0"/>
                  <w:suppressAutoHyphens/>
                  <w:ind w:firstLine="709"/>
                  <w:jc w:val="both"/>
                  <w:textAlignment w:val="center"/>
                  <w:rPr>
                    <w:rFonts w:eastAsia="Lucida Sans Unicode"/>
                    <w:szCs w:val="24"/>
                  </w:rPr>
                </w:pPr>
              </w:p>
              <w:p w14:paraId="3BD147ED" w14:textId="49BF75C2">
                <w:pPr>
                  <w:widowControl w:val="0"/>
                  <w:suppressAutoHyphens/>
                  <w:ind w:firstLine="709"/>
                  <w:jc w:val="both"/>
                  <w:textAlignment w:val="center"/>
                  <w:rPr>
                    <w:rFonts w:eastAsia="Lucida Sans Unicode"/>
                    <w:b/>
                    <w:bCs/>
                    <w:spacing w:val="2"/>
                    <w:szCs w:val="24"/>
                    <w:shd w:val="clear" w:color="auto" w:fill="FFFFFF"/>
                  </w:rPr>
                </w:pPr>
                <w:r>
                  <w:rPr>
                    <w:rFonts w:eastAsia="Lucida Sans Unicode"/>
                    <w:i/>
                    <w:iCs/>
                    <w:szCs w:val="24"/>
                  </w:rPr>
                  <w:t xml:space="preserve">Pastaba. Lietuvos atveju nuspręsta neskirti </w:t>
                </w:r>
                <w:r>
                  <w:rPr>
                    <w:rFonts w:eastAsia="Arial Unicode MS"/>
                    <w:i/>
                    <w:iCs/>
                    <w:szCs w:val="24"/>
                    <w:lang w:eastAsia="lt-LT"/>
                  </w:rPr>
                  <w:t xml:space="preserve">Reglamento </w:t>
                </w:r>
                <w:fldSimple w:instr="HYPERLINK http://eur-lex.europa.eu/legal-content/LIT/TXT/?uri=CELEX:32023R1542&amp;locale=lt \t _blank">
                  <w:r>
                    <w:rPr>
                      <w:rFonts w:eastAsia="Arial Unicode MS"/>
                      <w:i/>
                      <w:iCs/>
                      <w:szCs w:val="24"/>
                      <w:lang w:eastAsia="lt-LT"/>
                      <w:u w:val="single"/>
                      <w:color w:val="0000FF" w:themeColor="hyperlink"/>
                    </w:rPr>
                    <w:t>(ES) 2023/1542</w:t>
                  </w:r>
                </w:fldSimple>
                <w:r>
                  <w:rPr>
                    <w:rFonts w:eastAsia="Arial Unicode MS"/>
                    <w:i/>
                    <w:iCs/>
                    <w:szCs w:val="24"/>
                    <w:lang w:eastAsia="lt-LT"/>
                  </w:rPr>
                  <w:t xml:space="preserve"> 54 straipsnio 2</w:t>
                </w:r>
                <w:r>
                  <w:rPr>
                    <w:rFonts w:eastAsia="Arial Unicode MS"/>
                    <w:szCs w:val="24"/>
                    <w:lang w:eastAsia="lt-LT"/>
                  </w:rPr>
                  <w:t xml:space="preserve"> </w:t>
                </w:r>
                <w:r>
                  <w:rPr>
                    <w:rFonts w:eastAsia="Arial Unicode MS"/>
                    <w:i/>
                    <w:iCs/>
                    <w:szCs w:val="24"/>
                    <w:lang w:eastAsia="lt-LT"/>
                  </w:rPr>
                  <w:t xml:space="preserve">dalyje nurodyto </w:t>
                </w:r>
                <w:r>
                  <w:rPr>
                    <w:rFonts w:eastAsia="Lucida Sans Unicode"/>
                    <w:i/>
                    <w:iCs/>
                    <w:szCs w:val="24"/>
                  </w:rPr>
                  <w:t>kontaktinio punkto.</w:t>
                </w:r>
              </w:p>
            </w:tc>
            <w:tc>
              <w:tcPr>
                <w:tcW w:w="1777" w:type="dxa"/>
              </w:tcPr>
              <w:p w14:paraId="5A16D8EE" w14:textId="6C5ACC46">
                <w:pPr>
                  <w:widowControl w:val="0"/>
                  <w:suppressAutoHyphens/>
                  <w:rPr>
                    <w:rFonts w:eastAsia="Lucida Sans Unicode"/>
                    <w:b/>
                    <w:bCs/>
                    <w:szCs w:val="24"/>
                  </w:rPr>
                </w:pPr>
                <w:r>
                  <w:rPr>
                    <w:rFonts w:eastAsia="Lucida Sans Unicode"/>
                    <w:b/>
                    <w:bCs/>
                    <w:szCs w:val="24"/>
                  </w:rPr>
                  <w:t>Dalinis</w:t>
                </w:r>
              </w:p>
              <w:p w14:paraId="1875F674" w14:textId="6EB8D234">
                <w:pPr>
                  <w:widowControl w:val="0"/>
                  <w:suppressAutoHyphens/>
                  <w:rPr>
                    <w:i/>
                    <w:iCs/>
                    <w:color w:val="000000"/>
                    <w:szCs w:val="24"/>
                  </w:rPr>
                </w:pPr>
                <w:r>
                  <w:rPr>
                    <w:rFonts w:eastAsia="Lucida Sans Unicode"/>
                    <w:i/>
                    <w:iCs/>
                    <w:szCs w:val="24"/>
                  </w:rPr>
                  <w:t xml:space="preserve">Pastaba: visiškai bus įgyvendinta patvirtinus </w:t>
                </w:r>
              </w:p>
              <w:p w14:paraId="66C12111" w14:textId="4932879A">
                <w:pPr>
                  <w:widowControl w:val="0"/>
                  <w:suppressAutoHyphens/>
                  <w:rPr>
                    <w:rFonts w:eastAsia="Lucida Sans Unicode"/>
                    <w:i/>
                    <w:iCs/>
                    <w:szCs w:val="24"/>
                  </w:rPr>
                </w:pPr>
                <w:r>
                  <w:rPr>
                    <w:rFonts w:eastAsia="Lucida Sans Unicode"/>
                    <w:i/>
                    <w:iCs/>
                    <w:szCs w:val="24"/>
                  </w:rPr>
                  <w:t>Lietuvos Respublikos Vyriausybės 2006 m. sausio 11 d. nutarimo Nr. 18 „Dėl Gaminių ir (ar) pakuočių atliekų tvarkymo organizavimo licencijavimo taisyklių patvirtinimo“ pakeitimą</w:t>
                </w:r>
              </w:p>
            </w:tc>
          </w:tr>
          <w:tr w14:paraId="70DAA20F" w14:textId="77777777">
            <w:tc>
              <w:tcPr>
                <w:tcW w:w="3450" w:type="dxa"/>
              </w:tcPr>
              <w:p w14:paraId="0F6CECC3" w14:textId="77777777">
                <w:pPr>
                  <w:ind w:firstLine="709"/>
                  <w:jc w:val="both"/>
                  <w:rPr>
                    <w:rFonts w:eastAsia="Arial Unicode MS"/>
                    <w:b/>
                    <w:bCs/>
                    <w:color w:val="000000"/>
                    <w:szCs w:val="24"/>
                    <w:lang w:eastAsia="lt-LT"/>
                  </w:rPr>
                </w:pPr>
                <w:r>
                  <w:rPr>
                    <w:rFonts w:eastAsia="Arial Unicode MS"/>
                    <w:b/>
                    <w:bCs/>
                    <w:color w:val="000000"/>
                    <w:szCs w:val="24"/>
                    <w:lang w:eastAsia="lt-LT"/>
                  </w:rPr>
                  <w:t>57 straipsnis. Gamintojo atsakomybę perimanti organizacija</w:t>
                </w:r>
              </w:p>
              <w:p w14:paraId="524B18C2" w14:textId="60C3C144">
                <w:pPr>
                  <w:ind w:firstLine="709"/>
                  <w:jc w:val="both"/>
                  <w:rPr>
                    <w:rFonts w:eastAsia="Arial Unicode MS"/>
                    <w:color w:val="000000"/>
                    <w:szCs w:val="24"/>
                    <w:lang w:eastAsia="lt-LT"/>
                  </w:rPr>
                </w:pPr>
                <w:r>
                  <w:rPr>
                    <w:szCs w:val="24"/>
                    <w:lang w:eastAsia="lt-LT"/>
                  </w:rPr>
                  <w:t>1. Gamintojai gali paskirti gamintojo atsakomybę perimančią organizaciją, įgaliotą pagal 58 straipsnį, jų vardu vykdyti didesnės gamintojo atsakomybės pareigas. Valstybės narės gali patvirtinti priemones, pagal kurias paskirti gamintojo atsakomybę perimančią organizaciją būtų privaloma. &lt;...&gt;</w:t>
                </w:r>
              </w:p>
            </w:tc>
            <w:tc>
              <w:tcPr>
                <w:tcW w:w="9766" w:type="dxa"/>
              </w:tcPr>
              <w:p w14:paraId="57DD5172" w14:textId="77777777">
                <w:pPr>
                  <w:widowControl w:val="0"/>
                  <w:suppressAutoHyphens/>
                  <w:ind w:firstLine="709"/>
                  <w:jc w:val="both"/>
                  <w:rPr>
                    <w:rFonts w:eastAsia="Lucida Sans Unicode"/>
                    <w:b/>
                    <w:bCs/>
                    <w:szCs w:val="24"/>
                  </w:rPr>
                </w:pPr>
                <w:r>
                  <w:rPr>
                    <w:rFonts w:eastAsia="Lucida Sans Unicode"/>
                    <w:b/>
                    <w:bCs/>
                    <w:szCs w:val="24"/>
                  </w:rPr>
                  <w:t>Baterijų įstatymo projektas</w:t>
                </w:r>
              </w:p>
              <w:p w14:paraId="608A6ADD" w14:textId="77777777">
                <w:pPr>
                  <w:widowControl w:val="0"/>
                  <w:tabs>
                    <w:tab w:val="left" w:pos="470"/>
                  </w:tabs>
                  <w:suppressAutoHyphens/>
                  <w:ind w:firstLine="709"/>
                  <w:jc w:val="both"/>
                  <w:rPr>
                    <w:rFonts w:eastAsia="Lucida Sans Unicode"/>
                    <w:b/>
                    <w:bCs/>
                    <w:szCs w:val="24"/>
                  </w:rPr>
                </w:pPr>
                <w:r>
                  <w:rPr>
                    <w:rFonts w:eastAsia="Lucida Sans Unicode"/>
                    <w:b/>
                    <w:bCs/>
                    <w:szCs w:val="24"/>
                  </w:rPr>
                  <w:t>5 straipsnis. Baterijų atliekų tvarkymas ir tvarkymo organizavimas</w:t>
                </w:r>
              </w:p>
              <w:p w14:paraId="39328211" w14:textId="77777777">
                <w:pPr>
                  <w:widowControl w:val="0"/>
                  <w:suppressAutoHyphens/>
                  <w:ind w:firstLine="709"/>
                  <w:jc w:val="both"/>
                  <w:rPr>
                    <w:rFonts w:eastAsia="MS Mincho"/>
                    <w:b/>
                    <w:bCs/>
                    <w:szCs w:val="24"/>
                  </w:rPr>
                </w:pPr>
                <w:r>
                  <w:rPr>
                    <w:rFonts w:eastAsia="MS Mincho"/>
                    <w:b/>
                    <w:bCs/>
                    <w:szCs w:val="24"/>
                  </w:rPr>
                  <w:t xml:space="preserve">1. Gamintojai baterijų atliekų tvarkymą organizuoja kolektyviai ir paskiria gamintojo atsakomybę perimančią organizaciją, įgaliotą pagal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58 straipsnį, kad ši jų vardu vykdytų Reglamente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nustatytas gamintojo atsakomybės pareigas.</w:t>
                </w:r>
              </w:p>
              <w:p w14:paraId="2601B879" w14:textId="3B977CFC">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tc>
            <w:tc>
              <w:tcPr>
                <w:tcW w:w="1777" w:type="dxa"/>
              </w:tcPr>
              <w:p w14:paraId="2B0EC650" w14:textId="297A5CC2">
                <w:pPr>
                  <w:widowControl w:val="0"/>
                  <w:suppressAutoHyphens/>
                  <w:rPr>
                    <w:rFonts w:eastAsia="Lucida Sans Unicode"/>
                    <w:b/>
                    <w:bCs/>
                    <w:szCs w:val="24"/>
                  </w:rPr>
                </w:pPr>
                <w:r>
                  <w:rPr>
                    <w:rFonts w:eastAsia="Lucida Sans Unicode"/>
                    <w:b/>
                    <w:bCs/>
                    <w:szCs w:val="24"/>
                  </w:rPr>
                  <w:t xml:space="preserve">Visiškas </w:t>
                </w:r>
              </w:p>
            </w:tc>
          </w:tr>
          <w:tr w14:paraId="74D10FFD" w14:textId="77777777">
            <w:tc>
              <w:tcPr>
                <w:tcW w:w="3450" w:type="dxa"/>
              </w:tcPr>
              <w:p w14:paraId="790F6769" w14:textId="497CF7B3">
                <w:pPr>
                  <w:ind w:firstLine="709"/>
                  <w:jc w:val="both"/>
                  <w:rPr>
                    <w:rFonts w:eastAsia="Arial Unicode MS"/>
                    <w:color w:val="000000"/>
                    <w:szCs w:val="24"/>
                    <w:lang w:eastAsia="lt-LT"/>
                  </w:rPr>
                </w:pPr>
                <w:r>
                  <w:rPr>
                    <w:rFonts w:eastAsia="Arial Unicode MS"/>
                    <w:color w:val="000000"/>
                    <w:szCs w:val="24"/>
                    <w:lang w:eastAsia="lt-LT"/>
                  </w:rPr>
                  <w:t>3. Kai valstybėje narėje yra kelios gamintojo atsakomybę perimančios organizacijos, įgaliotos gamintojų vardu vykdyti didesnės gamintojo atsakomybės pareigas, jos užtikrina visos valstybės narės, kurioje vykdoma 59 straipsnio 1 dalyje, 60 straipsnio 1 dalyje ir 61 straipsnio 1 dalyje nurodyta veikla, teritorijos aprėptį. Valstybė narė nurodo kompetentingą instituciją arba paskiria nepriklausomą trečiąją šalį siekiant užtikrinti, kad gamintojo atsakomybę perimančios organizacijos savo pareigas vykdytų koordinuotai.</w:t>
                </w:r>
              </w:p>
            </w:tc>
            <w:tc>
              <w:tcPr>
                <w:tcW w:w="9766" w:type="dxa"/>
              </w:tcPr>
              <w:p w14:paraId="6AEB3EF1" w14:textId="77777777">
                <w:pPr>
                  <w:widowControl w:val="0"/>
                  <w:suppressAutoHyphens/>
                  <w:ind w:firstLine="709"/>
                  <w:jc w:val="both"/>
                  <w:rPr>
                    <w:rFonts w:eastAsia="Lucida Sans Unicode"/>
                    <w:b/>
                    <w:bCs/>
                    <w:szCs w:val="24"/>
                  </w:rPr>
                </w:pPr>
                <w:r>
                  <w:rPr>
                    <w:rFonts w:eastAsia="Lucida Sans Unicode"/>
                    <w:b/>
                    <w:bCs/>
                    <w:szCs w:val="24"/>
                  </w:rPr>
                  <w:t>Nutarimo projektas</w:t>
                </w:r>
              </w:p>
              <w:p w14:paraId="57FA1EC4" w14:textId="3F771638">
                <w:pPr>
                  <w:widowControl w:val="0"/>
                  <w:suppressAutoHyphens/>
                  <w:ind w:firstLine="709"/>
                  <w:jc w:val="both"/>
                  <w:rPr>
                    <w:rFonts w:eastAsia="Lucida Sans Unicode"/>
                    <w:b/>
                    <w:bCs/>
                    <w:szCs w:val="24"/>
                    <w:lang w:eastAsia="lt-LT"/>
                  </w:rPr>
                </w:pPr>
                <w:r>
                  <w:rPr>
                    <w:rFonts w:eastAsia="Lucida Sans Unicode"/>
                    <w:b/>
                    <w:bCs/>
                    <w:szCs w:val="24"/>
                    <w:lang w:eastAsia="lt-LT"/>
                  </w:rPr>
                  <w:t xml:space="preserve">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317B27CF"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Pavesti:</w:t>
                </w:r>
              </w:p>
              <w:p w14:paraId="5CB30B89"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&lt;...&gt;</w:t>
                </w:r>
              </w:p>
              <w:p w14:paraId="5BCE70B7" w14:textId="77777777">
                <w:pPr>
                  <w:widowControl w:val="0"/>
                  <w:suppressAutoHyphens/>
                  <w:ind w:firstLine="709"/>
                  <w:jc w:val="both"/>
                  <w:textAlignment w:val="center"/>
                  <w:rPr>
                    <w:rFonts w:eastAsia="Lucida Sans Unicode"/>
                    <w:b/>
                    <w:bCs/>
                    <w:szCs w:val="24"/>
                    <w:lang w:eastAsia="lt-LT"/>
                  </w:rPr>
                </w:pPr>
                <w:r>
                  <w:rPr>
                    <w:rFonts w:eastAsia="Arial Unicode MS"/>
                    <w:b/>
                    <w:bCs/>
                    <w:szCs w:val="24"/>
                    <w:lang w:eastAsia="lt-LT"/>
                  </w:rPr>
                  <w:t xml:space="preserve">3. Aplinkos apsaugos agentūrai </w:t>
                </w:r>
                <w:r>
                  <w:rPr>
                    <w:rFonts w:eastAsia="Lucida Sans Unicode"/>
                    <w:b/>
                    <w:bCs/>
                    <w:szCs w:val="24"/>
                    <w:lang w:eastAsia="lt-LT"/>
                  </w:rPr>
                  <w:t>vykdyti kompetentingos institucijos funkcijas, susijusias su:</w:t>
                </w:r>
              </w:p>
              <w:p w14:paraId="2F44D265" w14:textId="0D1269FB">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&lt;...&gt;</w:t>
                </w:r>
              </w:p>
              <w:p w14:paraId="7E48264F" w14:textId="7C97EF1A">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 xml:space="preserve">3.5.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69 straipsnyje nurodyta nešiojamųjų baterijų atliekų surinkimo tikslinių normų, nustatytų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3 dalyje, ir mažųjų transporto priemonių baterijų atliekų surinkimo tikslinių normų, nustatytų 60 straipsnio 3 dalyje, įvykdymo stebėsena</w:t>
                </w:r>
                <w:r>
                  <w:rPr>
                    <w:rFonts w:eastAsia="Arial Unicode MS"/>
                    <w:b/>
                    <w:bCs/>
                    <w:szCs w:val="24"/>
                    <w:lang w:eastAsia="lt-LT"/>
                  </w:rPr>
                  <w:t>;</w:t>
                </w:r>
              </w:p>
              <w:p w14:paraId="35F4031C" w14:textId="0D1C2696">
                <w:pPr>
                  <w:widowControl w:val="0"/>
                  <w:suppressAutoHyphens/>
                  <w:ind w:firstLine="709"/>
                  <w:jc w:val="both"/>
                  <w:textAlignment w:val="center"/>
                  <w:rPr>
                    <w:rFonts w:eastAsia="Arial Unicode MS"/>
                    <w:b/>
                    <w:bCs/>
                    <w:szCs w:val="24"/>
                    <w:lang w:eastAsia="lt-LT"/>
                  </w:rPr>
                </w:pPr>
                <w:r>
                  <w:rPr>
                    <w:rFonts w:eastAsia="Arial Unicode MS"/>
                    <w:b/>
                    <w:bCs/>
                    <w:szCs w:val="24"/>
                    <w:lang w:eastAsia="lt-LT"/>
                  </w:rPr>
                  <w:t>&lt;...&gt;</w:t>
                </w:r>
              </w:p>
              <w:p w14:paraId="5729029B" w14:textId="77777777">
                <w:pPr>
                  <w:widowControl w:val="0"/>
                  <w:suppressAutoHyphens/>
                  <w:ind w:firstLine="709"/>
                  <w:jc w:val="both"/>
                  <w:textAlignment w:val="center"/>
                  <w:rPr>
                    <w:rFonts w:eastAsia="Arial Unicode MS"/>
                    <w:szCs w:val="24"/>
                    <w:lang w:eastAsia="lt-LT"/>
                  </w:rPr>
                </w:pPr>
              </w:p>
              <w:p w14:paraId="7BED68EC"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Baterijų įstatymo projektas</w:t>
                </w:r>
              </w:p>
              <w:p w14:paraId="5DDF0FFB" w14:textId="77777777">
                <w:pPr>
                  <w:widowControl w:val="0"/>
                  <w:suppressAutoHyphens/>
                  <w:ind w:firstLine="709"/>
                  <w:jc w:val="both"/>
                  <w:rPr>
                    <w:rFonts w:eastAsia="Lucida Sans Unicode"/>
                    <w:b/>
                    <w:bCs/>
                    <w:strike/>
                    <w:szCs w:val="24"/>
                  </w:rPr>
                </w:pPr>
                <w:r>
                  <w:rPr>
                    <w:rFonts w:eastAsia="Lucida Sans Unicode"/>
                    <w:b/>
                    <w:bCs/>
                    <w:szCs w:val="24"/>
                  </w:rPr>
                  <w:t>5 straipsnis. Baterijų atliekų tvarkymas ir tvarkymo organizavimas</w:t>
                </w:r>
              </w:p>
              <w:p w14:paraId="5174FFE7" w14:textId="77777777">
                <w:pPr>
                  <w:widowControl w:val="0"/>
                  <w:suppressAutoHyphens/>
                  <w:ind w:firstLine="709"/>
                  <w:jc w:val="both"/>
                  <w:rPr>
                    <w:rFonts w:eastAsia="Lucida Sans Unicode"/>
                    <w:b/>
                    <w:szCs w:val="24"/>
                  </w:rPr>
                </w:pPr>
                <w:r>
                  <w:rPr>
                    <w:rFonts w:eastAsia="Lucida Sans Unicode"/>
                    <w:b/>
                    <w:szCs w:val="24"/>
                  </w:rPr>
                  <w:t>&lt;...&gt;</w:t>
                </w:r>
              </w:p>
              <w:p w14:paraId="108A1417" w14:textId="77777777">
                <w:pPr>
                  <w:widowControl w:val="0"/>
                  <w:suppressAutoHyphens/>
                  <w:ind w:firstLine="709"/>
                  <w:jc w:val="both"/>
                  <w:rPr>
                    <w:rFonts w:eastAsia="Lucida Sans Unicode"/>
                    <w:b/>
                    <w:szCs w:val="24"/>
                  </w:rPr>
                </w:pPr>
                <w:r>
                  <w:rPr>
                    <w:rFonts w:eastAsia="Lucida Sans Unicode"/>
                    <w:b/>
                    <w:szCs w:val="24"/>
                  </w:rPr>
                  <w:t xml:space="preserve">12. Jei yra ne viena gamintojo </w:t>
                </w:r>
                <w:r>
                  <w:rPr>
                    <w:rFonts w:eastAsia="MS Mincho"/>
                    <w:b/>
                    <w:szCs w:val="24"/>
                  </w:rPr>
                  <w:t xml:space="preserve">atsakomybę perimanti </w:t>
                </w:r>
                <w:r>
                  <w:rPr>
                    <w:rFonts w:eastAsia="Lucida Sans Unicode"/>
                    <w:b/>
                    <w:szCs w:val="24"/>
                  </w:rPr>
                  <w:t xml:space="preserve">organizacija, įgyvendindamos Reglamente </w:t>
                </w:r>
                <w:fldSimple w:instr="HYPERLINK http://eur-lex.europa.eu/legal-content/LIT/TXT/?uri=CELEX:32023R1542&amp;locale=lt \t _blank">
                  <w:r>
                    <w:rPr>
                      <w:rFonts w:eastAsia="Lucida Sans Unicode"/>
                      <w:b/>
                      <w:szCs w:val="24"/>
                      <w:u w:val="single"/>
                      <w:color w:val="0000FF" w:themeColor="hyperlink"/>
                    </w:rPr>
                    <w:t>(ES) 2023/1542</w:t>
                  </w:r>
                </w:fldSimple>
                <w:r>
                  <w:rPr>
                    <w:rFonts w:eastAsia="Lucida Sans Unicode"/>
                    <w:b/>
                    <w:szCs w:val="24"/>
                  </w:rPr>
                  <w:t xml:space="preserve"> nustatytas </w:t>
                </w:r>
                <w:r>
                  <w:rPr>
                    <w:rFonts w:eastAsia="MS Mincho"/>
                    <w:b/>
                    <w:szCs w:val="24"/>
                  </w:rPr>
                  <w:t>gamintojo atsakomybės pareigas</w:t>
                </w:r>
                <w:r>
                  <w:rPr>
                    <w:rFonts w:eastAsia="Lucida Sans Unicode"/>
                    <w:b/>
                    <w:szCs w:val="24"/>
                  </w:rPr>
                  <w:t xml:space="preserve">, visos </w:t>
                </w:r>
                <w:r>
                  <w:rPr>
                    <w:rFonts w:eastAsia="MS Mincho"/>
                    <w:b/>
                    <w:szCs w:val="24"/>
                  </w:rPr>
                  <w:t xml:space="preserve">atsakomybę perimančios </w:t>
                </w:r>
                <w:r>
                  <w:rPr>
                    <w:rFonts w:eastAsia="Lucida Sans Unicode"/>
                    <w:b/>
                    <w:szCs w:val="24"/>
                  </w:rPr>
                  <w:t xml:space="preserve">organizacijos, laikydamosi Reglamento </w:t>
                </w:r>
                <w:fldSimple w:instr="HYPERLINK http://eur-lex.europa.eu/legal-content/LIT/TXT/?uri=CELEX:32023R1542&amp;locale=lt \t _blank">
                  <w:r>
                    <w:rPr>
                      <w:rFonts w:eastAsia="Lucida Sans Unicode"/>
                      <w:b/>
                      <w:szCs w:val="24"/>
                      <w:u w:val="single"/>
                      <w:color w:val="0000FF" w:themeColor="hyperlink"/>
                    </w:rPr>
                    <w:t>(ES) 2023/1542</w:t>
                  </w:r>
                </w:fldSimple>
                <w:r>
                  <w:rPr>
                    <w:rFonts w:eastAsia="Lucida Sans Unicode"/>
                    <w:b/>
                    <w:szCs w:val="24"/>
                  </w:rPr>
                  <w:t xml:space="preserve"> 57 straipsnio 8 dalyje nurodytos atrankos procedūros, kartu parenka atliekų tvarkytojus ir baterijų atliekų tvarkymo išlaidas jiems apmoka proporcingai </w:t>
                </w:r>
                <w:r>
                  <w:rPr>
                    <w:rFonts w:eastAsia="MS Mincho"/>
                    <w:b/>
                    <w:szCs w:val="24"/>
                  </w:rPr>
                  <w:t>užimamai rinkos daliai, kuri aplinkos ministro nustatyta tvarka apskaičiuojama pagal ataskaitiniu laikotarpiu deklaruotą gamintojų Lietuvos Respublikos rinkai pateiktų baterijų kiekį.</w:t>
                </w:r>
              </w:p>
              <w:p w14:paraId="1C3181A9" w14:textId="77777777">
                <w:pPr>
                  <w:widowControl w:val="0"/>
                  <w:suppressAutoHyphens/>
                  <w:ind w:firstLine="709"/>
                  <w:jc w:val="both"/>
                  <w:rPr>
                    <w:rFonts w:eastAsia="Lucida Sans Unicode"/>
                    <w:b/>
                    <w:bCs/>
                    <w:szCs w:val="24"/>
                  </w:rPr>
                </w:pPr>
                <w:r>
                  <w:rPr>
                    <w:rFonts w:eastAsia="Lucida Sans Unicode"/>
                    <w:b/>
                    <w:bCs/>
                    <w:szCs w:val="24"/>
                  </w:rPr>
                  <w:t>&lt;...&gt;</w:t>
                </w:r>
              </w:p>
              <w:p w14:paraId="0E256F59" w14:textId="77777777">
                <w:pPr>
                  <w:widowControl w:val="0"/>
                  <w:suppressAutoHyphens/>
                  <w:ind w:firstLine="709"/>
                  <w:jc w:val="both"/>
                  <w:rPr>
                    <w:rFonts w:eastAsia="Lucida Sans Unicode"/>
                    <w:b/>
                    <w:bCs/>
                    <w:szCs w:val="24"/>
                  </w:rPr>
                </w:pPr>
                <w:r>
                  <w:rPr>
                    <w:rFonts w:eastAsia="Lucida Sans Unicode"/>
                    <w:b/>
                    <w:bCs/>
                    <w:szCs w:val="24"/>
                  </w:rPr>
                  <w:t>6 straipsnis. Baterijų licencijos išdavimas, įspėjimas apie galimą tokios licencijos galiojimo sustabdymą ar panaikinimą, baterijų licencijos galiojimo sustabdymas ir panaikinimas</w:t>
                </w:r>
              </w:p>
              <w:p w14:paraId="4D2D553D" w14:textId="77777777">
                <w:pPr>
                  <w:widowControl w:val="0"/>
                  <w:suppressAutoHyphens/>
                  <w:ind w:firstLine="709"/>
                  <w:jc w:val="both"/>
                  <w:rPr>
                    <w:rFonts w:eastAsia="MS Mincho"/>
                    <w:b/>
                    <w:bCs/>
                    <w:szCs w:val="24"/>
                  </w:rPr>
                </w:pPr>
                <w:r>
                  <w:rPr>
                    <w:rFonts w:eastAsia="MS Mincho"/>
                    <w:b/>
                    <w:bCs/>
                    <w:szCs w:val="24"/>
                  </w:rPr>
                  <w:t>&lt;...&gt;</w:t>
                </w:r>
              </w:p>
              <w:p w14:paraId="5F2BEFEE" w14:textId="77777777">
                <w:pPr>
                  <w:widowControl w:val="0"/>
                  <w:suppressAutoHyphens/>
                  <w:ind w:firstLine="709"/>
                  <w:jc w:val="both"/>
                  <w:rPr>
                    <w:rFonts w:eastAsia="MS Mincho"/>
                    <w:b/>
                    <w:bCs/>
                    <w:szCs w:val="24"/>
                  </w:rPr>
                </w:pPr>
                <w:r>
                  <w:rPr>
                    <w:rFonts w:eastAsia="MS Mincho"/>
                    <w:b/>
                    <w:bCs/>
                    <w:szCs w:val="24"/>
                  </w:rPr>
                  <w:t>2. Norėdama gauti baterijų licenciją, gamintojo atsakomybę perimanti organizacija turi aplinkos ministro nustatyta tvarka kompetentingai institucijai, vykdančiai Atliekų tvarkymo įstatymo 34</w:t>
                </w:r>
                <w:r>
                  <w:rPr>
                    <w:rFonts w:eastAsia="MS Mincho"/>
                    <w:b/>
                    <w:bCs/>
                    <w:szCs w:val="24"/>
                    <w:vertAlign w:val="superscript"/>
                  </w:rPr>
                  <w:t>23</w:t>
                </w:r>
                <w:r>
                  <w:rPr>
                    <w:rFonts w:eastAsia="MS Mincho"/>
                    <w:b/>
                    <w:bCs/>
                    <w:szCs w:val="24"/>
                  </w:rPr>
                  <w:t> straipsnio 2 dalyje nurodytos licencijas išduodančios institucijos funkcijas (toliau – licencijas išduodanti institucija), pateikti:</w:t>
                </w:r>
              </w:p>
              <w:p w14:paraId="33A07772" w14:textId="77777777">
                <w:pPr>
                  <w:widowControl w:val="0"/>
                  <w:suppressAutoHyphens/>
                  <w:ind w:firstLine="709"/>
                  <w:jc w:val="both"/>
                  <w:rPr>
                    <w:rFonts w:eastAsia="MS Mincho"/>
                    <w:b/>
                    <w:bCs/>
                    <w:szCs w:val="24"/>
                  </w:rPr>
                </w:pPr>
                <w:r>
                  <w:rPr>
                    <w:rFonts w:eastAsia="MS Mincho"/>
                    <w:b/>
                    <w:bCs/>
                    <w:szCs w:val="24"/>
                  </w:rPr>
                  <w:t>1) Atliekų tvarkymo įstatymo 34</w:t>
                </w:r>
                <w:r>
                  <w:rPr>
                    <w:rFonts w:eastAsia="MS Mincho"/>
                    <w:b/>
                    <w:bCs/>
                    <w:szCs w:val="24"/>
                    <w:vertAlign w:val="superscript"/>
                  </w:rPr>
                  <w:t>25</w:t>
                </w:r>
                <w:r>
                  <w:rPr>
                    <w:rFonts w:eastAsia="MS Mincho"/>
                    <w:b/>
                    <w:bCs/>
                    <w:szCs w:val="24"/>
                  </w:rPr>
                  <w:t xml:space="preserve"> straipsnio 1 dalies 1 punkte nurodytą prašymą;</w:t>
                </w:r>
              </w:p>
              <w:p w14:paraId="2E131F2A" w14:textId="77777777">
                <w:pPr>
                  <w:widowControl w:val="0"/>
                  <w:suppressAutoHyphens/>
                  <w:ind w:firstLine="709"/>
                  <w:jc w:val="both"/>
                  <w:rPr>
                    <w:rFonts w:eastAsia="MS Mincho"/>
                    <w:b/>
                    <w:bCs/>
                    <w:szCs w:val="24"/>
                  </w:rPr>
                </w:pPr>
                <w:r>
                  <w:rPr>
                    <w:rFonts w:eastAsia="MS Mincho"/>
                    <w:b/>
                    <w:bCs/>
                    <w:szCs w:val="24"/>
                  </w:rPr>
                  <w:t>2) pagal aplinkos ministro nustatytus reikalavimus parengtą Atliekų tvarkymo įstatymo 34</w:t>
                </w:r>
                <w:r>
                  <w:rPr>
                    <w:rFonts w:eastAsia="MS Mincho"/>
                    <w:b/>
                    <w:bCs/>
                    <w:szCs w:val="24"/>
                    <w:vertAlign w:val="superscript"/>
                  </w:rPr>
                  <w:t>25</w:t>
                </w:r>
                <w:r>
                  <w:rPr>
                    <w:rFonts w:eastAsia="MS Mincho"/>
                    <w:b/>
                    <w:bCs/>
                    <w:szCs w:val="24"/>
                  </w:rPr>
                  <w:t> straipsnio 1 dalies 2 punkto a papunktyje nurodytą baterijų atliekų tvarkymo organizavimo veiklos planą, kuriame turi būti:</w:t>
                </w:r>
              </w:p>
              <w:p w14:paraId="2E9F646D" w14:textId="77777777">
                <w:pPr>
                  <w:widowControl w:val="0"/>
                  <w:suppressAutoHyphens/>
                  <w:ind w:firstLine="709"/>
                  <w:jc w:val="both"/>
                  <w:rPr>
                    <w:rFonts w:eastAsia="MS Mincho"/>
                    <w:b/>
                    <w:bCs/>
                    <w:szCs w:val="24"/>
                  </w:rPr>
                </w:pPr>
                <w:r>
                  <w:rPr>
                    <w:rFonts w:eastAsia="MS Mincho"/>
                    <w:b/>
                    <w:bCs/>
                    <w:szCs w:val="24"/>
                  </w:rPr>
                  <w:t xml:space="preserve">a)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1 ir 2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nurodyti nešiojamųjų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15 punkte nurodytą baterijų licenciją); </w:t>
                </w:r>
              </w:p>
              <w:p w14:paraId="33DC7F18" w14:textId="77777777">
                <w:pPr>
                  <w:widowControl w:val="0"/>
                  <w:suppressAutoHyphens/>
                  <w:ind w:firstLine="709"/>
                  <w:jc w:val="both"/>
                  <w:rPr>
                    <w:rFonts w:eastAsia="MS Mincho"/>
                    <w:b/>
                    <w:bCs/>
                    <w:szCs w:val="24"/>
                  </w:rPr>
                </w:pPr>
                <w:r>
                  <w:rPr>
                    <w:rFonts w:eastAsia="MS Mincho"/>
                    <w:b/>
                    <w:bCs/>
                    <w:szCs w:val="24"/>
                  </w:rPr>
                  <w:t xml:space="preserve">b)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1, 2 ir 4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3 dalyje nurodyti mažųjų transporto priemonių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16 punkte nurodytą baterijų licenciją); </w:t>
                </w:r>
              </w:p>
              <w:p w14:paraId="2D0478DD" w14:textId="77777777">
                <w:pPr>
                  <w:widowControl w:val="0"/>
                  <w:suppressAutoHyphens/>
                  <w:ind w:firstLine="709"/>
                  <w:jc w:val="both"/>
                  <w:rPr>
                    <w:rFonts w:eastAsia="MS Mincho"/>
                    <w:b/>
                    <w:bCs/>
                    <w:szCs w:val="24"/>
                  </w:rPr>
                </w:pPr>
                <w:r>
                  <w:rPr>
                    <w:rFonts w:eastAsia="MS Mincho"/>
                    <w:b/>
                    <w:bCs/>
                    <w:szCs w:val="24"/>
                  </w:rPr>
                  <w:t xml:space="preserve">c)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61 straipsnio 1–3 dalyse nustatytos pareigos (taikoma, jei prašoma išduoti Atliekų tvarkymo įstatymo 34</w:t>
                </w:r>
                <w:r>
                  <w:rPr>
                    <w:rFonts w:eastAsia="MS Mincho"/>
                    <w:b/>
                    <w:bCs/>
                    <w:szCs w:val="24"/>
                    <w:vertAlign w:val="superscript"/>
                  </w:rPr>
                  <w:t>24</w:t>
                </w:r>
                <w:r>
                  <w:rPr>
                    <w:rFonts w:eastAsia="MS Mincho"/>
                    <w:b/>
                    <w:bCs/>
                    <w:szCs w:val="24"/>
                  </w:rPr>
                  <w:t xml:space="preserve"> straipsnio 3 punkte arba 17 punkte, arba 18 punkte, arba 19 punkte nurodytą baterijų licenciją);</w:t>
                </w:r>
              </w:p>
              <w:p w14:paraId="3A8A27E8" w14:textId="360E07FC">
                <w:pPr>
                  <w:widowControl w:val="0"/>
                  <w:suppressAutoHyphens/>
                  <w:ind w:firstLine="709"/>
                  <w:jc w:val="both"/>
                  <w:textAlignment w:val="center"/>
                  <w:rPr>
                    <w:rFonts w:eastAsia="Arial Unicode MS"/>
                    <w:szCs w:val="24"/>
                    <w:lang w:eastAsia="lt-LT"/>
                  </w:rPr>
                </w:pPr>
                <w:r>
                  <w:rPr>
                    <w:rFonts w:eastAsia="Arial Unicode MS"/>
                    <w:szCs w:val="24"/>
                    <w:lang w:eastAsia="lt-LT"/>
                  </w:rPr>
                  <w:t>&lt;...&gt;</w:t>
                </w:r>
              </w:p>
              <w:p w14:paraId="7A261A0F" w14:textId="77777777">
                <w:pPr>
                  <w:widowControl w:val="0"/>
                  <w:suppressAutoHyphens/>
                  <w:ind w:firstLine="709"/>
                  <w:jc w:val="both"/>
                  <w:textAlignment w:val="center"/>
                  <w:rPr>
                    <w:rFonts w:eastAsia="Lucida Sans Unicode"/>
                    <w:b/>
                    <w:bCs/>
                    <w:color w:val="000000"/>
                    <w:szCs w:val="24"/>
                  </w:rPr>
                </w:pPr>
              </w:p>
              <w:p w14:paraId="3B47D5E1" w14:textId="3719F704">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ATĮ</w:t>
                </w:r>
              </w:p>
              <w:p w14:paraId="4DE4FB1E"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34</w:t>
                </w:r>
                <w:r>
                  <w:rPr>
                    <w:rFonts w:eastAsia="Lucida Sans Unicode"/>
                    <w:b/>
                    <w:bCs/>
                    <w:color w:val="000000"/>
                    <w:szCs w:val="24"/>
                    <w:vertAlign w:val="superscript"/>
                  </w:rPr>
                  <w:t>25</w:t>
                </w:r>
                <w:r>
                  <w:rPr>
                    <w:rFonts w:eastAsia="Lucida Sans Unicode"/>
                    <w:b/>
                    <w:bCs/>
                    <w:color w:val="000000"/>
                    <w:szCs w:val="24"/>
                  </w:rPr>
                  <w:t xml:space="preserve"> straipsnis. Gaminių ir pakuočių atliekų tvarkymo organizavimo licencijų išdavimo sąlygos</w:t>
                </w:r>
              </w:p>
              <w:p w14:paraId="4A5B6626" w14:textId="77777777">
                <w:pPr>
                  <w:widowControl w:val="0"/>
                  <w:suppressAutoHyphens/>
                  <w:ind w:firstLine="709"/>
                  <w:jc w:val="both"/>
                  <w:textAlignment w:val="center"/>
                  <w:rPr>
                    <w:rFonts w:eastAsia="Lucida Sans Unicode"/>
                    <w:color w:val="000000"/>
                    <w:szCs w:val="24"/>
                  </w:rPr>
                </w:pPr>
                <w:r>
                  <w:rPr>
                    <w:rFonts w:eastAsia="Lucida Sans Unicode"/>
                    <w:color w:val="000000"/>
                    <w:szCs w:val="24"/>
                  </w:rPr>
                  <w:t>&lt;...&gt;</w:t>
                </w:r>
              </w:p>
              <w:p w14:paraId="67CF55BA" w14:textId="77777777">
                <w:pPr>
                  <w:widowControl w:val="0"/>
                  <w:suppressAutoHyphens/>
                  <w:ind w:firstLine="709"/>
                  <w:jc w:val="both"/>
                  <w:textAlignment w:val="center"/>
                  <w:rPr>
                    <w:rFonts w:eastAsia="Lucida Sans Unicode"/>
                    <w:color w:val="000000"/>
                    <w:szCs w:val="24"/>
                  </w:rPr>
                </w:pPr>
                <w:r>
                  <w:rPr>
                    <w:rFonts w:eastAsia="Lucida Sans Unicode"/>
                    <w:color w:val="000000"/>
                    <w:szCs w:val="24"/>
                  </w:rPr>
                  <w:t>5.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p w14:paraId="5EFF15F6" w14:textId="36F273CA">
                <w:pPr>
                  <w:widowControl w:val="0"/>
                  <w:suppressAutoHyphens/>
                  <w:ind w:firstLine="709"/>
                  <w:jc w:val="both"/>
                  <w:textAlignment w:val="center"/>
                  <w:rPr>
                    <w:rFonts w:eastAsia="Lucida Sans Unicode"/>
                    <w:i/>
                    <w:iCs/>
                    <w:szCs w:val="24"/>
                  </w:rPr>
                </w:pPr>
                <w:r>
                  <w:rPr>
                    <w:rFonts w:eastAsia="Lucida Sans Unicode"/>
                    <w:szCs w:val="24"/>
                  </w:rPr>
                  <w:t>&lt;...&gt;</w:t>
                </w:r>
                <w:r>
                  <w:rPr>
                    <w:rFonts w:eastAsia="Lucida Sans Unicode"/>
                    <w:i/>
                    <w:iCs/>
                    <w:szCs w:val="24"/>
                  </w:rPr>
                  <w:t xml:space="preserve"> </w:t>
                </w:r>
              </w:p>
            </w:tc>
            <w:tc>
              <w:tcPr>
                <w:tcW w:w="1777" w:type="dxa"/>
              </w:tcPr>
              <w:p w14:paraId="5029A20F" w14:textId="11F6F665">
                <w:pPr>
                  <w:widowControl w:val="0"/>
                  <w:suppressAutoHyphens/>
                  <w:rPr>
                    <w:rFonts w:eastAsia="Lucida Sans Unicode"/>
                    <w:b/>
                    <w:bCs/>
                    <w:szCs w:val="24"/>
                  </w:rPr>
                </w:pPr>
                <w:r>
                  <w:rPr>
                    <w:rFonts w:eastAsia="Lucida Sans Unicode"/>
                    <w:b/>
                    <w:bCs/>
                    <w:szCs w:val="24"/>
                  </w:rPr>
                  <w:t>Visiškas</w:t>
                </w:r>
              </w:p>
              <w:p w14:paraId="7AFA7114" w14:textId="101434CD">
                <w:pPr>
                  <w:widowControl w:val="0"/>
                  <w:suppressAutoHyphens/>
                  <w:ind w:firstLine="709"/>
                  <w:rPr>
                    <w:rFonts w:eastAsia="Lucida Sans Unicode"/>
                    <w:b/>
                    <w:bCs/>
                    <w:szCs w:val="24"/>
                  </w:rPr>
                </w:pPr>
              </w:p>
            </w:tc>
          </w:tr>
          <w:tr w14:paraId="2CA1CE93" w14:textId="77777777">
            <w:tc>
              <w:tcPr>
                <w:tcW w:w="3450" w:type="dxa"/>
              </w:tcPr>
              <w:p w14:paraId="52BE003D" w14:textId="77777777">
                <w:pPr>
                  <w:ind w:firstLine="709"/>
                  <w:jc w:val="both"/>
                  <w:rPr>
                    <w:rFonts w:eastAsia="Arial Unicode MS"/>
                    <w:b/>
                    <w:bCs/>
                    <w:color w:val="000000"/>
                    <w:szCs w:val="24"/>
                    <w:lang w:eastAsia="lt-LT"/>
                  </w:rPr>
                </w:pPr>
                <w:r>
                  <w:rPr>
                    <w:rFonts w:eastAsia="Arial Unicode MS"/>
                    <w:b/>
                    <w:bCs/>
                    <w:color w:val="000000"/>
                    <w:szCs w:val="24"/>
                    <w:lang w:eastAsia="lt-LT"/>
                  </w:rPr>
                  <w:t>58 straipsnis. Leidimas vykdyti didesnės gamintojo atsakomybės pareigas</w:t>
                </w:r>
              </w:p>
              <w:p w14:paraId="5AD50826" w14:textId="77777777">
                <w:pPr>
                  <w:ind w:firstLine="709"/>
                  <w:jc w:val="both"/>
                  <w:rPr>
                    <w:rFonts w:eastAsia="Arial Unicode MS"/>
                    <w:color w:val="000000"/>
                    <w:szCs w:val="24"/>
                    <w:lang w:eastAsia="lt-LT"/>
                  </w:rPr>
                </w:pPr>
                <w:r>
                  <w:rPr>
                    <w:rFonts w:eastAsia="Arial Unicode MS"/>
                    <w:color w:val="000000"/>
                    <w:szCs w:val="24"/>
                    <w:lang w:eastAsia="lt-LT"/>
                  </w:rPr>
                  <w:t>&lt;...&gt;</w:t>
                </w:r>
              </w:p>
              <w:p w14:paraId="2ED9133B" w14:textId="388B80B2">
                <w:pPr>
                  <w:ind w:firstLine="709"/>
                  <w:jc w:val="both"/>
                  <w:rPr>
                    <w:rFonts w:eastAsia="Arial Unicode MS"/>
                    <w:color w:val="000000"/>
                    <w:szCs w:val="24"/>
                    <w:lang w:eastAsia="lt-LT"/>
                  </w:rPr>
                </w:pPr>
                <w:r>
                  <w:rPr>
                    <w:rFonts w:eastAsia="Arial Unicode MS"/>
                    <w:color w:val="000000"/>
                    <w:szCs w:val="24"/>
                    <w:lang w:eastAsia="lt-LT"/>
                  </w:rPr>
                  <w:t>3. Valstybės narės į savo priemones, kuriomis nustatomos 54 straipsnio 3 dalies b punkte nurodytos administracinės ir procedūrinės taisyklės, įtraukia išsamią informaciją apie leidimų išdavimo procedūrą, kuri gali būti skirtinga, atsižvelgiant į tai, ar ji yra susijusi su individualiu ar kolektyviniu didesnės gamintojo atsakomybės pareigų vykdymu, ir apie gamintojo ar gamintojo atsakomybę perimančių organizacijų atitikties tikrinimo sąlygas, įskaitant informaciją, kurią šiuo tikslu turi pateikti gamintojai arba gamintojo atsakomybę perimančios organizacijos. Leidimų išdavimo procedūra apima reikalavimus patikrinti tvarką, nustatytą siekiant užtikrinti, kad būtų laikomasi 59 straipsnio 1 ir 2 dalyse ir 60 straipsnio 1, 2 ir 4 dalyse nustatytų reikalavimų, ir tos patikros terminus, kurie negali būti ilgesni kaip 12 savaičių nuo išsamių paraiškos dokumentų pateikimo. Patikrą gali atlikti nepriklausomas ekspertas, kuris parengia patikros ataskaitą apie patikros rezultatus.</w:t>
                </w:r>
              </w:p>
            </w:tc>
            <w:tc>
              <w:tcPr>
                <w:tcW w:w="9766" w:type="dxa"/>
              </w:tcPr>
              <w:p w14:paraId="2DEC679E" w14:textId="77777777">
                <w:pPr>
                  <w:widowControl w:val="0"/>
                  <w:suppressAutoHyphens/>
                  <w:ind w:firstLine="709"/>
                  <w:jc w:val="both"/>
                  <w:textAlignment w:val="center"/>
                  <w:rPr>
                    <w:rFonts w:eastAsia="Lucida Sans Unicode"/>
                    <w:b/>
                    <w:bCs/>
                    <w:color w:val="000000"/>
                    <w:szCs w:val="24"/>
                  </w:rPr>
                </w:pPr>
                <w:r>
                  <w:rPr>
                    <w:rFonts w:eastAsia="Lucida Sans Unicode"/>
                    <w:b/>
                    <w:bCs/>
                    <w:color w:val="000000"/>
                    <w:szCs w:val="24"/>
                  </w:rPr>
                  <w:t>Baterijų įstatymo projektas</w:t>
                </w:r>
              </w:p>
              <w:p w14:paraId="614FE44D" w14:textId="77777777">
                <w:pPr>
                  <w:widowControl w:val="0"/>
                  <w:tabs>
                    <w:tab w:val="left" w:pos="470"/>
                  </w:tabs>
                  <w:suppressAutoHyphens/>
                  <w:ind w:firstLine="709"/>
                  <w:jc w:val="both"/>
                  <w:rPr>
                    <w:rFonts w:eastAsia="Lucida Sans Unicode"/>
                    <w:b/>
                    <w:bCs/>
                    <w:szCs w:val="24"/>
                  </w:rPr>
                </w:pPr>
                <w:r>
                  <w:rPr>
                    <w:rFonts w:eastAsia="Lucida Sans Unicode"/>
                    <w:b/>
                    <w:bCs/>
                    <w:szCs w:val="24"/>
                  </w:rPr>
                  <w:t>6 straipsnis. Baterijų licencijos išdavimas, įspėjimas apie galimą tokios licencijos galiojimo sustabdymą ar panaikinimą, baterijų licencijos galiojimo sustabdymas ir panaikinimas</w:t>
                </w:r>
              </w:p>
              <w:p w14:paraId="50F637E3" w14:textId="77777777">
                <w:pPr>
                  <w:widowControl w:val="0"/>
                  <w:suppressAutoHyphens/>
                  <w:ind w:firstLine="709"/>
                  <w:jc w:val="both"/>
                  <w:rPr>
                    <w:rFonts w:eastAsia="MS Mincho"/>
                    <w:b/>
                    <w:bCs/>
                    <w:szCs w:val="24"/>
                  </w:rPr>
                </w:pPr>
                <w:r>
                  <w:rPr>
                    <w:rFonts w:eastAsia="MS Mincho"/>
                    <w:b/>
                    <w:bCs/>
                    <w:szCs w:val="24"/>
                  </w:rPr>
                  <w:t xml:space="preserve">1. </w:t>
                </w:r>
                <w:r>
                  <w:rPr>
                    <w:rFonts w:eastAsia="Lucida Sans Unicode"/>
                    <w:b/>
                    <w:bCs/>
                    <w:szCs w:val="24"/>
                  </w:rPr>
                  <w:t xml:space="preserve">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58 straipsnyje nurodytas leidimas </w:t>
                </w:r>
                <w:r>
                  <w:rPr>
                    <w:rFonts w:eastAsia="Lucida Sans Unicode"/>
                    <w:b/>
                    <w:bCs/>
                    <w:color w:val="000000"/>
                    <w:szCs w:val="24"/>
                  </w:rPr>
                  <w:t xml:space="preserve">vykdyti gamintojo atsakomybės pareigas suteikiamas išduodant </w:t>
                </w:r>
                <w:r>
                  <w:rPr>
                    <w:rFonts w:eastAsia="MS Mincho"/>
                    <w:b/>
                    <w:bCs/>
                    <w:szCs w:val="24"/>
                  </w:rPr>
                  <w:t>baterijų licenciją.</w:t>
                </w:r>
              </w:p>
              <w:p w14:paraId="10CAD81C" w14:textId="77777777">
                <w:pPr>
                  <w:widowControl w:val="0"/>
                  <w:suppressAutoHyphens/>
                  <w:ind w:firstLine="709"/>
                  <w:jc w:val="both"/>
                  <w:rPr>
                    <w:rFonts w:eastAsia="MS Mincho"/>
                    <w:b/>
                    <w:bCs/>
                    <w:szCs w:val="24"/>
                  </w:rPr>
                </w:pPr>
                <w:r>
                  <w:rPr>
                    <w:rFonts w:eastAsia="MS Mincho"/>
                    <w:b/>
                    <w:bCs/>
                    <w:szCs w:val="24"/>
                  </w:rPr>
                  <w:t>2. Norėdama gauti baterijų licenciją, gamintojo atsakomybę perimanti organizacija turi aplinkos ministro nustatyta tvarka kompetentingai institucijai, vykdančiai Atliekų tvarkymo įstatymo 34</w:t>
                </w:r>
                <w:r>
                  <w:rPr>
                    <w:rFonts w:eastAsia="MS Mincho"/>
                    <w:b/>
                    <w:bCs/>
                    <w:szCs w:val="24"/>
                    <w:vertAlign w:val="superscript"/>
                  </w:rPr>
                  <w:t>23</w:t>
                </w:r>
                <w:r>
                  <w:rPr>
                    <w:rFonts w:eastAsia="MS Mincho"/>
                    <w:b/>
                    <w:bCs/>
                    <w:szCs w:val="24"/>
                  </w:rPr>
                  <w:t> straipsnio 2 dalyje nurodytos licencijas išduodančios institucijos funkcijas (toliau – licencijas išduodanti institucija), pateikti:</w:t>
                </w:r>
              </w:p>
              <w:p w14:paraId="50D15914" w14:textId="77777777">
                <w:pPr>
                  <w:widowControl w:val="0"/>
                  <w:suppressAutoHyphens/>
                  <w:ind w:firstLine="709"/>
                  <w:jc w:val="both"/>
                  <w:rPr>
                    <w:rFonts w:eastAsia="MS Mincho"/>
                    <w:b/>
                    <w:bCs/>
                    <w:szCs w:val="24"/>
                  </w:rPr>
                </w:pPr>
                <w:r>
                  <w:rPr>
                    <w:rFonts w:eastAsia="MS Mincho"/>
                    <w:b/>
                    <w:bCs/>
                    <w:szCs w:val="24"/>
                  </w:rPr>
                  <w:t>1) Atliekų tvarkymo įstatymo 34</w:t>
                </w:r>
                <w:r>
                  <w:rPr>
                    <w:rFonts w:eastAsia="MS Mincho"/>
                    <w:b/>
                    <w:bCs/>
                    <w:szCs w:val="24"/>
                    <w:vertAlign w:val="superscript"/>
                  </w:rPr>
                  <w:t>25</w:t>
                </w:r>
                <w:r>
                  <w:rPr>
                    <w:rFonts w:eastAsia="MS Mincho"/>
                    <w:b/>
                    <w:bCs/>
                    <w:szCs w:val="24"/>
                  </w:rPr>
                  <w:t xml:space="preserve"> straipsnio 1 dalies 1 punkte nurodytą prašymą;</w:t>
                </w:r>
              </w:p>
              <w:p w14:paraId="0A5322DE" w14:textId="77777777">
                <w:pPr>
                  <w:widowControl w:val="0"/>
                  <w:suppressAutoHyphens/>
                  <w:ind w:firstLine="709"/>
                  <w:jc w:val="both"/>
                  <w:rPr>
                    <w:rFonts w:eastAsia="MS Mincho"/>
                    <w:b/>
                    <w:bCs/>
                    <w:szCs w:val="24"/>
                  </w:rPr>
                </w:pPr>
                <w:r>
                  <w:rPr>
                    <w:rFonts w:eastAsia="MS Mincho"/>
                    <w:b/>
                    <w:bCs/>
                    <w:szCs w:val="24"/>
                  </w:rPr>
                  <w:t>2) pagal aplinkos ministro nustatytus reikalavimus parengtą Atliekų tvarkymo įstatymo 34</w:t>
                </w:r>
                <w:r>
                  <w:rPr>
                    <w:rFonts w:eastAsia="MS Mincho"/>
                    <w:b/>
                    <w:bCs/>
                    <w:szCs w:val="24"/>
                    <w:vertAlign w:val="superscript"/>
                  </w:rPr>
                  <w:t>25</w:t>
                </w:r>
                <w:r>
                  <w:rPr>
                    <w:rFonts w:eastAsia="MS Mincho"/>
                    <w:b/>
                    <w:bCs/>
                    <w:szCs w:val="24"/>
                  </w:rPr>
                  <w:t> straipsnio 1 dalies 2 punkto a papunktyje nurodytą baterijų atliekų tvarkymo organizavimo veiklos planą, kuriame turi būti:</w:t>
                </w:r>
              </w:p>
              <w:p w14:paraId="326D66E1" w14:textId="77777777">
                <w:pPr>
                  <w:widowControl w:val="0"/>
                  <w:suppressAutoHyphens/>
                  <w:ind w:firstLine="709"/>
                  <w:jc w:val="both"/>
                  <w:rPr>
                    <w:rFonts w:eastAsia="MS Mincho"/>
                    <w:b/>
                    <w:bCs/>
                    <w:szCs w:val="24"/>
                  </w:rPr>
                </w:pPr>
                <w:r>
                  <w:rPr>
                    <w:rFonts w:eastAsia="MS Mincho"/>
                    <w:b/>
                    <w:bCs/>
                    <w:szCs w:val="24"/>
                  </w:rPr>
                  <w:t xml:space="preserve">a)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1 ir 2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nurodyti nešiojamųjų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15 punkte nurodytą baterijų licenciją); </w:t>
                </w:r>
              </w:p>
              <w:p w14:paraId="2A10A37A" w14:textId="77777777">
                <w:pPr>
                  <w:widowControl w:val="0"/>
                  <w:suppressAutoHyphens/>
                  <w:ind w:firstLine="709"/>
                  <w:jc w:val="both"/>
                  <w:rPr>
                    <w:rFonts w:eastAsia="MS Mincho"/>
                    <w:b/>
                    <w:bCs/>
                    <w:szCs w:val="24"/>
                  </w:rPr>
                </w:pPr>
                <w:r>
                  <w:rPr>
                    <w:rFonts w:eastAsia="MS Mincho"/>
                    <w:b/>
                    <w:bCs/>
                    <w:szCs w:val="24"/>
                  </w:rPr>
                  <w:t xml:space="preserve">b)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1, 2 ir 4 dalyse nustatytos pareigos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3 dalyje nurodyti mažųjų transporto priemonių baterijų atliekų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16 punkte nurodytą baterijų licenciją); </w:t>
                </w:r>
              </w:p>
              <w:p w14:paraId="5B5C3BB6" w14:textId="77777777">
                <w:pPr>
                  <w:widowControl w:val="0"/>
                  <w:suppressAutoHyphens/>
                  <w:ind w:firstLine="709"/>
                  <w:jc w:val="both"/>
                  <w:rPr>
                    <w:rFonts w:eastAsia="MS Mincho"/>
                    <w:b/>
                    <w:bCs/>
                    <w:szCs w:val="24"/>
                  </w:rPr>
                </w:pPr>
                <w:r>
                  <w:rPr>
                    <w:rFonts w:eastAsia="MS Mincho"/>
                    <w:b/>
                    <w:bCs/>
                    <w:szCs w:val="24"/>
                  </w:rPr>
                  <w:t xml:space="preserve">c) numatytos priemonės ir veiksmai, užtikrinantys, kad bus įvykdytos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61 straipsnio 1–3 dalyse nustatytos pareigos (taikoma, jei prašoma išduoti Atliekų tvarkymo įstatymo 34</w:t>
                </w:r>
                <w:r>
                  <w:rPr>
                    <w:rFonts w:eastAsia="MS Mincho"/>
                    <w:b/>
                    <w:bCs/>
                    <w:szCs w:val="24"/>
                    <w:vertAlign w:val="superscript"/>
                  </w:rPr>
                  <w:t>24</w:t>
                </w:r>
                <w:r>
                  <w:rPr>
                    <w:rFonts w:eastAsia="MS Mincho"/>
                    <w:b/>
                    <w:bCs/>
                    <w:szCs w:val="24"/>
                  </w:rPr>
                  <w:t xml:space="preserve"> straipsnio 3 punkte arba 17 punkte, arba 18 punkte, arba 19 punkte nurodytą baterijų licenciją);</w:t>
                </w:r>
              </w:p>
              <w:p w14:paraId="7C6B9E63" w14:textId="77777777">
                <w:pPr>
                  <w:widowControl w:val="0"/>
                  <w:suppressAutoHyphens/>
                  <w:ind w:firstLine="709"/>
                  <w:jc w:val="both"/>
                  <w:rPr>
                    <w:rFonts w:eastAsia="MS Mincho"/>
                    <w:b/>
                    <w:bCs/>
                    <w:szCs w:val="24"/>
                  </w:rPr>
                </w:pPr>
                <w:r>
                  <w:rPr>
                    <w:rFonts w:eastAsia="MS Mincho"/>
                    <w:b/>
                    <w:bCs/>
                    <w:szCs w:val="24"/>
                  </w:rPr>
                  <w:t xml:space="preserve">d) pateikta informacija apie šios organizacijos taikomą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55 straipsnio 3 dalies d punkte nurodytą sistemą, kuria užtikrinama, kad kompetentingoms institucijoms teikiami patikimi duomenys;</w:t>
                </w:r>
              </w:p>
              <w:p w14:paraId="47A84409" w14:textId="77777777">
                <w:pPr>
                  <w:widowControl w:val="0"/>
                  <w:suppressAutoHyphens/>
                  <w:ind w:firstLine="709"/>
                  <w:jc w:val="both"/>
                  <w:rPr>
                    <w:rFonts w:eastAsia="MS Mincho"/>
                    <w:b/>
                    <w:bCs/>
                    <w:szCs w:val="24"/>
                  </w:rPr>
                </w:pPr>
                <w:r>
                  <w:rPr>
                    <w:rFonts w:eastAsia="MS Mincho"/>
                    <w:b/>
                    <w:bCs/>
                    <w:szCs w:val="24"/>
                  </w:rPr>
                  <w:t xml:space="preserve">3)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1 ir 2 dalyse nustatytų reikalavimų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nurodyti nešiojamųjų baterijų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15 punkte nurodytą baterijų licenciją); </w:t>
                </w:r>
              </w:p>
              <w:p w14:paraId="1D46E1B7" w14:textId="77777777">
                <w:pPr>
                  <w:widowControl w:val="0"/>
                  <w:suppressAutoHyphens/>
                  <w:ind w:firstLine="709"/>
                  <w:jc w:val="both"/>
                  <w:rPr>
                    <w:rFonts w:eastAsia="MS Mincho"/>
                    <w:b/>
                    <w:bCs/>
                    <w:szCs w:val="24"/>
                  </w:rPr>
                </w:pPr>
                <w:r>
                  <w:rPr>
                    <w:rFonts w:eastAsia="MS Mincho"/>
                    <w:b/>
                    <w:bCs/>
                    <w:szCs w:val="24"/>
                  </w:rPr>
                  <w:t xml:space="preserve">4)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1, 2 ir 4 dalyse nustatytų reikalavimų ir pasiekti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60 straipsnio 3 dalyje nurodyti mažųjų transporto priemonių baterijų surinkimo tikslai (taikoma, jei prašoma išduoti Atliekų tvarkymo įstatymo 34</w:t>
                </w:r>
                <w:r>
                  <w:rPr>
                    <w:rFonts w:eastAsia="MS Mincho"/>
                    <w:b/>
                    <w:bCs/>
                    <w:szCs w:val="24"/>
                    <w:vertAlign w:val="superscript"/>
                  </w:rPr>
                  <w:t>24</w:t>
                </w:r>
                <w:r>
                  <w:rPr>
                    <w:rFonts w:eastAsia="MS Mincho"/>
                    <w:b/>
                    <w:bCs/>
                    <w:szCs w:val="24"/>
                  </w:rPr>
                  <w:t xml:space="preserve"> straipsnio 3 punkte arba 16 punkte nurodytą baterijų licenciją); </w:t>
                </w:r>
              </w:p>
              <w:p w14:paraId="434DF828" w14:textId="77777777">
                <w:pPr>
                  <w:widowControl w:val="0"/>
                  <w:suppressAutoHyphens/>
                  <w:ind w:firstLine="709"/>
                  <w:jc w:val="both"/>
                  <w:rPr>
                    <w:rFonts w:eastAsia="MS Mincho"/>
                    <w:b/>
                    <w:bCs/>
                    <w:szCs w:val="24"/>
                  </w:rPr>
                </w:pPr>
                <w:r>
                  <w:rPr>
                    <w:rFonts w:eastAsia="MS Mincho"/>
                    <w:b/>
                    <w:bCs/>
                    <w:szCs w:val="24"/>
                  </w:rPr>
                  <w:t xml:space="preserve">5) dokumentus, patvirtinančius, kad bus laikomasi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61 straipsnio 1, 2 ir 3 dalyse nustatytų reikalavimų (taikoma, jei prašoma išduoti Atliekų tvarkymo įstatymo 34</w:t>
                </w:r>
                <w:r>
                  <w:rPr>
                    <w:rFonts w:eastAsia="MS Mincho"/>
                    <w:b/>
                    <w:bCs/>
                    <w:szCs w:val="24"/>
                    <w:vertAlign w:val="superscript"/>
                  </w:rPr>
                  <w:t>24</w:t>
                </w:r>
                <w:r>
                  <w:rPr>
                    <w:rFonts w:eastAsia="MS Mincho"/>
                    <w:b/>
                    <w:bCs/>
                    <w:szCs w:val="24"/>
                  </w:rPr>
                  <w:t xml:space="preserve"> straipsnio 3 punkte arba 17 punkte, arba 18 punkte, arba 19 punkte nurodytą baterijų licenciją);</w:t>
                </w:r>
              </w:p>
              <w:p w14:paraId="2135E5BC" w14:textId="77777777">
                <w:pPr>
                  <w:widowControl w:val="0"/>
                  <w:suppressAutoHyphens/>
                  <w:ind w:firstLine="709"/>
                  <w:jc w:val="both"/>
                  <w:rPr>
                    <w:rFonts w:eastAsia="MS Mincho"/>
                    <w:b/>
                    <w:bCs/>
                    <w:szCs w:val="24"/>
                  </w:rPr>
                </w:pPr>
                <w:r>
                  <w:rPr>
                    <w:rFonts w:eastAsia="MS Mincho"/>
                    <w:b/>
                    <w:bCs/>
                    <w:szCs w:val="24"/>
                  </w:rPr>
                  <w:t>6) pagal aplinkos ministro nustatytus reikalavimus parengtą Atliekų tvarkymo įstatymo 34</w:t>
                </w:r>
                <w:r>
                  <w:rPr>
                    <w:rFonts w:eastAsia="MS Mincho"/>
                    <w:b/>
                    <w:bCs/>
                    <w:szCs w:val="24"/>
                    <w:vertAlign w:val="superscript"/>
                  </w:rPr>
                  <w:t>25</w:t>
                </w:r>
                <w:r>
                  <w:rPr>
                    <w:rFonts w:eastAsia="MS Mincho"/>
                    <w:b/>
                    <w:bCs/>
                    <w:szCs w:val="24"/>
                  </w:rPr>
                  <w:t xml:space="preserve"> straipsnio 1 dalies 2 punkto b papunktyje nurodytą finansavimo schemą, garantuojančią, kad bus padengtos su baterijomis, kurias Lietuvos Respublikos rinkai tiekia šiai organizacijai gamintojo atsakomybės pareigas vykdyti pavedę gamintojai, susijusias išlaidas, nurodytas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56 straipsnio 4 dalyje;</w:t>
                </w:r>
              </w:p>
              <w:p w14:paraId="2BBB108D" w14:textId="77777777">
                <w:pPr>
                  <w:widowControl w:val="0"/>
                  <w:suppressAutoHyphens/>
                  <w:ind w:firstLine="709"/>
                  <w:jc w:val="both"/>
                  <w:rPr>
                    <w:rFonts w:eastAsia="MS Mincho"/>
                    <w:b/>
                    <w:bCs/>
                    <w:szCs w:val="24"/>
                  </w:rPr>
                </w:pPr>
                <w:r>
                  <w:rPr>
                    <w:rFonts w:eastAsia="MS Mincho"/>
                    <w:b/>
                    <w:bCs/>
                    <w:szCs w:val="24"/>
                  </w:rPr>
                  <w:t xml:space="preserve">7) visuomenės švietimo ir informavimo programą, kurią vykdant būtų teikiama 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74 straipsnio 1 dalyje nurodyta informacija apie baterijų atliekų prevenciją ir tvarkymą.</w:t>
                </w:r>
              </w:p>
              <w:p w14:paraId="4276ADFD" w14:textId="77777777">
                <w:pPr>
                  <w:widowControl w:val="0"/>
                  <w:tabs>
                    <w:tab w:val="left" w:pos="470"/>
                  </w:tabs>
                  <w:suppressAutoHyphens/>
                  <w:ind w:firstLine="709"/>
                  <w:jc w:val="both"/>
                  <w:rPr>
                    <w:rFonts w:eastAsia="Lucida Sans Unicode"/>
                    <w:b/>
                    <w:bCs/>
                    <w:szCs w:val="24"/>
                  </w:rPr>
                </w:pPr>
                <w:r>
                  <w:rPr>
                    <w:rFonts w:eastAsia="Lucida Sans Unicode"/>
                    <w:b/>
                    <w:bCs/>
                    <w:szCs w:val="24"/>
                  </w:rPr>
                  <w:t xml:space="preserve">3. Baterijų licencijos išduodamos laikantis </w:t>
                </w:r>
                <w:r>
                  <w:rPr>
                    <w:rFonts w:eastAsia="MS Mincho"/>
                    <w:b/>
                    <w:bCs/>
                    <w:szCs w:val="24"/>
                  </w:rPr>
                  <w:t>Atliekų tvarkymo įstatymo 34</w:t>
                </w:r>
                <w:r>
                  <w:rPr>
                    <w:rFonts w:eastAsia="MS Mincho"/>
                    <w:b/>
                    <w:bCs/>
                    <w:szCs w:val="24"/>
                    <w:vertAlign w:val="superscript"/>
                  </w:rPr>
                  <w:t>25</w:t>
                </w:r>
                <w:r>
                  <w:rPr>
                    <w:rFonts w:eastAsia="MS Mincho"/>
                    <w:b/>
                    <w:bCs/>
                    <w:szCs w:val="24"/>
                  </w:rPr>
                  <w:t xml:space="preserve"> straipsnio 5–7 dalyse nustatytų terminų.</w:t>
                </w:r>
              </w:p>
              <w:p w14:paraId="02AEB9C8" w14:textId="77777777">
                <w:pPr>
                  <w:widowControl w:val="0"/>
                  <w:suppressAutoHyphens/>
                  <w:ind w:firstLine="709"/>
                  <w:jc w:val="both"/>
                  <w:textAlignment w:val="center"/>
                  <w:rPr>
                    <w:rFonts w:eastAsia="Lucida Sans Unicode"/>
                    <w:color w:val="000000"/>
                    <w:szCs w:val="24"/>
                  </w:rPr>
                </w:pPr>
                <w:r>
                  <w:rPr>
                    <w:rFonts w:eastAsia="Lucida Sans Unicode"/>
                    <w:color w:val="000000"/>
                    <w:szCs w:val="24"/>
                  </w:rPr>
                  <w:t>&lt;...&gt;</w:t>
                </w:r>
              </w:p>
              <w:p w14:paraId="4FEE9EC9" w14:textId="77777777">
                <w:pPr>
                  <w:widowControl w:val="0"/>
                  <w:suppressAutoHyphens/>
                  <w:ind w:firstLine="709"/>
                  <w:jc w:val="both"/>
                  <w:rPr>
                    <w:rFonts w:eastAsia="Lucida Sans Unicode"/>
                    <w:b/>
                    <w:bCs/>
                    <w:szCs w:val="24"/>
                  </w:rPr>
                </w:pPr>
                <w:r>
                  <w:rPr>
                    <w:rFonts w:eastAsia="Lucida Sans Unicode"/>
                    <w:b/>
                    <w:bCs/>
                    <w:szCs w:val="24"/>
                  </w:rPr>
                  <w:t>ATĮ</w:t>
                </w:r>
              </w:p>
              <w:p w14:paraId="104E7065" w14:textId="77777777">
                <w:pPr>
                  <w:widowControl w:val="0"/>
                  <w:suppressAutoHyphens/>
                  <w:ind w:firstLine="709"/>
                  <w:jc w:val="both"/>
                  <w:rPr>
                    <w:szCs w:val="24"/>
                  </w:rPr>
                </w:pPr>
                <w:r>
                  <w:rPr>
                    <w:b/>
                    <w:bCs/>
                    <w:color w:val="000000"/>
                    <w:szCs w:val="24"/>
                    <w:lang w:val="lt"/>
                  </w:rPr>
                  <w:t>34</w:t>
                </w:r>
                <w:r>
                  <w:rPr>
                    <w:b/>
                    <w:bCs/>
                    <w:color w:val="000000"/>
                    <w:szCs w:val="24"/>
                    <w:vertAlign w:val="superscript"/>
                    <w:lang w:val="lt"/>
                  </w:rPr>
                  <w:t>25</w:t>
                </w:r>
                <w:r>
                  <w:rPr>
                    <w:b/>
                    <w:bCs/>
                    <w:color w:val="000000"/>
                    <w:szCs w:val="24"/>
                    <w:lang w:val="lt"/>
                  </w:rPr>
                  <w:t xml:space="preserve"> straipsnis. Gaminių ir pakuočių atliekų tvarkymo organizavimo licencijų išdavimo sąlygos</w:t>
                </w:r>
                <w:r>
                  <w:rPr>
                    <w:szCs w:val="24"/>
                    <w:lang w:val="lt"/>
                  </w:rPr>
                  <w:t xml:space="preserve"> </w:t>
                </w:r>
              </w:p>
              <w:p w14:paraId="2C3A9155" w14:textId="77777777">
                <w:pPr>
                  <w:widowControl w:val="0"/>
                  <w:suppressAutoHyphens/>
                  <w:ind w:firstLine="709"/>
                  <w:jc w:val="both"/>
                  <w:rPr>
                    <w:szCs w:val="24"/>
                  </w:rPr>
                </w:pPr>
                <w:r>
                  <w:rPr>
                    <w:color w:val="000000"/>
                    <w:szCs w:val="24"/>
                    <w:lang w:val="lt"/>
                  </w:rPr>
                  <w:t>&lt;...&gt;</w:t>
                </w:r>
              </w:p>
              <w:p w14:paraId="5DE63E06" w14:textId="77777777">
                <w:pPr>
                  <w:widowControl w:val="0"/>
                  <w:suppressAutoHyphens/>
                  <w:ind w:firstLine="709"/>
                  <w:jc w:val="both"/>
                  <w:rPr>
                    <w:color w:val="000000"/>
                    <w:szCs w:val="24"/>
                    <w:lang w:val="lt"/>
                  </w:rPr>
                </w:pPr>
                <w:r>
                  <w:rPr>
                    <w:color w:val="000000"/>
                    <w:szCs w:val="24"/>
                    <w:lang w:val="lt"/>
                  </w:rPr>
                  <w:t>5.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p w14:paraId="0FDC3B1A" w14:textId="51D2990F">
                <w:pPr>
                  <w:widowControl w:val="0"/>
                  <w:suppressAutoHyphens/>
                  <w:ind w:firstLine="709"/>
                  <w:jc w:val="both"/>
                  <w:rPr>
                    <w:szCs w:val="24"/>
                  </w:rPr>
                </w:pPr>
                <w:r>
                  <w:rPr>
                    <w:szCs w:val="24"/>
                  </w:rPr>
                  <w:t>6.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p w14:paraId="2E155082" w14:textId="4AC6ED90">
                <w:pPr>
                  <w:widowControl w:val="0"/>
                  <w:suppressAutoHyphens/>
                  <w:ind w:firstLine="709"/>
                  <w:jc w:val="both"/>
                  <w:rPr>
                    <w:szCs w:val="24"/>
                  </w:rPr>
                </w:pPr>
                <w:r>
                  <w:rPr>
                    <w:szCs w:val="24"/>
                  </w:rPr>
                  <w:t>&lt;...&gt;</w:t>
                </w:r>
              </w:p>
              <w:p w14:paraId="20CE44FF" w14:textId="77777777">
                <w:pPr>
                  <w:widowControl w:val="0"/>
                  <w:suppressAutoHyphens/>
                  <w:ind w:firstLine="709"/>
                  <w:jc w:val="both"/>
                  <w:rPr>
                    <w:szCs w:val="24"/>
                  </w:rPr>
                </w:pPr>
                <w:r>
                  <w:rPr>
                    <w:szCs w:val="24"/>
                  </w:rPr>
                  <w:t>9. Licencija neišduodama, jeigu:</w:t>
                </w:r>
              </w:p>
              <w:p w14:paraId="2439BC76" w14:textId="77777777">
                <w:pPr>
                  <w:widowControl w:val="0"/>
                  <w:suppressAutoHyphens/>
                  <w:ind w:firstLine="709"/>
                  <w:jc w:val="both"/>
                  <w:rPr>
                    <w:szCs w:val="24"/>
                  </w:rPr>
                </w:pPr>
                <w:r>
                  <w:rPr>
                    <w:szCs w:val="24"/>
                  </w:rPr>
                  <w:t>1) pateikti ne visi šio straipsnio 1 dalyje nurodyti dokumentai;</w:t>
                </w:r>
              </w:p>
              <w:p w14:paraId="55FFBBD4" w14:textId="77777777">
                <w:pPr>
                  <w:widowControl w:val="0"/>
                  <w:suppressAutoHyphens/>
                  <w:ind w:firstLine="709"/>
                  <w:jc w:val="both"/>
                  <w:rPr>
                    <w:szCs w:val="24"/>
                  </w:rPr>
                </w:pPr>
                <w:r>
                  <w:rPr>
                    <w:szCs w:val="24"/>
                  </w:rPr>
                  <w:t>2) pateikti šio straipsnio 1 dalyje nurodyti dokumentai neatitinka nustatytų reikalavimų;</w:t>
                </w:r>
              </w:p>
              <w:p w14:paraId="4ED5A05D" w14:textId="77777777">
                <w:pPr>
                  <w:widowControl w:val="0"/>
                  <w:suppressAutoHyphens/>
                  <w:ind w:firstLine="709"/>
                  <w:jc w:val="both"/>
                  <w:rPr>
                    <w:szCs w:val="24"/>
                  </w:rPr>
                </w:pPr>
                <w:r>
                  <w:rPr>
                    <w:szCs w:val="24"/>
                  </w:rPr>
                  <w:t>3) licencijai gauti pateiktuose dokumentuose nepakanka pagrindimo, kad bus užtikrintas gaminių ar pakuočių atliekų tvarkymo finansavimas;</w:t>
                </w:r>
              </w:p>
              <w:p w14:paraId="7475DC49" w14:textId="77777777">
                <w:pPr>
                  <w:widowControl w:val="0"/>
                  <w:suppressAutoHyphens/>
                  <w:ind w:firstLine="709"/>
                  <w:jc w:val="both"/>
                  <w:rPr>
                    <w:szCs w:val="24"/>
                  </w:rPr>
                </w:pPr>
                <w:r>
                  <w:rPr>
                    <w:szCs w:val="24"/>
                  </w:rPr>
                  <w:t>4) pateikti neteisingi duomenys licencijai gauti;</w:t>
                </w:r>
              </w:p>
              <w:p w14:paraId="6890C7D1" w14:textId="77777777">
                <w:pPr>
                  <w:widowControl w:val="0"/>
                  <w:suppressAutoHyphens/>
                  <w:ind w:firstLine="709"/>
                  <w:jc w:val="both"/>
                  <w:rPr>
                    <w:szCs w:val="24"/>
                  </w:rPr>
                </w:pPr>
                <w:r>
                  <w:rPr>
                    <w:szCs w:val="24"/>
                  </w:rPr>
                  <w:t>5)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p w14:paraId="154E7AF7" w14:textId="79F320A0">
                <w:pPr>
                  <w:widowControl w:val="0"/>
                  <w:suppressAutoHyphens/>
                  <w:ind w:firstLine="709"/>
                  <w:jc w:val="both"/>
                  <w:rPr>
                    <w:szCs w:val="24"/>
                  </w:rPr>
                </w:pPr>
                <w:r>
                  <w:rPr>
                    <w:szCs w:val="24"/>
                  </w:rPr>
                  <w:t>6) licenciją gauti pageidaujantis asmuo neatitinka kolektyviai gaminių ar pakuočių atliekų tvarkymą organizuojančioms gamintojų ir importuotojų organizacijoms nustatytų reikalavimų, nurodytų šio Įstatymo 34</w:t>
                </w:r>
                <w:r>
                  <w:rPr>
                    <w:szCs w:val="24"/>
                    <w:vertAlign w:val="superscript"/>
                  </w:rPr>
                  <w:t>22</w:t>
                </w:r>
                <w:r>
                  <w:rPr>
                    <w:szCs w:val="24"/>
                  </w:rPr>
                  <w:t xml:space="preserve"> straipsnio 2, 3 ir 7 dalyse.</w:t>
                </w:r>
              </w:p>
              <w:p w14:paraId="4EA2C1B0" w14:textId="37D1570D">
                <w:pPr>
                  <w:widowControl w:val="0"/>
                  <w:suppressAutoHyphens/>
                  <w:ind w:firstLine="709"/>
                  <w:jc w:val="both"/>
                  <w:rPr>
                    <w:szCs w:val="24"/>
                  </w:rPr>
                </w:pPr>
                <w:r>
                  <w:rPr>
                    <w:szCs w:val="24"/>
                  </w:rPr>
                  <w:t>&lt;...&gt;</w:t>
                </w:r>
              </w:p>
              <w:p w14:paraId="64E64558" w14:textId="77777777">
                <w:pPr>
                  <w:widowControl w:val="0"/>
                  <w:suppressAutoHyphens/>
                  <w:ind w:firstLine="709"/>
                  <w:jc w:val="both"/>
                  <w:rPr>
                    <w:color w:val="000000"/>
                    <w:szCs w:val="24"/>
                    <w:lang w:val="lt"/>
                  </w:rPr>
                </w:pPr>
              </w:p>
              <w:p w14:paraId="70FF20A6" w14:textId="77777777">
                <w:pPr>
                  <w:widowControl w:val="0"/>
                  <w:suppressAutoHyphens/>
                  <w:ind w:firstLine="709"/>
                  <w:jc w:val="both"/>
                  <w:rPr>
                    <w:rFonts w:eastAsia="Lucida Sans Unicode"/>
                    <w:szCs w:val="24"/>
                  </w:rPr>
                </w:pPr>
                <w:r>
                  <w:rPr>
                    <w:b/>
                    <w:bCs/>
                    <w:color w:val="000000"/>
                    <w:szCs w:val="24"/>
                    <w:lang w:val="lt"/>
                  </w:rPr>
                  <w:t>Paslaugų įstatymas</w:t>
                </w:r>
              </w:p>
              <w:p w14:paraId="06947ECA" w14:textId="77777777">
                <w:pPr>
                  <w:widowControl w:val="0"/>
                  <w:suppressAutoHyphens/>
                  <w:ind w:firstLine="709"/>
                  <w:jc w:val="both"/>
                  <w:rPr>
                    <w:rFonts w:eastAsia="Lucida Sans Unicode"/>
                    <w:szCs w:val="24"/>
                  </w:rPr>
                </w:pPr>
                <w:r>
                  <w:rPr>
                    <w:b/>
                    <w:bCs/>
                    <w:color w:val="000000"/>
                    <w:szCs w:val="24"/>
                    <w:lang w:val="lt"/>
                  </w:rPr>
                  <w:t>7 straipsnis. Leidimų išdavimo terminai</w:t>
                </w:r>
              </w:p>
              <w:p w14:paraId="09D0AFE0" w14:textId="77777777">
                <w:pPr>
                  <w:widowControl w:val="0"/>
                  <w:suppressAutoHyphens/>
                  <w:ind w:firstLine="709"/>
                  <w:jc w:val="both"/>
                  <w:rPr>
                    <w:rFonts w:eastAsia="Lucida Sans Unicode"/>
                    <w:szCs w:val="24"/>
                  </w:rPr>
                </w:pPr>
                <w:r>
                  <w:rPr>
                    <w:color w:val="000000"/>
                    <w:szCs w:val="24"/>
                    <w:lang w:val="lt"/>
                  </w:rPr>
                  <w:t>1. Lietuvos Respublikos kompetentinga institucija leidimą arba motyvuotą rašytinį atsisakymą išduoti leidimą privalo pateikti pareiškėjui ne vėliau kaip per 30 dienų, išskyrus atvejus, kai įstatymuose pagrįstai nustatytas ilgesnis terminas. Šis terminas skaičiuojamas nuo tos dienos, kurią kontaktinis centras arba Lietuvos Respublikos kompetentinga institucija, kai pareiškėjas kreipiasi tiesiogiai į Lietuvos Respublikos kompetentingą instituciją, gauna visus tinkamai įformintus dokumentus ir informaciją, reikalingus leidimui gauti.</w:t>
                </w:r>
              </w:p>
              <w:p w14:paraId="25F7E976" w14:textId="77777777">
                <w:pPr>
                  <w:widowControl w:val="0"/>
                  <w:suppressAutoHyphens/>
                  <w:ind w:firstLine="709"/>
                  <w:jc w:val="both"/>
                  <w:rPr>
                    <w:color w:val="000000"/>
                    <w:szCs w:val="24"/>
                    <w:lang w:val="lt"/>
                  </w:rPr>
                </w:pPr>
              </w:p>
              <w:p w14:paraId="32C4197A" w14:textId="77777777">
                <w:pPr>
                  <w:widowControl w:val="0"/>
                  <w:suppressAutoHyphens/>
                  <w:ind w:firstLine="709"/>
                  <w:jc w:val="both"/>
                  <w:rPr>
                    <w:b/>
                    <w:bCs/>
                    <w:szCs w:val="24"/>
                    <w:lang w:val="lt"/>
                  </w:rPr>
                </w:pPr>
                <w:r>
                  <w:rPr>
                    <w:b/>
                    <w:bCs/>
                    <w:color w:val="000000"/>
                    <w:szCs w:val="24"/>
                    <w:lang w:val="lt"/>
                  </w:rPr>
                  <w:t>Gaminių ir (ar) pakuočių atliekų tvarkymo organizavimo licencijavimo taisyklės</w:t>
                </w:r>
                <w:r>
                  <w:rPr>
                    <w:b/>
                    <w:bCs/>
                    <w:szCs w:val="24"/>
                    <w:lang w:val="lt"/>
                  </w:rPr>
                  <w:t xml:space="preserve"> </w:t>
                </w:r>
              </w:p>
              <w:p w14:paraId="28122D58" w14:textId="77777777">
                <w:pPr>
                  <w:widowControl w:val="0"/>
                  <w:suppressAutoHyphens/>
                  <w:ind w:firstLine="709"/>
                  <w:jc w:val="both"/>
                  <w:rPr>
                    <w:szCs w:val="24"/>
                    <w:lang w:val="lt"/>
                  </w:rPr>
                </w:pPr>
                <w:r>
                  <w:rPr>
                    <w:color w:val="000000"/>
                    <w:szCs w:val="24"/>
                    <w:lang w:val="lt"/>
                  </w:rPr>
                  <w:t>&lt;...&gt;</w:t>
                </w:r>
              </w:p>
              <w:p w14:paraId="74FF7467" w14:textId="77777777">
                <w:pPr>
                  <w:widowControl w:val="0"/>
                  <w:suppressAutoHyphens/>
                  <w:ind w:firstLine="709"/>
                  <w:jc w:val="both"/>
                  <w:rPr>
                    <w:color w:val="000000"/>
                    <w:szCs w:val="24"/>
                    <w:lang w:val="lt"/>
                  </w:rPr>
                </w:pPr>
                <w:r>
                  <w:rPr>
                    <w:color w:val="000000"/>
                    <w:szCs w:val="24"/>
                    <w:lang w:val="lt"/>
                  </w:rPr>
                  <w:t>12. Organizacija, norinti gauti licenciją, naudodamasi GPAIS arba per Lietuvos Respublikos paslaugų įstatyme nurodytą kontaktinį centrą turi pateikti licencijas išduodančiai institucijai prašymą išduoti licenciją su prašymu pateikdama aplinkos ministro nustatyta tvarka parengtus Atliekų tvarkymo įstatymo 34</w:t>
                </w:r>
                <w:r>
                  <w:rPr>
                    <w:color w:val="000000"/>
                    <w:szCs w:val="24"/>
                    <w:vertAlign w:val="superscript"/>
                    <w:lang w:val="lt"/>
                  </w:rPr>
                  <w:t>25</w:t>
                </w:r>
                <w:r>
                  <w:rPr>
                    <w:color w:val="000000"/>
                    <w:szCs w:val="24"/>
                    <w:lang w:val="lt"/>
                  </w:rPr>
                  <w:t xml:space="preserve"> straipsnio 1 dalies 2 punkto a–c punktuose išvardytus dokumentus. Atliekų tvarkymo įstatymo 34</w:t>
                </w:r>
                <w:r>
                  <w:rPr>
                    <w:color w:val="000000"/>
                    <w:szCs w:val="24"/>
                    <w:vertAlign w:val="superscript"/>
                    <w:lang w:val="lt"/>
                  </w:rPr>
                  <w:t>24</w:t>
                </w:r>
                <w:r>
                  <w:rPr>
                    <w:color w:val="000000"/>
                    <w:szCs w:val="24"/>
                    <w:lang w:val="lt"/>
                  </w:rPr>
                  <w:t xml:space="preserve"> straipsnyje nurodytų kelių rūšių licencijoms gauti gali būti teikiamas vienas prašymas, kai tai leidžiama pagal Atliekų tvarkymo įstatymo 34</w:t>
                </w:r>
                <w:r>
                  <w:rPr>
                    <w:color w:val="000000"/>
                    <w:szCs w:val="24"/>
                    <w:vertAlign w:val="superscript"/>
                    <w:lang w:val="lt"/>
                  </w:rPr>
                  <w:t>25</w:t>
                </w:r>
                <w:r>
                  <w:rPr>
                    <w:color w:val="000000"/>
                    <w:szCs w:val="24"/>
                    <w:lang w:val="lt"/>
                  </w:rPr>
                  <w:t xml:space="preserve"> straipsnio 3 ir 4 dalių nuostatas.</w:t>
                </w:r>
              </w:p>
              <w:p w14:paraId="58C37F18" w14:textId="4733498E">
                <w:pPr>
                  <w:widowControl w:val="0"/>
                  <w:suppressAutoHyphens/>
                  <w:ind w:firstLine="709"/>
                  <w:jc w:val="both"/>
                  <w:rPr>
                    <w:rFonts w:eastAsia="Lucida Sans Unicode"/>
                    <w:szCs w:val="24"/>
                  </w:rPr>
                </w:pPr>
                <w:r>
                  <w:rPr>
                    <w:szCs w:val="24"/>
                    <w:lang w:val="lt"/>
                  </w:rPr>
                  <w:t>&lt;...&gt;</w:t>
                </w:r>
              </w:p>
            </w:tc>
            <w:tc>
              <w:tcPr>
                <w:tcW w:w="1777" w:type="dxa"/>
              </w:tcPr>
              <w:p w14:paraId="36DF13BA" w14:textId="77777777">
                <w:pPr>
                  <w:widowControl w:val="0"/>
                  <w:suppressAutoHyphens/>
                  <w:rPr>
                    <w:rFonts w:eastAsia="Lucida Sans Unicode"/>
                    <w:b/>
                    <w:bCs/>
                    <w:szCs w:val="24"/>
                  </w:rPr>
                </w:pPr>
                <w:r>
                  <w:rPr>
                    <w:rFonts w:eastAsia="Lucida Sans Unicode"/>
                    <w:b/>
                    <w:bCs/>
                    <w:szCs w:val="24"/>
                  </w:rPr>
                  <w:t>Dalinis</w:t>
                </w:r>
              </w:p>
              <w:p w14:paraId="5EEFB28E" w14:textId="27048D14">
                <w:pPr>
                  <w:widowControl w:val="0"/>
                  <w:suppressAutoHyphens/>
                  <w:rPr>
                    <w:rFonts w:eastAsia="Lucida Sans Unicode"/>
                    <w:b/>
                    <w:bCs/>
                    <w:szCs w:val="24"/>
                  </w:rPr>
                </w:pPr>
                <w:r>
                  <w:rPr>
                    <w:rFonts w:eastAsia="Lucida Sans Unicode"/>
                    <w:i/>
                    <w:iCs/>
                    <w:szCs w:val="24"/>
                  </w:rPr>
                  <w:t xml:space="preserve">Pastaba: visiškai bus įgyvendinta pakeitus </w:t>
                </w:r>
                <w:r>
                  <w:rPr>
                    <w:i/>
                    <w:iCs/>
                    <w:color w:val="000000"/>
                    <w:szCs w:val="24"/>
                    <w:lang w:val="lt"/>
                  </w:rPr>
                  <w:t>Gaminių ir (ar) pakuočių atliekų tvarkymo organizavimo licencijavimo taisykles</w:t>
                </w:r>
              </w:p>
            </w:tc>
          </w:tr>
          <w:tr w14:paraId="0CA5CA3B" w14:textId="77777777">
            <w:tc>
              <w:tcPr>
                <w:tcW w:w="3450" w:type="dxa"/>
              </w:tcPr>
              <w:p w14:paraId="7E36A9AE" w14:textId="49ADD123">
                <w:pPr>
                  <w:ind w:firstLine="709"/>
                  <w:jc w:val="both"/>
                  <w:rPr>
                    <w:rFonts w:eastAsia="Arial Unicode MS"/>
                    <w:color w:val="000000"/>
                    <w:szCs w:val="24"/>
                    <w:lang w:eastAsia="lt-LT"/>
                  </w:rPr>
                </w:pPr>
                <w:r>
                  <w:rPr>
                    <w:rFonts w:eastAsia="Arial Unicode MS"/>
                    <w:color w:val="000000"/>
                    <w:szCs w:val="24"/>
                    <w:lang w:eastAsia="lt-LT"/>
                  </w:rPr>
                  <w:t>6. Kompetentinga institucija gali nuspręsti atšaukti leidimą, jei 59 straipsnio 3 dalyje arba 60 straipsnio 3 dalyje nustatytos surinkimo tikslinės normos nepasiektos arba jei gamintojas ar gamintojo atsakomybę perimanti organizacija nebeatitinka reikalavimų, susijusių su baterijų atliekų surinkimo ir apdorojimo organizavimu, arba nepateikia ataskaitos kompetentingai institucijai arba nepraneša apie bet kokius leidimo sąlygų pakeitimus, arba nutraukė veiklą.</w:t>
                </w:r>
              </w:p>
            </w:tc>
            <w:tc>
              <w:tcPr>
                <w:tcW w:w="9766" w:type="dxa"/>
              </w:tcPr>
              <w:p w14:paraId="5BDDB29F" w14:textId="77777777">
                <w:pPr>
                  <w:widowControl w:val="0"/>
                  <w:tabs>
                    <w:tab w:val="left" w:pos="470"/>
                  </w:tabs>
                  <w:suppressAutoHyphens/>
                  <w:ind w:firstLine="709"/>
                  <w:jc w:val="both"/>
                  <w:rPr>
                    <w:b/>
                    <w:bCs/>
                    <w:szCs w:val="24"/>
                  </w:rPr>
                </w:pPr>
                <w:r>
                  <w:rPr>
                    <w:b/>
                    <w:bCs/>
                    <w:szCs w:val="24"/>
                  </w:rPr>
                  <w:t>Baterijų įstatymo projektas</w:t>
                </w:r>
              </w:p>
              <w:p w14:paraId="631A5B58" w14:textId="77777777">
                <w:pPr>
                  <w:widowControl w:val="0"/>
                  <w:tabs>
                    <w:tab w:val="left" w:pos="470"/>
                  </w:tabs>
                  <w:suppressAutoHyphens/>
                  <w:ind w:firstLine="709"/>
                  <w:jc w:val="both"/>
                  <w:rPr>
                    <w:rFonts w:eastAsia="Lucida Sans Unicode"/>
                    <w:b/>
                    <w:bCs/>
                    <w:szCs w:val="24"/>
                  </w:rPr>
                </w:pPr>
              </w:p>
              <w:p w14:paraId="052F3A28" w14:textId="77777777">
                <w:pPr>
                  <w:widowControl w:val="0"/>
                  <w:tabs>
                    <w:tab w:val="left" w:pos="470"/>
                  </w:tabs>
                  <w:suppressAutoHyphens/>
                  <w:ind w:firstLine="709"/>
                  <w:jc w:val="both"/>
                  <w:rPr>
                    <w:rFonts w:eastAsia="Lucida Sans Unicode"/>
                    <w:b/>
                    <w:bCs/>
                    <w:szCs w:val="24"/>
                  </w:rPr>
                </w:pPr>
                <w:r>
                  <w:rPr>
                    <w:rFonts w:eastAsia="Lucida Sans Unicode"/>
                    <w:b/>
                    <w:bCs/>
                    <w:szCs w:val="24"/>
                  </w:rPr>
                  <w:t>6 straipsnis. Baterijų licencijos išdavimas, įspėjimas apie galimą tokios licencijos galiojimo sustabdymą ar panaikinimą, baterijų licencijos galiojimo sustabdymas ir panaikinimas</w:t>
                </w:r>
              </w:p>
              <w:p w14:paraId="7FD6B551" w14:textId="77777777">
                <w:pPr>
                  <w:widowControl w:val="0"/>
                  <w:tabs>
                    <w:tab w:val="left" w:pos="470"/>
                  </w:tabs>
                  <w:suppressAutoHyphens/>
                  <w:ind w:firstLine="709"/>
                  <w:jc w:val="both"/>
                  <w:rPr>
                    <w:rFonts w:eastAsia="Lucida Sans Unicode"/>
                    <w:b/>
                    <w:bCs/>
                    <w:szCs w:val="24"/>
                  </w:rPr>
                </w:pPr>
                <w:r>
                  <w:rPr>
                    <w:rFonts w:eastAsia="Lucida Sans Unicode"/>
                    <w:b/>
                    <w:bCs/>
                    <w:szCs w:val="24"/>
                  </w:rPr>
                  <w:t>&lt;...&gt;</w:t>
                </w:r>
              </w:p>
              <w:p w14:paraId="6AF6EBBE" w14:textId="3B247E85">
                <w:pPr>
                  <w:widowControl w:val="0"/>
                  <w:tabs>
                    <w:tab w:val="left" w:pos="470"/>
                  </w:tabs>
                  <w:suppressAutoHyphens/>
                  <w:ind w:firstLine="709"/>
                  <w:jc w:val="both"/>
                  <w:rPr>
                    <w:rFonts w:eastAsia="MS Mincho"/>
                    <w:b/>
                    <w:bCs/>
                    <w:szCs w:val="24"/>
                  </w:rPr>
                </w:pPr>
                <w:r>
                  <w:rPr>
                    <w:rFonts w:eastAsia="MS Mincho"/>
                    <w:b/>
                    <w:bCs/>
                    <w:szCs w:val="24"/>
                  </w:rPr>
                  <w:t xml:space="preserve">12. Jei </w:t>
                </w:r>
                <w:r>
                  <w:rPr>
                    <w:rFonts w:eastAsia="Lucida Sans Unicode"/>
                    <w:b/>
                    <w:bCs/>
                    <w:szCs w:val="24"/>
                  </w:rPr>
                  <w:t xml:space="preserve">ir </w:t>
                </w:r>
                <w:r>
                  <w:rPr>
                    <w:rFonts w:eastAsia="MS Mincho"/>
                    <w:b/>
                    <w:bCs/>
                    <w:szCs w:val="24"/>
                  </w:rPr>
                  <w:t>kitais kalendoriniais metais po taisomųjų veiksmų plano, nurodyto 11 dalyje, pateikimo paaiškėja, kad gamintojo atsakomybę perimanti organizacija</w:t>
                </w:r>
                <w:r>
                  <w:rPr>
                    <w:rFonts w:eastAsia="Lucida Sans Unicode"/>
                    <w:b/>
                    <w:bCs/>
                    <w:szCs w:val="24"/>
                  </w:rPr>
                  <w:t xml:space="preserve"> neįvykdė </w:t>
                </w:r>
                <w:r>
                  <w:rPr>
                    <w:rFonts w:eastAsia="MS Mincho"/>
                    <w:b/>
                    <w:bCs/>
                    <w:szCs w:val="24"/>
                  </w:rPr>
                  <w:t xml:space="preserve">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59 straipsnio 3 dalyje nustatytos nešiojamųjų baterijų atliekų surinkimo tikslinės normos ir (ar) 60 straipsnio 3 dalyje nustatytos mažųjų transporto priemonių baterijų atliekų surinkimo tikslinės normos, panaikinamas gamintojo atsakomybę perimančiai organizacijai išduotos baterijų licencijos galiojimas. </w:t>
                </w:r>
              </w:p>
              <w:p w14:paraId="1DBEDA07" w14:textId="77777777">
                <w:pPr>
                  <w:widowControl w:val="0"/>
                  <w:tabs>
                    <w:tab w:val="left" w:pos="470"/>
                  </w:tabs>
                  <w:suppressAutoHyphens/>
                  <w:ind w:firstLine="709"/>
                  <w:jc w:val="both"/>
                  <w:rPr>
                    <w:rFonts w:eastAsia="MS Mincho"/>
                    <w:b/>
                    <w:bCs/>
                    <w:szCs w:val="24"/>
                  </w:rPr>
                </w:pPr>
                <w:r>
                  <w:rPr>
                    <w:rFonts w:eastAsia="MS Mincho"/>
                    <w:b/>
                    <w:bCs/>
                    <w:szCs w:val="24"/>
                  </w:rPr>
                  <w:t>13. Neskaitant šio straipsnio 12 dalyje nurodyto atvejo, baterijų licencijos galiojimas panaikinamas Atliekų tvarkymo įstatymo 34</w:t>
                </w:r>
                <w:r>
                  <w:rPr>
                    <w:rFonts w:eastAsia="MS Mincho"/>
                    <w:b/>
                    <w:bCs/>
                    <w:szCs w:val="24"/>
                    <w:vertAlign w:val="superscript"/>
                  </w:rPr>
                  <w:t>29</w:t>
                </w:r>
                <w:r>
                  <w:rPr>
                    <w:rFonts w:eastAsia="MS Mincho"/>
                    <w:b/>
                    <w:bCs/>
                    <w:szCs w:val="24"/>
                  </w:rPr>
                  <w:t xml:space="preserve"> straipsnyje nurodyta tvarka ir terminais.</w:t>
                </w:r>
              </w:p>
              <w:p w14:paraId="3DBEF7B7" w14:textId="77777777">
                <w:pPr>
                  <w:widowControl w:val="0"/>
                  <w:tabs>
                    <w:tab w:val="left" w:pos="470"/>
                  </w:tabs>
                  <w:suppressAutoHyphens/>
                  <w:ind w:firstLine="709"/>
                  <w:jc w:val="both"/>
                  <w:rPr>
                    <w:rFonts w:eastAsia="MS Mincho"/>
                    <w:b/>
                    <w:bCs/>
                    <w:szCs w:val="24"/>
                  </w:rPr>
                </w:pPr>
                <w:r>
                  <w:rPr>
                    <w:rFonts w:eastAsia="MS Mincho"/>
                    <w:b/>
                    <w:bCs/>
                    <w:szCs w:val="24"/>
                  </w:rPr>
                  <w:t>&lt;...&gt;</w:t>
                </w:r>
              </w:p>
              <w:p w14:paraId="1C43BEFE" w14:textId="77777777">
                <w:pPr>
                  <w:widowControl w:val="0"/>
                  <w:tabs>
                    <w:tab w:val="left" w:pos="470"/>
                  </w:tabs>
                  <w:suppressAutoHyphens/>
                  <w:ind w:firstLine="709"/>
                  <w:jc w:val="both"/>
                  <w:rPr>
                    <w:rFonts w:eastAsia="MS Mincho"/>
                    <w:b/>
                    <w:bCs/>
                    <w:szCs w:val="24"/>
                  </w:rPr>
                </w:pPr>
              </w:p>
              <w:p w14:paraId="5AEA2E60" w14:textId="77777777">
                <w:pPr>
                  <w:widowControl w:val="0"/>
                  <w:tabs>
                    <w:tab w:val="left" w:pos="470"/>
                  </w:tabs>
                  <w:suppressAutoHyphens/>
                  <w:ind w:firstLine="709"/>
                  <w:jc w:val="both"/>
                  <w:rPr>
                    <w:rFonts w:eastAsia="MS Mincho"/>
                    <w:b/>
                    <w:bCs/>
                    <w:szCs w:val="24"/>
                  </w:rPr>
                </w:pPr>
                <w:r>
                  <w:rPr>
                    <w:rFonts w:eastAsia="MS Mincho"/>
                    <w:b/>
                    <w:bCs/>
                    <w:szCs w:val="24"/>
                  </w:rPr>
                  <w:t>ATĮ</w:t>
                </w:r>
              </w:p>
              <w:p w14:paraId="328BC676" w14:textId="4B51E230">
                <w:pPr>
                  <w:widowControl w:val="0"/>
                  <w:tabs>
                    <w:tab w:val="left" w:pos="470"/>
                  </w:tabs>
                  <w:suppressAutoHyphens/>
                  <w:ind w:firstLine="709"/>
                  <w:jc w:val="both"/>
                  <w:rPr>
                    <w:rFonts w:eastAsia="Lucida Sans Unicode"/>
                    <w:b/>
                    <w:bCs/>
                    <w:szCs w:val="24"/>
                  </w:rPr>
                </w:pPr>
                <w:r>
                  <w:rPr>
                    <w:rFonts w:eastAsia="Lucida Sans Unicode"/>
                    <w:b/>
                    <w:bCs/>
                    <w:szCs w:val="24"/>
                  </w:rPr>
                  <w:t>34</w:t>
                </w:r>
                <w:r>
                  <w:rPr>
                    <w:rFonts w:eastAsia="Lucida Sans Unicode"/>
                    <w:b/>
                    <w:bCs/>
                    <w:szCs w:val="24"/>
                    <w:vertAlign w:val="superscript"/>
                  </w:rPr>
                  <w:t>29</w:t>
                </w:r>
                <w:r>
                  <w:rPr>
                    <w:rFonts w:eastAsia="Lucida Sans Unicode"/>
                    <w:b/>
                    <w:bCs/>
                    <w:szCs w:val="24"/>
                  </w:rPr>
                  <w:t xml:space="preserve"> straipsnis. Gaminių ir pakuočių atliekų tvarkymo organizavimo licencijų galiojimo panaikinimas</w:t>
                </w:r>
              </w:p>
              <w:p w14:paraId="3749591C" w14:textId="77777777">
                <w:pPr>
                  <w:widowControl w:val="0"/>
                  <w:tabs>
                    <w:tab w:val="left" w:pos="470"/>
                  </w:tabs>
                  <w:suppressAutoHyphens/>
                  <w:ind w:firstLine="709"/>
                  <w:jc w:val="both"/>
                  <w:rPr>
                    <w:rFonts w:eastAsia="Lucida Sans Unicode"/>
                    <w:szCs w:val="24"/>
                  </w:rPr>
                </w:pPr>
                <w:r>
                  <w:rPr>
                    <w:rFonts w:eastAsia="Lucida Sans Unicode"/>
                    <w:szCs w:val="24"/>
                  </w:rPr>
                  <w:t>1. Licencijos galiojimas panaikinamas:</w:t>
                </w:r>
              </w:p>
              <w:p w14:paraId="13EC6283" w14:textId="77777777">
                <w:pPr>
                  <w:widowControl w:val="0"/>
                  <w:tabs>
                    <w:tab w:val="left" w:pos="470"/>
                  </w:tabs>
                  <w:suppressAutoHyphens/>
                  <w:ind w:firstLine="709"/>
                  <w:jc w:val="both"/>
                  <w:rPr>
                    <w:rFonts w:eastAsia="Lucida Sans Unicode"/>
                    <w:szCs w:val="24"/>
                  </w:rPr>
                </w:pPr>
                <w:r>
                  <w:rPr>
                    <w:rFonts w:eastAsia="Lucida Sans Unicode"/>
                    <w:szCs w:val="24"/>
                  </w:rPr>
                  <w:t>1) licencijos turėtojo prašymu;</w:t>
                </w:r>
              </w:p>
              <w:p w14:paraId="6E8BFF2C" w14:textId="77777777">
                <w:pPr>
                  <w:widowControl w:val="0"/>
                  <w:tabs>
                    <w:tab w:val="left" w:pos="470"/>
                  </w:tabs>
                  <w:suppressAutoHyphens/>
                  <w:ind w:firstLine="709"/>
                  <w:jc w:val="both"/>
                  <w:rPr>
                    <w:rFonts w:eastAsia="Lucida Sans Unicode"/>
                    <w:szCs w:val="24"/>
                  </w:rPr>
                </w:pPr>
                <w:r>
                  <w:rPr>
                    <w:rFonts w:eastAsia="Lucida Sans Unicode"/>
                    <w:szCs w:val="24"/>
                  </w:rPr>
                  <w:t>2) likvidavus ar reorganizavus licencijos turėtoją;</w:t>
                </w:r>
              </w:p>
              <w:p w14:paraId="0BC9350C" w14:textId="77777777">
                <w:pPr>
                  <w:widowControl w:val="0"/>
                  <w:tabs>
                    <w:tab w:val="left" w:pos="470"/>
                  </w:tabs>
                  <w:suppressAutoHyphens/>
                  <w:ind w:firstLine="709"/>
                  <w:jc w:val="both"/>
                  <w:rPr>
                    <w:rFonts w:eastAsia="Lucida Sans Unicode"/>
                    <w:szCs w:val="24"/>
                  </w:rPr>
                </w:pPr>
                <w:r>
                  <w:rPr>
                    <w:rFonts w:eastAsia="Lucida Sans Unicode"/>
                    <w:szCs w:val="24"/>
                  </w:rPr>
                  <w:t>3)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p w14:paraId="4104BCCA" w14:textId="77777777">
                <w:pPr>
                  <w:widowControl w:val="0"/>
                  <w:tabs>
                    <w:tab w:val="left" w:pos="470"/>
                  </w:tabs>
                  <w:suppressAutoHyphens/>
                  <w:ind w:firstLine="709"/>
                  <w:jc w:val="both"/>
                  <w:rPr>
                    <w:rFonts w:eastAsia="Lucida Sans Unicode"/>
                    <w:szCs w:val="24"/>
                  </w:rPr>
                </w:pPr>
                <w:r>
                  <w:rPr>
                    <w:rFonts w:eastAsia="Lucida Sans Unicode"/>
                    <w:szCs w:val="24"/>
                  </w:rPr>
                  <w:t>4) paaiškėjus, kad licencijos turėtojas pateikė suklastotus dokumentus;</w:t>
                </w:r>
              </w:p>
              <w:p w14:paraId="373A93B1" w14:textId="77777777">
                <w:pPr>
                  <w:widowControl w:val="0"/>
                  <w:tabs>
                    <w:tab w:val="left" w:pos="470"/>
                  </w:tabs>
                  <w:suppressAutoHyphens/>
                  <w:ind w:firstLine="709"/>
                  <w:jc w:val="both"/>
                  <w:rPr>
                    <w:rFonts w:eastAsia="Lucida Sans Unicode"/>
                    <w:szCs w:val="24"/>
                  </w:rPr>
                </w:pPr>
                <w:r>
                  <w:rPr>
                    <w:rFonts w:eastAsia="Lucida Sans Unicode"/>
                    <w:szCs w:val="24"/>
                  </w:rPr>
                  <w:t>5) jeigu po licencijos galiojimo sustabdymo licencijos turėtojas toliau verčiasi licencijuojama veikla.</w:t>
                </w:r>
              </w:p>
              <w:p w14:paraId="12188335" w14:textId="2298D65A">
                <w:pPr>
                  <w:widowControl w:val="0"/>
                  <w:tabs>
                    <w:tab w:val="left" w:pos="470"/>
                  </w:tabs>
                  <w:suppressAutoHyphens/>
                  <w:ind w:firstLine="709"/>
                  <w:jc w:val="both"/>
                  <w:rPr>
                    <w:rFonts w:eastAsia="Lucida Sans Unicode"/>
                    <w:szCs w:val="24"/>
                  </w:rPr>
                </w:pPr>
                <w:r>
                  <w:rPr>
                    <w:rFonts w:eastAsia="Lucida Sans Unicode"/>
                    <w:szCs w:val="24"/>
                  </w:rPr>
                  <w:t>&lt;...&gt;</w:t>
                </w:r>
              </w:p>
            </w:tc>
            <w:tc>
              <w:tcPr>
                <w:tcW w:w="1777" w:type="dxa"/>
              </w:tcPr>
              <w:p w14:paraId="516E39A2" w14:textId="72968684">
                <w:pPr>
                  <w:widowControl w:val="0"/>
                  <w:suppressAutoHyphens/>
                  <w:rPr>
                    <w:rFonts w:eastAsia="Lucida Sans Unicode"/>
                    <w:b/>
                    <w:bCs/>
                    <w:szCs w:val="24"/>
                  </w:rPr>
                </w:pPr>
                <w:r>
                  <w:rPr>
                    <w:rFonts w:eastAsia="Lucida Sans Unicode"/>
                    <w:b/>
                    <w:bCs/>
                    <w:szCs w:val="24"/>
                  </w:rPr>
                  <w:t xml:space="preserve">Visiškas </w:t>
                </w:r>
              </w:p>
            </w:tc>
          </w:tr>
          <w:tr w14:paraId="7B9F61EC" w14:textId="77777777">
            <w:tc>
              <w:tcPr>
                <w:tcW w:w="3450" w:type="dxa"/>
              </w:tcPr>
              <w:p w14:paraId="770EB9D7" w14:textId="49EF7B93">
                <w:pPr>
                  <w:ind w:firstLine="709"/>
                  <w:jc w:val="both"/>
                  <w:rPr>
                    <w:rFonts w:eastAsia="Arial Unicode MS"/>
                    <w:color w:val="000000"/>
                    <w:szCs w:val="24"/>
                    <w:lang w:eastAsia="lt-LT"/>
                  </w:rPr>
                </w:pPr>
                <w:r>
                  <w:rPr>
                    <w:rFonts w:eastAsia="Arial Unicode MS"/>
                    <w:color w:val="000000"/>
                    <w:szCs w:val="24"/>
                    <w:lang w:eastAsia="lt-LT"/>
                  </w:rPr>
                  <w:t>7. Gamintojas didesnės gamintojo atsakomybės pareigų individualaus vykdymo atveju ir gamintojo atsakomybę perimančios organizacijos, paskirtos didesnės gamintojo atsakomybės kolektyvinio vykdymo atveju, pateikia garantiją, skirtą išlaidoms, susijusioms su atliekų tvarkymo operacijomis, kurias turi vykdyti gamintojas arba gamintojo atsakomybę perimanti organizacija, jei nevykdomos didesnės gamintojo atsakomybės pareigos, be kita ko, veiklos nutraukimo visam laikui arba nemokumo atveju, padengti. Valstybės narės gali nustatyti papildomus reikalavimus, susijusius su tokia garantija. Valstybės valdomos gamintojo atsakomybę perimančios organizacijos atveju tokią garantiją gali teikti kitaip nei per pačią organizaciją ir ji gali būti teikiama viešojo fondo, kuris finansuojamas gamintojų mokesčiais ir už kurį organizaciją valdanti valstybė narė yra solidariai atsakinga, forma.</w:t>
                </w:r>
              </w:p>
            </w:tc>
            <w:tc>
              <w:tcPr>
                <w:tcW w:w="9766" w:type="dxa"/>
              </w:tcPr>
              <w:p w14:paraId="6963FD8E" w14:textId="77777777">
                <w:pPr>
                  <w:widowControl w:val="0"/>
                  <w:suppressAutoHyphens/>
                  <w:ind w:firstLine="709"/>
                  <w:jc w:val="both"/>
                  <w:rPr>
                    <w:rFonts w:eastAsia="Lucida Sans Unicode"/>
                    <w:b/>
                    <w:bCs/>
                    <w:szCs w:val="24"/>
                  </w:rPr>
                </w:pPr>
                <w:r>
                  <w:rPr>
                    <w:rFonts w:eastAsia="Lucida Sans Unicode"/>
                    <w:b/>
                    <w:bCs/>
                    <w:szCs w:val="24"/>
                  </w:rPr>
                  <w:t>Baterijų įstatymo projektas</w:t>
                </w:r>
              </w:p>
              <w:p w14:paraId="3C032DB7" w14:textId="77777777">
                <w:pPr>
                  <w:widowControl w:val="0"/>
                  <w:tabs>
                    <w:tab w:val="left" w:pos="470"/>
                  </w:tabs>
                  <w:suppressAutoHyphens/>
                  <w:ind w:firstLine="709"/>
                  <w:jc w:val="both"/>
                  <w:rPr>
                    <w:b/>
                    <w:bCs/>
                    <w:color w:val="000000"/>
                    <w:szCs w:val="24"/>
                  </w:rPr>
                </w:pPr>
              </w:p>
              <w:p w14:paraId="60FDAC5B" w14:textId="77777777">
                <w:pPr>
                  <w:widowControl w:val="0"/>
                  <w:tabs>
                    <w:tab w:val="left" w:pos="470"/>
                  </w:tabs>
                  <w:suppressAutoHyphens/>
                  <w:ind w:firstLine="709"/>
                  <w:jc w:val="both"/>
                  <w:rPr>
                    <w:rFonts w:eastAsia="Lucida Sans Unicode"/>
                    <w:b/>
                    <w:bCs/>
                    <w:szCs w:val="24"/>
                  </w:rPr>
                </w:pPr>
                <w:r>
                  <w:rPr>
                    <w:rFonts w:eastAsia="Lucida Sans Unicode"/>
                    <w:b/>
                    <w:bCs/>
                    <w:szCs w:val="24"/>
                  </w:rPr>
                  <w:t>6 straipsnis. Baterijų licencijos išdavimas, įspėjimas apie galimą tokios licencijos galiojimo sustabdymą ar panaikinimą, baterijų licencijos galiojimo sustabdymas ir panaikinimas</w:t>
                </w:r>
              </w:p>
              <w:p w14:paraId="7ECA07F4" w14:textId="77777777">
                <w:pPr>
                  <w:widowControl w:val="0"/>
                  <w:tabs>
                    <w:tab w:val="left" w:pos="470"/>
                  </w:tabs>
                  <w:suppressAutoHyphens/>
                  <w:ind w:firstLine="709"/>
                  <w:jc w:val="both"/>
                  <w:rPr>
                    <w:rFonts w:eastAsia="Lucida Sans Unicode"/>
                    <w:b/>
                    <w:bCs/>
                    <w:szCs w:val="24"/>
                  </w:rPr>
                </w:pPr>
                <w:r>
                  <w:rPr>
                    <w:rFonts w:eastAsia="Lucida Sans Unicode"/>
                    <w:b/>
                    <w:bCs/>
                    <w:szCs w:val="24"/>
                  </w:rPr>
                  <w:t>&lt;...&gt;</w:t>
                </w:r>
              </w:p>
              <w:p w14:paraId="27A0273C" w14:textId="77777777">
                <w:pPr>
                  <w:widowControl w:val="0"/>
                  <w:tabs>
                    <w:tab w:val="left" w:pos="470"/>
                  </w:tabs>
                  <w:suppressAutoHyphens/>
                  <w:ind w:firstLine="709"/>
                  <w:jc w:val="both"/>
                  <w:rPr>
                    <w:rFonts w:eastAsia="Lucida Sans Unicode"/>
                    <w:b/>
                    <w:bCs/>
                    <w:szCs w:val="24"/>
                  </w:rPr>
                </w:pPr>
                <w:r>
                  <w:rPr>
                    <w:rFonts w:eastAsia="Lucida Sans Unicode"/>
                    <w:b/>
                    <w:bCs/>
                    <w:szCs w:val="24"/>
                  </w:rPr>
                  <w:t xml:space="preserve">4. Baterijų licenciją gavusi </w:t>
                </w:r>
                <w:r>
                  <w:rPr>
                    <w:rFonts w:eastAsia="MS Mincho"/>
                    <w:b/>
                    <w:bCs/>
                    <w:szCs w:val="24"/>
                  </w:rPr>
                  <w:t xml:space="preserve">gamintojo atsakomybę perimanti organizacija privalo aplinkos ministro nustatyta tvarka ir terminais </w:t>
                </w:r>
                <w:r>
                  <w:rPr>
                    <w:rFonts w:eastAsia="Lucida Sans Unicode"/>
                    <w:b/>
                    <w:bCs/>
                    <w:szCs w:val="24"/>
                  </w:rPr>
                  <w:t xml:space="preserve">kasmet licencijas išduodančiai institucijai pateikti </w:t>
                </w:r>
                <w:r>
                  <w:rPr>
                    <w:rFonts w:eastAsia="MS Mincho"/>
                    <w:b/>
                    <w:bCs/>
                    <w:szCs w:val="24"/>
                  </w:rPr>
                  <w:t xml:space="preserve">Reglamento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58 straipsnio 7 dalyje nurodytą garantiją, skirtą padengti baterijų atliekų tvarkymo išlaidas, jei gamintojo atsakomybę perimanti organizacija nevykdys Reglamente </w:t>
                </w:r>
                <w:fldSimple w:instr="HYPERLINK http://eur-lex.europa.eu/legal-content/LIT/TXT/?uri=CELEX:32023R1542&amp;locale=lt \t _blank">
                  <w:r>
                    <w:rPr>
                      <w:rFonts w:eastAsia="MS Mincho"/>
                      <w:b/>
                      <w:bCs/>
                      <w:szCs w:val="24"/>
                      <w:u w:val="single"/>
                      <w:color w:val="0000FF" w:themeColor="hyperlink"/>
                    </w:rPr>
                    <w:t>(ES) 2023/1542</w:t>
                  </w:r>
                </w:fldSimple>
                <w:r>
                  <w:rPr>
                    <w:rFonts w:eastAsia="MS Mincho"/>
                    <w:b/>
                    <w:bCs/>
                    <w:szCs w:val="24"/>
                  </w:rPr>
                  <w:t xml:space="preserve"> nustatytų gamintojo atsakomybės pareigų. Tokių garantijų sudarymo, pateikimo ir jų reikalavimų vykdymo tvarką, pagal šiuos dokumentus gautų lėšų kaupimo, naudojimo ir grąžinimo tvarką nustato aplinkos ministras</w:t>
                </w:r>
                <w:r>
                  <w:rPr>
                    <w:rFonts w:eastAsia="Lucida Sans Unicode"/>
                    <w:b/>
                    <w:bCs/>
                    <w:szCs w:val="24"/>
                  </w:rPr>
                  <w:t>.</w:t>
                </w:r>
              </w:p>
              <w:p w14:paraId="141DC657" w14:textId="6B9C3264">
                <w:pPr>
                  <w:widowControl w:val="0"/>
                  <w:suppressAutoHyphens/>
                  <w:ind w:firstLine="709"/>
                  <w:jc w:val="both"/>
                  <w:rPr>
                    <w:rFonts w:eastAsia="Lucida Sans Unicode"/>
                    <w:szCs w:val="24"/>
                  </w:rPr>
                </w:pPr>
                <w:r>
                  <w:rPr>
                    <w:rFonts w:eastAsia="Lucida Sans Unicode"/>
                    <w:szCs w:val="24"/>
                  </w:rPr>
                  <w:t>&lt;...&gt;</w:t>
                </w:r>
              </w:p>
              <w:p w14:paraId="5179AE68" w14:textId="6685B10E">
                <w:pPr>
                  <w:widowControl w:val="0"/>
                  <w:suppressAutoHyphens/>
                  <w:ind w:firstLine="709"/>
                  <w:jc w:val="both"/>
                  <w:rPr>
                    <w:rFonts w:eastAsia="Lucida Sans Unicode"/>
                    <w:i/>
                    <w:iCs/>
                    <w:szCs w:val="24"/>
                  </w:rPr>
                </w:pPr>
                <w:r>
                  <w:rPr>
                    <w:rFonts w:eastAsia="Lucida Sans Unicode"/>
                    <w:i/>
                    <w:iCs/>
                    <w:szCs w:val="24"/>
                  </w:rPr>
                  <w:t xml:space="preserve">Pastaba: Lietuva neplanuoja pasinaudoti alternatyva steigti valstybės valdomą gamintojo atsakomybę perimančią organizaciją ir kad garantija būtų teikiama viešojo fondo, kuris finansuojamas iš gamintojų mokesčių. </w:t>
                </w:r>
              </w:p>
              <w:p w14:paraId="0AFC65AB" w14:textId="7790D428">
                <w:pPr>
                  <w:widowControl w:val="0"/>
                  <w:suppressAutoHyphens/>
                  <w:ind w:firstLine="709"/>
                  <w:jc w:val="both"/>
                  <w:rPr>
                    <w:rFonts w:eastAsia="Lucida Sans Unicode"/>
                    <w:b/>
                    <w:bCs/>
                    <w:szCs w:val="24"/>
                  </w:rPr>
                </w:pPr>
              </w:p>
            </w:tc>
            <w:tc>
              <w:tcPr>
                <w:tcW w:w="1777" w:type="dxa"/>
              </w:tcPr>
              <w:p w14:paraId="437C2DE2" w14:textId="71780CAD">
                <w:pPr>
                  <w:widowControl w:val="0"/>
                  <w:suppressAutoHyphens/>
                  <w:rPr>
                    <w:rFonts w:eastAsia="Lucida Sans Unicode"/>
                    <w:b/>
                    <w:bCs/>
                    <w:szCs w:val="24"/>
                  </w:rPr>
                </w:pPr>
                <w:r>
                  <w:rPr>
                    <w:rFonts w:eastAsia="Lucida Sans Unicode"/>
                    <w:b/>
                    <w:bCs/>
                    <w:szCs w:val="24"/>
                  </w:rPr>
                  <w:t>Dalinis</w:t>
                </w:r>
              </w:p>
              <w:p w14:paraId="72FC1B55" w14:textId="77777777">
                <w:pPr>
                  <w:widowControl w:val="0"/>
                  <w:suppressAutoHyphens/>
                  <w:ind w:firstLine="709"/>
                  <w:rPr>
                    <w:rFonts w:eastAsia="Lucida Sans Unicode"/>
                    <w:i/>
                    <w:iCs/>
                    <w:szCs w:val="24"/>
                  </w:rPr>
                </w:pPr>
              </w:p>
              <w:p w14:paraId="0FD50EA4" w14:textId="61DCE9A4">
                <w:pPr>
                  <w:widowControl w:val="0"/>
                  <w:suppressAutoHyphens/>
                  <w:rPr>
                    <w:rFonts w:eastAsia="Lucida Sans Unicode"/>
                    <w:i/>
                    <w:iCs/>
                    <w:szCs w:val="24"/>
                  </w:rPr>
                </w:pPr>
                <w:r>
                  <w:rPr>
                    <w:rFonts w:eastAsia="Lucida Sans Unicode"/>
                    <w:i/>
                    <w:iCs/>
                    <w:szCs w:val="24"/>
                  </w:rPr>
                  <w:t xml:space="preserve">Visiškai įgyvendinta bus patvirtinus aplinkos ministro įsakymą, nustatantį Reglamento </w:t>
                </w:r>
                <w:fldSimple w:instr="HYPERLINK http://eur-lex.europa.eu/legal-content/LIT/TXT/?uri=CELEX:32023R1542&amp;locale=lt \t _blank">
                  <w:r>
                    <w:rPr>
                      <w:rFonts w:eastAsia="Lucida Sans Unicode"/>
                      <w:i/>
                      <w:iCs/>
                      <w:szCs w:val="24"/>
                      <w:u w:val="single"/>
                      <w:color w:val="0000FF" w:themeColor="hyperlink"/>
                    </w:rPr>
                    <w:t>(ES) 2023/1542</w:t>
                  </w:r>
                </w:fldSimple>
                <w:r>
                  <w:rPr>
                    <w:rFonts w:eastAsia="Lucida Sans Unicode"/>
                    <w:i/>
                    <w:iCs/>
                    <w:szCs w:val="24"/>
                  </w:rPr>
                  <w:t xml:space="preserve"> 58 straipsnio 7 dalyje nurodytų garantijų sudarymo, pateikimo ir jų reikalavimų vykdymo tvarką, pagal šiuos dokumentus gautų lėšų kaupimo, naudojimo ir grąžinimo tvarką</w:t>
                </w:r>
              </w:p>
            </w:tc>
          </w:tr>
          <w:tr w14:paraId="51E6D6BD" w14:textId="77777777">
            <w:tc>
              <w:tcPr>
                <w:tcW w:w="3450" w:type="dxa"/>
              </w:tcPr>
              <w:p w14:paraId="1B3AA0D8" w14:textId="77777777">
                <w:pPr>
                  <w:ind w:firstLine="709"/>
                  <w:jc w:val="both"/>
                  <w:rPr>
                    <w:rFonts w:eastAsia="Arial Unicode MS"/>
                    <w:b/>
                    <w:bCs/>
                    <w:color w:val="000000"/>
                    <w:szCs w:val="24"/>
                    <w:lang w:eastAsia="lt-LT"/>
                  </w:rPr>
                </w:pPr>
                <w:r>
                  <w:rPr>
                    <w:rFonts w:eastAsia="Arial Unicode MS"/>
                    <w:b/>
                    <w:bCs/>
                    <w:color w:val="000000"/>
                    <w:szCs w:val="24"/>
                    <w:lang w:eastAsia="lt-LT"/>
                  </w:rPr>
                  <w:t xml:space="preserve">59 straipsnis. Nešiojamųjų baterijų atliekų surinkimas </w:t>
                </w:r>
              </w:p>
              <w:p w14:paraId="2F6CCBEF" w14:textId="77777777">
                <w:pPr>
                  <w:ind w:firstLine="709"/>
                  <w:jc w:val="both"/>
                  <w:rPr>
                    <w:rFonts w:eastAsia="Arial Unicode MS"/>
                    <w:color w:val="000000"/>
                    <w:szCs w:val="24"/>
                    <w:lang w:eastAsia="lt-LT"/>
                  </w:rPr>
                </w:pPr>
                <w:r>
                  <w:rPr>
                    <w:rFonts w:eastAsia="Arial Unicode MS"/>
                    <w:color w:val="000000"/>
                    <w:szCs w:val="24"/>
                    <w:lang w:eastAsia="lt-LT"/>
                  </w:rPr>
                  <w:t>&lt;...&gt;</w:t>
                </w:r>
              </w:p>
              <w:p w14:paraId="0292712F" w14:textId="20A685EE">
                <w:pPr>
                  <w:ind w:firstLine="709"/>
                  <w:jc w:val="both"/>
                  <w:rPr>
                    <w:rFonts w:eastAsia="Arial Unicode MS"/>
                    <w:b/>
                    <w:bCs/>
                    <w:color w:val="000000"/>
                    <w:szCs w:val="24"/>
                    <w:lang w:eastAsia="lt-LT"/>
                  </w:rPr>
                </w:pPr>
                <w:r>
                  <w:rPr>
                    <w:rFonts w:eastAsia="Arial Unicode MS"/>
                    <w:color w:val="000000"/>
                    <w:szCs w:val="24"/>
                    <w:lang w:eastAsia="lt-LT"/>
                  </w:rPr>
                  <w:t>6. Valstybės narės gali patvirtinti priemones, kuriomis reikalaujama, kad šio straipsnio 2 dalies a punkte nurodyti surinkimo punktai gali rinkti nešiojamųjų baterijų atliekas tik tuo atveju, jei jie yra sudarę sutartį su gamintojais arba su gamintojo atsakomybę perimančiomis organizacijomis, kai jos paskirtos pagal 57 straipsnio 1 dalį.</w:t>
                </w:r>
              </w:p>
            </w:tc>
            <w:tc>
              <w:tcPr>
                <w:tcW w:w="9766" w:type="dxa"/>
              </w:tcPr>
              <w:p w14:paraId="5D64AA5C" w14:textId="77777777">
                <w:pPr>
                  <w:widowControl w:val="0"/>
                  <w:suppressAutoHyphens/>
                  <w:ind w:firstLine="709"/>
                  <w:jc w:val="both"/>
                  <w:rPr>
                    <w:rFonts w:eastAsia="Lucida Sans Unicode"/>
                    <w:b/>
                    <w:bCs/>
                    <w:szCs w:val="24"/>
                  </w:rPr>
                </w:pPr>
                <w:r>
                  <w:rPr>
                    <w:rFonts w:eastAsia="Lucida Sans Unicode"/>
                    <w:b/>
                    <w:bCs/>
                    <w:szCs w:val="24"/>
                  </w:rPr>
                  <w:t>Baterijų įstatymo projektas</w:t>
                </w:r>
              </w:p>
              <w:p w14:paraId="79E869FA" w14:textId="77777777">
                <w:pPr>
                  <w:widowControl w:val="0"/>
                  <w:tabs>
                    <w:tab w:val="left" w:pos="470"/>
                  </w:tabs>
                  <w:suppressAutoHyphens/>
                  <w:ind w:firstLine="709"/>
                  <w:jc w:val="both"/>
                  <w:rPr>
                    <w:b/>
                    <w:bCs/>
                    <w:color w:val="000000"/>
                    <w:szCs w:val="24"/>
                  </w:rPr>
                </w:pPr>
              </w:p>
              <w:p w14:paraId="6436A4DD" w14:textId="77777777">
                <w:pPr>
                  <w:widowControl w:val="0"/>
                  <w:suppressAutoHyphens/>
                  <w:ind w:firstLine="709"/>
                  <w:jc w:val="both"/>
                  <w:rPr>
                    <w:rFonts w:eastAsia="Lucida Sans Unicode"/>
                    <w:b/>
                    <w:bCs/>
                    <w:strike/>
                    <w:szCs w:val="24"/>
                  </w:rPr>
                </w:pPr>
                <w:r>
                  <w:rPr>
                    <w:rFonts w:eastAsia="Lucida Sans Unicode"/>
                    <w:b/>
                    <w:bCs/>
                    <w:szCs w:val="24"/>
                  </w:rPr>
                  <w:t>5 straipsnis. Baterijų atliekų tvarkymas ir tvarkymo organizavimas</w:t>
                </w:r>
              </w:p>
              <w:p w14:paraId="1F5F94AB" w14:textId="77777777">
                <w:pPr>
                  <w:widowControl w:val="0"/>
                  <w:suppressAutoHyphens/>
                  <w:ind w:firstLine="709"/>
                  <w:jc w:val="both"/>
                  <w:rPr>
                    <w:color w:val="000000"/>
                    <w:szCs w:val="24"/>
                  </w:rPr>
                </w:pPr>
                <w:r>
                  <w:rPr>
                    <w:color w:val="000000"/>
                    <w:szCs w:val="24"/>
                  </w:rPr>
                  <w:t>&lt;...&gt;</w:t>
                </w:r>
              </w:p>
              <w:p w14:paraId="30D72A8E" w14:textId="77777777">
                <w:pPr>
                  <w:widowControl w:val="0"/>
                  <w:suppressAutoHyphens/>
                  <w:ind w:firstLine="709"/>
                  <w:jc w:val="both"/>
                  <w:rPr>
                    <w:rFonts w:eastAsia="Lucida Sans Unicode"/>
                    <w:b/>
                    <w:bCs/>
                    <w:szCs w:val="24"/>
                  </w:rPr>
                </w:pPr>
                <w:r>
                  <w:rPr>
                    <w:rFonts w:eastAsia="Lucida Sans Unicode"/>
                    <w:b/>
                    <w:bCs/>
                    <w:szCs w:val="24"/>
                  </w:rPr>
                  <w:t xml:space="preserve">16. Savanoriško surinkimo punktai nešiojamųjų, mažųjų transporto priemonių baterijų atliekas surenka, jei yra sudarę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6 dalyje, 60 straipsnio 7 dalyje nurodytas sutartis su gamintojo atsakomybę perimančiomis organizacijomis. Surinktas baterijų atliekas jie turi perduoti tvarkyti laikydamiesi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67 straipsnio reikalavimų.</w:t>
                </w:r>
              </w:p>
              <w:p w14:paraId="470CC8B4" w14:textId="74CE7FE6">
                <w:pPr>
                  <w:widowControl w:val="0"/>
                  <w:suppressAutoHyphens/>
                  <w:ind w:firstLine="709"/>
                  <w:jc w:val="both"/>
                  <w:rPr>
                    <w:color w:val="000000"/>
                    <w:szCs w:val="24"/>
                  </w:rPr>
                </w:pPr>
                <w:r>
                  <w:rPr>
                    <w:color w:val="000000"/>
                    <w:szCs w:val="24"/>
                  </w:rPr>
                  <w:t>&lt;...&gt;</w:t>
                </w:r>
              </w:p>
            </w:tc>
            <w:tc>
              <w:tcPr>
                <w:tcW w:w="1777" w:type="dxa"/>
              </w:tcPr>
              <w:p w14:paraId="507C76CF" w14:textId="0CE495F4">
                <w:pPr>
                  <w:widowControl w:val="0"/>
                  <w:suppressAutoHyphens/>
                  <w:rPr>
                    <w:rFonts w:eastAsia="Lucida Sans Unicode"/>
                    <w:b/>
                    <w:bCs/>
                    <w:szCs w:val="24"/>
                  </w:rPr>
                </w:pPr>
                <w:r>
                  <w:rPr>
                    <w:rFonts w:eastAsia="Lucida Sans Unicode"/>
                    <w:b/>
                    <w:bCs/>
                    <w:szCs w:val="24"/>
                  </w:rPr>
                  <w:t xml:space="preserve">Visiškas </w:t>
                </w:r>
              </w:p>
            </w:tc>
          </w:tr>
          <w:tr w14:paraId="61B264B9" w14:textId="77777777">
            <w:tc>
              <w:tcPr>
                <w:tcW w:w="3450" w:type="dxa"/>
              </w:tcPr>
              <w:p w14:paraId="7C368667" w14:textId="77777777">
                <w:pPr>
                  <w:ind w:firstLine="709"/>
                  <w:jc w:val="both"/>
                  <w:rPr>
                    <w:rFonts w:eastAsia="Arial Unicode MS"/>
                    <w:b/>
                    <w:bCs/>
                    <w:color w:val="000000"/>
                    <w:szCs w:val="24"/>
                    <w:lang w:eastAsia="lt-LT"/>
                  </w:rPr>
                </w:pPr>
                <w:r>
                  <w:rPr>
                    <w:rFonts w:eastAsia="Arial Unicode MS"/>
                    <w:b/>
                    <w:bCs/>
                    <w:color w:val="000000"/>
                    <w:szCs w:val="24"/>
                    <w:lang w:eastAsia="lt-LT"/>
                  </w:rPr>
                  <w:t xml:space="preserve">60 straipsnis. Mažųjų transporto priemonių baterijų atliekų surinkimas </w:t>
                </w:r>
              </w:p>
              <w:p w14:paraId="52CF19CC" w14:textId="77777777">
                <w:pPr>
                  <w:ind w:firstLine="709"/>
                  <w:jc w:val="both"/>
                  <w:rPr>
                    <w:rFonts w:eastAsia="Arial Unicode MS"/>
                    <w:color w:val="000000"/>
                    <w:szCs w:val="24"/>
                    <w:lang w:eastAsia="lt-LT"/>
                  </w:rPr>
                </w:pPr>
                <w:r>
                  <w:rPr>
                    <w:rFonts w:eastAsia="Arial Unicode MS"/>
                    <w:color w:val="000000"/>
                    <w:szCs w:val="24"/>
                    <w:lang w:eastAsia="lt-LT"/>
                  </w:rPr>
                  <w:t>&lt;...&gt;</w:t>
                </w:r>
              </w:p>
              <w:p w14:paraId="68001458" w14:textId="18C25174">
                <w:pPr>
                  <w:ind w:firstLine="709"/>
                  <w:jc w:val="both"/>
                  <w:rPr>
                    <w:rFonts w:eastAsia="Arial Unicode MS"/>
                    <w:b/>
                    <w:bCs/>
                    <w:color w:val="000000"/>
                    <w:szCs w:val="24"/>
                    <w:lang w:eastAsia="lt-LT"/>
                  </w:rPr>
                </w:pPr>
                <w:r>
                  <w:rPr>
                    <w:rFonts w:eastAsia="Arial Unicode MS"/>
                    <w:color w:val="000000"/>
                    <w:szCs w:val="24"/>
                    <w:lang w:eastAsia="lt-LT"/>
                  </w:rPr>
                  <w:t>7. Valstybės narės gali patvirtinti priemones, kuriomis būtų reikalaujama, kad šio straipsnio 2 dalies a punkte nurodyti surinkimo punktai galėtų rinkti mažųjų transporto priemonių baterijų atliekas tik tuo atveju, jei jie yra sudarę sutartį su gamintojais arba su gamintojo atsakomybę perimančiomis organizacijomis, kai jos paskirtos pagal 57 straipsnio 1 dalį.</w:t>
                </w:r>
              </w:p>
            </w:tc>
            <w:tc>
              <w:tcPr>
                <w:tcW w:w="9766" w:type="dxa"/>
              </w:tcPr>
              <w:p w14:paraId="30216987" w14:textId="77777777">
                <w:pPr>
                  <w:widowControl w:val="0"/>
                  <w:suppressAutoHyphens/>
                  <w:ind w:firstLine="709"/>
                  <w:jc w:val="both"/>
                  <w:rPr>
                    <w:rFonts w:eastAsia="Lucida Sans Unicode"/>
                    <w:b/>
                    <w:bCs/>
                    <w:szCs w:val="24"/>
                  </w:rPr>
                </w:pPr>
                <w:r>
                  <w:rPr>
                    <w:rFonts w:eastAsia="Lucida Sans Unicode"/>
                    <w:b/>
                    <w:bCs/>
                    <w:szCs w:val="24"/>
                  </w:rPr>
                  <w:t>Baterijų įstatymo projektas</w:t>
                </w:r>
              </w:p>
              <w:p w14:paraId="0CDA2894" w14:textId="77777777">
                <w:pPr>
                  <w:widowControl w:val="0"/>
                  <w:tabs>
                    <w:tab w:val="left" w:pos="470"/>
                  </w:tabs>
                  <w:suppressAutoHyphens/>
                  <w:ind w:firstLine="709"/>
                  <w:jc w:val="both"/>
                  <w:rPr>
                    <w:b/>
                    <w:bCs/>
                    <w:color w:val="000000"/>
                    <w:szCs w:val="24"/>
                  </w:rPr>
                </w:pPr>
              </w:p>
              <w:p w14:paraId="285362A6" w14:textId="77777777">
                <w:pPr>
                  <w:widowControl w:val="0"/>
                  <w:suppressAutoHyphens/>
                  <w:ind w:firstLine="709"/>
                  <w:jc w:val="both"/>
                  <w:rPr>
                    <w:rFonts w:eastAsia="Lucida Sans Unicode"/>
                    <w:b/>
                    <w:bCs/>
                    <w:strike/>
                    <w:szCs w:val="24"/>
                  </w:rPr>
                </w:pPr>
                <w:r>
                  <w:rPr>
                    <w:rFonts w:eastAsia="Lucida Sans Unicode"/>
                    <w:b/>
                    <w:bCs/>
                    <w:szCs w:val="24"/>
                  </w:rPr>
                  <w:t>5 straipsnis. Baterijų atliekų tvarkymas ir tvarkymo organizavimas</w:t>
                </w:r>
              </w:p>
              <w:p w14:paraId="21FC4C94" w14:textId="77777777">
                <w:pPr>
                  <w:widowControl w:val="0"/>
                  <w:suppressAutoHyphens/>
                  <w:ind w:firstLine="709"/>
                  <w:jc w:val="both"/>
                  <w:rPr>
                    <w:color w:val="000000"/>
                    <w:szCs w:val="24"/>
                  </w:rPr>
                </w:pPr>
                <w:r>
                  <w:rPr>
                    <w:color w:val="000000"/>
                    <w:szCs w:val="24"/>
                  </w:rPr>
                  <w:t>&lt;...&gt;</w:t>
                </w:r>
              </w:p>
              <w:p w14:paraId="67128E2C" w14:textId="77777777">
                <w:pPr>
                  <w:widowControl w:val="0"/>
                  <w:suppressAutoHyphens/>
                  <w:ind w:firstLine="709"/>
                  <w:jc w:val="both"/>
                  <w:rPr>
                    <w:rFonts w:eastAsia="Lucida Sans Unicode"/>
                    <w:b/>
                    <w:bCs/>
                    <w:szCs w:val="24"/>
                  </w:rPr>
                </w:pPr>
                <w:r>
                  <w:rPr>
                    <w:rFonts w:eastAsia="Lucida Sans Unicode"/>
                    <w:b/>
                    <w:bCs/>
                    <w:szCs w:val="24"/>
                  </w:rPr>
                  <w:t xml:space="preserve">16. Savanoriško surinkimo punktai nešiojamųjų, mažųjų transporto priemonių baterijų atliekas surenka, jei yra sudarę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6 dalyje, 60 straipsnio 7 dalyje nurodytas sutartis su gamintojo atsakomybę perimančiomis organizacijomis. Surinktas baterijų atliekas jie turi perduoti tvarkyti laikydamiesi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67 straipsnio reikalavimų.</w:t>
                </w:r>
              </w:p>
              <w:p w14:paraId="66196017" w14:textId="23A4450B">
                <w:pPr>
                  <w:widowControl w:val="0"/>
                  <w:tabs>
                    <w:tab w:val="left" w:pos="470"/>
                  </w:tabs>
                  <w:suppressAutoHyphens/>
                  <w:ind w:firstLine="709"/>
                  <w:jc w:val="both"/>
                  <w:rPr>
                    <w:color w:val="000000"/>
                    <w:szCs w:val="24"/>
                  </w:rPr>
                </w:pPr>
                <w:r>
                  <w:rPr>
                    <w:color w:val="000000"/>
                    <w:szCs w:val="24"/>
                  </w:rPr>
                  <w:t>&lt;...&gt;</w:t>
                </w:r>
              </w:p>
            </w:tc>
            <w:tc>
              <w:tcPr>
                <w:tcW w:w="1777" w:type="dxa"/>
              </w:tcPr>
              <w:p w14:paraId="76883050" w14:textId="6F575AE6">
                <w:pPr>
                  <w:widowControl w:val="0"/>
                  <w:suppressAutoHyphens/>
                  <w:rPr>
                    <w:rFonts w:eastAsia="Lucida Sans Unicode"/>
                    <w:b/>
                    <w:bCs/>
                    <w:szCs w:val="24"/>
                  </w:rPr>
                </w:pPr>
                <w:r>
                  <w:rPr>
                    <w:rFonts w:eastAsia="Lucida Sans Unicode"/>
                    <w:b/>
                    <w:bCs/>
                    <w:szCs w:val="24"/>
                  </w:rPr>
                  <w:t xml:space="preserve">Visiškas </w:t>
                </w:r>
              </w:p>
            </w:tc>
          </w:tr>
          <w:tr w14:paraId="4FD95BB8" w14:textId="77777777">
            <w:tc>
              <w:tcPr>
                <w:tcW w:w="3450" w:type="dxa"/>
              </w:tcPr>
              <w:p w14:paraId="227A4391" w14:textId="65A219C0">
                <w:pPr>
                  <w:ind w:firstLine="709"/>
                  <w:jc w:val="both"/>
                  <w:rPr>
                    <w:rFonts w:eastAsia="Arial Unicode MS"/>
                    <w:b/>
                    <w:bCs/>
                    <w:color w:val="000000"/>
                    <w:szCs w:val="24"/>
                    <w:lang w:eastAsia="lt-LT"/>
                  </w:rPr>
                </w:pPr>
                <w:r>
                  <w:rPr>
                    <w:rFonts w:eastAsia="Arial Unicode MS"/>
                    <w:b/>
                    <w:bCs/>
                    <w:color w:val="000000"/>
                    <w:szCs w:val="24"/>
                    <w:lang w:eastAsia="lt-LT"/>
                  </w:rPr>
                  <w:t>61 straipsnis. Automobilių baterijų atliekų, pramoninių baterijų atliekų ir elektrinių transporto priemonių baterijų atliekų surinkimas</w:t>
                </w:r>
              </w:p>
              <w:p w14:paraId="51EB983B" w14:textId="429634A2">
                <w:pPr>
                  <w:ind w:firstLine="709"/>
                  <w:jc w:val="both"/>
                  <w:rPr>
                    <w:rFonts w:eastAsia="Arial Unicode MS"/>
                    <w:color w:val="000000"/>
                    <w:szCs w:val="24"/>
                    <w:lang w:eastAsia="lt-LT"/>
                  </w:rPr>
                </w:pPr>
                <w:r>
                  <w:rPr>
                    <w:rFonts w:eastAsia="Arial Unicode MS"/>
                    <w:color w:val="000000"/>
                    <w:szCs w:val="24"/>
                    <w:lang w:eastAsia="lt-LT"/>
                  </w:rPr>
                  <w:t>1. &lt;...&gt;</w:t>
                </w:r>
              </w:p>
              <w:p w14:paraId="563BED3E" w14:textId="77777777">
                <w:pPr>
                  <w:ind w:firstLine="709"/>
                  <w:jc w:val="both"/>
                  <w:rPr>
                    <w:rFonts w:eastAsia="Arial Unicode MS"/>
                    <w:color w:val="000000"/>
                    <w:szCs w:val="24"/>
                    <w:lang w:eastAsia="lt-LT"/>
                  </w:rPr>
                </w:pPr>
                <w:r>
                  <w:rPr>
                    <w:rFonts w:eastAsia="Arial Unicode MS"/>
                    <w:color w:val="000000"/>
                    <w:szCs w:val="24"/>
                    <w:lang w:eastAsia="lt-LT"/>
                  </w:rPr>
                  <w:t>Valstybės narės gali patvirtinti priemones, kuriomis būtų reikalaujama, kad pirmos pastraipos a–d punktuose nurodyti subjektai galėtų rinkti automobilių baterijų atliekas, pramoninių baterijų atliekas ir elektrinių transporto priemonių baterijų atliekas tik tuo atveju, jei jie yra sudarę sutartį su gamintojais arba gamintojo atsakomybę perimančiomis organizacijomis, kai jos paskirtos pagal 57 straipsnio 1 dalį.</w:t>
                </w:r>
              </w:p>
              <w:p w14:paraId="4DB62CE2" w14:textId="176E11A8">
                <w:pPr>
                  <w:ind w:firstLine="709"/>
                  <w:jc w:val="both"/>
                  <w:rPr>
                    <w:rFonts w:eastAsia="Arial Unicode MS"/>
                    <w:color w:val="000000"/>
                    <w:szCs w:val="24"/>
                    <w:lang w:eastAsia="lt-LT"/>
                  </w:rPr>
                </w:pPr>
                <w:r>
                  <w:rPr>
                    <w:rFonts w:eastAsia="Arial Unicode MS"/>
                    <w:color w:val="000000"/>
                    <w:szCs w:val="24"/>
                    <w:lang w:eastAsia="lt-LT"/>
                  </w:rPr>
                  <w:t>&lt;...&gt;</w:t>
                </w:r>
              </w:p>
            </w:tc>
            <w:tc>
              <w:tcPr>
                <w:tcW w:w="9766" w:type="dxa"/>
              </w:tcPr>
              <w:p w14:paraId="2D3CC71F" w14:textId="77777777">
                <w:pPr>
                  <w:widowControl w:val="0"/>
                  <w:suppressAutoHyphens/>
                  <w:ind w:firstLine="709"/>
                  <w:jc w:val="both"/>
                  <w:rPr>
                    <w:rFonts w:eastAsia="Lucida Sans Unicode"/>
                    <w:b/>
                    <w:bCs/>
                    <w:szCs w:val="24"/>
                  </w:rPr>
                </w:pPr>
                <w:r>
                  <w:rPr>
                    <w:rFonts w:eastAsia="Lucida Sans Unicode"/>
                    <w:b/>
                    <w:bCs/>
                    <w:szCs w:val="24"/>
                  </w:rPr>
                  <w:t>Baterijų įstatymo projektas</w:t>
                </w:r>
              </w:p>
              <w:p w14:paraId="0FAFB32D" w14:textId="77777777">
                <w:pPr>
                  <w:widowControl w:val="0"/>
                  <w:tabs>
                    <w:tab w:val="left" w:pos="470"/>
                  </w:tabs>
                  <w:suppressAutoHyphens/>
                  <w:ind w:firstLine="709"/>
                  <w:jc w:val="both"/>
                  <w:rPr>
                    <w:b/>
                    <w:bCs/>
                    <w:color w:val="000000"/>
                    <w:szCs w:val="24"/>
                  </w:rPr>
                </w:pPr>
              </w:p>
              <w:p w14:paraId="627980B0" w14:textId="77777777">
                <w:pPr>
                  <w:widowControl w:val="0"/>
                  <w:suppressAutoHyphens/>
                  <w:ind w:firstLine="709"/>
                  <w:jc w:val="both"/>
                  <w:rPr>
                    <w:rFonts w:eastAsia="Lucida Sans Unicode"/>
                    <w:b/>
                    <w:bCs/>
                    <w:strike/>
                    <w:szCs w:val="24"/>
                  </w:rPr>
                </w:pPr>
                <w:r>
                  <w:rPr>
                    <w:rFonts w:eastAsia="Lucida Sans Unicode"/>
                    <w:b/>
                    <w:bCs/>
                    <w:szCs w:val="24"/>
                  </w:rPr>
                  <w:t>5 straipsnis. Baterijų atliekų tvarkymas ir tvarkymo organizavimas</w:t>
                </w:r>
              </w:p>
              <w:p w14:paraId="6A4ADABE" w14:textId="77777777">
                <w:pPr>
                  <w:widowControl w:val="0"/>
                  <w:suppressAutoHyphens/>
                  <w:ind w:firstLine="709"/>
                  <w:jc w:val="both"/>
                  <w:rPr>
                    <w:color w:val="000000"/>
                    <w:szCs w:val="24"/>
                  </w:rPr>
                </w:pPr>
                <w:r>
                  <w:rPr>
                    <w:color w:val="000000"/>
                    <w:szCs w:val="24"/>
                  </w:rPr>
                  <w:t>&lt;...&gt;</w:t>
                </w:r>
              </w:p>
              <w:p w14:paraId="54B6A00F" w14:textId="77777777">
                <w:pPr>
                  <w:widowControl w:val="0"/>
                  <w:suppressAutoHyphens/>
                  <w:ind w:firstLine="709"/>
                  <w:jc w:val="both"/>
                  <w:rPr>
                    <w:rFonts w:eastAsia="Lucida Sans Unicode"/>
                    <w:b/>
                    <w:bCs/>
                    <w:szCs w:val="24"/>
                  </w:rPr>
                </w:pPr>
                <w:r>
                  <w:rPr>
                    <w:rFonts w:eastAsia="Lucida Sans Unicode"/>
                    <w:b/>
                    <w:bCs/>
                    <w:szCs w:val="24"/>
                  </w:rPr>
                  <w:t xml:space="preserve">16. Savanoriško surinkimo punktai nešiojamųjų, mažųjų transporto priemonių baterijų atliekas surenka, jei yra sudarę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6 dalyje, 60 straipsnio 7 dalyje nurodytas sutartis su gamintojo atsakomybę perimančiomis organizacijomis. Surinktas baterijų atliekas jie turi perduoti tvarkyti laikydamiesi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67 straipsnio reikalavimų.</w:t>
                </w:r>
              </w:p>
              <w:p w14:paraId="402DDC5D" w14:textId="055336B2">
                <w:pPr>
                  <w:widowControl w:val="0"/>
                  <w:suppressAutoHyphens/>
                  <w:ind w:firstLine="709"/>
                  <w:jc w:val="both"/>
                  <w:rPr>
                    <w:color w:val="000000"/>
                    <w:szCs w:val="24"/>
                  </w:rPr>
                </w:pPr>
                <w:r>
                  <w:rPr>
                    <w:color w:val="000000"/>
                    <w:szCs w:val="24"/>
                  </w:rPr>
                  <w:t>&lt;...&gt;</w:t>
                </w:r>
              </w:p>
              <w:p w14:paraId="60E4AD58" w14:textId="4CF49F33">
                <w:pPr>
                  <w:ind w:firstLine="709"/>
                  <w:jc w:val="both"/>
                  <w:rPr>
                    <w:rFonts w:eastAsia="Lucida Sans Unicode"/>
                    <w:b/>
                    <w:bCs/>
                    <w:spacing w:val="2"/>
                    <w:szCs w:val="24"/>
                    <w:shd w:val="clear" w:color="auto" w:fill="FFFFFF"/>
                  </w:rPr>
                </w:pPr>
              </w:p>
            </w:tc>
            <w:tc>
              <w:tcPr>
                <w:tcW w:w="1777" w:type="dxa"/>
              </w:tcPr>
              <w:p w14:paraId="3FDB019B" w14:textId="4F572E1B">
                <w:pPr>
                  <w:widowControl w:val="0"/>
                  <w:suppressAutoHyphens/>
                  <w:rPr>
                    <w:rFonts w:eastAsia="Lucida Sans Unicode"/>
                    <w:b/>
                    <w:bCs/>
                    <w:szCs w:val="24"/>
                  </w:rPr>
                </w:pPr>
                <w:r>
                  <w:rPr>
                    <w:rFonts w:eastAsia="Lucida Sans Unicode"/>
                    <w:b/>
                    <w:bCs/>
                    <w:szCs w:val="24"/>
                  </w:rPr>
                  <w:t>Visiškas</w:t>
                </w:r>
              </w:p>
            </w:tc>
          </w:tr>
          <w:tr w14:paraId="115910F7" w14:textId="77777777">
            <w:tc>
              <w:tcPr>
                <w:tcW w:w="3450" w:type="dxa"/>
              </w:tcPr>
              <w:p w14:paraId="6C6C1547" w14:textId="77777777">
                <w:pPr>
                  <w:ind w:firstLine="709"/>
                  <w:jc w:val="both"/>
                  <w:rPr>
                    <w:rFonts w:eastAsia="Arial Unicode MS"/>
                    <w:b/>
                    <w:bCs/>
                    <w:color w:val="000000"/>
                    <w:szCs w:val="24"/>
                    <w:lang w:eastAsia="lt-LT"/>
                  </w:rPr>
                </w:pPr>
                <w:r>
                  <w:rPr>
                    <w:rFonts w:eastAsia="Arial Unicode MS"/>
                    <w:b/>
                    <w:bCs/>
                    <w:color w:val="000000"/>
                    <w:szCs w:val="24"/>
                    <w:lang w:eastAsia="lt-LT"/>
                  </w:rPr>
                  <w:t>69 straipsnis. Valstybių narių pareigos, susijusios su nešiojamųjų baterijų atliekų ir mažųjų transporto priemonių baterijų atliekų surinkimo tikslinėmis normomis</w:t>
                </w:r>
              </w:p>
              <w:p w14:paraId="3EB042D1" w14:textId="77777777">
                <w:pPr>
                  <w:ind w:firstLine="709"/>
                  <w:jc w:val="both"/>
                  <w:rPr>
                    <w:rFonts w:eastAsia="Arial Unicode MS"/>
                    <w:color w:val="000000"/>
                    <w:szCs w:val="24"/>
                    <w:lang w:eastAsia="lt-LT"/>
                  </w:rPr>
                </w:pPr>
                <w:r>
                  <w:rPr>
                    <w:rFonts w:eastAsia="Arial Unicode MS"/>
                    <w:color w:val="000000"/>
                    <w:szCs w:val="24"/>
                    <w:lang w:eastAsia="lt-LT"/>
                  </w:rPr>
                  <w:t>&lt;...&gt;</w:t>
                </w:r>
              </w:p>
              <w:p w14:paraId="07B52B8E" w14:textId="77777777">
                <w:pPr>
                  <w:ind w:firstLine="709"/>
                  <w:jc w:val="both"/>
                  <w:rPr>
                    <w:rFonts w:eastAsia="Arial Unicode MS"/>
                    <w:color w:val="000000"/>
                    <w:szCs w:val="24"/>
                    <w:lang w:eastAsia="lt-LT"/>
                  </w:rPr>
                </w:pPr>
                <w:r>
                  <w:rPr>
                    <w:rFonts w:eastAsia="Arial Unicode MS"/>
                    <w:color w:val="000000"/>
                    <w:szCs w:val="24"/>
                    <w:lang w:eastAsia="lt-LT"/>
                  </w:rPr>
                  <w:t>2. Visų pirma, valstybės narės reguliariai, bent kartą per metus, stebi gamintojų arba gamintojo atsakomybę perimančių organizacijų, kai jos paskirtos pagal 57 straipsnio 1 dalį, surinkimo lygius, kad patikrintų, ar jie ėmėsi tinkamų priemonių, kad pasiektų nešiojamųjų baterijų atliekų surinkimo tikslines normas, nustatytas 59 straipsnio 3 dalies pirmos pastraipos a, b ir c punktuose, ir mažųjų transporto priemonių baterijų atliekų surinkimo tikslines normas, nustatytas 60 straipsnio 3 dalies pirmos pastraipos a ir b punktuose. Tokia stebėsena turi būti grindžiama visų pirma kompetentingoms institucijoms pagal 75 straipsnį pateikta informacija ir apima tos informacijos patikrą, patikrą, ar gamintojas laikėsi XI priede nustatytos apskaičiavimo metodikos, ir šio straipsnio 5 dalyje nurodyto sudėties tyrimo rezultatų patikrą, taip pat visa kita valstybei narei prieinama informacija.</w:t>
                </w:r>
              </w:p>
              <w:p w14:paraId="57F7736C" w14:textId="1A89DF7C">
                <w:pPr>
                  <w:ind w:firstLine="709"/>
                  <w:jc w:val="both"/>
                  <w:rPr>
                    <w:rFonts w:eastAsia="Arial Unicode MS"/>
                    <w:color w:val="000000"/>
                    <w:szCs w:val="24"/>
                    <w:lang w:eastAsia="lt-LT"/>
                  </w:rPr>
                </w:pPr>
                <w:r>
                  <w:rPr>
                    <w:rFonts w:eastAsia="Arial Unicode MS"/>
                    <w:color w:val="000000"/>
                    <w:szCs w:val="24"/>
                    <w:lang w:eastAsia="lt-LT"/>
                  </w:rPr>
                  <w:t>&lt;...&gt;</w:t>
                </w:r>
              </w:p>
            </w:tc>
            <w:tc>
              <w:tcPr>
                <w:tcW w:w="9766" w:type="dxa"/>
              </w:tcPr>
              <w:p w14:paraId="667E889B" w14:textId="77777777">
                <w:pPr>
                  <w:widowControl w:val="0"/>
                  <w:suppressAutoHyphens/>
                  <w:ind w:firstLine="709"/>
                  <w:jc w:val="both"/>
                  <w:rPr>
                    <w:rFonts w:eastAsia="Lucida Sans Unicode"/>
                    <w:b/>
                    <w:bCs/>
                    <w:szCs w:val="24"/>
                  </w:rPr>
                </w:pPr>
                <w:r>
                  <w:rPr>
                    <w:rFonts w:eastAsia="Lucida Sans Unicode"/>
                    <w:b/>
                    <w:bCs/>
                    <w:szCs w:val="24"/>
                  </w:rPr>
                  <w:t>Nutarimo projektas</w:t>
                </w:r>
              </w:p>
              <w:p w14:paraId="1F4BA1EA" w14:textId="57F36D0C">
                <w:pPr>
                  <w:widowControl w:val="0"/>
                  <w:suppressAutoHyphens/>
                  <w:ind w:firstLine="709"/>
                  <w:jc w:val="both"/>
                  <w:rPr>
                    <w:rFonts w:eastAsia="Lucida Sans Unicode"/>
                    <w:b/>
                    <w:bCs/>
                    <w:szCs w:val="24"/>
                  </w:rPr>
                </w:pPr>
                <w:r>
                  <w:rPr>
                    <w:rFonts w:eastAsia="Lucida Sans Unicode"/>
                    <w:b/>
                    <w:bCs/>
                    <w:szCs w:val="24"/>
                    <w:lang w:eastAsia="lt-LT"/>
                  </w:rPr>
                  <w:t>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338F4E4C" w14:textId="77777777">
                <w:pPr>
                  <w:widowControl w:val="0"/>
                  <w:suppressAutoHyphens/>
                  <w:ind w:firstLine="709"/>
                  <w:jc w:val="both"/>
                  <w:rPr>
                    <w:rFonts w:eastAsia="Lucida Sans Unicode"/>
                    <w:b/>
                    <w:bCs/>
                    <w:szCs w:val="24"/>
                  </w:rPr>
                </w:pPr>
                <w:r>
                  <w:rPr>
                    <w:rFonts w:eastAsia="Lucida Sans Unicode"/>
                    <w:b/>
                    <w:bCs/>
                    <w:szCs w:val="24"/>
                  </w:rPr>
                  <w:t>Pavesti:</w:t>
                </w:r>
              </w:p>
              <w:p w14:paraId="1BBB8D9B" w14:textId="77777777">
                <w:pPr>
                  <w:widowControl w:val="0"/>
                  <w:suppressAutoHyphens/>
                  <w:ind w:firstLine="709"/>
                  <w:jc w:val="both"/>
                  <w:rPr>
                    <w:rFonts w:eastAsia="Lucida Sans Unicode"/>
                    <w:b/>
                    <w:bCs/>
                    <w:szCs w:val="24"/>
                  </w:rPr>
                </w:pPr>
                <w:r>
                  <w:rPr>
                    <w:rFonts w:eastAsia="Lucida Sans Unicode"/>
                    <w:b/>
                    <w:bCs/>
                    <w:szCs w:val="24"/>
                  </w:rPr>
                  <w:t>&lt;...&gt;</w:t>
                </w:r>
              </w:p>
              <w:p w14:paraId="05343E8A"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3. Aplinkos apsaugos agentūrai vykdyti kompetentingos institucijos funkcijas, susijusias su:</w:t>
                </w:r>
              </w:p>
              <w:p w14:paraId="404FF5B2"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&lt;...&gt;</w:t>
                </w:r>
              </w:p>
              <w:p w14:paraId="56918508" w14:textId="6A2A1833">
                <w:pPr>
                  <w:widowControl w:val="0"/>
                  <w:suppressAutoHyphens/>
                  <w:ind w:firstLine="709"/>
                  <w:jc w:val="both"/>
                  <w:rPr>
                    <w:rFonts w:eastAsia="Lucida Sans Unicode"/>
                    <w:b/>
                    <w:bCs/>
                    <w:szCs w:val="24"/>
                  </w:rPr>
                </w:pPr>
                <w:r>
                  <w:rPr>
                    <w:rFonts w:eastAsia="Lucida Sans Unicode"/>
                    <w:b/>
                    <w:bCs/>
                    <w:szCs w:val="24"/>
                  </w:rPr>
                  <w:t xml:space="preserve">3.5.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69 straipsnyje nurodyta nešiojamųjų baterijų atliekų surinkimo tikslinių normų, nustatytų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59 straipsnio 3 dalyje, ir mažųjų transporto priemonių baterijų atliekų surinkimo tikslinių normų, nustatytų 60 straipsnio 3 dalyje, įvykdymo stebėsena;</w:t>
                </w:r>
              </w:p>
              <w:p w14:paraId="4B13EA00" w14:textId="3B4B9A93">
                <w:pPr>
                  <w:widowControl w:val="0"/>
                  <w:suppressAutoHyphens/>
                  <w:ind w:firstLine="709"/>
                  <w:jc w:val="both"/>
                  <w:rPr>
                    <w:rFonts w:eastAsia="Lucida Sans Unicode"/>
                    <w:b/>
                    <w:bCs/>
                    <w:szCs w:val="24"/>
                    <w:lang w:eastAsia="lt-LT"/>
                  </w:rPr>
                </w:pPr>
                <w:r>
                  <w:rPr>
                    <w:rFonts w:eastAsia="Lucida Sans Unicode"/>
                    <w:b/>
                    <w:bCs/>
                    <w:szCs w:val="24"/>
                    <w:lang w:eastAsia="lt-LT"/>
                  </w:rPr>
                  <w:t>&lt;...&gt;</w:t>
                </w:r>
              </w:p>
            </w:tc>
            <w:tc>
              <w:tcPr>
                <w:tcW w:w="1777" w:type="dxa"/>
              </w:tcPr>
              <w:p w14:paraId="5604CDD4" w14:textId="201E0210">
                <w:pPr>
                  <w:widowControl w:val="0"/>
                  <w:suppressAutoHyphens/>
                  <w:rPr>
                    <w:rFonts w:eastAsia="Lucida Sans Unicode"/>
                    <w:b/>
                    <w:bCs/>
                    <w:szCs w:val="24"/>
                  </w:rPr>
                </w:pPr>
                <w:r>
                  <w:rPr>
                    <w:rFonts w:eastAsia="Lucida Sans Unicode"/>
                    <w:b/>
                    <w:bCs/>
                    <w:szCs w:val="24"/>
                  </w:rPr>
                  <w:t xml:space="preserve">Visiškas </w:t>
                </w:r>
              </w:p>
            </w:tc>
          </w:tr>
          <w:tr w14:paraId="434C8199" w14:textId="77777777">
            <w:tc>
              <w:tcPr>
                <w:tcW w:w="3450" w:type="dxa"/>
              </w:tcPr>
              <w:p w14:paraId="1F2C74E0" w14:textId="77777777">
                <w:pPr>
                  <w:ind w:firstLine="709"/>
                  <w:jc w:val="both"/>
                  <w:rPr>
                    <w:rFonts w:eastAsia="Arial Unicode MS"/>
                    <w:b/>
                    <w:bCs/>
                    <w:color w:val="000000"/>
                    <w:szCs w:val="24"/>
                    <w:lang w:eastAsia="lt-LT"/>
                  </w:rPr>
                </w:pPr>
                <w:r>
                  <w:rPr>
                    <w:rFonts w:eastAsia="Arial Unicode MS"/>
                    <w:b/>
                    <w:bCs/>
                    <w:color w:val="000000"/>
                    <w:szCs w:val="24"/>
                    <w:lang w:eastAsia="lt-LT"/>
                  </w:rPr>
                  <w:t>75 straipsnis. Minimalieji ataskaitų teikimo kompetentingoms institucijoms reikalavimai</w:t>
                </w:r>
              </w:p>
              <w:p w14:paraId="1E6FFAE8" w14:textId="289319D7">
                <w:pPr>
                  <w:ind w:firstLine="709"/>
                  <w:jc w:val="both"/>
                  <w:rPr>
                    <w:rFonts w:eastAsia="Arial Unicode MS"/>
                    <w:color w:val="000000"/>
                    <w:szCs w:val="24"/>
                    <w:lang w:eastAsia="lt-LT"/>
                  </w:rPr>
                </w:pPr>
                <w:r>
                  <w:rPr>
                    <w:rFonts w:eastAsia="Arial Unicode MS"/>
                    <w:color w:val="000000"/>
                    <w:szCs w:val="24"/>
                    <w:lang w:eastAsia="lt-LT"/>
                  </w:rPr>
                  <w:t>&lt;...&gt;</w:t>
                </w:r>
              </w:p>
              <w:p w14:paraId="31829E89" w14:textId="58F9D5C2">
                <w:pPr>
                  <w:ind w:firstLine="709"/>
                  <w:jc w:val="both"/>
                  <w:rPr>
                    <w:rFonts w:eastAsia="Arial Unicode MS"/>
                    <w:color w:val="000000"/>
                    <w:szCs w:val="24"/>
                    <w:lang w:eastAsia="lt-LT"/>
                  </w:rPr>
                </w:pPr>
                <w:r>
                  <w:rPr>
                    <w:rFonts w:eastAsia="Arial Unicode MS"/>
                    <w:color w:val="000000"/>
                    <w:szCs w:val="24"/>
                    <w:lang w:eastAsia="lt-LT"/>
                  </w:rPr>
                  <w:t>9. Valstybė narė gali leisti kompetentingoms institucijoms prašyti bet kokios papildomos informacijos, būtinos užtikrinti pateiktų duomenų patikimumą.</w:t>
                </w:r>
              </w:p>
            </w:tc>
            <w:tc>
              <w:tcPr>
                <w:tcW w:w="9766" w:type="dxa"/>
              </w:tcPr>
              <w:p w14:paraId="1296A51E" w14:textId="490A057A">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Gaminių apskaitos taisyklių projektas</w:t>
                </w:r>
              </w:p>
              <w:p w14:paraId="1B60E86B"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p w14:paraId="197D1604"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1.2.7. Papildau nauju V skyriumi:</w:t>
                </w:r>
              </w:p>
              <w:p w14:paraId="6EC259FD" w14:textId="62C54A39">
                <w:pPr>
                  <w:widowControl w:val="0"/>
                  <w:suppressAutoHyphens/>
                  <w:ind w:firstLine="709"/>
                  <w:jc w:val="center"/>
                  <w:rPr>
                    <w:rFonts w:eastAsia="Lucida Sans Unicode"/>
                    <w:b/>
                    <w:bCs/>
                    <w:spacing w:val="2"/>
                    <w:szCs w:val="24"/>
                    <w:shd w:val="clear" w:color="auto" w:fill="FFFFFF"/>
                  </w:rPr>
                </w:pPr>
                <w:r>
                  <w:rPr>
                    <w:rFonts w:eastAsia="Lucida Sans Unicode"/>
                    <w:b/>
                    <w:bCs/>
                    <w:spacing w:val="2"/>
                    <w:szCs w:val="24"/>
                    <w:shd w:val="clear" w:color="auto" w:fill="FFFFFF"/>
                  </w:rPr>
                  <w:t>„V SKYRIUS</w:t>
                </w:r>
              </w:p>
              <w:p w14:paraId="31032424" w14:textId="77777777">
                <w:pPr>
                  <w:widowControl w:val="0"/>
                  <w:suppressAutoHyphens/>
                  <w:ind w:firstLine="709"/>
                  <w:jc w:val="center"/>
                  <w:rPr>
                    <w:rFonts w:eastAsia="Lucida Sans Unicode"/>
                    <w:b/>
                    <w:bCs/>
                    <w:spacing w:val="2"/>
                    <w:szCs w:val="24"/>
                    <w:shd w:val="clear" w:color="auto" w:fill="FFFFFF"/>
                  </w:rPr>
                </w:pPr>
                <w:r>
                  <w:rPr>
                    <w:rFonts w:eastAsia="Lucida Sans Unicode"/>
                    <w:b/>
                    <w:bCs/>
                    <w:spacing w:val="2"/>
                    <w:szCs w:val="24"/>
                    <w:shd w:val="clear" w:color="auto" w:fill="FFFFFF"/>
                  </w:rPr>
                  <w:t>BATERIJŲ APSKAITA IR APSKAITOS DUOMENŲ TEIKIMO TVARKA</w:t>
                </w:r>
              </w:p>
              <w:p w14:paraId="259FB0DA"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p w14:paraId="08AA430F"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19. Aplinkos apsaugos agentūra gali prašyti bet kokios papildomos informacijos, būtinos pateiktų duomenų, nurodytų Taisyklių 18 punkte, patikimumui užtikrinti.</w:t>
                </w:r>
              </w:p>
              <w:p w14:paraId="7B08BBD7" w14:textId="32E64B4C">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tc>
            <w:tc>
              <w:tcPr>
                <w:tcW w:w="1777" w:type="dxa"/>
              </w:tcPr>
              <w:p w14:paraId="191B31A7" w14:textId="6C39201C">
                <w:pPr>
                  <w:widowControl w:val="0"/>
                  <w:suppressAutoHyphens/>
                  <w:rPr>
                    <w:rFonts w:eastAsia="Lucida Sans Unicode"/>
                    <w:b/>
                    <w:bCs/>
                    <w:szCs w:val="24"/>
                  </w:rPr>
                </w:pPr>
                <w:r>
                  <w:rPr>
                    <w:rFonts w:eastAsia="Lucida Sans Unicode"/>
                    <w:b/>
                    <w:bCs/>
                    <w:szCs w:val="24"/>
                  </w:rPr>
                  <w:t>Visiškas</w:t>
                </w:r>
              </w:p>
            </w:tc>
          </w:tr>
          <w:tr w14:paraId="1854FACD" w14:textId="77777777">
            <w:tc>
              <w:tcPr>
                <w:tcW w:w="3450" w:type="dxa"/>
              </w:tcPr>
              <w:p w14:paraId="4F35CCC7" w14:textId="77777777">
                <w:pPr>
                  <w:ind w:firstLine="709"/>
                  <w:jc w:val="both"/>
                  <w:rPr>
                    <w:rFonts w:eastAsia="Arial Unicode MS"/>
                    <w:b/>
                    <w:bCs/>
                    <w:color w:val="000000"/>
                    <w:szCs w:val="24"/>
                    <w:lang w:eastAsia="lt-LT"/>
                  </w:rPr>
                </w:pPr>
                <w:r>
                  <w:rPr>
                    <w:rFonts w:eastAsia="Arial Unicode MS"/>
                    <w:b/>
                    <w:bCs/>
                    <w:color w:val="000000"/>
                    <w:szCs w:val="24"/>
                    <w:lang w:eastAsia="lt-LT"/>
                  </w:rPr>
                  <w:t>76 straipsnis. Ataskaitų teikimas Komisijai</w:t>
                </w:r>
              </w:p>
              <w:p w14:paraId="1FC3E38A" w14:textId="77777777">
                <w:pPr>
                  <w:ind w:firstLine="709"/>
                  <w:jc w:val="both"/>
                  <w:rPr>
                    <w:rFonts w:eastAsia="Arial Unicode MS"/>
                    <w:color w:val="000000"/>
                    <w:szCs w:val="24"/>
                    <w:lang w:eastAsia="lt-LT"/>
                  </w:rPr>
                </w:pPr>
                <w:r>
                  <w:rPr>
                    <w:rFonts w:eastAsia="Arial Unicode MS"/>
                    <w:color w:val="000000"/>
                    <w:szCs w:val="24"/>
                    <w:lang w:eastAsia="lt-LT"/>
                  </w:rPr>
                  <w:t>1. Valstybės narės Komisijos pagal 5 dalį priimtu įgyvendinimo aktu nustatyta forma viešai paskelbia apibendrinta forma toliau nurodytus kiekvienų kalendorinių metų duomenis apie nešiojamąsias baterijas, mažųjų transporto priemonių baterijas, automobilių baterijas, pramonines baterijas ir elektrinių transporto priemonių baterijas, suskirstytus pagal baterijų kategorijas ir jų cheminę sudėtį:</w:t>
                </w:r>
              </w:p>
              <w:p w14:paraId="56BAEDFA" w14:textId="77777777">
                <w:pPr>
                  <w:ind w:firstLine="709"/>
                  <w:jc w:val="both"/>
                  <w:rPr>
                    <w:rFonts w:eastAsia="Arial Unicode MS"/>
                    <w:color w:val="000000"/>
                    <w:szCs w:val="24"/>
                    <w:lang w:eastAsia="lt-LT"/>
                  </w:rPr>
                </w:pPr>
                <w:r>
                  <w:rPr>
                    <w:rFonts w:eastAsia="Arial Unicode MS"/>
                    <w:color w:val="000000"/>
                    <w:szCs w:val="24"/>
                    <w:lang w:eastAsia="lt-LT"/>
                  </w:rPr>
                  <w:t>&lt;...&gt;</w:t>
                </w:r>
              </w:p>
              <w:p w14:paraId="79830971" w14:textId="4CE8547B">
                <w:pPr>
                  <w:ind w:firstLine="709"/>
                  <w:jc w:val="both"/>
                  <w:rPr>
                    <w:rFonts w:eastAsia="Arial Unicode MS"/>
                    <w:b/>
                    <w:bCs/>
                    <w:color w:val="000000"/>
                    <w:szCs w:val="24"/>
                    <w:lang w:eastAsia="lt-LT"/>
                  </w:rPr>
                </w:pPr>
                <w:r>
                  <w:rPr>
                    <w:rFonts w:eastAsia="Arial Unicode MS"/>
                    <w:color w:val="000000"/>
                    <w:szCs w:val="24"/>
                    <w:lang w:eastAsia="lt-LT"/>
                  </w:rPr>
                  <w:t>Valstybės narės tuos duomenis pateikia per 18 mėnesių po ataskaitinių metų, kurių duomenys surinkti, pabaigos. Tuos duomenis jos elektroninėmis priemonėmis viešai paskelbia pagal 5 dalį Komisijos nustatyta forma, naudodamosi lengvai prieinamomis duomenų paslaugomis. Tai turi būti kompiuterio skaitomi duomenys, tinkami rūšiuoti ir paieškai atlikti, ir jie turi atitikti atviruosius trečiųjų šalių naudojimosi duomenimis standartus. Valstybės narės praneša Komisijai, kada pirmoje pastraipoje nurodyti duomenys tampa prieinami.</w:t>
                </w:r>
              </w:p>
            </w:tc>
            <w:tc>
              <w:tcPr>
                <w:tcW w:w="9766" w:type="dxa"/>
              </w:tcPr>
              <w:p w14:paraId="3170630F" w14:textId="77777777">
                <w:pPr>
                  <w:widowControl w:val="0"/>
                  <w:suppressAutoHyphens/>
                  <w:ind w:firstLine="709"/>
                  <w:jc w:val="both"/>
                  <w:rPr>
                    <w:rFonts w:eastAsia="Lucida Sans Unicode"/>
                    <w:b/>
                    <w:bCs/>
                    <w:szCs w:val="24"/>
                  </w:rPr>
                </w:pPr>
                <w:r>
                  <w:rPr>
                    <w:rFonts w:eastAsia="Lucida Sans Unicode"/>
                    <w:b/>
                    <w:bCs/>
                    <w:szCs w:val="24"/>
                  </w:rPr>
                  <w:t>Nutarimo projektas</w:t>
                </w:r>
              </w:p>
              <w:p w14:paraId="3F951768" w14:textId="65D1EC31">
                <w:pPr>
                  <w:widowControl w:val="0"/>
                  <w:suppressAutoHyphens/>
                  <w:ind w:firstLine="709"/>
                  <w:jc w:val="both"/>
                  <w:rPr>
                    <w:rFonts w:eastAsia="Lucida Sans Unicode"/>
                    <w:b/>
                    <w:bCs/>
                    <w:szCs w:val="24"/>
                  </w:rPr>
                </w:pPr>
                <w:r>
                  <w:rPr>
                    <w:rFonts w:eastAsia="Lucida Sans Unicode"/>
                    <w:b/>
                    <w:bCs/>
                    <w:szCs w:val="24"/>
                    <w:lang w:eastAsia="lt-LT"/>
                  </w:rPr>
                  <w:t>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55AFCC45" w14:textId="77777777">
                <w:pPr>
                  <w:widowControl w:val="0"/>
                  <w:suppressAutoHyphens/>
                  <w:ind w:firstLine="709"/>
                  <w:jc w:val="both"/>
                  <w:rPr>
                    <w:rFonts w:eastAsia="Lucida Sans Unicode"/>
                    <w:b/>
                    <w:bCs/>
                    <w:szCs w:val="24"/>
                  </w:rPr>
                </w:pPr>
                <w:r>
                  <w:rPr>
                    <w:rFonts w:eastAsia="Lucida Sans Unicode"/>
                    <w:b/>
                    <w:bCs/>
                    <w:szCs w:val="24"/>
                  </w:rPr>
                  <w:t>Pavesti:</w:t>
                </w:r>
              </w:p>
              <w:p w14:paraId="543C4496" w14:textId="77777777">
                <w:pPr>
                  <w:widowControl w:val="0"/>
                  <w:suppressAutoHyphens/>
                  <w:ind w:firstLine="709"/>
                  <w:jc w:val="both"/>
                  <w:rPr>
                    <w:rFonts w:eastAsia="Lucida Sans Unicode"/>
                    <w:b/>
                    <w:bCs/>
                    <w:szCs w:val="24"/>
                  </w:rPr>
                </w:pPr>
                <w:r>
                  <w:rPr>
                    <w:rFonts w:eastAsia="Lucida Sans Unicode"/>
                    <w:b/>
                    <w:bCs/>
                    <w:szCs w:val="24"/>
                  </w:rPr>
                  <w:t>&lt;...&gt;</w:t>
                </w:r>
              </w:p>
              <w:p w14:paraId="2720204F"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3. Aplinkos apsaugos agentūrai vykdyti kompetentingos institucijos funkcijas, susijusias su:</w:t>
                </w:r>
              </w:p>
              <w:p w14:paraId="16844D2B" w14:textId="77777777">
                <w:pPr>
                  <w:widowControl w:val="0"/>
                  <w:suppressAutoHyphens/>
                  <w:ind w:firstLine="709"/>
                  <w:jc w:val="both"/>
                  <w:rPr>
                    <w:rFonts w:eastAsia="Lucida Sans Unicode"/>
                    <w:b/>
                    <w:bCs/>
                    <w:szCs w:val="24"/>
                    <w:lang w:eastAsia="lt-LT"/>
                  </w:rPr>
                </w:pPr>
                <w:r>
                  <w:rPr>
                    <w:rFonts w:eastAsia="Lucida Sans Unicode"/>
                    <w:b/>
                    <w:bCs/>
                    <w:szCs w:val="24"/>
                    <w:lang w:eastAsia="lt-LT"/>
                  </w:rPr>
                  <w:t>&lt;...&gt;</w:t>
                </w:r>
              </w:p>
              <w:p w14:paraId="00E457CA" w14:textId="77777777">
                <w:pPr>
                  <w:widowControl w:val="0"/>
                  <w:suppressAutoHyphens/>
                  <w:ind w:firstLine="709"/>
                  <w:jc w:val="both"/>
                  <w:rPr>
                    <w:rFonts w:eastAsia="Lucida Sans Unicode"/>
                    <w:b/>
                    <w:bCs/>
                    <w:szCs w:val="24"/>
                  </w:rPr>
                </w:pPr>
                <w:r>
                  <w:rPr>
                    <w:rFonts w:eastAsia="Lucida Sans Unicode"/>
                    <w:b/>
                    <w:bCs/>
                    <w:szCs w:val="24"/>
                  </w:rPr>
                  <w:t xml:space="preserve">3.4.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76 straipsnyje nurodytų duomenų viešu paskelbimu ir ataskaitų Europos Komisijai teikimu;</w:t>
                </w:r>
              </w:p>
              <w:p w14:paraId="19C30E26" w14:textId="0C144694">
                <w:pPr>
                  <w:widowControl w:val="0"/>
                  <w:suppressAutoHyphens/>
                  <w:ind w:firstLine="709"/>
                  <w:jc w:val="both"/>
                  <w:rPr>
                    <w:rFonts w:eastAsia="Lucida Sans Unicode"/>
                    <w:b/>
                    <w:bCs/>
                    <w:szCs w:val="24"/>
                    <w:lang w:eastAsia="lt-LT"/>
                  </w:rPr>
                </w:pPr>
                <w:r>
                  <w:rPr>
                    <w:rFonts w:eastAsia="Lucida Sans Unicode"/>
                    <w:b/>
                    <w:bCs/>
                    <w:szCs w:val="24"/>
                    <w:lang w:eastAsia="lt-LT"/>
                  </w:rPr>
                  <w:t>&lt;...&gt;</w:t>
                </w:r>
              </w:p>
              <w:p w14:paraId="330E3454" w14:textId="77777777">
                <w:pPr>
                  <w:widowControl w:val="0"/>
                  <w:suppressAutoHyphens/>
                  <w:ind w:firstLine="709"/>
                  <w:jc w:val="both"/>
                  <w:rPr>
                    <w:rFonts w:eastAsia="Lucida Sans Unicode"/>
                    <w:b/>
                    <w:bCs/>
                    <w:spacing w:val="2"/>
                    <w:szCs w:val="24"/>
                    <w:shd w:val="clear" w:color="auto" w:fill="FFFFFF"/>
                  </w:rPr>
                </w:pPr>
              </w:p>
            </w:tc>
            <w:tc>
              <w:tcPr>
                <w:tcW w:w="1777" w:type="dxa"/>
              </w:tcPr>
              <w:p w14:paraId="42FA5328" w14:textId="21FC8F01">
                <w:pPr>
                  <w:widowControl w:val="0"/>
                  <w:suppressAutoHyphens/>
                  <w:rPr>
                    <w:rFonts w:eastAsia="Lucida Sans Unicode"/>
                    <w:b/>
                    <w:bCs/>
                    <w:szCs w:val="24"/>
                  </w:rPr>
                </w:pPr>
                <w:r>
                  <w:rPr>
                    <w:rFonts w:eastAsia="Lucida Sans Unicode"/>
                    <w:b/>
                    <w:bCs/>
                    <w:szCs w:val="24"/>
                  </w:rPr>
                  <w:t xml:space="preserve">Visiškas </w:t>
                </w:r>
              </w:p>
            </w:tc>
          </w:tr>
          <w:tr w14:paraId="71E554E5" w14:textId="77777777">
            <w:tc>
              <w:tcPr>
                <w:tcW w:w="3450" w:type="dxa"/>
              </w:tcPr>
              <w:p w14:paraId="5F5B4943" w14:textId="2E383A3F">
                <w:pPr>
                  <w:ind w:firstLine="709"/>
                  <w:jc w:val="both"/>
                  <w:rPr>
                    <w:rFonts w:eastAsia="Arial Unicode MS"/>
                    <w:b/>
                    <w:bCs/>
                    <w:color w:val="000000"/>
                    <w:szCs w:val="24"/>
                    <w:lang w:eastAsia="lt-LT"/>
                  </w:rPr>
                </w:pPr>
                <w:r>
                  <w:rPr>
                    <w:rFonts w:eastAsia="Arial Unicode MS"/>
                    <w:b/>
                    <w:bCs/>
                    <w:color w:val="000000"/>
                    <w:szCs w:val="24"/>
                    <w:lang w:eastAsia="lt-LT"/>
                  </w:rPr>
                  <w:t>79 straipsnis. Nacionaliniu lygmeniu taikoma procedūra dėl riziką keliančių baterijų</w:t>
                </w:r>
              </w:p>
              <w:p w14:paraId="62FDB64D" w14:textId="6C797E05">
                <w:pPr>
                  <w:ind w:firstLine="709"/>
                  <w:jc w:val="both"/>
                  <w:rPr>
                    <w:rFonts w:eastAsia="Arial Unicode MS"/>
                    <w:color w:val="000000"/>
                    <w:szCs w:val="24"/>
                    <w:lang w:eastAsia="lt-LT"/>
                  </w:rPr>
                </w:pPr>
                <w:r>
                  <w:rPr>
                    <w:rFonts w:eastAsia="Arial Unicode MS"/>
                    <w:color w:val="000000"/>
                    <w:szCs w:val="24"/>
                    <w:lang w:eastAsia="lt-LT"/>
                  </w:rPr>
                  <w:t>&lt;...&gt;</w:t>
                </w:r>
              </w:p>
              <w:p w14:paraId="5BA5DAAB" w14:textId="77777777">
                <w:pPr>
                  <w:ind w:firstLine="709"/>
                  <w:jc w:val="both"/>
                  <w:rPr>
                    <w:rFonts w:eastAsia="Arial Unicode MS"/>
                    <w:color w:val="000000"/>
                    <w:szCs w:val="24"/>
                    <w:lang w:eastAsia="lt-LT"/>
                  </w:rPr>
                </w:pPr>
                <w:r>
                  <w:rPr>
                    <w:rFonts w:eastAsia="Arial Unicode MS"/>
                    <w:color w:val="000000"/>
                    <w:szCs w:val="24"/>
                    <w:lang w:eastAsia="lt-LT"/>
                  </w:rPr>
                  <w:t xml:space="preserve">6. Kitos valstybės narės nei ta, kuri inicijavo procedūrą pagal šį straipsnį, nedelsdamos informuoja Komisiją ir kitas valstybes nares apie visas patvirtintas priemones, ir visą jų turimą papildomą informaciją, susijusią su atitinkamos baterijos neatitiktimi reikalavimams, ir, jei jos nesutinka su patvirtinta nacionaline priemone – apie savo prieštaravimus. </w:t>
                </w:r>
              </w:p>
              <w:p w14:paraId="23C1114A" w14:textId="77777777">
                <w:pPr>
                  <w:ind w:firstLine="709"/>
                  <w:jc w:val="both"/>
                  <w:rPr>
                    <w:rFonts w:eastAsia="Arial Unicode MS"/>
                    <w:color w:val="000000"/>
                    <w:szCs w:val="24"/>
                    <w:lang w:eastAsia="lt-LT"/>
                  </w:rPr>
                </w:pPr>
                <w:r>
                  <w:rPr>
                    <w:rFonts w:eastAsia="Arial Unicode MS"/>
                    <w:color w:val="000000"/>
                    <w:szCs w:val="24"/>
                    <w:lang w:eastAsia="lt-LT"/>
                  </w:rPr>
                  <w:t xml:space="preserve">7. Jei per tris mėnesius po 4 dalies antroje pastraipoje nurodytos informacijos gavimo dienos nei kuri nors valstybė narė, nei Komisija nepareiškia prieštaravimų dėl laikinosios priemonės, kurios ėmėsi rinkos priežiūros institucijos, ta priemonė laikoma pagrįsta. </w:t>
                </w:r>
              </w:p>
              <w:p w14:paraId="109BB9E9" w14:textId="21C1D2CF">
                <w:pPr>
                  <w:ind w:firstLine="709"/>
                  <w:jc w:val="both"/>
                  <w:rPr>
                    <w:rFonts w:eastAsia="Arial Unicode MS"/>
                    <w:color w:val="000000"/>
                    <w:szCs w:val="24"/>
                    <w:lang w:eastAsia="lt-LT"/>
                  </w:rPr>
                </w:pPr>
                <w:r>
                  <w:rPr>
                    <w:rFonts w:eastAsia="Arial Unicode MS"/>
                    <w:color w:val="000000"/>
                    <w:szCs w:val="24"/>
                    <w:lang w:eastAsia="lt-LT"/>
                  </w:rPr>
                  <w:t>8. Valstybės narės užtikrina, kad dėl reikalavimų neatitinkančios baterijos būtų nedelsiant imamasi tinkamų ribojamųjų priemonių, pavyzdžiui, reikalavimų neatitinkanti baterija būtų pašalinta iš rinkos.</w:t>
                </w:r>
              </w:p>
            </w:tc>
            <w:tc>
              <w:tcPr>
                <w:tcW w:w="9766" w:type="dxa"/>
              </w:tcPr>
              <w:p w14:paraId="7FE03217"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Nutarimo projektas</w:t>
                </w:r>
              </w:p>
              <w:p w14:paraId="2DC26E1F" w14:textId="2BFF6C18">
                <w:pPr>
                  <w:widowControl w:val="0"/>
                  <w:suppressAutoHyphens/>
                  <w:ind w:firstLine="709"/>
                  <w:jc w:val="both"/>
                  <w:rPr>
                    <w:rFonts w:eastAsia="Lucida Sans Unicode"/>
                    <w:b/>
                    <w:bCs/>
                    <w:szCs w:val="24"/>
                  </w:rPr>
                </w:pPr>
                <w:r>
                  <w:rPr>
                    <w:rFonts w:eastAsia="Lucida Sans Unicode"/>
                    <w:b/>
                    <w:bCs/>
                    <w:szCs w:val="24"/>
                    <w:lang w:eastAsia="lt-LT"/>
                  </w:rPr>
                  <w:t>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170769DD" w14:textId="77777777">
                <w:pPr>
                  <w:widowControl w:val="0"/>
                  <w:suppressAutoHyphens/>
                  <w:ind w:firstLine="709"/>
                  <w:jc w:val="both"/>
                  <w:rPr>
                    <w:rFonts w:eastAsia="Lucida Sans Unicode"/>
                    <w:b/>
                    <w:bCs/>
                    <w:szCs w:val="24"/>
                  </w:rPr>
                </w:pPr>
                <w:r>
                  <w:rPr>
                    <w:rFonts w:eastAsia="Lucida Sans Unicode"/>
                    <w:b/>
                    <w:bCs/>
                    <w:szCs w:val="24"/>
                  </w:rPr>
                  <w:t>Pavesti:</w:t>
                </w:r>
              </w:p>
              <w:p w14:paraId="062B6516" w14:textId="7453589A">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p w14:paraId="6F4459B4" w14:textId="76B4C5DC">
                <w:pPr>
                  <w:widowControl w:val="0"/>
                  <w:suppressAutoHyphens/>
                  <w:ind w:firstLine="709"/>
                  <w:jc w:val="both"/>
                  <w:rPr>
                    <w:rFonts w:eastAsia="Lucida Sans Unicode"/>
                    <w:b/>
                    <w:bCs/>
                    <w:szCs w:val="24"/>
                  </w:rPr>
                </w:pPr>
                <w:r>
                  <w:rPr>
                    <w:rFonts w:eastAsia="Lucida Sans Unicode"/>
                    <w:b/>
                    <w:bCs/>
                    <w:szCs w:val="24"/>
                  </w:rPr>
                  <w:t xml:space="preserve">5. Valstybinei vartotojų teisių apsaugos tarnybai vykdyti baterijų (išskyrus elektrinių transporto priemonių baterijas)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baterijų (išskyrus elektrinių transporto priemonių baterijas) keliamų pavojų vertinimu, priemonių, kurios būtinos užtikrinti, kad reikalavimų neatitinkančios ar pavojų keliančios baterijos (išskyrus elektrinių transporto priemonių baterijas)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baterijomis (išskyrus elektrinių transporto priemonių baterijas), teikimu Europos Komisijai ir kitoms valstybėms narėms;</w:t>
                </w:r>
              </w:p>
              <w:p w14:paraId="72A0F8C9" w14:textId="4DCC697F">
                <w:pPr>
                  <w:widowControl w:val="0"/>
                  <w:suppressAutoHyphens/>
                  <w:ind w:firstLine="709"/>
                  <w:jc w:val="both"/>
                  <w:rPr>
                    <w:rFonts w:eastAsia="Lucida Sans Unicode"/>
                    <w:b/>
                    <w:bCs/>
                    <w:szCs w:val="24"/>
                  </w:rPr>
                </w:pPr>
                <w:r>
                  <w:rPr>
                    <w:rFonts w:eastAsia="Lucida Sans Unicode"/>
                    <w:b/>
                    <w:bCs/>
                    <w:szCs w:val="24"/>
                  </w:rPr>
                  <w:t xml:space="preserve">6. Lietuvos transporto saugos administracijai vykdyti elektrinių transporto priemonių baterijų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elektrinių transporto priemonių baterijų keliamų pavojų vertinimu, priemonių, kurios būtinos užtikrinti, kad reikalavimų neatitinkančios ar pavojų keliančios elektrinių transporto priemonių baterijos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elektrinių transporto priemonių baterijomis, teikimu Europos Komisijai ir kitoms valstybėms narėms;</w:t>
                </w:r>
              </w:p>
              <w:p w14:paraId="60834F31" w14:textId="33FDA721">
                <w:pPr>
                  <w:widowControl w:val="0"/>
                  <w:suppressAutoHyphens/>
                  <w:ind w:firstLine="709"/>
                  <w:jc w:val="both"/>
                  <w:rPr>
                    <w:rFonts w:eastAsia="Lucida Sans Unicode"/>
                    <w:b/>
                    <w:bCs/>
                    <w:szCs w:val="24"/>
                  </w:rPr>
                </w:pPr>
                <w:r>
                  <w:rPr>
                    <w:rFonts w:eastAsia="Lucida Sans Unicode"/>
                    <w:b/>
                    <w:bCs/>
                    <w:szCs w:val="24"/>
                  </w:rPr>
                  <w:t>&lt;...&gt;</w:t>
                </w:r>
              </w:p>
              <w:p w14:paraId="17975BB0" w14:textId="77777777">
                <w:pPr>
                  <w:widowControl w:val="0"/>
                  <w:suppressAutoHyphens/>
                  <w:ind w:firstLine="709"/>
                  <w:jc w:val="both"/>
                  <w:rPr>
                    <w:rFonts w:eastAsia="Lucida Sans Unicode"/>
                    <w:b/>
                    <w:bCs/>
                    <w:spacing w:val="2"/>
                    <w:szCs w:val="24"/>
                    <w:shd w:val="clear" w:color="auto" w:fill="FFFFFF"/>
                  </w:rPr>
                </w:pPr>
              </w:p>
              <w:p w14:paraId="29F9803E" w14:textId="0FADBF7A">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PSĮ</w:t>
                </w:r>
              </w:p>
              <w:p w14:paraId="36B090C0" w14:textId="5D44B558">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13 straipsnis. Privalomi nurodymai elektroninių prekyviečių paslaugų teikėjams, ekonominės veiklos vykdytojams ir paslaugų teikėjams</w:t>
                </w:r>
              </w:p>
              <w:p w14:paraId="0D2504EB" w14:textId="72D49848">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nustačiusi, kad elektroninėje prekyvietėje vartotojams pateikta informacija, kuria teikiamas pavojingo gaminio pasiūlymas, turi teisę duoti privalomą nurodymą elektroninės prekyvietės paslaugų teikėjui iš savo elektroninės sąsajos pašalinti šią informaciją, panaikinti prieigą prie jos ar pateikti aiškų įspėjimą vartotojams. Tokie privalomi nurodymai turi atitikti 2022 m. spalio 19 d. Europos Parlamento ir Tarybos reglamento </w:t>
                </w:r>
                <w:fldSimple w:instr="HYPERLINK http://eur-lex.europa.eu/legal-content/LIT/TXT/?uri=CELEX:32022R2065&amp;locale=lt \t _blank">
                  <w:r>
                    <w:rPr>
                      <w:rFonts w:eastAsia="Lucida Sans Unicode"/>
                      <w:spacing w:val="2"/>
                      <w:szCs w:val="24"/>
                      <w:shd w:val="clear" w:color="auto" w:fill="FFFFFF"/>
                      <w:u w:val="single"/>
                      <w:color w:val="0000FF" w:themeColor="hyperlink"/>
                    </w:rPr>
                    <w:t>(ES) 2022/2065</w:t>
                  </w:r>
                </w:fldSimple>
                <w:r>
                  <w:rPr>
                    <w:rFonts w:eastAsia="Lucida Sans Unicode"/>
                    <w:spacing w:val="2"/>
                    <w:szCs w:val="24"/>
                    <w:shd w:val="clear" w:color="auto" w:fill="FFFFFF"/>
                  </w:rPr>
                  <w:t xml:space="preserve"> dėl bendrosios skaitmeninių paslaugų rinkos, kuriuo iš dalies keičiama Direktyva </w:t>
                </w:r>
                <w:fldSimple w:instr="HYPERLINK http://eur-lex.europa.eu/legal-content/LIT/TXT/?uri=CELEX:32000L0031&amp;locale=lt \t _blank">
                  <w:r>
                    <w:rPr>
                      <w:rFonts w:eastAsia="Lucida Sans Unicode"/>
                      <w:spacing w:val="2"/>
                      <w:szCs w:val="24"/>
                      <w:shd w:val="clear" w:color="auto" w:fill="FFFFFF"/>
                      <w:u w:val="single"/>
                      <w:color w:val="0000FF" w:themeColor="hyperlink"/>
                    </w:rPr>
                    <w:t>2000/31/EB</w:t>
                  </w:r>
                </w:fldSimple>
                <w:r>
                  <w:rPr>
                    <w:rFonts w:eastAsia="Lucida Sans Unicode"/>
                    <w:spacing w:val="2"/>
                    <w:szCs w:val="24"/>
                    <w:shd w:val="clear" w:color="auto" w:fill="FFFFFF"/>
                  </w:rPr>
                  <w:t xml:space="preserve">, (Skaitmeninių paslaugų akto) 9 straipsnio 2 dalyje nustatytas sąlygas. Kai yra Reglamento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nustatytos sąlygos, rinkos priežiūros institucija turi teisę duoti privalomus nurodymus elektroninės prekyvietės paslaugų teikėjui pašalinti iš savo elektroninės sąsajos visą tapačią informaciją, susijusią su pavojingo gaminio pasiūlymu, panaikinti prieigą prie tapataus turinio arba pateikti aiškų įspėjimą vartotojams.</w:t>
                </w:r>
              </w:p>
              <w:p w14:paraId="0220B6BF" w14:textId="22E7D0E4">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34CBDE18" w14:textId="77777777">
                <w:pPr>
                  <w:widowControl w:val="0"/>
                  <w:suppressAutoHyphens/>
                  <w:ind w:firstLine="709"/>
                  <w:jc w:val="both"/>
                  <w:rPr>
                    <w:rFonts w:eastAsia="Lucida Sans Unicode"/>
                    <w:spacing w:val="2"/>
                    <w:szCs w:val="24"/>
                    <w:shd w:val="clear" w:color="auto" w:fill="FFFFFF"/>
                  </w:rPr>
                </w:pPr>
              </w:p>
              <w:p w14:paraId="238EFFBA"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15 straipsnis. Rinkos ribojimo priemonių taikymo pagrindai</w:t>
                </w:r>
              </w:p>
              <w:p w14:paraId="3FF554EB"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Šio įstatymo 16 straipsnio 1 dalies 1 punkte nurodyta rinkos ribojimo priemonė taikoma, kai tenkinama bent viena iš šių sąlygų:</w:t>
                </w:r>
              </w:p>
              <w:p w14:paraId="41C786C0"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produktas neatitinka nustatytų saugos reikalavimų, bet neatitiktį galima pašalinti;</w:t>
                </w:r>
              </w:p>
              <w:p w14:paraId="1E894340"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jeigu yra pagrindo manyti, kad produktas yra pavojingas, nors jis ir atitinka bendrojo saugos reikalavimo prezumpciją;</w:t>
                </w:r>
              </w:p>
              <w:p w14:paraId="12E5BD61"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3) jeigu per Reglamente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nurodytą skubių įspėjimų sistemą gaunamas pranešimas apie didelį pavojų keliantį gaminį.</w:t>
                </w:r>
              </w:p>
              <w:p w14:paraId="129EDE8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Šio įstatymo 16 straipsnio 1 dalies 2 punkte nurodyta rinkos ribojimo priemonė taikoma, jeigu:</w:t>
                </w:r>
              </w:p>
              <w:p w14:paraId="73CB7B91" w14:textId="7EAAC2EE">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nustato, kad yra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19 straipsnyje nurodyti pagrindai;</w:t>
                </w:r>
              </w:p>
              <w:p w14:paraId="60504F0D"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2) ekonominės veiklos vykdytojas ar elektroninės prekyvietės paslaugų teikėjas nesiima rinkos priežiūros institucijos nurodytų taisomųjų veiksmų pagal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16 straipsnį arba nepašalinamas produkto keliamas didelis pavojus.</w:t>
                </w:r>
              </w:p>
              <w:p w14:paraId="03F59CC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Sprendimus dėl šio įstatymo 16 straipsnio 1 dalyje nurodytų rinkos ribojimo priemonių taikymo priima rinkos priežiūros institucija, atlikusi ekonominės veiklos vykdytojo, paslaugų teikėjo ir (ar) elektroninės prekyvietės paslaugų teikėjo veiklos patikrinimą.</w:t>
                </w:r>
              </w:p>
              <w:p w14:paraId="008C968D"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 priėmusi sprendimą dėl rinkos ribojimo priemonių taikymo, kontroliuoja jo įgyvendinimą.</w:t>
                </w:r>
              </w:p>
              <w:p w14:paraId="5D4B56FA" w14:textId="77777777">
                <w:pPr>
                  <w:widowControl w:val="0"/>
                  <w:suppressAutoHyphens/>
                  <w:ind w:firstLine="709"/>
                  <w:jc w:val="both"/>
                  <w:rPr>
                    <w:rFonts w:eastAsia="Lucida Sans Unicode"/>
                    <w:b/>
                    <w:bCs/>
                    <w:spacing w:val="2"/>
                    <w:szCs w:val="24"/>
                    <w:shd w:val="clear" w:color="auto" w:fill="FFFFFF"/>
                  </w:rPr>
                </w:pPr>
              </w:p>
              <w:p w14:paraId="3D556509" w14:textId="3BAFAB4C">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16 straipsnis. Rinkos ribojimo priemonės</w:t>
                </w:r>
              </w:p>
              <w:p w14:paraId="1011EF20"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 Rinkos priežiūros institucija šio įstatymo 15 straipsnyje nurodytais rinkos ribojimo priemonių taikymo pagrindais turi teisę šiame įstatyme nustatyta tvarka taikyti šias rinkos ribojimo priemones:</w:t>
                </w:r>
              </w:p>
              <w:p w14:paraId="1B0F64D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priimti sprendimą laikinai (ne ilgesniam kaip 6 mėnesių laikotarpiui) uždrausti tiekti rinkai ir demonstruoti bet kokį produktą, dėl kurio kyla pagrįstų įtarimų, kad jis gali būti pavojingas, ir (ar) elektroninėje sąsajoje pateikti informaciją, kuria teikiamas tokio produkto pasiūlymas. Priėmusi šį sprendimą, rinkos priežiūros institucija įpareigoja ekonominės veiklos vykdytoją savo lėšomis atlikti produkto saugos vertinimą, iki sprendime nurodyto termino pabaigos pateikti šio vertinimo rezultatus arba pašalinti nustatytas produkto saugos reikalavimų neatitiktis ir iki sprendime nurodyto termino pabaigos pateikti informaciją apie šių neatitikčių šalinimo būdus ir rezultatus;</w:t>
                </w:r>
              </w:p>
              <w:p w14:paraId="389C20C9"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uždrausti bet kokio pavojingo produkto tiekimą rinkai, toliau imtis priemonių, kuriomis būtų užtikrintas šio draudimo laikymasis, ir (ar) uždrausti elektroninėje sąsajoje pateikti informaciją, susijusią su pavojingo produkto pasiūlymu.</w:t>
                </w:r>
              </w:p>
              <w:p w14:paraId="58A29DF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Rinkos priežiūros institucija, priėmusi šio straipsnio 1 dalies 1 punkte nurodytą sprendimą, ne vėliau kaip per 20 darbo dienų nuo jame nurodyto termino pabaigos arba, jeigu ekonominės veiklos vykdytojas, paslaugų teikėjas ar elektroninės prekyvietės paslaugos teikėjas šio straipsnio 1 dalies 1 punkte nurodytą informaciją pateikia anksčiau, ne vėliau kaip per 20 darbo dienų nuo šios informacijos gavimo dienos atlieka ekonominės veiklos vykdytojo, paslaugų teikėjo ar elektroninės prekyvietės paslaugos teikėjo veiklos patikrinimą ir (arba) produkto saugos ekspertizę, įvertindama produkto atitiktį produktų saugos reikalavimams. Jeigu yra objektyvių priežasčių ir šias priežastis pagrindžiančių įrodymų, produkto saugos ekspertizės atlikimo terminas rinkos priežiūros institucijos atskiru sprendimu gali būti pratęsiamas, bet ne ilgesniam kaip 6 mėnesių terminui. Jeigu ekonominės veiklos vykdytojas, paslaugų teikėjas ar elektroninės prekyvietės paslaugos teikėjas, pasibaigus šio straipsnio 1 dalies 1 punkte nurodyto sprendimo nurodytam terminui, informacijos apie produkto saugos vertinimo arba saugos reikalavimų neatitikčių šalinimo rezultatus nėra pateikęs arba pagal pateiktą informaciją produktas nėra saugus, rinkos priežiūros institucija taiko šio straipsnio 1 dalies 2 punkte nurodytą rinkos ribojimo priemonę. Ekonominės veiklos vykdytojui, paslaugų teikėjui ar elektroninės prekyvietės paslaugos teikėjui pateikus informaciją, kad produktas yra saugus, ir šią informaciją patvirtinus ekonominės veiklos vykdytojo, paslaugų teikėjo ar elektroninės prekyvietės paslaugos teikėjo veiklos patikrinimo ir (arba) produkto saugos ekspertizės metu, rinkos priežiūros institucija ne vėliau kaip per 3 darbo dienas nuo šio patikrinimo ir (arba) ekspertizės atlikimo dienos priima sprendimą leisti produktą toliau tiekti rinkai.</w:t>
                </w:r>
              </w:p>
              <w:p w14:paraId="719278C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Priėmusi šio straipsnio 1 dalies 2 punkte nurodytą sprendimą, rinkos priežiūros institucija ekonominės veiklos vykdytoją, paslaugų teikėją ar elektroninės prekyvietės paslaugos teikėją taip pat įpareigoja:</w:t>
                </w:r>
              </w:p>
              <w:p w14:paraId="1B311E2D"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nedelsiant pašalinti iš rinkos pavojingą produktą arba organizuoti jo pašalinimą ir įspėti vartotojus apie su tokiu produktu susijusį pavojų, jeigu pavojingas produktas jau yra rinkoje, įskaitant informacijos, susijusios su pavojingo produkto pasiūlymu, pašalinimą iš elektroninės sąsajos;</w:t>
                </w:r>
              </w:p>
              <w:p w14:paraId="465F65C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nedelsiant atšaukti pavojingą gaminį.</w:t>
                </w:r>
              </w:p>
              <w:p w14:paraId="54CFB345" w14:textId="334F2C36">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institucijai įpareigojus ekonominės veiklos vykdytoją, paslaugų teikėją ar elektroninės prekyvietės paslaugos teikėją atlikti šio straipsnio 3 dalies 1 ir (arba) 2 punktuose nurodytus veiksmus, ekonominės veiklos vykdytojas, paslaugų teikėjas ar elektroninės prekyvietės paslaugos teikėjas privalo juos atlikti per šios institucijos nurodytą terminą savo priemonėmis ir lėšomis ir nedelsdamas, bet ne vėliau kaip per 3 kalendorines dienas nuo šių veiksmų atlikimo dienos apie tai pranešti juos atlikti įpareigojusiai institucijai.</w:t>
                </w:r>
              </w:p>
              <w:p w14:paraId="3F1D3835" w14:textId="35B604ED">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5. Rinkos priežiūros institucija, priėmusi šio straipsnio 1 dalies 2 punkte nurodytą sprendimą ir (arba) šio straipsnio 3 dalies 1 ir (arba) 2 punktuose nurodytus sprendimus, įpareigoja ekonominės veiklos vykdytoją pavojingą gaminį saugiai sunaikinti, laikantis atliekų tvarkymą reguliuojančių teisės aktų reikalavimų. Pavojingą gaminį ekonominės veiklos vykdytojas sunaikina savo lėšomis ir ne vėliau kaip per 5 darbo dienas nuo šių veiksmų atlikimo dienos rinkos priežiūros institucijai pateikia gaminio sunaikinimą patvirtinantį dokumentą.</w:t>
                </w:r>
              </w:p>
              <w:p w14:paraId="5F02106F" w14:textId="1F16E851">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6. Jeigu ekonominės veiklos vykdytojas, paslaugų teikėjas ar elektroninės prekyvietės paslaugos teikėjas per rinkos priežiūros institucijos nurodytą terminą neatlieka šio straipsnio 3 dalies 1 ir (arba) 2 punktuose nurodytų veiksmų ir (arba) pavojingų gaminių nesunaikina, šiuos veiksmus vykdo rinkos priežiūros institucija, įpareigojusi juos atlikti. Dėl šio straipsnio 3 dalies 1 ir (arba) 2 punktuose nurodytų veiksmų vykdymo ir pavojingo gaminio sunaikinimo rinkos priežiūros institucijos patirtas išlaidas atlygina pavojingą produktą pateikęs ir tiekęs rinkai ekonominės veiklos vykdytojas.</w:t>
                </w:r>
              </w:p>
              <w:p w14:paraId="4137E687" w14:textId="4F0116CE">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tc>
            <w:tc>
              <w:tcPr>
                <w:tcW w:w="1777" w:type="dxa"/>
              </w:tcPr>
              <w:p w14:paraId="78CD65EC" w14:textId="77777777">
                <w:pPr>
                  <w:widowControl w:val="0"/>
                  <w:suppressAutoHyphens/>
                  <w:rPr>
                    <w:rFonts w:eastAsia="Lucida Sans Unicode"/>
                    <w:b/>
                    <w:bCs/>
                    <w:szCs w:val="24"/>
                  </w:rPr>
                </w:pPr>
                <w:r>
                  <w:rPr>
                    <w:rFonts w:eastAsia="Lucida Sans Unicode"/>
                    <w:b/>
                    <w:bCs/>
                    <w:szCs w:val="24"/>
                  </w:rPr>
                  <w:t>Visiškas</w:t>
                </w:r>
              </w:p>
              <w:p w14:paraId="18939C71" w14:textId="77777777">
                <w:pPr>
                  <w:widowControl w:val="0"/>
                  <w:suppressAutoHyphens/>
                  <w:ind w:firstLine="709"/>
                  <w:rPr>
                    <w:rFonts w:eastAsia="Lucida Sans Unicode"/>
                    <w:szCs w:val="24"/>
                  </w:rPr>
                </w:pPr>
              </w:p>
            </w:tc>
          </w:tr>
          <w:tr w14:paraId="465115F8" w14:textId="77777777">
            <w:tc>
              <w:tcPr>
                <w:tcW w:w="3450" w:type="dxa"/>
              </w:tcPr>
              <w:p w14:paraId="0FDEEC25" w14:textId="77777777">
                <w:pPr>
                  <w:ind w:firstLine="709"/>
                  <w:jc w:val="both"/>
                  <w:rPr>
                    <w:rFonts w:eastAsia="Arial Unicode MS"/>
                    <w:b/>
                    <w:bCs/>
                    <w:color w:val="000000"/>
                    <w:szCs w:val="24"/>
                    <w:lang w:eastAsia="lt-LT"/>
                  </w:rPr>
                </w:pPr>
                <w:r>
                  <w:rPr>
                    <w:rFonts w:eastAsia="Arial Unicode MS"/>
                    <w:b/>
                    <w:bCs/>
                    <w:color w:val="000000"/>
                    <w:szCs w:val="24"/>
                    <w:lang w:eastAsia="lt-LT"/>
                  </w:rPr>
                  <w:t>83 straipsnis. Reikalavimus atitinkančios baterijos, kurios kelia riziką</w:t>
                </w:r>
              </w:p>
              <w:p w14:paraId="0758918E" w14:textId="77777777">
                <w:pPr>
                  <w:ind w:firstLine="709"/>
                  <w:jc w:val="both"/>
                  <w:rPr>
                    <w:rFonts w:eastAsia="Arial Unicode MS"/>
                    <w:color w:val="000000"/>
                    <w:szCs w:val="24"/>
                    <w:lang w:eastAsia="lt-LT"/>
                  </w:rPr>
                </w:pPr>
                <w:r>
                  <w:rPr>
                    <w:rFonts w:eastAsia="Arial Unicode MS"/>
                    <w:color w:val="000000"/>
                    <w:szCs w:val="24"/>
                    <w:lang w:eastAsia="lt-LT"/>
                  </w:rPr>
                  <w:t xml:space="preserve">1. Jei valstybė narė, atlikusi vertinimą pagal 79 straipsnio 1 dalį, nustato, kad nors baterija atitinka 6–10 ir 12, 13 bei 14 straipsniuose nustatytus reikalavimus, ji kelia riziką žmonių sveikatai ar asmenų saugai arba turto ar aplinkos apsaugai (toliau – reikalavimus atitinkanti baterija, kuri kelia riziką), ji nedelsdama pareikalauja, kad atitinkamas ekonominės veiklos vykdytojas per pagrįstą laikotarpį, kurį nustato rinkos priežiūros institucijos ir kuris atitinka rizikos pobūdį, imtųsi visų tinkamų priemonių, kuriomis būtų užtikrinta, kad reikalavimus atitinkanti baterija, kai ji tiekiama rinkai, nebekeltų tos rizikos, arba ta baterija būtų pašalinta iš rinkos arba atšaukta. </w:t>
                </w:r>
              </w:p>
              <w:p w14:paraId="519F191E" w14:textId="443D865E">
                <w:pPr>
                  <w:ind w:firstLine="709"/>
                  <w:jc w:val="both"/>
                  <w:rPr>
                    <w:rFonts w:eastAsia="Arial Unicode MS"/>
                    <w:color w:val="000000"/>
                    <w:szCs w:val="24"/>
                    <w:lang w:eastAsia="lt-LT"/>
                  </w:rPr>
                </w:pPr>
                <w:r>
                  <w:rPr>
                    <w:rFonts w:eastAsia="Arial Unicode MS"/>
                    <w:color w:val="000000"/>
                    <w:szCs w:val="24"/>
                    <w:lang w:eastAsia="lt-LT"/>
                  </w:rPr>
                  <w:t>&lt;...&gt;</w:t>
                </w:r>
              </w:p>
              <w:p w14:paraId="42355652" w14:textId="68D129EC">
                <w:pPr>
                  <w:ind w:firstLine="709"/>
                  <w:jc w:val="both"/>
                  <w:rPr>
                    <w:rFonts w:eastAsia="Arial Unicode MS"/>
                    <w:color w:val="000000"/>
                    <w:szCs w:val="24"/>
                    <w:lang w:eastAsia="lt-LT"/>
                  </w:rPr>
                </w:pPr>
                <w:r>
                  <w:rPr>
                    <w:rFonts w:eastAsia="Arial Unicode MS"/>
                    <w:color w:val="000000"/>
                    <w:szCs w:val="24"/>
                    <w:lang w:eastAsia="lt-LT"/>
                  </w:rPr>
                  <w:t>3. Valstybė narė nedelsdama informuoja Komisiją ir kitas valstybes nares, kai susidaro 1 dalyje nurodyta situacija. Ta informacija apima visus turimus duomenis, visų pirma nurodomi reikalavimus atitinkančioms baterijoms, kurios kelia riziką, identifikuoti būtini duomenys, tokių baterijų kilmė ir tiekimo grandinė, susijusios rizikos pobūdis ir taikomų nacionalinių priemonių pobūdis ir trukmė.</w:t>
                </w:r>
              </w:p>
            </w:tc>
            <w:tc>
              <w:tcPr>
                <w:tcW w:w="9766" w:type="dxa"/>
              </w:tcPr>
              <w:p w14:paraId="360D7744"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Nutarimo projektas</w:t>
                </w:r>
              </w:p>
              <w:p w14:paraId="1EF2006F" w14:textId="69A33F50">
                <w:pPr>
                  <w:widowControl w:val="0"/>
                  <w:suppressAutoHyphens/>
                  <w:ind w:firstLine="709"/>
                  <w:jc w:val="both"/>
                  <w:rPr>
                    <w:rFonts w:eastAsia="Lucida Sans Unicode"/>
                    <w:b/>
                    <w:bCs/>
                    <w:szCs w:val="24"/>
                  </w:rPr>
                </w:pPr>
                <w:r>
                  <w:rPr>
                    <w:rFonts w:eastAsia="Lucida Sans Unicode"/>
                    <w:b/>
                    <w:bCs/>
                    <w:szCs w:val="24"/>
                    <w:lang w:eastAsia="lt-LT"/>
                  </w:rPr>
                  <w:t>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4507769E" w14:textId="77777777">
                <w:pPr>
                  <w:widowControl w:val="0"/>
                  <w:suppressAutoHyphens/>
                  <w:ind w:firstLine="709"/>
                  <w:jc w:val="both"/>
                  <w:rPr>
                    <w:rFonts w:eastAsia="Lucida Sans Unicode"/>
                    <w:b/>
                    <w:bCs/>
                    <w:szCs w:val="24"/>
                  </w:rPr>
                </w:pPr>
                <w:r>
                  <w:rPr>
                    <w:rFonts w:eastAsia="Lucida Sans Unicode"/>
                    <w:b/>
                    <w:bCs/>
                    <w:szCs w:val="24"/>
                  </w:rPr>
                  <w:t>Pavesti:</w:t>
                </w:r>
              </w:p>
              <w:p w14:paraId="4A5E7280"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p w14:paraId="245B6FF1" w14:textId="1B8BBA60">
                <w:pPr>
                  <w:widowControl w:val="0"/>
                  <w:suppressAutoHyphens/>
                  <w:ind w:firstLine="709"/>
                  <w:jc w:val="both"/>
                  <w:rPr>
                    <w:rFonts w:eastAsia="Lucida Sans Unicode"/>
                    <w:b/>
                    <w:bCs/>
                    <w:szCs w:val="24"/>
                  </w:rPr>
                </w:pPr>
                <w:r>
                  <w:rPr>
                    <w:rFonts w:eastAsia="Lucida Sans Unicode"/>
                    <w:b/>
                    <w:bCs/>
                    <w:szCs w:val="24"/>
                  </w:rPr>
                  <w:t xml:space="preserve">5. Valstybinei vartotojų teisių apsaugos tarnybai vykdyti baterijų (išskyrus elektrinių transporto priemonių baterijas)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baterijų (išskyrus elektrinių transporto priemonių baterijas) keliamų pavojų vertinimu, priemonių, kurios būtinos užtikrinti, kad reikalavimų neatitinkančios ar pavojų keliančios baterijos (išskyrus elektrinių transporto priemonių baterijas)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baterijomis (išskyrus elektrinių transporto priemonių baterijas), teikimu Europos Komisijai ir kitoms valstybėms narėms;</w:t>
                </w:r>
              </w:p>
              <w:p w14:paraId="62E2496A" w14:textId="77777777">
                <w:pPr>
                  <w:widowControl w:val="0"/>
                  <w:suppressAutoHyphens/>
                  <w:ind w:firstLine="709"/>
                  <w:jc w:val="both"/>
                  <w:rPr>
                    <w:rFonts w:eastAsia="Lucida Sans Unicode"/>
                    <w:b/>
                    <w:bCs/>
                    <w:szCs w:val="24"/>
                  </w:rPr>
                </w:pPr>
                <w:r>
                  <w:rPr>
                    <w:rFonts w:eastAsia="Lucida Sans Unicode"/>
                    <w:b/>
                    <w:bCs/>
                    <w:szCs w:val="24"/>
                  </w:rPr>
                  <w:t xml:space="preserve">6. Lietuvos transporto saugos administracijai vykdyti elektrinių transporto priemonių baterijų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elektrinių transporto priemonių baterijų keliamų pavojų vertinimu, priemonių, kurios būtinos užtikrinti, kad reikalavimų neatitinkančios ar pavojų keliančios elektrinių transporto priemonių baterijos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elektrinių transporto priemonių baterijomis, teikimu Europos Komisijai ir kitoms valstybėms narėms;</w:t>
                </w:r>
              </w:p>
              <w:p w14:paraId="1E2751AF" w14:textId="77777777">
                <w:pPr>
                  <w:widowControl w:val="0"/>
                  <w:suppressAutoHyphens/>
                  <w:ind w:firstLine="709"/>
                  <w:jc w:val="both"/>
                  <w:rPr>
                    <w:rFonts w:eastAsia="Lucida Sans Unicode"/>
                    <w:b/>
                    <w:bCs/>
                    <w:szCs w:val="24"/>
                  </w:rPr>
                </w:pPr>
                <w:r>
                  <w:rPr>
                    <w:rFonts w:eastAsia="Lucida Sans Unicode"/>
                    <w:b/>
                    <w:bCs/>
                    <w:szCs w:val="24"/>
                  </w:rPr>
                  <w:t>&lt;...&gt;</w:t>
                </w:r>
              </w:p>
              <w:p w14:paraId="133D58F1" w14:textId="0C0E4382">
                <w:pPr>
                  <w:widowControl w:val="0"/>
                  <w:suppressAutoHyphens/>
                  <w:ind w:firstLine="709"/>
                  <w:jc w:val="both"/>
                  <w:rPr>
                    <w:rFonts w:eastAsia="Lucida Sans Unicode"/>
                    <w:b/>
                    <w:bCs/>
                    <w:spacing w:val="2"/>
                    <w:szCs w:val="24"/>
                    <w:shd w:val="clear" w:color="auto" w:fill="FFFFFF"/>
                  </w:rPr>
                </w:pPr>
              </w:p>
            </w:tc>
            <w:tc>
              <w:tcPr>
                <w:tcW w:w="1777" w:type="dxa"/>
              </w:tcPr>
              <w:p w14:paraId="3389BE2A" w14:textId="4714CB6B">
                <w:pPr>
                  <w:widowControl w:val="0"/>
                  <w:suppressAutoHyphens/>
                  <w:rPr>
                    <w:rFonts w:eastAsia="Lucida Sans Unicode"/>
                    <w:b/>
                    <w:bCs/>
                    <w:szCs w:val="24"/>
                  </w:rPr>
                </w:pPr>
                <w:r>
                  <w:rPr>
                    <w:rFonts w:eastAsia="Lucida Sans Unicode"/>
                    <w:b/>
                    <w:bCs/>
                    <w:szCs w:val="24"/>
                  </w:rPr>
                  <w:t>Visiškas</w:t>
                </w:r>
              </w:p>
            </w:tc>
          </w:tr>
          <w:tr w14:paraId="0C15F4DB" w14:textId="77777777">
            <w:tc>
              <w:tcPr>
                <w:tcW w:w="3450" w:type="dxa"/>
              </w:tcPr>
              <w:p w14:paraId="1E146498" w14:textId="53B6A2EE">
                <w:pPr>
                  <w:ind w:firstLine="709"/>
                  <w:jc w:val="both"/>
                  <w:rPr>
                    <w:rFonts w:eastAsia="Arial Unicode MS"/>
                    <w:b/>
                    <w:bCs/>
                    <w:color w:val="000000"/>
                    <w:szCs w:val="24"/>
                    <w:lang w:eastAsia="lt-LT"/>
                  </w:rPr>
                </w:pPr>
                <w:r>
                  <w:rPr>
                    <w:rFonts w:eastAsia="Arial Unicode MS"/>
                    <w:b/>
                    <w:bCs/>
                    <w:color w:val="000000"/>
                    <w:szCs w:val="24"/>
                    <w:lang w:eastAsia="lt-LT"/>
                  </w:rPr>
                  <w:t>84 straipsnis. Išsamaus patikrinimo pareigų nevykdymas</w:t>
                </w:r>
              </w:p>
              <w:p w14:paraId="005CCB0E" w14:textId="4C3D5FE6">
                <w:pPr>
                  <w:ind w:firstLine="709"/>
                  <w:jc w:val="both"/>
                  <w:rPr>
                    <w:rFonts w:eastAsia="Arial Unicode MS"/>
                    <w:color w:val="000000"/>
                    <w:szCs w:val="24"/>
                    <w:lang w:eastAsia="lt-LT"/>
                  </w:rPr>
                </w:pPr>
                <w:r>
                  <w:rPr>
                    <w:rFonts w:eastAsia="Arial Unicode MS"/>
                    <w:color w:val="000000"/>
                    <w:szCs w:val="24"/>
                    <w:lang w:eastAsia="lt-LT"/>
                  </w:rPr>
                  <w:t>&lt;...&gt;</w:t>
                </w:r>
              </w:p>
              <w:p w14:paraId="3D2FA82B" w14:textId="3EB6D02B">
                <w:pPr>
                  <w:ind w:firstLine="709"/>
                  <w:jc w:val="both"/>
                  <w:rPr>
                    <w:rFonts w:eastAsia="Arial Unicode MS"/>
                    <w:color w:val="000000"/>
                    <w:szCs w:val="24"/>
                    <w:lang w:eastAsia="lt-LT"/>
                  </w:rPr>
                </w:pPr>
                <w:r>
                  <w:rPr>
                    <w:rFonts w:eastAsia="Arial Unicode MS"/>
                    <w:color w:val="000000"/>
                    <w:szCs w:val="24"/>
                    <w:lang w:eastAsia="lt-LT"/>
                  </w:rPr>
                  <w:t>2. Jei 1 dalyje nurodytas reikalavimų nesilaikymas nenutraukiamas ir jei nėra kitų veiksmingų priemonių tokiam nesilaikymui nutraukti, atitinkama valstybė narė imasi visų tinkamų priemonių, kuriomis apribojamas ar uždraudžiamas 1 dalyje nurodytų ekonominės veiklos vykdytojų rinkai tiektų baterijų tiekimas rinkai arba, jei reikalavimų nesilaikymo atvejis yra rimtas, užtikrina, kad jos būtų pašalintos iš rinkos arba atšauktos.</w:t>
                </w:r>
              </w:p>
            </w:tc>
            <w:tc>
              <w:tcPr>
                <w:tcW w:w="9766" w:type="dxa"/>
              </w:tcPr>
              <w:p w14:paraId="260C9999"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Nutarimo projektas</w:t>
                </w:r>
              </w:p>
              <w:p w14:paraId="4C6D3DED" w14:textId="6D741347">
                <w:pPr>
                  <w:widowControl w:val="0"/>
                  <w:suppressAutoHyphens/>
                  <w:ind w:firstLine="709"/>
                  <w:jc w:val="both"/>
                  <w:rPr>
                    <w:rFonts w:eastAsia="Lucida Sans Unicode"/>
                    <w:b/>
                    <w:bCs/>
                    <w:szCs w:val="24"/>
                  </w:rPr>
                </w:pPr>
                <w:r>
                  <w:rPr>
                    <w:rFonts w:eastAsia="Lucida Sans Unicode"/>
                    <w:b/>
                    <w:bCs/>
                    <w:szCs w:val="24"/>
                    <w:lang w:eastAsia="lt-LT"/>
                  </w:rPr>
                  <w:t>Įgyvendindama 2023 m. liepos 12 d. Europos Parlamento ir Tarybos reglamento </w:t>
                </w:r>
                <w:fldSimple w:instr="HYPERLINK http://eur-lex.europa.eu/legal-content/LIT/TXT/?uri=CELEX:32023R1542&amp;locale=lt \t _blank">
                  <w:r>
                    <w:rPr>
                      <w:rFonts w:eastAsia="Lucida Sans Unicode"/>
                      <w:b/>
                      <w:bCs/>
                      <w:szCs w:val="24"/>
                      <w:lang w:eastAsia="lt-LT"/>
                      <w:u w:val="single"/>
                      <w:color w:val="0000FF" w:themeColor="hyperlink"/>
                    </w:rPr>
                    <w:t>(ES) 2023/1542</w:t>
                  </w:r>
                </w:fldSimple>
                <w:r>
                  <w:rPr>
                    <w:rFonts w:eastAsia="Lucida Sans Unicode"/>
                    <w:b/>
                    <w:bCs/>
                    <w:szCs w:val="24"/>
                    <w:lang w:eastAsia="lt-LT"/>
                  </w:rPr>
                  <w:t xml:space="preserve"> dėl baterijų ir baterijų atliekų, kuriuo iš dalies keičiama Direktyva </w:t>
                </w:r>
                <w:fldSimple w:instr="HYPERLINK http://eur-lex.europa.eu/legal-content/LIT/TXT/?uri=CELEX:32008L0098&amp;locale=lt \t _blank">
                  <w:r>
                    <w:rPr>
                      <w:rFonts w:eastAsia="Lucida Sans Unicode"/>
                      <w:b/>
                      <w:bCs/>
                      <w:szCs w:val="24"/>
                      <w:lang w:eastAsia="lt-LT"/>
                      <w:u w:val="single"/>
                      <w:color w:val="0000FF" w:themeColor="hyperlink"/>
                    </w:rPr>
                    <w:t>2008/98/EB</w:t>
                  </w:r>
                </w:fldSimple>
                <w:r>
                  <w:rPr>
                    <w:rFonts w:eastAsia="Lucida Sans Unicode"/>
                    <w:b/>
                    <w:bCs/>
                    <w:szCs w:val="24"/>
                    <w:lang w:eastAsia="lt-LT"/>
                  </w:rPr>
                  <w:t xml:space="preserve"> bei Reglamentas </w:t>
                </w:r>
                <w:fldSimple w:instr="HYPERLINK http://eur-lex.europa.eu/legal-content/LIT/TXT/?uri=CELEX:32019R1020&amp;locale=lt \t _blank">
                  <w:r>
                    <w:rPr>
                      <w:rFonts w:eastAsia="Lucida Sans Unicode"/>
                      <w:b/>
                      <w:bCs/>
                      <w:szCs w:val="24"/>
                      <w:lang w:eastAsia="lt-LT"/>
                      <w:u w:val="single"/>
                      <w:color w:val="0000FF" w:themeColor="hyperlink"/>
                    </w:rPr>
                    <w:t>(ES) 2019/1020</w:t>
                  </w:r>
                </w:fldSimple>
                <w:r>
                  <w:rPr>
                    <w:rFonts w:eastAsia="Lucida Sans Unicode"/>
                    <w:b/>
                    <w:bCs/>
                    <w:szCs w:val="24"/>
                    <w:lang w:eastAsia="lt-LT"/>
                  </w:rPr>
                  <w:t xml:space="preserve"> ir panaikinama Direktyva </w:t>
                </w:r>
                <w:fldSimple w:instr="HYPERLINK http://eur-lex.europa.eu/legal-content/LIT/TXT/?uri=CELEX:32006L0066&amp;locale=lt \t _blank">
                  <w:r>
                    <w:rPr>
                      <w:rFonts w:eastAsia="Lucida Sans Unicode"/>
                      <w:b/>
                      <w:bCs/>
                      <w:szCs w:val="24"/>
                      <w:lang w:eastAsia="lt-LT"/>
                      <w:u w:val="single"/>
                      <w:color w:val="0000FF" w:themeColor="hyperlink"/>
                    </w:rPr>
                    <w:t>2006/66/EB</w:t>
                  </w:r>
                </w:fldSimple>
                <w:r>
                  <w:rPr>
                    <w:rFonts w:eastAsia="Lucida Sans Unicode"/>
                    <w:b/>
                    <w:bCs/>
                    <w:szCs w:val="24"/>
                    <w:lang w:eastAsia="lt-LT"/>
                  </w:rPr>
                  <w:t xml:space="preserve">, 22 straipsnio 1 ir 2 dalis, 24 straipsnį, </w:t>
                </w:r>
                <w:r>
                  <w:rPr>
                    <w:rFonts w:eastAsia="Lucida Sans Unicode"/>
                    <w:b/>
                    <w:bCs/>
                    <w:szCs w:val="24"/>
                  </w:rPr>
                  <w:t xml:space="preserve">54 straipsnio 1, 3 ir 4 dalis, 69 straipsnio 2 dalį, 76 straipsnio 1 dalį, 79 straipsnio 6 dalį, 80 straipsnio 2 dalį, 81 straipsnio 1 ir 3 dalis, </w:t>
                </w:r>
                <w:r>
                  <w:rPr>
                    <w:rFonts w:eastAsia="Lucida Sans Unicode"/>
                    <w:b/>
                    <w:bCs/>
                    <w:szCs w:val="24"/>
                    <w:lang w:eastAsia="lt-LT"/>
                  </w:rPr>
                  <w:t xml:space="preserve">Lietuvos Respublikos Vyriausybė </w:t>
                </w:r>
                <w:r>
                  <w:rPr>
                    <w:rFonts w:eastAsia="Lucida Sans Unicode"/>
                    <w:b/>
                    <w:bCs/>
                    <w:spacing w:val="60"/>
                    <w:szCs w:val="24"/>
                    <w:lang w:eastAsia="lt-LT"/>
                  </w:rPr>
                  <w:t>nutari</w:t>
                </w:r>
                <w:r>
                  <w:rPr>
                    <w:rFonts w:eastAsia="Lucida Sans Unicode"/>
                    <w:b/>
                    <w:bCs/>
                    <w:szCs w:val="24"/>
                    <w:lang w:eastAsia="lt-LT"/>
                  </w:rPr>
                  <w:t>a:</w:t>
                </w:r>
              </w:p>
              <w:p w14:paraId="15ED818B" w14:textId="77777777">
                <w:pPr>
                  <w:widowControl w:val="0"/>
                  <w:suppressAutoHyphens/>
                  <w:ind w:firstLine="709"/>
                  <w:jc w:val="both"/>
                  <w:rPr>
                    <w:rFonts w:eastAsia="Lucida Sans Unicode"/>
                    <w:b/>
                    <w:bCs/>
                    <w:szCs w:val="24"/>
                  </w:rPr>
                </w:pPr>
                <w:r>
                  <w:rPr>
                    <w:rFonts w:eastAsia="Lucida Sans Unicode"/>
                    <w:b/>
                    <w:bCs/>
                    <w:szCs w:val="24"/>
                  </w:rPr>
                  <w:t>Pavesti:</w:t>
                </w:r>
              </w:p>
              <w:p w14:paraId="538F802C"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&lt;...&gt;</w:t>
                </w:r>
              </w:p>
              <w:p w14:paraId="4334E72F" w14:textId="77777777">
                <w:pPr>
                  <w:widowControl w:val="0"/>
                  <w:suppressAutoHyphens/>
                  <w:ind w:firstLine="709"/>
                  <w:jc w:val="both"/>
                  <w:rPr>
                    <w:rFonts w:eastAsia="Lucida Sans Unicode"/>
                    <w:b/>
                    <w:bCs/>
                    <w:szCs w:val="24"/>
                  </w:rPr>
                </w:pPr>
                <w:r>
                  <w:rPr>
                    <w:rFonts w:eastAsia="Lucida Sans Unicode"/>
                    <w:b/>
                    <w:bCs/>
                    <w:szCs w:val="24"/>
                  </w:rPr>
                  <w:t xml:space="preserve">5. Valstybinei vartotojų teisių apsaugos tarnybai vykdyti baterijų (išskyrus elektrinių transporto priemonių baterijas)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baterijų (išskyrus elektrinių transporto priemonių baterijas) keliamų pavojų vertinimu, priemonių, kurios būtinos užtikrinti, kad reikalavimų neatitinkančios ar pavojų keliančios baterijos (išskyrus elektrinių transporto priemonių baterijas)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baterijomis (išskyrus elektrinių transporto priemonių baterijas), teikimu Europos Komisijai ir kitoms valstybėms narėms;</w:t>
                </w:r>
              </w:p>
              <w:p w14:paraId="5F95CFB0" w14:textId="77777777">
                <w:pPr>
                  <w:widowControl w:val="0"/>
                  <w:suppressAutoHyphens/>
                  <w:ind w:firstLine="709"/>
                  <w:jc w:val="both"/>
                  <w:rPr>
                    <w:rFonts w:eastAsia="Lucida Sans Unicode"/>
                    <w:b/>
                    <w:bCs/>
                    <w:szCs w:val="24"/>
                  </w:rPr>
                </w:pPr>
                <w:r>
                  <w:rPr>
                    <w:rFonts w:eastAsia="Lucida Sans Unicode"/>
                    <w:b/>
                    <w:bCs/>
                    <w:szCs w:val="24"/>
                  </w:rPr>
                  <w:t xml:space="preserve">6. Lietuvos transporto saugos administracijai vykdyti elektrinių transporto priemonių baterijų rinkos priežiūros institucijos funkcijas pagal Reglamentą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taip pat atlikti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nurodytus veiksmus, susijusius su elektrinių transporto priemonių baterijų keliamų pavojų vertinimu, priemonių, kurios būtinos užtikrinti, kad reikalavimų neatitinkančios ar pavojų keliančios elektrinių transporto priemonių baterijos būtų atšauktos ar pašalintos iš rinkos, taikymu ir Reglamento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X skyriuje nurodytos informacijos, susijusios su reikalavimų neatitinkančiomis ar pavojų keliančiomis elektrinių transporto priemonių baterijomis, teikimu Europos Komisijai ir kitoms valstybėms narėms;</w:t>
                </w:r>
              </w:p>
              <w:p w14:paraId="114D7612" w14:textId="77777777">
                <w:pPr>
                  <w:widowControl w:val="0"/>
                  <w:suppressAutoHyphens/>
                  <w:ind w:firstLine="709"/>
                  <w:jc w:val="both"/>
                  <w:rPr>
                    <w:rFonts w:eastAsia="Lucida Sans Unicode"/>
                    <w:b/>
                    <w:bCs/>
                    <w:szCs w:val="24"/>
                  </w:rPr>
                </w:pPr>
                <w:r>
                  <w:rPr>
                    <w:rFonts w:eastAsia="Lucida Sans Unicode"/>
                    <w:b/>
                    <w:bCs/>
                    <w:szCs w:val="24"/>
                  </w:rPr>
                  <w:t>&lt;...&gt;</w:t>
                </w:r>
              </w:p>
              <w:p w14:paraId="55F39C6F" w14:textId="77777777">
                <w:pPr>
                  <w:widowControl w:val="0"/>
                  <w:suppressAutoHyphens/>
                  <w:ind w:firstLine="709"/>
                  <w:jc w:val="both"/>
                  <w:rPr>
                    <w:rFonts w:eastAsia="Lucida Sans Unicode"/>
                    <w:b/>
                    <w:bCs/>
                    <w:spacing w:val="2"/>
                    <w:szCs w:val="24"/>
                    <w:shd w:val="clear" w:color="auto" w:fill="FFFFFF"/>
                  </w:rPr>
                </w:pPr>
              </w:p>
              <w:p w14:paraId="208D785C" w14:textId="3A07BD3D">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PSĮ</w:t>
                </w:r>
              </w:p>
              <w:p w14:paraId="6E4F2BE6" w14:textId="2F7FEBD0">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13 straipsnis. Privalomi nurodymai elektroninių prekyviečių paslaugų teikėjams, ekonominės veiklos vykdytojams ir paslaugų teikėjams</w:t>
                </w:r>
              </w:p>
              <w:p w14:paraId="6E540585" w14:textId="429B5C2D">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nustačiusi, kad elektroninėje prekyvietėje vartotojams pateikta informacija, kuria teikiamas pavojingo gaminio pasiūlymas, turi teisę duoti privalomą nurodymą elektroninės prekyvietės paslaugų teikėjui iš savo elektroninės sąsajos pašalinti šią informaciją, panaikinti prieigą prie jos ar pateikti aiškų įspėjimą vartotojams. Tokie privalomi nurodymai turi atitikti 2022 m. spalio 19 d. Europos Parlamento ir Tarybos reglamento </w:t>
                </w:r>
                <w:fldSimple w:instr="HYPERLINK http://eur-lex.europa.eu/legal-content/LIT/TXT/?uri=CELEX:32022R2065&amp;locale=lt \t _blank">
                  <w:r>
                    <w:rPr>
                      <w:rFonts w:eastAsia="Lucida Sans Unicode"/>
                      <w:spacing w:val="2"/>
                      <w:szCs w:val="24"/>
                      <w:shd w:val="clear" w:color="auto" w:fill="FFFFFF"/>
                      <w:u w:val="single"/>
                      <w:color w:val="0000FF" w:themeColor="hyperlink"/>
                    </w:rPr>
                    <w:t>(ES) 2022/2065</w:t>
                  </w:r>
                </w:fldSimple>
                <w:r>
                  <w:rPr>
                    <w:rFonts w:eastAsia="Lucida Sans Unicode"/>
                    <w:spacing w:val="2"/>
                    <w:szCs w:val="24"/>
                    <w:shd w:val="clear" w:color="auto" w:fill="FFFFFF"/>
                  </w:rPr>
                  <w:t xml:space="preserve"> dėl bendrosios skaitmeninių paslaugų rinkos, kuriuo iš dalies keičiama Direktyva </w:t>
                </w:r>
                <w:fldSimple w:instr="HYPERLINK http://eur-lex.europa.eu/legal-content/LIT/TXT/?uri=CELEX:32000L0031&amp;locale=lt \t _blank">
                  <w:r>
                    <w:rPr>
                      <w:rFonts w:eastAsia="Lucida Sans Unicode"/>
                      <w:spacing w:val="2"/>
                      <w:szCs w:val="24"/>
                      <w:shd w:val="clear" w:color="auto" w:fill="FFFFFF"/>
                      <w:u w:val="single"/>
                      <w:color w:val="0000FF" w:themeColor="hyperlink"/>
                    </w:rPr>
                    <w:t>2000/31/EB</w:t>
                  </w:r>
                </w:fldSimple>
                <w:r>
                  <w:rPr>
                    <w:rFonts w:eastAsia="Lucida Sans Unicode"/>
                    <w:spacing w:val="2"/>
                    <w:szCs w:val="24"/>
                    <w:shd w:val="clear" w:color="auto" w:fill="FFFFFF"/>
                  </w:rPr>
                  <w:t>, (Skaitmeninių paslaugų akto) 9 straipsnio 2 dalyje nustatytas sąlygas. Kai yra Reglamento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nustatytos sąlygos, rinkos priežiūros institucija turi teisę duoti privalomus nurodymus elektroninės prekyvietės paslaugų teikėjui pašalinti iš savo elektroninės sąsajos visą tapačią informaciją, susijusią su pavojingo gaminio pasiūlymu, panaikinti prieigą prie tapataus turinio arba pateikti aiškų įspėjimą vartotojams.</w:t>
                </w:r>
              </w:p>
              <w:p w14:paraId="2864BFF8"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3C25624A" w14:textId="77777777">
                <w:pPr>
                  <w:widowControl w:val="0"/>
                  <w:suppressAutoHyphens/>
                  <w:ind w:firstLine="709"/>
                  <w:jc w:val="both"/>
                  <w:rPr>
                    <w:rFonts w:eastAsia="Lucida Sans Unicode"/>
                    <w:spacing w:val="2"/>
                    <w:szCs w:val="24"/>
                    <w:shd w:val="clear" w:color="auto" w:fill="FFFFFF"/>
                  </w:rPr>
                </w:pPr>
              </w:p>
              <w:p w14:paraId="291230D7"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15 straipsnis. Rinkos ribojimo priemonių taikymo pagrindai</w:t>
                </w:r>
              </w:p>
              <w:p w14:paraId="39E87AE7"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Šio įstatymo 16 straipsnio 1 dalies 1 punkte nurodyta rinkos ribojimo priemonė taikoma, kai tenkinama bent viena iš šių sąlygų:</w:t>
                </w:r>
              </w:p>
              <w:p w14:paraId="26BFBEBF"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produktas neatitinka nustatytų saugos reikalavimų, bet neatitiktį galima pašalinti;</w:t>
                </w:r>
              </w:p>
              <w:p w14:paraId="25055C29"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jeigu yra pagrindo manyti, kad produktas yra pavojingas, nors jis ir atitinka bendrojo saugos reikalavimo prezumpciją;</w:t>
                </w:r>
              </w:p>
              <w:p w14:paraId="59AD624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3) jeigu per Reglamente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nurodytą skubių įspėjimų sistemą gaunamas pranešimas apie didelį pavojų keliantį gaminį.</w:t>
                </w:r>
              </w:p>
              <w:p w14:paraId="6B9FAE9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Šio įstatymo 16 straipsnio 1 dalies 2 punkte nurodyta rinkos ribojimo priemonė taikoma, jeigu:</w:t>
                </w:r>
              </w:p>
              <w:p w14:paraId="67F968D6" w14:textId="7D0E1294">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nustato, kad yra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19 straipsnyje nurodyti pagrindai;</w:t>
                </w:r>
              </w:p>
              <w:p w14:paraId="6637CA5B" w14:textId="4369682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2) ekonominės veiklos vykdytojas ar elektroninės prekyvietės paslaugų teikėjas nesiima rinkos priežiūros institucijos nurodytų taisomųjų veiksmų pagal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16 straipsnį arba nepašalinamas produkto keliamas didelis pavojus.</w:t>
                </w:r>
              </w:p>
              <w:p w14:paraId="055B057D"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Sprendimus dėl šio įstatymo 16 straipsnio 1 dalyje nurodytų rinkos ribojimo priemonių taikymo priima rinkos priežiūros institucija, atlikusi ekonominės veiklos vykdytojo, paslaugų teikėjo ir (ar) elektroninės prekyvietės paslaugų teikėjo veiklos patikrinimą.</w:t>
                </w:r>
              </w:p>
              <w:p w14:paraId="0FEE4CA1"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 priėmusi sprendimą dėl rinkos ribojimo priemonių taikymo, kontroliuoja jo įgyvendinimą.</w:t>
                </w:r>
              </w:p>
              <w:p w14:paraId="016A26A4" w14:textId="77777777">
                <w:pPr>
                  <w:widowControl w:val="0"/>
                  <w:suppressAutoHyphens/>
                  <w:ind w:firstLine="709"/>
                  <w:jc w:val="both"/>
                  <w:rPr>
                    <w:rFonts w:eastAsia="Lucida Sans Unicode"/>
                    <w:b/>
                    <w:bCs/>
                    <w:spacing w:val="2"/>
                    <w:szCs w:val="24"/>
                    <w:shd w:val="clear" w:color="auto" w:fill="FFFFFF"/>
                  </w:rPr>
                </w:pPr>
              </w:p>
              <w:p w14:paraId="01387885" w14:textId="22E68ADE">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16 straipsnis. Rinkos ribojimo priemonės</w:t>
                </w:r>
              </w:p>
              <w:p w14:paraId="6E742C4D"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 Rinkos priežiūros institucija šio įstatymo 15 straipsnyje nurodytais rinkos ribojimo priemonių taikymo pagrindais turi teisę šiame įstatyme nustatyta tvarka taikyti šias rinkos ribojimo priemones:</w:t>
                </w:r>
              </w:p>
              <w:p w14:paraId="79D489B2"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priimti sprendimą laikinai (ne ilgesniam kaip 6 mėnesių laikotarpiui) uždrausti tiekti rinkai ir demonstruoti bet kokį produktą, dėl kurio kyla pagrįstų įtarimų, kad jis gali būti pavojingas, ir (ar) elektroninėje sąsajoje pateikti informaciją, kuria teikiamas tokio produkto pasiūlymas. Priėmusi šį sprendimą, rinkos priežiūros institucija įpareigoja ekonominės veiklos vykdytoją savo lėšomis atlikti produkto saugos vertinimą, iki sprendime nurodyto termino pabaigos pateikti šio vertinimo rezultatus arba pašalinti nustatytas produkto saugos reikalavimų neatitiktis ir iki sprendime nurodyto termino pabaigos pateikti informaciją apie šių neatitikčių šalinimo būdus ir rezultatus;</w:t>
                </w:r>
              </w:p>
              <w:p w14:paraId="69B3637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uždrausti bet kokio pavojingo produkto tiekimą rinkai, toliau imtis priemonių, kuriomis būtų užtikrintas šio draudimo laikymasis, ir (ar) uždrausti elektroninėje sąsajoje pateikti informaciją, susijusią su pavojingo produkto pasiūlymu.</w:t>
                </w:r>
              </w:p>
              <w:p w14:paraId="21FC3C3A" w14:textId="22A95186">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Rinkos priežiūros institucija, priėmusi šio straipsnio 1 dalies 1 punkte nurodytą sprendimą, ne vėliau kaip per 20 darbo dienų nuo jame nurodyto termino pabaigos arba, jeigu ekonominės veiklos vykdytojas, paslaugų teikėjas ar elektroninės prekyvietės paslaugos teikėjas šio straipsnio 1 dalies 1 punkte nurodytą informaciją pateikia anksčiau, ne vėliau kaip per 20 darbo dienų nuo šios informacijos gavimo dienos atlieka ekonominės veiklos vykdytojo, paslaugų teikėjo ar elektroninės prekyvietės paslaugos teikėjo veiklos patikrinimą ir (arba) produkto saugos ekspertizę, įvertindama produkto atitiktį produktų saugos reikalavimams. Jeigu yra objektyvių priežasčių ir šias priežastis pagrindžiančių įrodymų, produkto saugos ekspertizės atlikimo terminas rinkos priežiūros institucijos atskiru sprendimu gali būti pratęsiamas, bet ne ilgesniam kaip 6 mėnesių terminui. Jeigu ekonominės veiklos vykdytojas, paslaugų teikėjas ar elektroninės prekyvietės paslaugos teikėjas, pasibaigus šio straipsnio 1 dalies 1 punkte nurodyto sprendimo nurodytam terminui, informacijos apie produkto saugos vertinimo arba saugos reikalavimų neatitikčių šalinimo rezultatus nėra pateikęs arba pagal pateiktą informaciją produktas nėra saugus, rinkos priežiūros institucija taiko šio straipsnio 1 dalies 2 punkte nurodytą rinkos ribojimo priemonę. Ekonominės veiklos vykdytojui, paslaugų teikėjui ar elektroninės prekyvietės paslaugos teikėjui pateikus informaciją, kad produktas yra saugus, ir šią informaciją patvirtinus ekonominės veiklos vykdytojo, paslaugų teikėjo ar elektroninės prekyvietės paslaugos teikėjo veiklos patikrinimo ir (arba) produkto saugos ekspertizės metu, rinkos priežiūros institucija ne vėliau kaip per 3 darbo dienas nuo šio patikrinimo ir (arba) ekspertizės atlikimo dienos priima sprendimą leisti produktą toliau tiekti rinkai.</w:t>
                </w:r>
              </w:p>
              <w:p w14:paraId="649F4F0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Priėmusi šio straipsnio 1 dalies 2 punkte nurodytą sprendimą, rinkos priežiūros institucija ekonominės veiklos vykdytoją, paslaugų teikėją ar elektroninės prekyvietės paslaugos teikėją taip pat įpareigoja:</w:t>
                </w:r>
              </w:p>
              <w:p w14:paraId="4EA827E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nedelsiant pašalinti iš rinkos pavojingą produktą arba organizuoti jo pašalinimą ir įspėti vartotojus apie su tokiu produktu susijusį pavojų, jeigu pavojingas produktas jau yra rinkoje, įskaitant informacijos, susijusios su pavojingo produkto pasiūlymu, pašalinimą iš elektroninės sąsajos;</w:t>
                </w:r>
              </w:p>
              <w:p w14:paraId="240F604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nedelsiant atšaukti pavojingą gaminį.</w:t>
                </w:r>
              </w:p>
              <w:p w14:paraId="7CEE10DB" w14:textId="2C789BC0">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institucijai įpareigojus ekonominės veiklos vykdytoją, paslaugų teikėją ar elektroninės prekyvietės paslaugos teikėją atlikti šio straipsnio 3 dalies 1 ir (arba) 2 punktuose nurodytus veiksmus, ekonominės veiklos vykdytojas, paslaugų teikėjas ar elektroninės prekyvietės paslaugos teikėjas privalo juos atlikti per šios institucijos nurodytą terminą savo priemonėmis ir lėšomis ir nedelsdamas, bet ne vėliau kaip per 3 kalendorines dienas nuo šių veiksmų atlikimo dienos apie tai pranešti juos atlikti įpareigojusiai institucijai.</w:t>
                </w:r>
              </w:p>
              <w:p w14:paraId="5409AC2D" w14:textId="15C6694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5. Rinkos priežiūros institucija, priėmusi šio straipsnio 1 dalies 2 punkte nurodytą sprendimą ir (arba) šio straipsnio 3 dalies 1 ir (arba) 2 punktuose nurodytus sprendimus, įpareigoja ekonominės veiklos vykdytoją pavojingą gaminį saugiai sunaikinti, laikantis atliekų tvarkymą reguliuojančių teisės aktų reikalavimų. Pavojingą gaminį ekonominės veiklos vykdytojas sunaikina savo lėšomis ir ne vėliau kaip per 5 darbo dienas nuo šių veiksmų atlikimo dienos rinkos priežiūros institucijai pateikia gaminio sunaikinimą patvirtinantį dokumentą.</w:t>
                </w:r>
              </w:p>
              <w:p w14:paraId="121F15B0" w14:textId="3AD6399A">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6. Jeigu ekonominės veiklos vykdytojas, paslaugų teikėjas ar elektroninės prekyvietės paslaugos teikėjas per rinkos priežiūros institucijos nurodytą terminą neatlieka šio straipsnio 3 dalies 1 ir (arba) 2 punktuose nurodytų veiksmų ir (arba) pavojingų gaminių nesunaikina, šiuos veiksmus vykdo rinkos priežiūros institucija, įpareigojusi juos atlikti. Dėl šio straipsnio 3 dalies 1 ir (arba) 2 punktuose nurodytų veiksmų vykdymo ir pavojingo gaminio sunaikinimo rinkos priežiūros institucijos patirtas išlaidas atlygina pavojingą produktą pateikęs ir tiekęs rinkai ekonominės veiklos vykdytojas.</w:t>
                </w:r>
              </w:p>
              <w:p w14:paraId="6853533C" w14:textId="4D8FC486">
                <w:pPr>
                  <w:widowControl w:val="0"/>
                  <w:suppressAutoHyphens/>
                  <w:ind w:firstLine="709"/>
                  <w:jc w:val="both"/>
                  <w:rPr>
                    <w:rFonts w:eastAsia="Lucida Sans Unicode"/>
                    <w:b/>
                    <w:bCs/>
                    <w:spacing w:val="2"/>
                    <w:szCs w:val="24"/>
                    <w:shd w:val="clear" w:color="auto" w:fill="FFFFFF"/>
                  </w:rPr>
                </w:pPr>
                <w:r>
                  <w:rPr>
                    <w:rFonts w:eastAsia="Lucida Sans Unicode"/>
                    <w:spacing w:val="2"/>
                    <w:szCs w:val="24"/>
                    <w:shd w:val="clear" w:color="auto" w:fill="FFFFFF"/>
                  </w:rPr>
                  <w:t>&lt;...&gt;.</w:t>
                </w:r>
              </w:p>
            </w:tc>
            <w:tc>
              <w:tcPr>
                <w:tcW w:w="1777" w:type="dxa"/>
              </w:tcPr>
              <w:p w14:paraId="7ACC1886" w14:textId="77777777">
                <w:pPr>
                  <w:widowControl w:val="0"/>
                  <w:suppressAutoHyphens/>
                  <w:rPr>
                    <w:rFonts w:eastAsia="Lucida Sans Unicode"/>
                    <w:b/>
                    <w:bCs/>
                    <w:szCs w:val="24"/>
                  </w:rPr>
                </w:pPr>
                <w:r>
                  <w:rPr>
                    <w:rFonts w:eastAsia="Lucida Sans Unicode"/>
                    <w:b/>
                    <w:bCs/>
                    <w:szCs w:val="24"/>
                  </w:rPr>
                  <w:t>Visiškas</w:t>
                </w:r>
              </w:p>
              <w:p w14:paraId="5FAD07ED" w14:textId="77777777">
                <w:pPr>
                  <w:widowControl w:val="0"/>
                  <w:suppressAutoHyphens/>
                  <w:ind w:firstLine="709"/>
                  <w:rPr>
                    <w:rFonts w:eastAsia="Lucida Sans Unicode"/>
                    <w:szCs w:val="24"/>
                  </w:rPr>
                </w:pPr>
              </w:p>
            </w:tc>
          </w:tr>
          <w:tr w14:paraId="4FC28B49" w14:textId="77777777">
            <w:tc>
              <w:tcPr>
                <w:tcW w:w="3450" w:type="dxa"/>
              </w:tcPr>
              <w:p w14:paraId="552A672A" w14:textId="216B9250">
                <w:pPr>
                  <w:ind w:firstLine="709"/>
                  <w:jc w:val="both"/>
                  <w:rPr>
                    <w:rFonts w:eastAsia="Arial Unicode MS"/>
                    <w:b/>
                    <w:bCs/>
                    <w:i/>
                    <w:iCs/>
                    <w:color w:val="000000"/>
                    <w:szCs w:val="24"/>
                    <w:lang w:eastAsia="lt-LT"/>
                  </w:rPr>
                </w:pPr>
                <w:r>
                  <w:rPr>
                    <w:rFonts w:eastAsia="Arial Unicode MS"/>
                    <w:b/>
                    <w:bCs/>
                    <w:color w:val="000000"/>
                    <w:szCs w:val="24"/>
                    <w:lang w:eastAsia="lt-LT"/>
                  </w:rPr>
                  <w:t xml:space="preserve">93 straipsnis. </w:t>
                </w:r>
                <w:r>
                  <w:rPr>
                    <w:rFonts w:eastAsia="Calibri"/>
                    <w:b/>
                    <w:bCs/>
                    <w:color w:val="000000"/>
                    <w:szCs w:val="24"/>
                    <w:lang w:eastAsia="lt-LT"/>
                  </w:rPr>
                  <w:t xml:space="preserve">Sankcijos </w:t>
                </w:r>
              </w:p>
              <w:p w14:paraId="06A22935" w14:textId="56C48D53">
                <w:pPr>
                  <w:ind w:firstLine="709"/>
                  <w:jc w:val="both"/>
                  <w:rPr>
                    <w:rFonts w:eastAsia="Lucida Sans Unicode"/>
                    <w:b/>
                    <w:bCs/>
                    <w:szCs w:val="24"/>
                  </w:rPr>
                </w:pPr>
                <w:r>
                  <w:rPr>
                    <w:rFonts w:eastAsia="Calibri"/>
                    <w:color w:val="000000"/>
                    <w:szCs w:val="24"/>
                    <w:lang w:eastAsia="lt-LT"/>
                  </w:rPr>
                  <w:t>Valstybės narės ne vėliau kaip 2025 m. rugpjūčio 18 d. nustato sankcijų, taikomų pažeidus šį reglamentą, taisykles ir imasi visų būtinų priemonių užtikrinti, kad šios sankcijos būtų įgyvendinamos. Numatytos sankcijos turi būti veiksmingos, proporcingos ir atgrasomos. Valstybės narės nedelsdamos praneša apie tas taisykles ir tas priemones Komisijai ir nedelsdamos jai praneša apie visus vėlesnius joms įtakos turinčius pakeitimus.</w:t>
                </w:r>
              </w:p>
            </w:tc>
            <w:tc>
              <w:tcPr>
                <w:tcW w:w="9766" w:type="dxa"/>
              </w:tcPr>
              <w:p w14:paraId="3F194925" w14:textId="761B1D1A">
                <w:pPr>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AAĮ</w:t>
                </w:r>
              </w:p>
              <w:p w14:paraId="4817F4D8" w14:textId="70764285">
                <w:pPr>
                  <w:ind w:firstLine="709"/>
                  <w:jc w:val="both"/>
                  <w:rPr>
                    <w:rFonts w:eastAsia="Lucida Sans Unicode"/>
                    <w:spacing w:val="2"/>
                    <w:szCs w:val="24"/>
                    <w:shd w:val="clear" w:color="auto" w:fill="FFFFFF"/>
                  </w:rPr>
                </w:pPr>
                <w:r>
                  <w:rPr>
                    <w:rFonts w:eastAsia="Lucida Sans Unicode"/>
                    <w:b/>
                    <w:bCs/>
                    <w:spacing w:val="2"/>
                    <w:szCs w:val="24"/>
                    <w:shd w:val="clear" w:color="auto" w:fill="FFFFFF"/>
                  </w:rPr>
                  <w:t>93 straipsnis. Juridinių asmenų atsakomybė už atliekų susidarymo ir (ar) tvarkymo apskaitos vykdymo, atliekų susidarymo ir (ar) tvarkymo apskaitos ataskaitų teikimo reikalavimų nevykdymą</w:t>
                </w:r>
              </w:p>
              <w:p w14:paraId="5A18EB98" w14:textId="77777777">
                <w:pPr>
                  <w:ind w:firstLine="709"/>
                  <w:jc w:val="both"/>
                  <w:rPr>
                    <w:rFonts w:eastAsia="Lucida Sans Unicode"/>
                    <w:spacing w:val="2"/>
                    <w:szCs w:val="24"/>
                    <w:shd w:val="clear" w:color="auto" w:fill="FFFFFF"/>
                  </w:rPr>
                </w:pPr>
                <w:r>
                  <w:rPr>
                    <w:rFonts w:eastAsia="Lucida Sans Unicode"/>
                    <w:spacing w:val="2"/>
                    <w:szCs w:val="24"/>
                    <w:shd w:val="clear" w:color="auto" w:fill="FFFFFF"/>
                  </w:rPr>
                  <w:t>Atliekų susidarymo ir (ar) tvarkymo apskaitos vykdymas nesilaikant teisės aktuose nustatytų reikalavimų po to, kai juridinis asmuo apie pažeidimą buvo įspėtas raštu, užtraukia baudą nuo vieno šimto penkiasdešimt iki trijų šimtų eurų.</w:t>
                </w:r>
              </w:p>
              <w:p w14:paraId="0912F9FE" w14:textId="77777777">
                <w:pPr>
                  <w:ind w:firstLine="709"/>
                  <w:jc w:val="both"/>
                  <w:rPr>
                    <w:rFonts w:eastAsia="Lucida Sans Unicode"/>
                    <w:spacing w:val="2"/>
                    <w:szCs w:val="24"/>
                    <w:shd w:val="clear" w:color="auto" w:fill="FFFFFF"/>
                  </w:rPr>
                </w:pPr>
                <w:r>
                  <w:rPr>
                    <w:rFonts w:eastAsia="Lucida Sans Unicode"/>
                    <w:spacing w:val="2"/>
                    <w:szCs w:val="24"/>
                    <w:shd w:val="clear" w:color="auto" w:fill="FFFFFF"/>
                  </w:rPr>
                  <w:t>Šio straipsnio 1 dalyje numatytas pažeidimas, padarytas pakartotinai, užtraukia baudą nuo trijų šimtų iki šešių šimtų eurų.</w:t>
                </w:r>
              </w:p>
              <w:p w14:paraId="380D3B99" w14:textId="12145484">
                <w:pPr>
                  <w:ind w:firstLine="709"/>
                  <w:jc w:val="both"/>
                  <w:rPr>
                    <w:rFonts w:eastAsia="Lucida Sans Unicode"/>
                    <w:spacing w:val="2"/>
                    <w:szCs w:val="24"/>
                    <w:shd w:val="clear" w:color="auto" w:fill="FFFFFF"/>
                  </w:rPr>
                </w:pPr>
                <w:r>
                  <w:rPr>
                    <w:rFonts w:eastAsia="Lucida Sans Unicode"/>
                    <w:spacing w:val="2"/>
                    <w:szCs w:val="24"/>
                    <w:shd w:val="clear" w:color="auto" w:fill="FFFFFF"/>
                  </w:rPr>
                  <w:t>Akivaizdžiai neteisingų ar suklastotų duomenų atliekų susidarymo ir (ar) tvarkymo apskaitos dokumentuose ir (ar) atliekų susidarymo ir (ar) tvarkymo apskaitos ataskaitose pateikimas užtraukia baudą nuo dviejų šimtų penkiasdešimt iki šešių šimtų eurų.</w:t>
                </w:r>
              </w:p>
              <w:p w14:paraId="6EB42A81" w14:textId="6EE96F86">
                <w:pPr>
                  <w:ind w:firstLine="709"/>
                  <w:jc w:val="both"/>
                  <w:rPr>
                    <w:rFonts w:eastAsia="Lucida Sans Unicode"/>
                    <w:spacing w:val="2"/>
                    <w:szCs w:val="24"/>
                    <w:shd w:val="clear" w:color="auto" w:fill="FFFFFF"/>
                  </w:rPr>
                </w:pPr>
                <w:r>
                  <w:rPr>
                    <w:rFonts w:eastAsia="Lucida Sans Unicode"/>
                    <w:spacing w:val="2"/>
                    <w:szCs w:val="24"/>
                    <w:shd w:val="clear" w:color="auto" w:fill="FFFFFF"/>
                  </w:rPr>
                  <w:t>Atliekų susidarymo ir (ar) tvarkymo apskaitos ataskaitų nepateikimas po to, kai raštu buvo įspėta apie šių dokumentų pateikimo terminus, užtraukia baudą nuo dviejų šimtų penkiasdešimt iki keturių šimtų penkiasdešimt eurų.</w:t>
                </w:r>
              </w:p>
              <w:p w14:paraId="10CF9379" w14:textId="0BAF0762">
                <w:pPr>
                  <w:ind w:firstLine="709"/>
                  <w:jc w:val="both"/>
                  <w:rPr>
                    <w:rFonts w:eastAsia="Lucida Sans Unicode"/>
                    <w:spacing w:val="2"/>
                    <w:szCs w:val="24"/>
                    <w:shd w:val="clear" w:color="auto" w:fill="FFFFFF"/>
                  </w:rPr>
                </w:pPr>
                <w:r>
                  <w:rPr>
                    <w:rFonts w:eastAsia="Lucida Sans Unicode"/>
                    <w:spacing w:val="2"/>
                    <w:szCs w:val="24"/>
                    <w:shd w:val="clear" w:color="auto" w:fill="FFFFFF"/>
                  </w:rPr>
                  <w:t>Atliekų susidarymo ir (ar) tvarkymo apskaitos nevykdymas užtraukia baudą nuo septynių šimtų iki vieno tūkstančio keturių šimtų eurų.</w:t>
                </w:r>
              </w:p>
              <w:p w14:paraId="30802507" w14:textId="77777777">
                <w:pPr>
                  <w:ind w:firstLine="709"/>
                  <w:jc w:val="both"/>
                  <w:rPr>
                    <w:rFonts w:eastAsia="Lucida Sans Unicode"/>
                    <w:b/>
                    <w:bCs/>
                    <w:spacing w:val="2"/>
                    <w:szCs w:val="24"/>
                    <w:shd w:val="clear" w:color="auto" w:fill="FFFFFF"/>
                  </w:rPr>
                </w:pPr>
              </w:p>
              <w:p w14:paraId="7FA8CD98" w14:textId="71003863">
                <w:pPr>
                  <w:ind w:firstLine="709"/>
                  <w:jc w:val="both"/>
                  <w:rPr>
                    <w:b/>
                    <w:bCs/>
                    <w:color w:val="000000"/>
                    <w:szCs w:val="24"/>
                    <w:lang w:eastAsia="lt-LT"/>
                  </w:rPr>
                </w:pPr>
                <w:r>
                  <w:rPr>
                    <w:rFonts w:eastAsia="Lucida Sans Unicode"/>
                    <w:b/>
                    <w:bCs/>
                    <w:spacing w:val="2"/>
                    <w:szCs w:val="24"/>
                    <w:shd w:val="clear" w:color="auto" w:fill="FFFFFF"/>
                  </w:rPr>
                  <w:t>AAĮ pakeitimo įstatymo projektas</w:t>
                </w:r>
                <w:r>
                  <w:rPr>
                    <w:b/>
                    <w:bCs/>
                    <w:color w:val="000000"/>
                    <w:szCs w:val="24"/>
                    <w:lang w:eastAsia="lt-LT"/>
                  </w:rPr>
                  <w:t xml:space="preserve"> </w:t>
                </w:r>
              </w:p>
              <w:p w14:paraId="61994033" w14:textId="129B2B75">
                <w:pPr>
                  <w:widowControl w:val="0"/>
                  <w:suppressAutoHyphens/>
                  <w:ind w:firstLine="709"/>
                  <w:jc w:val="both"/>
                  <w:rPr>
                    <w:rFonts w:eastAsia="Lucida Sans Unicode"/>
                    <w:b/>
                    <w:bCs/>
                    <w:szCs w:val="24"/>
                  </w:rPr>
                </w:pPr>
                <w:r>
                  <w:rPr>
                    <w:rFonts w:eastAsia="Lucida Sans Unicode"/>
                    <w:b/>
                    <w:bCs/>
                    <w:szCs w:val="24"/>
                  </w:rPr>
                  <w:t>4 straipsnis. 95 straipsnio pakeitimas</w:t>
                </w:r>
              </w:p>
              <w:p w14:paraId="4F40C1BD" w14:textId="77777777">
                <w:pPr>
                  <w:keepNext/>
                  <w:keepLines/>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Pakeisti 95 straipsnį ir jį išdėstyti taip:</w:t>
                </w:r>
              </w:p>
              <w:p w14:paraId="7686B209" w14:textId="77777777">
                <w:pPr>
                  <w:widowControl w:val="0"/>
                  <w:shd w:val="clear" w:color="auto" w:fill="FFFFFF"/>
                  <w:suppressAutoHyphens/>
                  <w:ind w:firstLine="709"/>
                  <w:jc w:val="both"/>
                  <w:rPr>
                    <w:rFonts w:eastAsia="Lucida Sans Unicode"/>
                    <w:kern w:val="1"/>
                    <w:szCs w:val="24"/>
                    <w:lang w:eastAsia="ar-SA"/>
                  </w:rPr>
                </w:pPr>
                <w:r>
                  <w:rPr>
                    <w:rFonts w:eastAsia="Lucida Sans Unicode"/>
                    <w:kern w:val="1"/>
                    <w:szCs w:val="24"/>
                    <w:lang w:eastAsia="ar-SA"/>
                  </w:rPr>
                  <w:t>„</w:t>
                </w:r>
                <w:r>
                  <w:rPr>
                    <w:rFonts w:eastAsia="Lucida Sans Unicode"/>
                    <w:b/>
                    <w:bCs/>
                    <w:kern w:val="1"/>
                    <w:szCs w:val="24"/>
                    <w:lang w:eastAsia="ar-SA"/>
                  </w:rPr>
                  <w:t>95 straipsnis. Juridinių asmenų atsakomybė už gaminių (alyvos, elektros ir elektroninės įrangos, transporto priemonių) tiekimą Lietuvos Respublikos vidaus rinkai verslo tikslais ir (ar) apmokestinamųjų gaminių, pakuočių tiekimą Lietuvos Respublikos vidaus rinkai, ir (ar) baterijų tiekimą Lietuvos Respublikos rinkai neįsiregistravus teisės aktų nustatyta tvarka</w:t>
                </w:r>
              </w:p>
              <w:p w14:paraId="0844E0D8" w14:textId="28690532">
                <w:pPr>
                  <w:widowControl w:val="0"/>
                  <w:suppressAutoHyphens/>
                  <w:ind w:firstLine="709"/>
                  <w:jc w:val="both"/>
                  <w:rPr>
                    <w:rFonts w:eastAsia="Lucida Sans Unicode"/>
                    <w:b/>
                    <w:bCs/>
                    <w:szCs w:val="24"/>
                  </w:rPr>
                </w:pPr>
                <w:r>
                  <w:rPr>
                    <w:rFonts w:eastAsia="Lucida Sans Unicode"/>
                    <w:b/>
                    <w:bCs/>
                    <w:szCs w:val="24"/>
                  </w:rPr>
                  <w:t>&lt;...&gt;</w:t>
                </w:r>
              </w:p>
              <w:p w14:paraId="2DB1DDF5"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Automobilių ir (ar) pramoninių baterijų tiekimas Lietuvos Respublikos rinkai neįsiregistravus Lietuvos Respublikos baterijų ir baterijų atliekų tvarkymo įstatymo nustatyta tvarka užtraukia baudą nuo trijų šimtų septyniasdešimt penkių iki septynių šimtų penkiasdešimt eurų už kiekvieną neįsiregistravus nurodyto įstatymo nustatyta tvarka patiektą Lietuvos Respublikos rinkai automobilių ir (ar) pramoninių baterijų toną.</w:t>
                </w:r>
              </w:p>
              <w:p w14:paraId="1B9CCEC2"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3 dalyje numatytas pažeidimas, padarytas pakartotinai, užtraukia baudą nuo septynių šimtų penkiasdešimt iki tūkstančio penkių šimtų eurų už kiekvieną neįsiregistravus Baterijų ir baterijų atliekų tvarkymo įstatymo nustatyta tvarka patiektą Lietuvos Respublikos rinkai automobilių ir (ar) pramoninių baterijų toną.</w:t>
                </w:r>
              </w:p>
              <w:p w14:paraId="69B49847"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Elektrinių transporto priemonių baterijų tiekimas Lietuvos Respublikos rinkai neįsiregistravus Baterijų ir baterijų atliekų tvarkymo įstatymo nustatyta tvarka užtraukia baudą nuo šešių tūkstančių iki dvylikos tūkstančių eurų už kiekvieną neįsiregistravus nurodyto įstatymo nustatyta tvarka patiektą Lietuvos Respublikos rinkai elektrinių transporto priemonių baterijų toną.</w:t>
                </w:r>
              </w:p>
              <w:p w14:paraId="5042D7A6"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5 dalyje numatytas pažeidimas, padarytas pakartotinai, užtraukia baudą nuo dvylikos tūkstančių iki dvidešimt keturių tūkstančių eurų už kiekvieną neįsiregistravus Baterijų ir baterijų atliekų tvarkymo įstatymo nustatyta tvarka patiektą Lietuvos Respublikos rinkai elektrinių transporto priemonių baterijų toną.</w:t>
                </w:r>
              </w:p>
              <w:p w14:paraId="2F57DED0"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Nešiojamųjų ir (ar) mažųjų transporto priemonių baterijų tiekimas Lietuvos Respublikos rinkai neįsiregistravus Baterijų ir baterijų atliekų tvarkymo įstatymo nustatyta tvarka užtraukia baudą trylikos tūkstančių septynių šimtų penkiasdešimt iki dvidešimt septynių tūkstančių penkių šimtų eurų už kiekvieną neįsiregistravus nurodyto įstatymo nustatyta tvarka patiektą Lietuvos Respublikos rinkai nešiojamųjų ir (ar) mažųjų transporto priemonių baterijų toną.</w:t>
                </w:r>
              </w:p>
              <w:p w14:paraId="306C9F23" w14:textId="590B8D6E">
                <w:pPr>
                  <w:widowControl w:val="0"/>
                  <w:shd w:val="clear" w:color="auto" w:fill="FFFFFF"/>
                  <w:suppressAutoHyphens/>
                  <w:ind w:firstLine="709"/>
                  <w:jc w:val="both"/>
                  <w:rPr>
                    <w:rFonts w:eastAsia="Lucida Sans Unicode"/>
                    <w:kern w:val="1"/>
                    <w:szCs w:val="24"/>
                    <w:lang w:eastAsia="ar-SA"/>
                  </w:rPr>
                </w:pPr>
                <w:r>
                  <w:rPr>
                    <w:rFonts w:eastAsia="Lucida Sans Unicode"/>
                    <w:b/>
                    <w:bCs/>
                    <w:kern w:val="1"/>
                    <w:szCs w:val="24"/>
                    <w:lang w:eastAsia="ar-SA"/>
                  </w:rPr>
                  <w:t>Šio straipsnio 7 dalyje numatytas pažeidimas, padarytas pakartotinai, užtraukia baudą nuo dvidešimt septynių tūkstančių penkių šimtų iki penkiasdešimt penkių tūkstančių eurų už kiekvieną neįsiregistravus Baterijų ir baterijų atliekų tvarkymo įstatymo nustatyta tvarka patiektą Lietuvos Respublikos rinkai nešiojamųjų ir (ar) mažųjų transporto priemonių baterijų toną.</w:t>
                </w:r>
                <w:r>
                  <w:rPr>
                    <w:rFonts w:eastAsia="Lucida Sans Unicode"/>
                    <w:kern w:val="1"/>
                    <w:szCs w:val="24"/>
                    <w:lang w:eastAsia="ar-SA"/>
                  </w:rPr>
                  <w:t>“</w:t>
                </w:r>
              </w:p>
              <w:p w14:paraId="09333119" w14:textId="77777777">
                <w:pPr>
                  <w:widowControl w:val="0"/>
                  <w:shd w:val="clear" w:color="auto" w:fill="FFFFFF"/>
                  <w:suppressAutoHyphens/>
                  <w:ind w:firstLine="709"/>
                  <w:jc w:val="both"/>
                  <w:rPr>
                    <w:rFonts w:eastAsia="Lucida Sans Unicode"/>
                    <w:kern w:val="1"/>
                    <w:szCs w:val="24"/>
                    <w:lang w:eastAsia="ar-SA"/>
                  </w:rPr>
                </w:pPr>
              </w:p>
              <w:p w14:paraId="4DFB8790" w14:textId="77777777">
                <w:pPr>
                  <w:widowControl w:val="0"/>
                  <w:suppressAutoHyphens/>
                  <w:ind w:firstLine="709"/>
                  <w:jc w:val="both"/>
                  <w:rPr>
                    <w:rFonts w:eastAsia="Lucida Sans Unicode"/>
                    <w:b/>
                    <w:bCs/>
                    <w:szCs w:val="24"/>
                  </w:rPr>
                </w:pPr>
                <w:r>
                  <w:rPr>
                    <w:rFonts w:eastAsia="Lucida Sans Unicode"/>
                    <w:b/>
                    <w:bCs/>
                    <w:szCs w:val="24"/>
                  </w:rPr>
                  <w:t>6 straipsnis. 98 straipsnio pakeitimas</w:t>
                </w:r>
              </w:p>
              <w:p w14:paraId="458C8B82" w14:textId="77777777">
                <w:pPr>
                  <w:keepNext/>
                  <w:widowControl w:val="0"/>
                  <w:suppressAutoHyphens/>
                  <w:ind w:firstLine="709"/>
                  <w:jc w:val="both"/>
                  <w:rPr>
                    <w:rFonts w:eastAsia="Lucida Sans Unicode"/>
                    <w:b/>
                    <w:bCs/>
                    <w:szCs w:val="24"/>
                  </w:rPr>
                </w:pPr>
                <w:r>
                  <w:rPr>
                    <w:rFonts w:eastAsia="Lucida Sans Unicode"/>
                    <w:b/>
                    <w:bCs/>
                    <w:szCs w:val="24"/>
                  </w:rPr>
                  <w:t>1. Pakeisti 98 straipsnio pavadinimą ir jį išdėstyti taip:</w:t>
                </w:r>
              </w:p>
              <w:p w14:paraId="3BD0DF28" w14:textId="77777777">
                <w:pPr>
                  <w:widowControl w:val="0"/>
                  <w:shd w:val="clear" w:color="auto" w:fill="FFFFFF"/>
                  <w:suppressAutoHyphens/>
                  <w:ind w:firstLine="709"/>
                  <w:jc w:val="both"/>
                  <w:rPr>
                    <w:rFonts w:eastAsia="Lucida Sans Unicode"/>
                    <w:b/>
                    <w:bCs/>
                    <w:strike/>
                    <w:kern w:val="1"/>
                    <w:szCs w:val="24"/>
                    <w:lang w:eastAsia="ar-SA"/>
                  </w:rPr>
                </w:pPr>
                <w:r>
                  <w:rPr>
                    <w:rFonts w:eastAsia="Lucida Sans Unicode"/>
                    <w:b/>
                    <w:bCs/>
                    <w:kern w:val="1"/>
                    <w:szCs w:val="24"/>
                    <w:lang w:eastAsia="ar-SA"/>
                  </w:rPr>
                  <w:t>„98 straipsnis. Juridinių asmenų atsakomybė už nustatyta tvarka nepaženklintos elektros ir elektroninės įrangos tiekimą Lietuvos Respublikos vidaus rinkai verslo tikslais ar platinimą, už nustatyta tvarka nepaženklintų baterijų tiekimą Lietuvos Respublikos rinkai“.</w:t>
                </w:r>
              </w:p>
              <w:p w14:paraId="570DCEB5" w14:textId="77777777">
                <w:pPr>
                  <w:widowControl w:val="0"/>
                  <w:suppressAutoHyphens/>
                  <w:ind w:firstLine="709"/>
                  <w:jc w:val="both"/>
                  <w:rPr>
                    <w:rFonts w:eastAsia="Lucida Sans Unicode"/>
                    <w:b/>
                    <w:bCs/>
                    <w:szCs w:val="24"/>
                  </w:rPr>
                </w:pPr>
                <w:r>
                  <w:rPr>
                    <w:rFonts w:eastAsia="Lucida Sans Unicode"/>
                    <w:b/>
                    <w:bCs/>
                    <w:szCs w:val="24"/>
                  </w:rPr>
                  <w:t>2. Pakeisti 98 straipsnio 5 dalį ir ją išdėstyti taip:</w:t>
                </w:r>
              </w:p>
              <w:p w14:paraId="47BFD30A"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„Pagal nustatytus reikalavimus nepaženklintų baterijų tiekimas Lietuvos Respublikos rinkai užtraukia baudą nuo šešių šimtų iki vieno tūkstančio dviejų šimtų eurų.“</w:t>
                </w:r>
              </w:p>
              <w:p w14:paraId="71AB1508" w14:textId="77777777">
                <w:pPr>
                  <w:widowControl w:val="0"/>
                  <w:shd w:val="clear" w:color="auto" w:fill="FFFFFF"/>
                  <w:suppressAutoHyphens/>
                  <w:ind w:firstLine="709"/>
                  <w:jc w:val="both"/>
                  <w:rPr>
                    <w:rFonts w:eastAsia="Lucida Sans Unicode"/>
                    <w:b/>
                    <w:bCs/>
                    <w:kern w:val="1"/>
                    <w:szCs w:val="24"/>
                    <w:lang w:eastAsia="ar-SA"/>
                  </w:rPr>
                </w:pPr>
              </w:p>
              <w:p w14:paraId="7EC29F44" w14:textId="77777777">
                <w:pPr>
                  <w:keepNext/>
                  <w:widowControl w:val="0"/>
                  <w:suppressAutoHyphens/>
                  <w:ind w:firstLine="709"/>
                  <w:jc w:val="both"/>
                  <w:rPr>
                    <w:rFonts w:eastAsia="Lucida Sans Unicode"/>
                    <w:b/>
                    <w:bCs/>
                    <w:szCs w:val="24"/>
                  </w:rPr>
                </w:pPr>
                <w:r>
                  <w:rPr>
                    <w:rFonts w:eastAsia="Lucida Sans Unicode"/>
                    <w:b/>
                    <w:bCs/>
                    <w:szCs w:val="24"/>
                  </w:rPr>
                  <w:t>8 straipsnis. 100 straipsnio pakeitimas</w:t>
                </w:r>
              </w:p>
              <w:p w14:paraId="0B64E898"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Pakeisti 100 straipsnį ir jį išdėstyti taip:</w:t>
                </w:r>
              </w:p>
              <w:p w14:paraId="393BD07B" w14:textId="77777777">
                <w:pPr>
                  <w:widowControl w:val="0"/>
                  <w:shd w:val="clear" w:color="auto" w:fill="FFFFFF"/>
                  <w:suppressAutoHyphens/>
                  <w:ind w:firstLine="709"/>
                  <w:jc w:val="both"/>
                  <w:rPr>
                    <w:rFonts w:eastAsia="Lucida Sans Unicode"/>
                    <w:b/>
                    <w:bCs/>
                    <w:strike/>
                    <w:kern w:val="1"/>
                    <w:szCs w:val="24"/>
                    <w:lang w:eastAsia="ar-SA"/>
                  </w:rPr>
                </w:pPr>
                <w:r>
                  <w:rPr>
                    <w:rFonts w:eastAsia="Lucida Sans Unicode"/>
                    <w:b/>
                    <w:bCs/>
                    <w:kern w:val="1"/>
                    <w:szCs w:val="24"/>
                    <w:lang w:eastAsia="ar-SA"/>
                  </w:rPr>
                  <w:t xml:space="preserve">„100 straipsnis. Juridinių asmenų atsakomybė už baterijų, kuriose viršijamas nustatytas gyvsidabrio, kadmio ir (ar) švino kiekis, tiekimą Lietuvos Respublikos rinkai </w:t>
                </w:r>
              </w:p>
              <w:p w14:paraId="46B9E08A"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Baterijų, kuriose viršijamas Reglamente </w:t>
                </w:r>
                <w:fldSimple w:instr="HYPERLINK http://eur-lex.europa.eu/legal-content/LIT/TXT/?uri=CELEX:32023R1542&amp;locale=lt \t _blank">
                  <w:r>
                    <w:rPr>
                      <w:rFonts w:eastAsia="Lucida Sans Unicode"/>
                      <w:b/>
                      <w:bCs/>
                      <w:kern w:val="1"/>
                      <w:szCs w:val="24"/>
                      <w:lang w:eastAsia="ar-SA"/>
                      <w:u w:val="single"/>
                      <w:color w:val="0000FF" w:themeColor="hyperlink"/>
                    </w:rPr>
                    <w:t>(ES) 2023/1542</w:t>
                  </w:r>
                </w:fldSimple>
                <w:r>
                  <w:rPr>
                    <w:rFonts w:eastAsia="Lucida Sans Unicode"/>
                    <w:b/>
                    <w:bCs/>
                    <w:kern w:val="1"/>
                    <w:szCs w:val="24"/>
                    <w:lang w:eastAsia="ar-SA"/>
                  </w:rPr>
                  <w:t xml:space="preserve"> nustatytas gyvsidabrio, kadmio ir (ar) švino kiekis, tiekimas Lietuvos Respublikos rinkai užtraukia baudą nuo vieno tūkstančio septynių šimtų iki keturių tūkstančių eurų.</w:t>
                </w:r>
              </w:p>
              <w:p w14:paraId="63E7F083"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1 dalyje numatytas pažeidimas, padarytas pakartotinai, užtraukia baudą nuo keturių tūkstančių iki šešių tūkstančių eurų.“</w:t>
                </w:r>
              </w:p>
              <w:p w14:paraId="0EDD21DF" w14:textId="77777777">
                <w:pPr>
                  <w:widowControl w:val="0"/>
                  <w:tabs>
                    <w:tab w:val="left" w:pos="567"/>
                  </w:tabs>
                  <w:suppressAutoHyphens/>
                  <w:ind w:firstLine="709"/>
                  <w:jc w:val="both"/>
                  <w:rPr>
                    <w:rFonts w:eastAsia="Lucida Sans Unicode"/>
                    <w:b/>
                    <w:bCs/>
                    <w:szCs w:val="24"/>
                  </w:rPr>
                </w:pPr>
              </w:p>
              <w:p w14:paraId="393B2CB7" w14:textId="77777777">
                <w:pPr>
                  <w:widowControl w:val="0"/>
                  <w:tabs>
                    <w:tab w:val="left" w:pos="567"/>
                  </w:tabs>
                  <w:suppressAutoHyphens/>
                  <w:ind w:firstLine="709"/>
                  <w:jc w:val="both"/>
                  <w:rPr>
                    <w:rFonts w:eastAsia="Lucida Sans Unicode"/>
                    <w:b/>
                    <w:bCs/>
                    <w:color w:val="000000"/>
                    <w:szCs w:val="24"/>
                  </w:rPr>
                </w:pPr>
                <w:r>
                  <w:rPr>
                    <w:rFonts w:eastAsia="Lucida Sans Unicode"/>
                    <w:b/>
                    <w:bCs/>
                    <w:color w:val="000000"/>
                    <w:szCs w:val="24"/>
                  </w:rPr>
                  <w:t>9 straipsnis. Įstatymo papildymas 100</w:t>
                </w:r>
                <w:r>
                  <w:rPr>
                    <w:rFonts w:eastAsia="Lucida Sans Unicode"/>
                    <w:b/>
                    <w:bCs/>
                    <w:color w:val="000000"/>
                    <w:szCs w:val="24"/>
                    <w:vertAlign w:val="superscript"/>
                  </w:rPr>
                  <w:t>2</w:t>
                </w:r>
                <w:r>
                  <w:rPr>
                    <w:rFonts w:eastAsia="Lucida Sans Unicode"/>
                    <w:b/>
                    <w:bCs/>
                    <w:color w:val="000000"/>
                    <w:szCs w:val="24"/>
                  </w:rPr>
                  <w:t xml:space="preserve"> straipsniu</w:t>
                </w:r>
              </w:p>
              <w:p w14:paraId="2E2F37FB" w14:textId="77777777">
                <w:pPr>
                  <w:widowControl w:val="0"/>
                  <w:tabs>
                    <w:tab w:val="left" w:pos="567"/>
                  </w:tabs>
                  <w:suppressAutoHyphens/>
                  <w:ind w:firstLine="709"/>
                  <w:jc w:val="both"/>
                  <w:rPr>
                    <w:rFonts w:eastAsia="Lucida Sans Unicode"/>
                    <w:b/>
                    <w:bCs/>
                    <w:color w:val="000000"/>
                    <w:szCs w:val="24"/>
                  </w:rPr>
                </w:pPr>
                <w:r>
                  <w:rPr>
                    <w:rFonts w:eastAsia="Lucida Sans Unicode"/>
                    <w:b/>
                    <w:bCs/>
                    <w:color w:val="000000"/>
                    <w:szCs w:val="24"/>
                  </w:rPr>
                  <w:t>Papildyti Įstatymą 100</w:t>
                </w:r>
                <w:r>
                  <w:rPr>
                    <w:rFonts w:eastAsia="Lucida Sans Unicode"/>
                    <w:b/>
                    <w:bCs/>
                    <w:color w:val="000000"/>
                    <w:szCs w:val="24"/>
                    <w:vertAlign w:val="superscript"/>
                  </w:rPr>
                  <w:t>2</w:t>
                </w:r>
                <w:r>
                  <w:rPr>
                    <w:rFonts w:eastAsia="Lucida Sans Unicode"/>
                    <w:b/>
                    <w:bCs/>
                    <w:color w:val="000000"/>
                    <w:szCs w:val="24"/>
                  </w:rPr>
                  <w:t xml:space="preserve"> straipsniu:</w:t>
                </w:r>
              </w:p>
              <w:p w14:paraId="6483674E" w14:textId="77777777">
                <w:pPr>
                  <w:widowControl w:val="0"/>
                  <w:tabs>
                    <w:tab w:val="left" w:pos="567"/>
                  </w:tabs>
                  <w:suppressAutoHyphens/>
                  <w:ind w:firstLine="709"/>
                  <w:jc w:val="both"/>
                  <w:rPr>
                    <w:rFonts w:eastAsia="Lucida Sans Unicode"/>
                    <w:b/>
                    <w:bCs/>
                    <w:strike/>
                    <w:kern w:val="1"/>
                    <w:szCs w:val="24"/>
                    <w:lang w:eastAsia="ar-SA"/>
                  </w:rPr>
                </w:pPr>
                <w:r>
                  <w:rPr>
                    <w:rFonts w:eastAsia="Lucida Sans Unicode"/>
                    <w:b/>
                    <w:bCs/>
                    <w:color w:val="000000"/>
                    <w:szCs w:val="24"/>
                  </w:rPr>
                  <w:t>„100</w:t>
                </w:r>
                <w:r>
                  <w:rPr>
                    <w:rFonts w:eastAsia="Lucida Sans Unicode"/>
                    <w:b/>
                    <w:bCs/>
                    <w:color w:val="000000"/>
                    <w:szCs w:val="24"/>
                    <w:vertAlign w:val="superscript"/>
                  </w:rPr>
                  <w:t>2</w:t>
                </w:r>
                <w:r>
                  <w:rPr>
                    <w:rFonts w:eastAsia="Lucida Sans Unicode"/>
                    <w:b/>
                    <w:bCs/>
                    <w:color w:val="000000"/>
                    <w:szCs w:val="24"/>
                  </w:rPr>
                  <w:t> straipsnis. </w:t>
                </w:r>
                <w:r>
                  <w:rPr>
                    <w:rFonts w:eastAsia="Lucida Sans Unicode"/>
                    <w:b/>
                    <w:bCs/>
                    <w:kern w:val="1"/>
                    <w:szCs w:val="24"/>
                    <w:lang w:eastAsia="ar-SA"/>
                  </w:rPr>
                  <w:t xml:space="preserve">Juridinių asmenų atsakomybė už baterijų </w:t>
                </w:r>
                <w:r>
                  <w:rPr>
                    <w:rFonts w:eastAsia="Lucida Sans Unicode"/>
                    <w:b/>
                    <w:bCs/>
                    <w:szCs w:val="24"/>
                  </w:rPr>
                  <w:t>atliekų tvarkymo reikalavimų nevykdymą</w:t>
                </w:r>
              </w:p>
              <w:p w14:paraId="201F1459" w14:textId="77777777">
                <w:pPr>
                  <w:widowControl w:val="0"/>
                  <w:tabs>
                    <w:tab w:val="left" w:pos="567"/>
                  </w:tabs>
                  <w:suppressAutoHyphens/>
                  <w:ind w:firstLine="709"/>
                  <w:jc w:val="both"/>
                  <w:rPr>
                    <w:rFonts w:eastAsia="Lucida Sans Unicode"/>
                    <w:b/>
                    <w:bCs/>
                    <w:color w:val="000000"/>
                    <w:szCs w:val="24"/>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nustatytų</w:t>
                </w:r>
                <w:r>
                  <w:rPr>
                    <w:rFonts w:eastAsia="Lucida Sans Unicode"/>
                    <w:b/>
                    <w:bCs/>
                    <w:iCs/>
                    <w:color w:val="000000"/>
                    <w:szCs w:val="24"/>
                  </w:rPr>
                  <w:t xml:space="preserve"> baterijų atliekų rūšiavimo reikalavimų nevykdymas arba netinkamas vykdymas</w:t>
                </w:r>
                <w:r>
                  <w:rPr>
                    <w:rFonts w:eastAsia="Lucida Sans Unicode"/>
                    <w:b/>
                    <w:bCs/>
                    <w:color w:val="000000"/>
                    <w:szCs w:val="24"/>
                  </w:rPr>
                  <w:t xml:space="preserve"> užtraukia baudą nuo dviejų šimtų iki aštuonių šimtų eurų.</w:t>
                </w:r>
                <w:r>
                  <w:rPr>
                    <w:rFonts w:eastAsia="Lucida Sans Unicode"/>
                    <w:b/>
                    <w:bCs/>
                    <w:iCs/>
                    <w:color w:val="000000"/>
                    <w:szCs w:val="24"/>
                  </w:rPr>
                  <w:t xml:space="preserve"> </w:t>
                </w:r>
              </w:p>
              <w:p w14:paraId="635C5B38"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1 dalyje numatytas pažeidimas, padarytas pakartotinai, užtraukia baudą nuo aštuonių šimtų iki vieno tūkstančio šešių šimtų eurų.</w:t>
                </w:r>
              </w:p>
              <w:p w14:paraId="692458B8"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platintojams </w:t>
                </w:r>
                <w:r>
                  <w:rPr>
                    <w:rFonts w:eastAsia="Lucida Sans Unicode"/>
                    <w:b/>
                    <w:bCs/>
                    <w:szCs w:val="24"/>
                  </w:rPr>
                  <w:t xml:space="preserve">numatytos pareigos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62 straipsnyje </w:t>
                </w:r>
                <w:r>
                  <w:rPr>
                    <w:rFonts w:eastAsia="Lucida Sans Unicode"/>
                    <w:b/>
                    <w:bCs/>
                    <w:kern w:val="1"/>
                    <w:szCs w:val="24"/>
                    <w:lang w:eastAsia="ar-SA"/>
                  </w:rPr>
                  <w:t xml:space="preserve">nustatyta tvarka iš galutinių naudotojų priimti baterijų atliekas nevykdymas užtraukia baudą nuo keturių šimtų penkiasdešimt iki aštuonių šimtų penkiasdešimt eurų. </w:t>
                </w:r>
              </w:p>
              <w:p w14:paraId="326C81D5"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3 dalyje numatytas pažeidimas, padarytas pakartotinai, užtraukia baudą nuo aštuonių šimtų penkiasdešimt iki vieno tūkstančio septynių šimtų eurų.</w:t>
                </w:r>
              </w:p>
              <w:p w14:paraId="07BD8CF1" w14:textId="77777777">
                <w:pPr>
                  <w:widowControl w:val="0"/>
                  <w:suppressAutoHyphens/>
                  <w:ind w:firstLine="709"/>
                  <w:jc w:val="both"/>
                  <w:rPr>
                    <w:rFonts w:eastAsia="Lucida Sans Unicode"/>
                    <w:b/>
                    <w:bCs/>
                    <w:szCs w:val="24"/>
                    <w:lang w:eastAsia="ar-SA"/>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w:t>
                </w:r>
                <w:r>
                  <w:rPr>
                    <w:rFonts w:eastAsia="Lucida Sans Unicode"/>
                    <w:b/>
                    <w:bCs/>
                    <w:szCs w:val="24"/>
                    <w:lang w:eastAsia="ar-SA"/>
                  </w:rPr>
                  <w:t xml:space="preserve">nustatytos pareigos nuotolinės prekybos atveju informuoti galutinius naudotojus baterijų atliekų </w:t>
                </w:r>
                <w:r>
                  <w:rPr>
                    <w:rFonts w:eastAsia="Lucida Sans Unicode"/>
                    <w:b/>
                    <w:bCs/>
                    <w:szCs w:val="24"/>
                    <w:shd w:val="clear" w:color="auto" w:fill="FFFFFF"/>
                    <w:lang w:eastAsia="ar-SA"/>
                  </w:rPr>
                  <w:t>priėmimo</w:t>
                </w:r>
                <w:r>
                  <w:rPr>
                    <w:rFonts w:eastAsia="Lucida Sans Unicode"/>
                    <w:b/>
                    <w:bCs/>
                    <w:szCs w:val="24"/>
                    <w:lang w:eastAsia="ar-SA"/>
                  </w:rPr>
                  <w:t xml:space="preserve"> klausimais nevykdymas arba netinkamas vykdymas užtraukia baudą platintojui nuo trijų šimtų iki šešių šimtų eurų.</w:t>
                </w:r>
              </w:p>
              <w:p w14:paraId="0DD4B4BF" w14:textId="77777777">
                <w:pPr>
                  <w:widowControl w:val="0"/>
                  <w:suppressAutoHyphens/>
                  <w:ind w:firstLine="709"/>
                  <w:jc w:val="both"/>
                  <w:rPr>
                    <w:rFonts w:eastAsia="Lucida Sans Unicode"/>
                    <w:b/>
                    <w:bCs/>
                    <w:kern w:val="1"/>
                    <w:szCs w:val="24"/>
                    <w:lang w:eastAsia="ar-SA"/>
                  </w:rPr>
                </w:pPr>
                <w:r>
                  <w:rPr>
                    <w:rFonts w:eastAsia="Lucida Sans Unicode"/>
                    <w:b/>
                    <w:bCs/>
                    <w:szCs w:val="24"/>
                    <w:lang w:val="lt"/>
                  </w:rPr>
                  <w:t>Šio straipsnio 5 dalyje numatytas pažeidimas, padarytas pakartotinai, užtraukia baudą platintojui nuo šešių šimtų iki vieno tūkstančio dviejų šimtų eurų.“</w:t>
                </w:r>
              </w:p>
              <w:p w14:paraId="785671E4" w14:textId="77777777">
                <w:pPr>
                  <w:widowControl w:val="0"/>
                  <w:suppressAutoHyphens/>
                  <w:ind w:firstLine="709"/>
                  <w:jc w:val="both"/>
                  <w:rPr>
                    <w:rFonts w:eastAsia="Lucida Sans Unicode"/>
                    <w:b/>
                    <w:bCs/>
                    <w:szCs w:val="24"/>
                    <w:lang w:val="lt"/>
                  </w:rPr>
                </w:pPr>
              </w:p>
              <w:p w14:paraId="57B8118C" w14:textId="77777777">
                <w:pPr>
                  <w:widowControl w:val="0"/>
                  <w:suppressAutoHyphens/>
                  <w:ind w:firstLine="709"/>
                  <w:jc w:val="both"/>
                  <w:rPr>
                    <w:rFonts w:eastAsia="Lucida Sans Unicode"/>
                    <w:b/>
                    <w:bCs/>
                    <w:szCs w:val="24"/>
                  </w:rPr>
                </w:pPr>
                <w:r>
                  <w:rPr>
                    <w:rFonts w:eastAsia="Lucida Sans Unicode"/>
                    <w:b/>
                    <w:bCs/>
                    <w:szCs w:val="24"/>
                  </w:rPr>
                  <w:t>10 straipsnis. 100</w:t>
                </w:r>
                <w:r>
                  <w:rPr>
                    <w:rFonts w:eastAsia="Lucida Sans Unicode"/>
                    <w:b/>
                    <w:bCs/>
                    <w:szCs w:val="24"/>
                    <w:vertAlign w:val="superscript"/>
                  </w:rPr>
                  <w:t>2</w:t>
                </w:r>
                <w:r>
                  <w:rPr>
                    <w:rFonts w:eastAsia="Lucida Sans Unicode"/>
                    <w:b/>
                    <w:bCs/>
                    <w:szCs w:val="24"/>
                  </w:rPr>
                  <w:t xml:space="preserve"> straipsnio pakeitimas</w:t>
                </w:r>
              </w:p>
              <w:p w14:paraId="4B860D2A" w14:textId="77777777">
                <w:pPr>
                  <w:widowControl w:val="0"/>
                  <w:suppressAutoHyphens/>
                  <w:ind w:firstLine="709"/>
                  <w:jc w:val="both"/>
                  <w:rPr>
                    <w:rFonts w:eastAsia="Lucida Sans Unicode"/>
                    <w:b/>
                    <w:bCs/>
                    <w:szCs w:val="24"/>
                  </w:rPr>
                </w:pPr>
                <w:r>
                  <w:rPr>
                    <w:rFonts w:eastAsia="Lucida Sans Unicode"/>
                    <w:b/>
                    <w:bCs/>
                    <w:szCs w:val="24"/>
                  </w:rPr>
                  <w:t>Pakeisti 100</w:t>
                </w:r>
                <w:r>
                  <w:rPr>
                    <w:rFonts w:eastAsia="Lucida Sans Unicode"/>
                    <w:b/>
                    <w:bCs/>
                    <w:szCs w:val="24"/>
                    <w:vertAlign w:val="superscript"/>
                  </w:rPr>
                  <w:t>2</w:t>
                </w:r>
                <w:r>
                  <w:rPr>
                    <w:rFonts w:eastAsia="Lucida Sans Unicode"/>
                    <w:b/>
                    <w:bCs/>
                    <w:szCs w:val="24"/>
                  </w:rPr>
                  <w:t xml:space="preserve"> straipsnį ir jį išdėstyti taip: </w:t>
                </w:r>
              </w:p>
              <w:p w14:paraId="70B3D960" w14:textId="77777777">
                <w:pPr>
                  <w:widowControl w:val="0"/>
                  <w:shd w:val="clear" w:color="auto" w:fill="FFFFFF"/>
                  <w:suppressAutoHyphens/>
                  <w:ind w:firstLine="709"/>
                  <w:jc w:val="both"/>
                  <w:rPr>
                    <w:rFonts w:eastAsia="Lucida Sans Unicode"/>
                    <w:b/>
                    <w:bCs/>
                    <w:strike/>
                    <w:kern w:val="1"/>
                    <w:szCs w:val="24"/>
                    <w:lang w:eastAsia="ar-SA"/>
                  </w:rPr>
                </w:pPr>
                <w:r>
                  <w:rPr>
                    <w:rFonts w:eastAsia="Lucida Sans Unicode"/>
                    <w:b/>
                    <w:bCs/>
                    <w:kern w:val="1"/>
                    <w:szCs w:val="24"/>
                    <w:lang w:eastAsia="ar-SA"/>
                  </w:rPr>
                  <w:t>„100</w:t>
                </w:r>
                <w:r>
                  <w:rPr>
                    <w:rFonts w:eastAsia="Lucida Sans Unicode"/>
                    <w:b/>
                    <w:bCs/>
                    <w:kern w:val="1"/>
                    <w:szCs w:val="24"/>
                    <w:vertAlign w:val="superscript"/>
                    <w:lang w:eastAsia="ar-SA"/>
                  </w:rPr>
                  <w:t>2</w:t>
                </w:r>
                <w:r>
                  <w:rPr>
                    <w:rFonts w:eastAsia="Lucida Sans Unicode"/>
                    <w:b/>
                    <w:bCs/>
                    <w:kern w:val="1"/>
                    <w:szCs w:val="24"/>
                    <w:lang w:eastAsia="ar-SA"/>
                  </w:rPr>
                  <w:t xml:space="preserve"> straipsnis. Juridinių asmenų atsakomybė už </w:t>
                </w:r>
                <w:r>
                  <w:rPr>
                    <w:rFonts w:eastAsia="Lucida Sans Unicode"/>
                    <w:b/>
                    <w:bCs/>
                    <w:szCs w:val="24"/>
                  </w:rPr>
                  <w:t>baterijų atliekų tvarkymo reikalavimų nevykdymą</w:t>
                </w:r>
              </w:p>
              <w:p w14:paraId="3EA71EE7" w14:textId="77777777">
                <w:pPr>
                  <w:widowControl w:val="0"/>
                  <w:tabs>
                    <w:tab w:val="left" w:pos="567"/>
                  </w:tabs>
                  <w:suppressAutoHyphens/>
                  <w:ind w:firstLine="709"/>
                  <w:jc w:val="both"/>
                  <w:rPr>
                    <w:rFonts w:eastAsia="Lucida Sans Unicode"/>
                    <w:b/>
                    <w:bCs/>
                    <w:szCs w:val="24"/>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nustatytų</w:t>
                </w:r>
                <w:r>
                  <w:rPr>
                    <w:rFonts w:eastAsia="Lucida Sans Unicode"/>
                    <w:b/>
                    <w:bCs/>
                    <w:iCs/>
                    <w:color w:val="000000"/>
                    <w:szCs w:val="24"/>
                  </w:rPr>
                  <w:t xml:space="preserve"> baterijų atliekų rūšiavimo reikalavimų nevykdymas arba netinkamas vykdymas</w:t>
                </w:r>
                <w:r>
                  <w:rPr>
                    <w:rFonts w:eastAsia="Lucida Sans Unicode"/>
                    <w:b/>
                    <w:bCs/>
                    <w:color w:val="000000"/>
                    <w:szCs w:val="24"/>
                  </w:rPr>
                  <w:t xml:space="preserve"> užtraukia baudą nuo dviejų šimtų iki aštuonių šimtų eurų.</w:t>
                </w:r>
                <w:r>
                  <w:rPr>
                    <w:rFonts w:eastAsia="Lucida Sans Unicode"/>
                    <w:b/>
                    <w:bCs/>
                    <w:iCs/>
                    <w:color w:val="000000"/>
                    <w:szCs w:val="24"/>
                  </w:rPr>
                  <w:t xml:space="preserve"> </w:t>
                </w:r>
              </w:p>
              <w:p w14:paraId="2C595478"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Šio straipsnio 1 dalyje numatytas pažeidimas, padarytas pakartotinai, užtraukia baudą nuo aštuonių šimtų iki vieno tūkstančio šešių šimtų eurų.</w:t>
                </w:r>
              </w:p>
              <w:p w14:paraId="7A0A3D2E" w14:textId="77777777">
                <w:pPr>
                  <w:widowControl w:val="0"/>
                  <w:shd w:val="clear" w:color="auto" w:fill="FFFFFF"/>
                  <w:suppressAutoHyphens/>
                  <w:ind w:firstLine="709"/>
                  <w:jc w:val="both"/>
                  <w:rPr>
                    <w:rFonts w:eastAsia="Lucida Sans Unicode"/>
                    <w:b/>
                    <w:bCs/>
                    <w:color w:val="000000"/>
                    <w:kern w:val="1"/>
                    <w:szCs w:val="24"/>
                    <w:lang w:eastAsia="ar-SA"/>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platintojams numatytos pareigos 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62 straipsnyje </w:t>
                </w:r>
                <w:r>
                  <w:rPr>
                    <w:rFonts w:eastAsia="Lucida Sans Unicode"/>
                    <w:b/>
                    <w:bCs/>
                    <w:color w:val="000000"/>
                    <w:kern w:val="1"/>
                    <w:szCs w:val="24"/>
                    <w:lang w:eastAsia="ar-SA"/>
                  </w:rPr>
                  <w:t xml:space="preserve">nustatyta tvarka </w:t>
                </w:r>
                <w:r>
                  <w:rPr>
                    <w:rFonts w:eastAsia="Lucida Sans Unicode"/>
                    <w:b/>
                    <w:bCs/>
                    <w:kern w:val="1"/>
                    <w:szCs w:val="24"/>
                    <w:lang w:eastAsia="ar-SA"/>
                  </w:rPr>
                  <w:t xml:space="preserve">iš galutinių naudotojų </w:t>
                </w:r>
                <w:r>
                  <w:rPr>
                    <w:rFonts w:eastAsia="Lucida Sans Unicode"/>
                    <w:b/>
                    <w:bCs/>
                    <w:color w:val="000000"/>
                    <w:kern w:val="1"/>
                    <w:szCs w:val="24"/>
                    <w:lang w:eastAsia="ar-SA"/>
                  </w:rPr>
                  <w:t xml:space="preserve">priimti baterijų atliekas nevykdymas užtraukia baudą nuo keturių šimtų penkiasdešimt iki aštuonių šimtų penkiasdešimt eurų. </w:t>
                </w:r>
              </w:p>
              <w:p w14:paraId="75DA19C0" w14:textId="77777777">
                <w:pPr>
                  <w:widowControl w:val="0"/>
                  <w:shd w:val="clear" w:color="auto" w:fill="FFFFFF"/>
                  <w:suppressAutoHyphens/>
                  <w:ind w:firstLine="709"/>
                  <w:jc w:val="both"/>
                  <w:rPr>
                    <w:rFonts w:eastAsia="Lucida Sans Unicode"/>
                    <w:b/>
                    <w:bCs/>
                    <w:color w:val="000000"/>
                    <w:kern w:val="1"/>
                    <w:szCs w:val="24"/>
                    <w:lang w:eastAsia="ar-SA"/>
                  </w:rPr>
                </w:pPr>
                <w:r>
                  <w:rPr>
                    <w:rFonts w:eastAsia="Lucida Sans Unicode"/>
                    <w:b/>
                    <w:bCs/>
                    <w:color w:val="000000"/>
                    <w:kern w:val="1"/>
                    <w:szCs w:val="24"/>
                    <w:lang w:eastAsia="ar-SA"/>
                  </w:rPr>
                  <w:t>Šio straipsnio 3 dalyje numatytas pažeidimas, padarytas pakartotinai, užtraukia baudą nuo aštuonių šimtų penkiasdešimt iki vieno tūkstančio septynių šimtų eurų.</w:t>
                </w:r>
              </w:p>
              <w:p w14:paraId="4B1AC752"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 xml:space="preserve">Baterijų apskaitos tvarkymas nesilaikant baterijų apskaitą reglamentuojančiuose teisės aktuose nustatytų reikalavimų, kai juridinis asmuo apie pažeidimą buvo įspėtas raštu, užtraukia baudą nuo devynių šimtų iki vieno tūkstančio septynių šimtų eurų. </w:t>
                </w:r>
              </w:p>
              <w:p w14:paraId="5D5D7645"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 xml:space="preserve">Šio straipsnio </w:t>
                </w:r>
                <w:r>
                  <w:rPr>
                    <w:rFonts w:eastAsia="Lucida Sans Unicode"/>
                    <w:b/>
                    <w:bCs/>
                    <w:szCs w:val="24"/>
                    <w:lang w:eastAsia="ar-SA"/>
                  </w:rPr>
                  <w:t xml:space="preserve">5 </w:t>
                </w:r>
                <w:r>
                  <w:rPr>
                    <w:rFonts w:eastAsia="Lucida Sans Unicode"/>
                    <w:b/>
                    <w:bCs/>
                    <w:kern w:val="1"/>
                    <w:szCs w:val="24"/>
                    <w:shd w:val="clear" w:color="auto" w:fill="FFFFFF"/>
                    <w:lang w:eastAsia="ar-SA"/>
                  </w:rPr>
                  <w:t xml:space="preserve">dalyje numatytas pažeidimas, padarytas pakartotinai, užtraukia baudą nuo vieno tūkstančio septynių šimtų iki trijų tūkstančių keturių šimtų eurų. </w:t>
                </w:r>
              </w:p>
              <w:p w14:paraId="658F1AF8" w14:textId="77777777">
                <w:pPr>
                  <w:widowControl w:val="0"/>
                  <w:suppressAutoHyphens/>
                  <w:ind w:firstLine="709"/>
                  <w:jc w:val="both"/>
                  <w:rPr>
                    <w:rFonts w:eastAsia="Lucida Sans Unicode"/>
                    <w:b/>
                    <w:bCs/>
                    <w:color w:val="000000"/>
                    <w:kern w:val="1"/>
                    <w:szCs w:val="24"/>
                    <w:lang w:eastAsia="ar-SA"/>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w:t>
                </w:r>
                <w:r>
                  <w:rPr>
                    <w:rFonts w:eastAsia="Lucida Sans Unicode"/>
                    <w:b/>
                    <w:bCs/>
                    <w:color w:val="000000"/>
                    <w:szCs w:val="24"/>
                    <w:lang w:eastAsia="ar-SA"/>
                  </w:rPr>
                  <w:t xml:space="preserve">nustatytos pareigos nuotolinės prekybos atveju informuoti galutinius naudotojus baterijų atliekų </w:t>
                </w:r>
                <w:r>
                  <w:rPr>
                    <w:rFonts w:eastAsia="Lucida Sans Unicode"/>
                    <w:b/>
                    <w:bCs/>
                    <w:color w:val="000000"/>
                    <w:szCs w:val="24"/>
                    <w:shd w:val="clear" w:color="auto" w:fill="FFFFFF"/>
                    <w:lang w:eastAsia="ar-SA"/>
                  </w:rPr>
                  <w:t>priėmimo</w:t>
                </w:r>
                <w:r>
                  <w:rPr>
                    <w:rFonts w:eastAsia="Lucida Sans Unicode"/>
                    <w:b/>
                    <w:bCs/>
                    <w:color w:val="000000"/>
                    <w:szCs w:val="24"/>
                    <w:lang w:eastAsia="ar-SA"/>
                  </w:rPr>
                  <w:t xml:space="preserve"> klausimais nevykdymas arba netinkamas vykdymas užtraukia baudą platintojui nuo trijų šimtų iki šešių šimtų eurų.</w:t>
                </w:r>
              </w:p>
              <w:p w14:paraId="3E0A7722" w14:textId="77777777">
                <w:pPr>
                  <w:widowControl w:val="0"/>
                  <w:suppressAutoHyphens/>
                  <w:ind w:firstLine="709"/>
                  <w:jc w:val="both"/>
                  <w:rPr>
                    <w:rFonts w:eastAsia="Lucida Sans Unicode"/>
                    <w:b/>
                    <w:bCs/>
                    <w:kern w:val="1"/>
                    <w:szCs w:val="24"/>
                    <w:lang w:eastAsia="ar-SA"/>
                  </w:rPr>
                </w:pPr>
                <w:r>
                  <w:rPr>
                    <w:rFonts w:eastAsia="Lucida Sans Unicode"/>
                    <w:b/>
                    <w:bCs/>
                    <w:szCs w:val="24"/>
                    <w:lang w:val="lt"/>
                  </w:rPr>
                  <w:t>Šio straipsnio 7 dalyje numatytas pažeidimas, padarytas pakartotinai, užtraukia baudą platintojui nuo šešių šimtų iki vieno tūkstančio dviejų šimtų eurų.</w:t>
                </w:r>
              </w:p>
              <w:p w14:paraId="3289216E" w14:textId="77777777">
                <w:pPr>
                  <w:widowControl w:val="0"/>
                  <w:suppressAutoHyphens/>
                  <w:ind w:firstLine="709"/>
                  <w:jc w:val="both"/>
                  <w:rPr>
                    <w:rFonts w:eastAsia="Lucida Sans Unicode"/>
                    <w:b/>
                    <w:bCs/>
                    <w:szCs w:val="24"/>
                    <w:lang w:val="lt"/>
                  </w:rPr>
                </w:pPr>
                <w:r>
                  <w:rPr>
                    <w:rFonts w:eastAsia="Lucida Sans Unicode"/>
                    <w:b/>
                    <w:bCs/>
                    <w:color w:val="000000"/>
                    <w:szCs w:val="24"/>
                  </w:rPr>
                  <w:t xml:space="preserve">Reglamente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w:t>
                </w:r>
                <w:r>
                  <w:rPr>
                    <w:rFonts w:eastAsia="Lucida Sans Unicode"/>
                    <w:b/>
                    <w:bCs/>
                    <w:color w:val="000000"/>
                    <w:kern w:val="1"/>
                    <w:szCs w:val="24"/>
                    <w:shd w:val="clear" w:color="auto" w:fill="FFFFFF"/>
                    <w:lang w:eastAsia="ar-SA"/>
                  </w:rPr>
                  <w:t xml:space="preserve">nustatytų baterijų atliekų perdirbimo veiksmingumo ir medžiagų regeneravimo tikslinių normų neįvykdymas </w:t>
                </w:r>
                <w:r>
                  <w:rPr>
                    <w:rFonts w:eastAsia="Lucida Sans Unicode"/>
                    <w:b/>
                    <w:bCs/>
                    <w:color w:val="000000"/>
                    <w:szCs w:val="24"/>
                    <w:lang w:eastAsia="ar-SA"/>
                  </w:rPr>
                  <w:t xml:space="preserve">užtraukia baudą </w:t>
                </w:r>
                <w:r>
                  <w:rPr>
                    <w:rFonts w:eastAsia="Lucida Sans Unicode"/>
                    <w:b/>
                    <w:bCs/>
                    <w:color w:val="000000"/>
                    <w:kern w:val="1"/>
                    <w:szCs w:val="24"/>
                    <w:shd w:val="clear" w:color="auto" w:fill="FFFFFF"/>
                    <w:lang w:eastAsia="ar-SA"/>
                  </w:rPr>
                  <w:t xml:space="preserve">baterijų atliekų perdirbėjui </w:t>
                </w:r>
                <w:r>
                  <w:rPr>
                    <w:rFonts w:eastAsia="Lucida Sans Unicode"/>
                    <w:b/>
                    <w:bCs/>
                    <w:szCs w:val="24"/>
                    <w:lang w:val="lt"/>
                  </w:rPr>
                  <w:t xml:space="preserve">nuo penkių tūkstančių keturių šimtų iki dvylikos tūkstančių eurų. </w:t>
                </w:r>
              </w:p>
              <w:p w14:paraId="51D436C7"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szCs w:val="24"/>
                    <w:lang w:eastAsia="ar-SA"/>
                  </w:rPr>
                  <w:t>Neteisingų duomenų baterijų apskaitoje ir (ar) apskaitos ataskaitoje pateikimas, kai neapskaityta iki 0,5 tonos pateiktų Lietuvos Respublikos rinkai baterijų ir juridinis asmuo apie pažeidimą buvo įspėtas raštu, užtraukia baudą nuo šešių tūkstančių iki dvylikos tūkstančių eurų.</w:t>
                </w:r>
              </w:p>
              <w:p w14:paraId="55464483"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Neteisingų duomenų baterijų apskaitoje ir (ar) apskaitos ataskaitoje pateikimas, kai neapskaityta daugiau kaip 0,5 tonos, bet mažiau kaip 5 tonos pateiktų Lietuvos Respublikos rinkai baterijų ir juridinis asmuo apie pažeidimą buvo įspėtas raštu, užtraukia baudą nuo dvylikos tūkstančių iki trisdešimt tūkstančių penkių šimtų eurų.</w:t>
                </w:r>
              </w:p>
              <w:p w14:paraId="03BF35BA"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 xml:space="preserve">Neteisingų duomenų baterijų apskaitoje ir (ar) apskaitos ataskaitoje pateikimas, kai neapskaityta daugiau kaip 5 tonos, bet mažiau kaip 10 tonų pateiktų Lietuvos Respublikos rinkai baterijų ir juridinis asmuo apie pažeidimą buvo įspėtas raštu, užtraukia baudą nuo trisdešimt tūkstančių penkių šimtų iki šešiasdešimt vieno tūkstančio eurų. </w:t>
                </w:r>
              </w:p>
              <w:p w14:paraId="597CD5C5"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Neteisingų duomenų baterijų apskaitoje ir (ar) apskaitos ataskaitoje pateikimas, kai neapskaityta 10 ir daugiau tonų, bet mažiau kaip 20 tonų pateiktų Lietuvos Respublikos rinkai baterijų, ir juridinis asmuo apie pažeidimą buvo įspėtas raštu, užtraukia baudą nuo šešiasdešimt vieno tūkstančio iki vieno šimto dvidešimt dviejų tūkstančių eurų.</w:t>
                </w:r>
              </w:p>
              <w:p w14:paraId="2521BF0F"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Neteisingų duomenų baterijų apskaitoje ir (ar) apskaitos ataskaitoje pateikimas, kai neapskaityta 20 ir daugiau tonų, bet mažiau kaip 30 tonų pateiktų Lietuvos Respublikos rinkai baterijų, ir juridinis asmuo apie pažeidimą buvo įspėtas raštu, užtraukia baudą nuo vieno šimto dvidešimt dviejų tūkstančių iki vieno šimto aštuoniasdešimt trijų tūkstančių eurų.</w:t>
                </w:r>
              </w:p>
              <w:p w14:paraId="1AAB69C9"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shd w:val="clear" w:color="auto" w:fill="FFFFFF"/>
                    <w:lang w:eastAsia="ar-SA"/>
                  </w:rPr>
                  <w:t>Neteisingų duomenų baterijų apskaitoje ir (ar) apskaitos ataskaitoje pateikimas, kai neapskaityta 30 ir daugiau tonų pateiktų Lietuvos Respublikos rinkai baterijų, ir juridinis asmuo apie pažeidimą buvo įspėtas raštu, užtraukia baudą nuo vieno šimto aštuoniasdešimt trijų tūkstančių iki trijų šimtų šešiasdešimt šešių tūkstančių eurų.</w:t>
                </w:r>
              </w:p>
              <w:p w14:paraId="3D05F480"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szCs w:val="24"/>
                    <w:lang w:eastAsia="ar-SA"/>
                  </w:rPr>
                  <w:t xml:space="preserve">Atsisakymas neimant atlygio priimti automobilių ir (ar) pramoninių baterijų atliekas iš galutinių naudotojų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61 straipsnio 1 dalyje nurodytų surinkimo punktų </w:t>
                </w:r>
                <w:r>
                  <w:rPr>
                    <w:rFonts w:eastAsia="Lucida Sans Unicode"/>
                    <w:b/>
                    <w:bCs/>
                    <w:szCs w:val="24"/>
                    <w:lang w:eastAsia="ar-SA"/>
                  </w:rPr>
                  <w:t>užtraukia baudą nuo šimto penkiasdešimt iki trijų šimtų eurų už kiekvieną nepriimtą automobilių ir (ar) pramoninių baterijų atliekų toną.</w:t>
                </w:r>
              </w:p>
              <w:p w14:paraId="288199FC"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Atsisakymas neimant atlygio priimti elektrinių transporto priemonių baterijų atliekas iš galutinių naudotojų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61 straipsnio 1 dalyje nurodytų surinkimo punktų </w:t>
                </w:r>
                <w:r>
                  <w:rPr>
                    <w:rFonts w:eastAsia="Lucida Sans Unicode"/>
                    <w:b/>
                    <w:bCs/>
                    <w:kern w:val="1"/>
                    <w:szCs w:val="24"/>
                    <w:lang w:eastAsia="ar-SA"/>
                  </w:rPr>
                  <w:t>užtraukia baudą nuo dviejų tūkstančių keturių šimtų iki keturių tūkstančių aštuonių šimtų eurų už kiekvieną nepriimtą elektrinių transporto priemonių baterijų atliekų toną.</w:t>
                </w:r>
              </w:p>
              <w:p w14:paraId="0EFD16F7" w14:textId="1CCA1608">
                <w:pPr>
                  <w:widowControl w:val="0"/>
                  <w:shd w:val="clear" w:color="auto" w:fill="FFFFFF"/>
                  <w:suppressAutoHyphens/>
                  <w:ind w:firstLine="709"/>
                  <w:jc w:val="both"/>
                  <w:rPr>
                    <w:rFonts w:eastAsia="Lucida Sans Unicode"/>
                    <w:b/>
                    <w:bCs/>
                    <w:kern w:val="1"/>
                    <w:szCs w:val="24"/>
                    <w:lang w:eastAsia="ar-SA"/>
                  </w:rPr>
                </w:pP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59 straipsnio 3 dalyje nurodytos n</w:t>
                </w:r>
                <w:r>
                  <w:rPr>
                    <w:rFonts w:eastAsia="Lucida Sans Unicode"/>
                    <w:b/>
                    <w:bCs/>
                    <w:kern w:val="1"/>
                    <w:szCs w:val="24"/>
                    <w:lang w:eastAsia="ar-SA"/>
                  </w:rPr>
                  <w:t xml:space="preserve">ešiojamųjų baterijų atliekų surinkimo tikslinės normos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60 straipsnio 3 dalyje nurodytos </w:t>
                </w:r>
                <w:r>
                  <w:rPr>
                    <w:rFonts w:eastAsia="Lucida Sans Unicode"/>
                    <w:b/>
                    <w:bCs/>
                    <w:kern w:val="1"/>
                    <w:szCs w:val="24"/>
                    <w:lang w:eastAsia="ar-SA"/>
                  </w:rPr>
                  <w:t xml:space="preserve">mažųjų transporto priemonių baterijų atliekų surinkimo tikslinės normos neįvykdymas užtraukia baudą nuo trylikos tūkstančių septynių šimtų penkiasdešimt iki dvidešimt septynių tūkstančių penkių šimtų eurų už kiekvieną pagal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59 straipsnio 3</w:t>
                </w:r>
                <w:r>
                  <w:rPr>
                    <w:rFonts w:eastAsia="MS Mincho"/>
                    <w:b/>
                    <w:bCs/>
                    <w:szCs w:val="24"/>
                  </w:rPr>
                  <w:t xml:space="preserve"> </w:t>
                </w:r>
                <w:r>
                  <w:rPr>
                    <w:rFonts w:eastAsia="Lucida Sans Unicode"/>
                    <w:b/>
                    <w:bCs/>
                    <w:color w:val="000000"/>
                    <w:szCs w:val="24"/>
                  </w:rPr>
                  <w:t>dalyje nurodytą n</w:t>
                </w:r>
                <w:r>
                  <w:rPr>
                    <w:rFonts w:eastAsia="Lucida Sans Unicode"/>
                    <w:b/>
                    <w:bCs/>
                    <w:kern w:val="1"/>
                    <w:szCs w:val="24"/>
                    <w:lang w:eastAsia="ar-SA"/>
                  </w:rPr>
                  <w:t xml:space="preserve">ešiojamųjų baterijų atliekų surinkimo tikslinę normą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60 straipsnio 3 dalyje nurodytą </w:t>
                </w:r>
                <w:r>
                  <w:rPr>
                    <w:rFonts w:eastAsia="Lucida Sans Unicode"/>
                    <w:b/>
                    <w:bCs/>
                    <w:kern w:val="1"/>
                    <w:szCs w:val="24"/>
                    <w:lang w:eastAsia="ar-SA"/>
                  </w:rPr>
                  <w:t>mažųjų transporto priemonių baterijų atliekų surinkimo tikslinę normą ataskaitiniais metais, kuriais neįvykdyta nurodyta baterijų atliekų surinkimo tikslinė norma, nesurinktą nešiojamųjų ir (ar) mažųjų transporto priemonių baterijų atliekų toną.</w:t>
                </w:r>
              </w:p>
              <w:p w14:paraId="1E66C0F9"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Automobilių ir (ar) pramoninių baterijų, tiekiamų Lietuvos Respublikos rinkai, apskaitos nevykdymas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61 straipsnyje nurodytos </w:t>
                </w:r>
                <w:r>
                  <w:rPr>
                    <w:rFonts w:eastAsia="Lucida Sans Unicode"/>
                    <w:b/>
                    <w:bCs/>
                    <w:kern w:val="1"/>
                    <w:szCs w:val="24"/>
                    <w:lang w:eastAsia="ar-SA"/>
                  </w:rPr>
                  <w:t>automobilių ir (ar) pramoninių baterijų atliekų priėmimo ir surinkimo sistemos nesukūrimas užtraukia baudą nuo trijų šimtų septyniasdešimt penkių iki septynių šimtų penkiasdešimt eurų už kiekvieną Lietuvos Respublikos rinkai patiektą ataskaitiniais metais, kuriais nevykdyta nurodyta apskaita ir (ar) nesukurta nurodyta baterijų atliekų surinkimo sistema, automobilių ir (ar) pramoninių baterijų toną.</w:t>
                </w:r>
              </w:p>
              <w:p w14:paraId="6705CF9F"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Elektrinių transporto priemonių baterijų, tiekiamų Lietuvos Respublikos rinkai, apskaitos nevykdymas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61 straipsnyje nurodytos </w:t>
                </w:r>
                <w:r>
                  <w:rPr>
                    <w:rFonts w:eastAsia="Lucida Sans Unicode"/>
                    <w:b/>
                    <w:bCs/>
                    <w:kern w:val="1"/>
                    <w:szCs w:val="24"/>
                    <w:lang w:eastAsia="ar-SA"/>
                  </w:rPr>
                  <w:t>elektrinių transporto priemonių baterijų atliekų priėmimo ir surinkimo sistemos nesukūrimas užtraukia baudą nuo šešių tūkstančių iki dvylikos tūkstančių eurų už kiekvieną Lietuvos Respublikos rinkai patiektą ataskaitiniais metais, kuriais nevykdyta nurodyta apskaita ir (ar) nesukurta nurodyta baterijų atliekų surinkimo sistema, elektrinių transporto priemonių baterijų toną.</w:t>
                </w:r>
              </w:p>
              <w:p w14:paraId="64FAE552" w14:textId="77777777">
                <w:pPr>
                  <w:widowControl w:val="0"/>
                  <w:shd w:val="clear" w:color="auto" w:fill="FFFFFF"/>
                  <w:suppressAutoHyphens/>
                  <w:ind w:firstLine="709"/>
                  <w:jc w:val="both"/>
                  <w:rPr>
                    <w:rFonts w:eastAsia="Lucida Sans Unicode"/>
                    <w:b/>
                    <w:bCs/>
                    <w:kern w:val="1"/>
                    <w:szCs w:val="24"/>
                    <w:shd w:val="clear" w:color="auto" w:fill="FFFFFF"/>
                    <w:lang w:eastAsia="ar-SA"/>
                  </w:rPr>
                </w:pPr>
                <w:r>
                  <w:rPr>
                    <w:rFonts w:eastAsia="Lucida Sans Unicode"/>
                    <w:b/>
                    <w:bCs/>
                    <w:kern w:val="1"/>
                    <w:szCs w:val="24"/>
                    <w:lang w:eastAsia="ar-SA"/>
                  </w:rPr>
                  <w:t xml:space="preserve">Nešiojamųjų ir (ar) mažųjų transporto priemonių baterijų, tiekiamų Lietuvos Respublikos rinkai, apskaitos nevykdymas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59 straipsnyje nurodytos </w:t>
                </w:r>
                <w:r>
                  <w:rPr>
                    <w:rFonts w:eastAsia="Lucida Sans Unicode"/>
                    <w:b/>
                    <w:bCs/>
                    <w:kern w:val="1"/>
                    <w:szCs w:val="24"/>
                    <w:lang w:eastAsia="ar-SA"/>
                  </w:rPr>
                  <w:t xml:space="preserve">nešiojamųjų baterijų atliekų priėmimo ir surinkimo sistemos ir (ar) </w:t>
                </w:r>
                <w:r>
                  <w:rPr>
                    <w:rFonts w:eastAsia="Lucida Sans Unicode"/>
                    <w:b/>
                    <w:bCs/>
                    <w:color w:val="000000"/>
                    <w:szCs w:val="24"/>
                  </w:rPr>
                  <w:t xml:space="preserve">Reglamento </w:t>
                </w:r>
                <w:fldSimple w:instr="HYPERLINK http://eur-lex.europa.eu/legal-content/LIT/TXT/?uri=CELEX:32023R1542&amp;locale=lt \t _blank">
                  <w:r>
                    <w:rPr>
                      <w:rFonts w:eastAsia="Lucida Sans Unicode"/>
                      <w:b/>
                      <w:bCs/>
                      <w:color w:val="0000FF" w:themeColor="hyperlink"/>
                      <w:szCs w:val="24"/>
                      <w:u w:val="single"/>
                    </w:rPr>
                    <w:t>(ES) 2023/1542</w:t>
                  </w:r>
                </w:fldSimple>
                <w:r>
                  <w:rPr>
                    <w:rFonts w:eastAsia="Lucida Sans Unicode"/>
                    <w:b/>
                    <w:bCs/>
                    <w:color w:val="000000"/>
                    <w:szCs w:val="24"/>
                  </w:rPr>
                  <w:t xml:space="preserve"> 60 straipsnyje nurodytos </w:t>
                </w:r>
                <w:r>
                  <w:rPr>
                    <w:rFonts w:eastAsia="Lucida Sans Unicode"/>
                    <w:b/>
                    <w:bCs/>
                    <w:kern w:val="1"/>
                    <w:szCs w:val="24"/>
                    <w:lang w:eastAsia="ar-SA"/>
                  </w:rPr>
                  <w:t>mažųjų transporto priemonių baterijų atliekų priėmimo ir surinkimo sistemos nesukūrimas užtraukia baudą nuo trylikos tūkstančių septynių šimtų penkiasdešimt iki dvidešimt septynių tūkstančių penkių šimtų eurų už kiekvieną Lietuvos Respublikos rinkai patiektą ataskaitiniais metais, kuriais nevykdyta nurodyta apskaita ir (ar) nesukurta nurodyta baterijų atliekų surinkimo sistema, nešiojamųjų ir (ar) mažųjų transporto priemonių baterijų toną.</w:t>
                </w:r>
                <w:r>
                  <w:rPr>
                    <w:rFonts w:eastAsia="Lucida Sans Unicode"/>
                    <w:b/>
                    <w:bCs/>
                    <w:kern w:val="1"/>
                    <w:szCs w:val="24"/>
                    <w:shd w:val="clear" w:color="auto" w:fill="FFFFFF"/>
                    <w:lang w:eastAsia="ar-SA"/>
                  </w:rPr>
                  <w:t>“</w:t>
                </w:r>
              </w:p>
              <w:p w14:paraId="1F82C13C" w14:textId="77777777">
                <w:pPr>
                  <w:widowControl w:val="0"/>
                  <w:suppressAutoHyphens/>
                  <w:ind w:firstLine="709"/>
                  <w:jc w:val="both"/>
                  <w:rPr>
                    <w:rFonts w:eastAsia="Lucida Sans Unicode"/>
                    <w:kern w:val="1"/>
                    <w:szCs w:val="24"/>
                    <w:shd w:val="clear" w:color="auto" w:fill="FFFFFF"/>
                    <w:lang w:eastAsia="ar-SA"/>
                  </w:rPr>
                </w:pPr>
              </w:p>
              <w:p w14:paraId="1AA14258" w14:textId="77777777">
                <w:pPr>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 xml:space="preserve">ANK </w:t>
                </w:r>
              </w:p>
              <w:p w14:paraId="3E129F8F" w14:textId="4172DA6A">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139 straipsnis. Prekių, paslaugų, žaliavų kokybės ir saugos reikalavimų pažeidimas</w:t>
                </w:r>
              </w:p>
              <w:p w14:paraId="6B7FF4AF" w14:textId="5F96CF42">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 montavimo, instaliavimo, surinkimo ar naudojimo instrukcijų, šių dokumentų nesaugojimas ir nepateikimas rinkos priežiūrą vykdančiai institucijai teisės aktuose nustatytais terminais, išskyrus šio straipsnio 7 dalyje numatytus atvejus,</w:t>
                </w:r>
              </w:p>
              <w:p w14:paraId="26DABF3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p w14:paraId="30E621CE"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Šio straipsnio 1 dalyje numatytas administracinis nusižengimas, padarytas pakartotinai,</w:t>
                </w:r>
              </w:p>
              <w:p w14:paraId="07ABB59B"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p w14:paraId="61629FA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Standartų, techninių specifikacijų (sąlygų) ar gamintojo nurodytų sąlygų nesilaikymas transportuojant, laikant, parduodant ar realizuojant prekes ar žaliavas ir naudojant žaliavas</w:t>
                </w:r>
              </w:p>
              <w:p w14:paraId="1F9380D1"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p w14:paraId="78C19FC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Prekių ar žaliavų kiekio, kokybės ir sudėties nustatymas pažeidžiant nustatytą tvarką arba neteisingas nustatymas, taip pat tokių prekių ar žaliavų realizavimas</w:t>
                </w:r>
              </w:p>
              <w:p w14:paraId="371B6491"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w:t>
                </w:r>
              </w:p>
              <w:p w14:paraId="30EDEF69"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5. Tyčinis prekių ar žaliavų kokybės rodiklių pabloginimas</w:t>
                </w:r>
              </w:p>
              <w:p w14:paraId="330655B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w:t>
                </w:r>
              </w:p>
              <w:p w14:paraId="15139E7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6. Šio straipsnio 3, 4, 5 dalyse numatyti administraciniai nusižengimai, padaryti pakartotinai,</w:t>
                </w:r>
              </w:p>
              <w:p w14:paraId="2CB2B8D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p w14:paraId="5F69A469"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7. Privalomų kokybės rodiklių, standartų, techninių sąlygų ar gamintojo nurodytų sąlygų neatitinkančių naftos produktų, išskyrus valstybės atsargas, pardavimas, tiekimas ar realizavimas</w:t>
                </w:r>
              </w:p>
              <w:p w14:paraId="72D53299"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įmonių vadovams ar kitiems atsakingiems asmenims nuo vieno šimto penkiasdešimt iki vieno tūkstančio vieno šimto penkiasdešimt eurų.</w:t>
                </w:r>
              </w:p>
              <w:p w14:paraId="62750376" w14:textId="77777777">
                <w:pPr>
                  <w:ind w:firstLine="709"/>
                  <w:jc w:val="both"/>
                  <w:rPr>
                    <w:rFonts w:eastAsia="Lucida Sans Unicode"/>
                    <w:b/>
                    <w:bCs/>
                    <w:spacing w:val="2"/>
                    <w:szCs w:val="24"/>
                    <w:shd w:val="clear" w:color="auto" w:fill="FFFFFF"/>
                  </w:rPr>
                </w:pPr>
              </w:p>
              <w:p w14:paraId="356E055E" w14:textId="46D1D6C9">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156 straipsnis. Teisės aktuose nustatyta tvarka nepaženklintų prekių pateikimas rinkai, tiekimas rinkai, pardavimas vidaus rinkoje, taip pat neteisingos informacijos apie prekę pateikimas</w:t>
                </w:r>
              </w:p>
              <w:p w14:paraId="58D0B958"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Teisės aktuose nustatyta tvarka nepaženklintų prekių pateikimas Lietuvos Respublikos rinkai, tiekimas rinkai, pardavimas Lietuvos Respublikoje</w:t>
                </w:r>
              </w:p>
              <w:p w14:paraId="5A6348C6"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p w14:paraId="2DEBABA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Šio straipsnio 1 dalyje numatytas administracinis nusižengimas, padarytas pakartotinai,</w:t>
                </w:r>
              </w:p>
              <w:p w14:paraId="4525B3D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p w14:paraId="5271D89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Neteisingos informacijos apie prekę pateikimas ženklinant prekes</w:t>
                </w:r>
              </w:p>
              <w:p w14:paraId="748FC2C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p w14:paraId="4A2FE13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Šio straipsnio 3 dalyje numatytas administracinis nusižengimas, padarytas pakartotinai,</w:t>
                </w:r>
              </w:p>
              <w:p w14:paraId="29DF2F1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p w14:paraId="721DEC07"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5. Neteisingos informacijos apie prekės kilmę pateikimas</w:t>
                </w:r>
              </w:p>
              <w:p w14:paraId="00F4B99D"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p w14:paraId="47817342"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6. Šio straipsnio 5 dalyje numatytas administracinis nusižengimas, padarytas pakartotinai,</w:t>
                </w:r>
              </w:p>
              <w:p w14:paraId="4C2F7FC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14:paraId="7B34D8CC" w14:textId="77777777">
                <w:pPr>
                  <w:ind w:firstLine="709"/>
                  <w:jc w:val="both"/>
                  <w:rPr>
                    <w:rFonts w:eastAsia="Lucida Sans Unicode"/>
                    <w:b/>
                    <w:bCs/>
                    <w:spacing w:val="2"/>
                    <w:kern w:val="1"/>
                    <w:szCs w:val="24"/>
                    <w:shd w:val="clear" w:color="auto" w:fill="FFFFFF"/>
                    <w:lang w:eastAsia="ar-SA"/>
                  </w:rPr>
                </w:pPr>
              </w:p>
              <w:p w14:paraId="377AFA4B" w14:textId="6C3F251B">
                <w:pPr>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 xml:space="preserve">247 straipsnis. Atliekų tvarkymą reglamentuojančių teisės aktų reikalavimų nevykdymas </w:t>
                </w:r>
              </w:p>
              <w:p w14:paraId="1C33B2BE" w14:textId="77777777">
                <w:pPr>
                  <w:widowControl w:val="0"/>
                  <w:shd w:val="clear" w:color="auto" w:fill="FFFFFF"/>
                  <w:suppressAutoHyphens/>
                  <w:ind w:firstLine="709"/>
                  <w:jc w:val="both"/>
                  <w:rPr>
                    <w:rFonts w:eastAsia="Lucida Sans Unicode"/>
                    <w:kern w:val="1"/>
                    <w:szCs w:val="24"/>
                    <w:lang w:eastAsia="ar-SA"/>
                  </w:rPr>
                </w:pPr>
                <w:r>
                  <w:rPr>
                    <w:rFonts w:eastAsia="Lucida Sans Unicode"/>
                    <w:kern w:val="1"/>
                    <w:szCs w:val="24"/>
                    <w:lang w:eastAsia="ar-SA"/>
                  </w:rPr>
                  <w:t>&lt;...&gt;</w:t>
                </w:r>
              </w:p>
              <w:p w14:paraId="03E0DE4D" w14:textId="3F57891B">
                <w:pPr>
                  <w:widowControl w:val="0"/>
                  <w:shd w:val="clear" w:color="auto" w:fill="FFFFFF"/>
                  <w:suppressAutoHyphens/>
                  <w:ind w:firstLine="709"/>
                  <w:jc w:val="both"/>
                  <w:rPr>
                    <w:rFonts w:eastAsia="Lucida Sans Unicode"/>
                    <w:kern w:val="1"/>
                    <w:szCs w:val="24"/>
                    <w:lang w:eastAsia="ar-SA"/>
                  </w:rPr>
                </w:pPr>
                <w:r>
                  <w:rPr>
                    <w:rFonts w:eastAsia="Lucida Sans Unicode"/>
                    <w:kern w:val="1"/>
                    <w:szCs w:val="24"/>
                    <w:lang w:eastAsia="ar-SA"/>
                  </w:rPr>
                  <w:t>40. Atliekų rūšiavimo reikalavimų nevykdymas arba netinkamas vykdymas</w:t>
                </w:r>
              </w:p>
              <w:p w14:paraId="6AAD6FA7" w14:textId="64BCD549">
                <w:pPr>
                  <w:widowControl w:val="0"/>
                  <w:suppressAutoHyphens/>
                  <w:ind w:firstLine="709"/>
                  <w:jc w:val="both"/>
                  <w:rPr>
                    <w:rFonts w:eastAsia="Lucida Sans Unicode"/>
                    <w:kern w:val="1"/>
                    <w:szCs w:val="24"/>
                    <w:lang w:eastAsia="ar-SA"/>
                  </w:rPr>
                </w:pPr>
                <w:r>
                  <w:rPr>
                    <w:rFonts w:eastAsia="Lucida Sans Unicode"/>
                    <w:kern w:val="1"/>
                    <w:szCs w:val="24"/>
                    <w:lang w:eastAsia="ar-SA"/>
                  </w:rPr>
                  <w:t>užtraukia įspėjimą arba baudą nuo dvidešimt iki aštuoniasdešimt eurų.</w:t>
                </w:r>
              </w:p>
              <w:p w14:paraId="4B393EC5" w14:textId="4FF69AD6">
                <w:pPr>
                  <w:widowControl w:val="0"/>
                  <w:suppressAutoHyphens/>
                  <w:ind w:firstLine="709"/>
                  <w:jc w:val="both"/>
                  <w:rPr>
                    <w:rFonts w:eastAsia="Lucida Sans Unicode"/>
                    <w:kern w:val="1"/>
                    <w:szCs w:val="24"/>
                    <w:shd w:val="clear" w:color="auto" w:fill="FFFFFF"/>
                    <w:lang w:eastAsia="ar-SA"/>
                  </w:rPr>
                </w:pPr>
                <w:r>
                  <w:rPr>
                    <w:rFonts w:eastAsia="Lucida Sans Unicode"/>
                    <w:kern w:val="1"/>
                    <w:szCs w:val="24"/>
                    <w:lang w:eastAsia="ar-SA"/>
                  </w:rPr>
                  <w:t>&lt;...&gt;</w:t>
                </w:r>
              </w:p>
              <w:p w14:paraId="787B85B6" w14:textId="77777777">
                <w:pPr>
                  <w:ind w:firstLine="709"/>
                  <w:jc w:val="both"/>
                  <w:rPr>
                    <w:rFonts w:eastAsia="Lucida Sans Unicode"/>
                    <w:b/>
                    <w:bCs/>
                    <w:spacing w:val="2"/>
                    <w:szCs w:val="24"/>
                    <w:shd w:val="clear" w:color="auto" w:fill="FFFFFF"/>
                  </w:rPr>
                </w:pPr>
              </w:p>
              <w:p w14:paraId="279E4445" w14:textId="79C793BC">
                <w:pPr>
                  <w:ind w:firstLine="709"/>
                  <w:jc w:val="both"/>
                  <w:rPr>
                    <w:b/>
                    <w:bCs/>
                    <w:color w:val="000000"/>
                    <w:szCs w:val="24"/>
                    <w:lang w:eastAsia="lt-LT"/>
                  </w:rPr>
                </w:pPr>
                <w:r>
                  <w:rPr>
                    <w:rFonts w:eastAsia="Lucida Sans Unicode"/>
                    <w:b/>
                    <w:bCs/>
                    <w:spacing w:val="2"/>
                    <w:szCs w:val="24"/>
                    <w:shd w:val="clear" w:color="auto" w:fill="FFFFFF"/>
                  </w:rPr>
                  <w:t>ANK pakeitimo įstatymo projektas</w:t>
                </w:r>
                <w:r>
                  <w:rPr>
                    <w:b/>
                    <w:bCs/>
                    <w:color w:val="000000"/>
                    <w:szCs w:val="24"/>
                    <w:lang w:eastAsia="lt-LT"/>
                  </w:rPr>
                  <w:t xml:space="preserve"> </w:t>
                </w:r>
              </w:p>
              <w:p w14:paraId="2D6E5AF2" w14:textId="77777777">
                <w:pPr>
                  <w:widowControl w:val="0"/>
                  <w:suppressAutoHyphens/>
                  <w:ind w:firstLine="709"/>
                  <w:jc w:val="both"/>
                  <w:rPr>
                    <w:b/>
                    <w:bCs/>
                    <w:szCs w:val="24"/>
                  </w:rPr>
                </w:pPr>
                <w:r>
                  <w:rPr>
                    <w:b/>
                    <w:bCs/>
                    <w:szCs w:val="24"/>
                    <w:lang w:val="lt"/>
                  </w:rPr>
                  <w:t xml:space="preserve">3 straipsnis. Kodekso papildymas </w:t>
                </w:r>
                <w:r>
                  <w:rPr>
                    <w:b/>
                    <w:bCs/>
                    <w:color w:val="000000"/>
                    <w:szCs w:val="24"/>
                  </w:rPr>
                  <w:t>252</w:t>
                </w:r>
                <w:r>
                  <w:rPr>
                    <w:b/>
                    <w:bCs/>
                    <w:color w:val="000000"/>
                    <w:szCs w:val="24"/>
                    <w:vertAlign w:val="superscript"/>
                  </w:rPr>
                  <w:t>1</w:t>
                </w:r>
                <w:r>
                  <w:rPr>
                    <w:b/>
                    <w:bCs/>
                    <w:szCs w:val="24"/>
                    <w:lang w:val="lt"/>
                  </w:rPr>
                  <w:t xml:space="preserve"> straipsniu</w:t>
                </w:r>
              </w:p>
              <w:p w14:paraId="7DA3AF61" w14:textId="77777777">
                <w:pPr>
                  <w:widowControl w:val="0"/>
                  <w:suppressAutoHyphens/>
                  <w:ind w:firstLine="709"/>
                  <w:jc w:val="both"/>
                  <w:rPr>
                    <w:b/>
                    <w:bCs/>
                    <w:szCs w:val="24"/>
                  </w:rPr>
                </w:pPr>
                <w:r>
                  <w:rPr>
                    <w:b/>
                    <w:bCs/>
                    <w:szCs w:val="24"/>
                    <w:lang w:val="lt"/>
                  </w:rPr>
                  <w:t xml:space="preserve">Papildyti </w:t>
                </w:r>
                <w:r>
                  <w:rPr>
                    <w:b/>
                    <w:bCs/>
                    <w:szCs w:val="24"/>
                  </w:rPr>
                  <w:t>Kodeksą</w:t>
                </w:r>
                <w:r>
                  <w:rPr>
                    <w:b/>
                    <w:bCs/>
                    <w:szCs w:val="24"/>
                    <w:lang w:val="lt"/>
                  </w:rPr>
                  <w:t xml:space="preserve"> </w:t>
                </w:r>
                <w:r>
                  <w:rPr>
                    <w:b/>
                    <w:bCs/>
                    <w:color w:val="000000"/>
                    <w:szCs w:val="24"/>
                  </w:rPr>
                  <w:t>252</w:t>
                </w:r>
                <w:r>
                  <w:rPr>
                    <w:b/>
                    <w:bCs/>
                    <w:color w:val="000000"/>
                    <w:szCs w:val="24"/>
                    <w:vertAlign w:val="superscript"/>
                  </w:rPr>
                  <w:t>1</w:t>
                </w:r>
                <w:r>
                  <w:rPr>
                    <w:b/>
                    <w:bCs/>
                    <w:szCs w:val="24"/>
                    <w:lang w:val="lt"/>
                  </w:rPr>
                  <w:t xml:space="preserve"> straipsniu:</w:t>
                </w:r>
              </w:p>
              <w:p w14:paraId="0B8C28A8" w14:textId="77777777">
                <w:pPr>
                  <w:widowControl w:val="0"/>
                  <w:suppressAutoHyphens/>
                  <w:ind w:firstLine="709"/>
                  <w:jc w:val="both"/>
                  <w:rPr>
                    <w:rFonts w:eastAsia="Lucida Sans Unicode"/>
                    <w:b/>
                    <w:bCs/>
                    <w:szCs w:val="24"/>
                  </w:rPr>
                </w:pPr>
                <w:r>
                  <w:rPr>
                    <w:rFonts w:eastAsia="Lucida Sans Unicode"/>
                    <w:b/>
                    <w:bCs/>
                    <w:szCs w:val="24"/>
                  </w:rPr>
                  <w:t>„252</w:t>
                </w:r>
                <w:r>
                  <w:rPr>
                    <w:rFonts w:eastAsia="Lucida Sans Unicode"/>
                    <w:b/>
                    <w:bCs/>
                    <w:szCs w:val="24"/>
                    <w:vertAlign w:val="superscript"/>
                  </w:rPr>
                  <w:t>1</w:t>
                </w:r>
                <w:r>
                  <w:rPr>
                    <w:rFonts w:eastAsia="Lucida Sans Unicode"/>
                    <w:b/>
                    <w:bCs/>
                    <w:szCs w:val="24"/>
                  </w:rPr>
                  <w:t xml:space="preserve"> straipsnis. Reglamente </w:t>
                </w:r>
                <w:fldSimple w:instr="HYPERLINK http://eur-lex.europa.eu/legal-content/LIT/TXT/?uri=CELEX:32023R1542&amp;locale=lt \t _blank">
                  <w:r>
                    <w:rPr>
                      <w:rFonts w:eastAsia="Lucida Sans Unicode"/>
                      <w:b/>
                      <w:bCs/>
                      <w:szCs w:val="24"/>
                      <w:u w:val="single"/>
                      <w:color w:val="0000FF" w:themeColor="hyperlink"/>
                    </w:rPr>
                    <w:t>(ES) 2023/1542</w:t>
                  </w:r>
                </w:fldSimple>
                <w:r>
                  <w:rPr>
                    <w:rFonts w:eastAsia="Lucida Sans Unicode"/>
                    <w:b/>
                    <w:bCs/>
                    <w:szCs w:val="24"/>
                  </w:rPr>
                  <w:t xml:space="preserve"> nustatyto reikalavimo priimti baterijų atliekas nevykdymas</w:t>
                </w:r>
              </w:p>
              <w:p w14:paraId="1B0077CC"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1. Reglamente </w:t>
                </w:r>
                <w:fldSimple w:instr="HYPERLINK http://eur-lex.europa.eu/legal-content/LIT/TXT/?uri=CELEX:32023R1542&amp;locale=lt \t _blank">
                  <w:r>
                    <w:rPr>
                      <w:rFonts w:eastAsia="Lucida Sans Unicode"/>
                      <w:b/>
                      <w:bCs/>
                      <w:kern w:val="1"/>
                      <w:szCs w:val="24"/>
                      <w:lang w:eastAsia="ar-SA"/>
                      <w:u w:val="single"/>
                      <w:color w:val="0000FF" w:themeColor="hyperlink"/>
                    </w:rPr>
                    <w:t>(ES) 2023/1542</w:t>
                  </w:r>
                </w:fldSimple>
                <w:r>
                  <w:rPr>
                    <w:rFonts w:eastAsia="Lucida Sans Unicode"/>
                    <w:b/>
                    <w:bCs/>
                    <w:kern w:val="1"/>
                    <w:szCs w:val="24"/>
                    <w:lang w:eastAsia="ar-SA"/>
                  </w:rPr>
                  <w:t xml:space="preserve"> numatytos pareigos nustatyta tvarka priimti baterijų atliekas nevykdymas </w:t>
                </w:r>
              </w:p>
              <w:p w14:paraId="7C007A83"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užtraukia baudą juridinių asmenų vadovams ar kitiems atsakingiems asmenims nuo keturių šimtų penkiasdešimt iki aštuonių šimtų penkiasdešimt eurų. </w:t>
                </w:r>
              </w:p>
              <w:p w14:paraId="3968F6A4" w14:textId="77777777">
                <w:pPr>
                  <w:widowControl w:val="0"/>
                  <w:suppressAutoHyphens/>
                  <w:ind w:firstLine="709"/>
                  <w:jc w:val="both"/>
                  <w:rPr>
                    <w:b/>
                    <w:bCs/>
                    <w:color w:val="000000"/>
                    <w:szCs w:val="24"/>
                    <w:lang w:eastAsia="lt-LT"/>
                  </w:rPr>
                </w:pPr>
                <w:r>
                  <w:rPr>
                    <w:b/>
                    <w:bCs/>
                    <w:color w:val="000000"/>
                    <w:szCs w:val="24"/>
                    <w:lang w:eastAsia="lt-LT"/>
                  </w:rPr>
                  <w:t>2. Šio straipsnio 1 dalyje numatytas administracinis nusižengimas, padarytas pakartotinai,</w:t>
                </w:r>
              </w:p>
              <w:p w14:paraId="0ACABF95" w14:textId="77777777">
                <w:pPr>
                  <w:widowControl w:val="0"/>
                  <w:suppressAutoHyphens/>
                  <w:ind w:firstLine="709"/>
                  <w:jc w:val="both"/>
                  <w:rPr>
                    <w:b/>
                    <w:bCs/>
                    <w:color w:val="000000"/>
                    <w:szCs w:val="24"/>
                    <w:lang w:eastAsia="lt-LT"/>
                  </w:rPr>
                </w:pPr>
                <w:r>
                  <w:rPr>
                    <w:b/>
                    <w:bCs/>
                    <w:color w:val="000000"/>
                    <w:szCs w:val="24"/>
                    <w:lang w:eastAsia="lt-LT"/>
                  </w:rPr>
                  <w:t xml:space="preserve">užtraukia baudą nuo </w:t>
                </w:r>
                <w:r>
                  <w:rPr>
                    <w:rFonts w:eastAsia="Lucida Sans Unicode"/>
                    <w:b/>
                    <w:bCs/>
                    <w:kern w:val="1"/>
                    <w:szCs w:val="24"/>
                    <w:lang w:eastAsia="ar-SA"/>
                  </w:rPr>
                  <w:t xml:space="preserve">aštuonių šimtų penkiasdešimt </w:t>
                </w:r>
                <w:r>
                  <w:rPr>
                    <w:b/>
                    <w:bCs/>
                    <w:color w:val="000000"/>
                    <w:szCs w:val="24"/>
                    <w:lang w:eastAsia="lt-LT"/>
                  </w:rPr>
                  <w:t>iki vieno tūkstančio devynių šimtų eurų.“</w:t>
                </w:r>
              </w:p>
              <w:p w14:paraId="22AFB2D3" w14:textId="77777777">
                <w:pPr>
                  <w:widowControl w:val="0"/>
                  <w:suppressAutoHyphens/>
                  <w:ind w:firstLine="709"/>
                  <w:jc w:val="both"/>
                  <w:rPr>
                    <w:color w:val="000000"/>
                    <w:szCs w:val="24"/>
                    <w:lang w:eastAsia="lt-LT"/>
                  </w:rPr>
                </w:pPr>
              </w:p>
              <w:p w14:paraId="0665F230" w14:textId="77777777">
                <w:pPr>
                  <w:widowControl w:val="0"/>
                  <w:suppressAutoHyphens/>
                  <w:ind w:firstLine="709"/>
                  <w:jc w:val="both"/>
                  <w:rPr>
                    <w:b/>
                    <w:bCs/>
                    <w:color w:val="000000"/>
                    <w:szCs w:val="24"/>
                  </w:rPr>
                </w:pPr>
                <w:r>
                  <w:rPr>
                    <w:b/>
                    <w:bCs/>
                    <w:szCs w:val="24"/>
                    <w:lang w:val="lt"/>
                  </w:rPr>
                  <w:t xml:space="preserve">4 straipsnis. </w:t>
                </w:r>
                <w:r>
                  <w:rPr>
                    <w:rFonts w:eastAsia="Lucida Sans Unicode"/>
                    <w:b/>
                    <w:bCs/>
                    <w:szCs w:val="24"/>
                  </w:rPr>
                  <w:t>252</w:t>
                </w:r>
                <w:r>
                  <w:rPr>
                    <w:rFonts w:eastAsia="Lucida Sans Unicode"/>
                    <w:b/>
                    <w:bCs/>
                    <w:szCs w:val="24"/>
                    <w:vertAlign w:val="superscript"/>
                  </w:rPr>
                  <w:t>1</w:t>
                </w:r>
                <w:r>
                  <w:rPr>
                    <w:b/>
                    <w:bCs/>
                    <w:color w:val="000000"/>
                    <w:szCs w:val="24"/>
                  </w:rPr>
                  <w:t xml:space="preserve"> straipsnio pakeitimas</w:t>
                </w:r>
              </w:p>
              <w:p w14:paraId="1008D31D" w14:textId="77777777">
                <w:pPr>
                  <w:widowControl w:val="0"/>
                  <w:suppressAutoHyphens/>
                  <w:ind w:firstLine="709"/>
                  <w:jc w:val="both"/>
                  <w:rPr>
                    <w:rFonts w:eastAsia="Lucida Sans Unicode"/>
                    <w:b/>
                    <w:bCs/>
                    <w:szCs w:val="24"/>
                  </w:rPr>
                </w:pPr>
                <w:r>
                  <w:rPr>
                    <w:b/>
                    <w:bCs/>
                    <w:szCs w:val="24"/>
                  </w:rPr>
                  <w:t xml:space="preserve">Pakeisti </w:t>
                </w:r>
                <w:r>
                  <w:rPr>
                    <w:rFonts w:eastAsia="Lucida Sans Unicode"/>
                    <w:b/>
                    <w:bCs/>
                    <w:szCs w:val="24"/>
                  </w:rPr>
                  <w:t>252</w:t>
                </w:r>
                <w:r>
                  <w:rPr>
                    <w:rFonts w:eastAsia="Lucida Sans Unicode"/>
                    <w:b/>
                    <w:bCs/>
                    <w:szCs w:val="24"/>
                    <w:vertAlign w:val="superscript"/>
                  </w:rPr>
                  <w:t>1</w:t>
                </w:r>
                <w:r>
                  <w:rPr>
                    <w:b/>
                    <w:bCs/>
                    <w:szCs w:val="24"/>
                  </w:rPr>
                  <w:t xml:space="preserve"> straipsnį ir jį išdėstyti taip:</w:t>
                </w:r>
                <w:r>
                  <w:rPr>
                    <w:rFonts w:eastAsia="Lucida Sans Unicode"/>
                    <w:b/>
                    <w:bCs/>
                    <w:szCs w:val="24"/>
                  </w:rPr>
                  <w:t xml:space="preserve"> </w:t>
                </w:r>
              </w:p>
              <w:p w14:paraId="3D97B170" w14:textId="77777777">
                <w:pPr>
                  <w:widowControl w:val="0"/>
                  <w:suppressAutoHyphens/>
                  <w:ind w:firstLine="709"/>
                  <w:jc w:val="both"/>
                  <w:rPr>
                    <w:rFonts w:eastAsia="Lucida Sans Unicode"/>
                    <w:b/>
                    <w:bCs/>
                    <w:szCs w:val="24"/>
                  </w:rPr>
                </w:pPr>
                <w:r>
                  <w:rPr>
                    <w:rFonts w:eastAsia="Lucida Sans Unicode"/>
                    <w:b/>
                    <w:bCs/>
                    <w:szCs w:val="24"/>
                  </w:rPr>
                  <w:t>„252</w:t>
                </w:r>
                <w:r>
                  <w:rPr>
                    <w:rFonts w:eastAsia="Lucida Sans Unicode"/>
                    <w:b/>
                    <w:bCs/>
                    <w:szCs w:val="24"/>
                    <w:vertAlign w:val="superscript"/>
                  </w:rPr>
                  <w:t>1</w:t>
                </w:r>
                <w:r>
                  <w:rPr>
                    <w:rFonts w:eastAsia="Lucida Sans Unicode"/>
                    <w:b/>
                    <w:bCs/>
                    <w:szCs w:val="24"/>
                  </w:rPr>
                  <w:t> straipsnis. Reikalavimų, susijusių su baterijų atliekų tvarkymo organizavimu, nevykdymas</w:t>
                </w:r>
              </w:p>
              <w:p w14:paraId="7F7EEE79" w14:textId="77777777">
                <w:pPr>
                  <w:widowControl w:val="0"/>
                  <w:shd w:val="clear" w:color="auto" w:fill="FFFFFF"/>
                  <w:suppressAutoHyphens/>
                  <w:ind w:firstLine="709"/>
                  <w:jc w:val="both"/>
                  <w:rPr>
                    <w:rFonts w:eastAsia="Lucida Sans Unicode"/>
                    <w:b/>
                    <w:bCs/>
                    <w:kern w:val="1"/>
                    <w:szCs w:val="24"/>
                    <w:lang w:eastAsia="ar-SA"/>
                  </w:rPr>
                </w:pPr>
                <w:r>
                  <w:rPr>
                    <w:b/>
                    <w:bCs/>
                    <w:szCs w:val="24"/>
                  </w:rPr>
                  <w:t xml:space="preserve">1. </w:t>
                </w:r>
                <w:r>
                  <w:rPr>
                    <w:rFonts w:eastAsia="Lucida Sans Unicode"/>
                    <w:b/>
                    <w:bCs/>
                    <w:kern w:val="1"/>
                    <w:szCs w:val="24"/>
                    <w:lang w:eastAsia="ar-SA"/>
                  </w:rPr>
                  <w:t>Baterijų tiekimas Lietuvos Respublikos rinkai neįsiregistravus Lietuvos Respublikos baterijų ir baterijų atliekų tvarkymo įstatyme nustatyta tvarka</w:t>
                </w:r>
              </w:p>
              <w:p w14:paraId="438FA187" w14:textId="77777777">
                <w:pPr>
                  <w:widowControl w:val="0"/>
                  <w:shd w:val="clear" w:color="auto" w:fill="FFFFFF"/>
                  <w:suppressAutoHyphens/>
                  <w:ind w:firstLine="709"/>
                  <w:jc w:val="both"/>
                  <w:rPr>
                    <w:rFonts w:eastAsia="Lucida Sans Unicode"/>
                    <w:b/>
                    <w:bCs/>
                    <w:kern w:val="1"/>
                    <w:szCs w:val="24"/>
                    <w:lang w:eastAsia="ar-SA"/>
                  </w:rPr>
                </w:pPr>
                <w:r>
                  <w:rPr>
                    <w:b/>
                    <w:bCs/>
                    <w:szCs w:val="24"/>
                  </w:rPr>
                  <w:t xml:space="preserve">užtraukia baudą juridinių asmenų vadovams ar kitiems atsakingiems asmenims nuo </w:t>
                </w:r>
                <w:r>
                  <w:rPr>
                    <w:rFonts w:eastAsia="Lucida Sans Unicode"/>
                    <w:b/>
                    <w:bCs/>
                    <w:kern w:val="1"/>
                    <w:szCs w:val="24"/>
                    <w:lang w:eastAsia="ar-SA"/>
                  </w:rPr>
                  <w:t>vieno šimto penkiasdešimt iki aštuonių šimtų penkiasdešimt eurų.</w:t>
                </w:r>
              </w:p>
              <w:p w14:paraId="78347E66"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2. Reglamente </w:t>
                </w:r>
                <w:fldSimple w:instr="HYPERLINK http://eur-lex.europa.eu/legal-content/LIT/TXT/?uri=CELEX:32023R1542&amp;locale=lt \t _blank">
                  <w:r>
                    <w:rPr>
                      <w:rFonts w:eastAsia="Lucida Sans Unicode"/>
                      <w:b/>
                      <w:bCs/>
                      <w:kern w:val="1"/>
                      <w:szCs w:val="24"/>
                      <w:lang w:eastAsia="ar-SA"/>
                      <w:u w:val="single"/>
                      <w:color w:val="0000FF" w:themeColor="hyperlink"/>
                    </w:rPr>
                    <w:t>(ES) 2023/1542</w:t>
                  </w:r>
                </w:fldSimple>
                <w:r>
                  <w:rPr>
                    <w:rFonts w:eastAsia="Lucida Sans Unicode"/>
                    <w:b/>
                    <w:bCs/>
                    <w:kern w:val="1"/>
                    <w:szCs w:val="24"/>
                    <w:lang w:eastAsia="ar-SA"/>
                  </w:rPr>
                  <w:t xml:space="preserve"> numatytos pareigos nustatyta tvarka priimti baterijų atliekas nevykdymas </w:t>
                </w:r>
              </w:p>
              <w:p w14:paraId="10E1FE67" w14:textId="77777777">
                <w:pPr>
                  <w:widowControl w:val="0"/>
                  <w:shd w:val="clear" w:color="auto" w:fill="FFFFFF"/>
                  <w:suppressAutoHyphens/>
                  <w:ind w:firstLine="709"/>
                  <w:jc w:val="both"/>
                  <w:rPr>
                    <w:rFonts w:eastAsia="Lucida Sans Unicode"/>
                    <w:b/>
                    <w:bCs/>
                    <w:kern w:val="1"/>
                    <w:szCs w:val="24"/>
                    <w:lang w:eastAsia="ar-SA"/>
                  </w:rPr>
                </w:pPr>
                <w:r>
                  <w:rPr>
                    <w:rFonts w:eastAsia="Lucida Sans Unicode"/>
                    <w:b/>
                    <w:bCs/>
                    <w:kern w:val="1"/>
                    <w:szCs w:val="24"/>
                    <w:lang w:eastAsia="ar-SA"/>
                  </w:rPr>
                  <w:t xml:space="preserve">užtraukia baudą juridinių asmenų vadovams ar kitiems atsakingiems asmenims nuo keturių šimtų penkiasdešimt iki aštuonių šimtų penkiasdešimt eurų. </w:t>
                </w:r>
              </w:p>
              <w:p w14:paraId="48E965E5" w14:textId="77777777">
                <w:pPr>
                  <w:widowControl w:val="0"/>
                  <w:suppressAutoHyphens/>
                  <w:ind w:firstLine="709"/>
                  <w:jc w:val="both"/>
                  <w:rPr>
                    <w:rFonts w:eastAsia="Lucida Sans Unicode"/>
                    <w:b/>
                    <w:bCs/>
                    <w:szCs w:val="24"/>
                  </w:rPr>
                </w:pPr>
                <w:r>
                  <w:rPr>
                    <w:rFonts w:eastAsia="Lucida Sans Unicode"/>
                    <w:b/>
                    <w:bCs/>
                    <w:szCs w:val="24"/>
                  </w:rPr>
                  <w:t xml:space="preserve">3. Neteisingų duomenų pateikimas baterijų </w:t>
                </w:r>
                <w:r>
                  <w:rPr>
                    <w:rFonts w:eastAsia="Lucida Sans Unicode"/>
                    <w:b/>
                    <w:bCs/>
                    <w:kern w:val="1"/>
                    <w:szCs w:val="24"/>
                    <w:shd w:val="clear" w:color="auto" w:fill="FFFFFF"/>
                    <w:lang w:eastAsia="ar-SA"/>
                  </w:rPr>
                  <w:t xml:space="preserve">apskaitoje ir (ar) </w:t>
                </w:r>
                <w:r>
                  <w:rPr>
                    <w:rFonts w:eastAsia="Lucida Sans Unicode"/>
                    <w:b/>
                    <w:bCs/>
                    <w:szCs w:val="24"/>
                  </w:rPr>
                  <w:t xml:space="preserve">apskaitos ataskaitoje arba baterijų apskaitos vykdymas pažeidžiant baterijų apskaitą reglamentuojančių teisės aktų reikalavimus </w:t>
                </w:r>
              </w:p>
              <w:p w14:paraId="3CF6F009" w14:textId="77777777">
                <w:pPr>
                  <w:widowControl w:val="0"/>
                  <w:suppressAutoHyphens/>
                  <w:ind w:firstLine="709"/>
                  <w:jc w:val="both"/>
                  <w:rPr>
                    <w:rFonts w:eastAsia="Lucida Sans Unicode"/>
                    <w:b/>
                    <w:bCs/>
                    <w:szCs w:val="24"/>
                  </w:rPr>
                </w:pPr>
                <w:r>
                  <w:rPr>
                    <w:rFonts w:eastAsia="Lucida Sans Unicode"/>
                    <w:b/>
                    <w:bCs/>
                    <w:szCs w:val="24"/>
                  </w:rPr>
                  <w:t>užtraukia baudą juridinių asmenų vadovams ar kitiems atsakingiems asmenims nuo keturių šimtų penkiasdešimt iki aštuonių šimtų penkiasdešimt eurų.</w:t>
                </w:r>
              </w:p>
              <w:p w14:paraId="68636E0C" w14:textId="77777777">
                <w:pPr>
                  <w:widowControl w:val="0"/>
                  <w:suppressAutoHyphens/>
                  <w:ind w:firstLine="709"/>
                  <w:jc w:val="both"/>
                  <w:rPr>
                    <w:rFonts w:eastAsia="Lucida Sans Unicode"/>
                    <w:b/>
                    <w:bCs/>
                    <w:szCs w:val="24"/>
                  </w:rPr>
                </w:pPr>
                <w:r>
                  <w:rPr>
                    <w:rFonts w:eastAsia="Lucida Sans Unicode"/>
                    <w:b/>
                    <w:bCs/>
                    <w:szCs w:val="24"/>
                  </w:rPr>
                  <w:t xml:space="preserve">4. Surinktų baterijų atliekų atlygintinis ar neatlygintinis perleidimas asmenims, neturintiems teisės tvarkyti šias atliekas, </w:t>
                </w:r>
              </w:p>
              <w:p w14:paraId="4981A7F6" w14:textId="77777777">
                <w:pPr>
                  <w:widowControl w:val="0"/>
                  <w:suppressAutoHyphens/>
                  <w:ind w:firstLine="709"/>
                  <w:jc w:val="both"/>
                  <w:rPr>
                    <w:rFonts w:eastAsia="Lucida Sans Unicode"/>
                    <w:b/>
                    <w:bCs/>
                    <w:szCs w:val="24"/>
                  </w:rPr>
                </w:pPr>
                <w:r>
                  <w:rPr>
                    <w:rFonts w:eastAsia="Lucida Sans Unicode"/>
                    <w:b/>
                    <w:bCs/>
                    <w:szCs w:val="24"/>
                  </w:rPr>
                  <w:t>užtraukia baudą juridinių asmenų vadovams ar kitiems atsakingiems asmenims nuo keturių šimtų penkiasdešimt iki aštuonių šimtų penkiasdešimt eurų.</w:t>
                </w:r>
              </w:p>
              <w:p w14:paraId="0E156DE6" w14:textId="77777777">
                <w:pPr>
                  <w:widowControl w:val="0"/>
                  <w:suppressAutoHyphens/>
                  <w:ind w:firstLine="709"/>
                  <w:jc w:val="both"/>
                  <w:rPr>
                    <w:b/>
                    <w:bCs/>
                    <w:color w:val="000000"/>
                    <w:szCs w:val="24"/>
                    <w:lang w:eastAsia="lt-LT"/>
                  </w:rPr>
                </w:pPr>
                <w:r>
                  <w:rPr>
                    <w:b/>
                    <w:bCs/>
                    <w:color w:val="000000"/>
                    <w:szCs w:val="24"/>
                    <w:lang w:eastAsia="lt-LT"/>
                  </w:rPr>
                  <w:t>5. Šio straipsnio 1–4 dalyse numatyti administraciniai nusižengimai, padaryti pakartotinai,</w:t>
                </w:r>
              </w:p>
              <w:p w14:paraId="6725C8C0" w14:textId="77777777">
                <w:pPr>
                  <w:widowControl w:val="0"/>
                  <w:suppressAutoHyphens/>
                  <w:ind w:firstLine="709"/>
                  <w:jc w:val="both"/>
                  <w:rPr>
                    <w:b/>
                    <w:bCs/>
                    <w:color w:val="000000"/>
                    <w:szCs w:val="24"/>
                    <w:lang w:eastAsia="lt-LT"/>
                  </w:rPr>
                </w:pPr>
                <w:r>
                  <w:rPr>
                    <w:b/>
                    <w:bCs/>
                    <w:color w:val="000000"/>
                    <w:szCs w:val="24"/>
                    <w:lang w:eastAsia="lt-LT"/>
                  </w:rPr>
                  <w:t xml:space="preserve">užtraukia baudą nuo </w:t>
                </w:r>
                <w:r>
                  <w:rPr>
                    <w:rFonts w:eastAsia="Lucida Sans Unicode"/>
                    <w:b/>
                    <w:bCs/>
                    <w:kern w:val="1"/>
                    <w:szCs w:val="24"/>
                    <w:lang w:eastAsia="ar-SA"/>
                  </w:rPr>
                  <w:t xml:space="preserve">aštuonių šimtų penkiasdešimt </w:t>
                </w:r>
                <w:r>
                  <w:rPr>
                    <w:b/>
                    <w:bCs/>
                    <w:color w:val="000000"/>
                    <w:szCs w:val="24"/>
                    <w:lang w:eastAsia="lt-LT"/>
                  </w:rPr>
                  <w:t>iki vieno tūkstančio devynių šimtų eurų.</w:t>
                </w:r>
              </w:p>
              <w:p w14:paraId="2F93506F" w14:textId="77777777">
                <w:pPr>
                  <w:widowControl w:val="0"/>
                  <w:suppressAutoHyphens/>
                  <w:ind w:firstLine="709"/>
                  <w:jc w:val="both"/>
                  <w:rPr>
                    <w:rFonts w:eastAsia="Lucida Sans Unicode"/>
                    <w:b/>
                    <w:bCs/>
                    <w:szCs w:val="24"/>
                  </w:rPr>
                </w:pPr>
                <w:r>
                  <w:rPr>
                    <w:rFonts w:eastAsia="Lucida Sans Unicode"/>
                    <w:b/>
                    <w:bCs/>
                    <w:szCs w:val="24"/>
                  </w:rPr>
                  <w:t xml:space="preserve">6. Baterijų apskaitos netvarkymas </w:t>
                </w:r>
              </w:p>
              <w:p w14:paraId="41816E44" w14:textId="77777777">
                <w:pPr>
                  <w:widowControl w:val="0"/>
                  <w:suppressAutoHyphens/>
                  <w:ind w:firstLine="709"/>
                  <w:jc w:val="both"/>
                  <w:rPr>
                    <w:rFonts w:eastAsia="Lucida Sans Unicode"/>
                    <w:b/>
                    <w:bCs/>
                    <w:szCs w:val="24"/>
                  </w:rPr>
                </w:pPr>
                <w:r>
                  <w:rPr>
                    <w:rFonts w:eastAsia="Lucida Sans Unicode"/>
                    <w:b/>
                    <w:bCs/>
                    <w:szCs w:val="24"/>
                  </w:rPr>
                  <w:t>užtraukia baudą juridinių asmenų vadovams ar kitiems atsakingiems asmenims nuo devynių šimtų iki vieno tūkstančio devynių šimtų eurų.“</w:t>
                </w:r>
              </w:p>
              <w:p w14:paraId="30D3C7B4" w14:textId="77777777">
                <w:pPr>
                  <w:widowControl w:val="0"/>
                  <w:suppressAutoHyphens/>
                  <w:ind w:firstLine="709"/>
                  <w:jc w:val="both"/>
                  <w:rPr>
                    <w:rFonts w:eastAsia="Lucida Sans Unicode"/>
                    <w:b/>
                    <w:bCs/>
                    <w:spacing w:val="2"/>
                    <w:szCs w:val="24"/>
                    <w:shd w:val="clear" w:color="auto" w:fill="FFFFFF"/>
                  </w:rPr>
                </w:pPr>
              </w:p>
              <w:p w14:paraId="6E1EEE50" w14:textId="5E34F625">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AVĮ</w:t>
                </w:r>
              </w:p>
              <w:p w14:paraId="78CAB2B2" w14:textId="5597ACAE">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14</w:t>
                </w:r>
                <w:r>
                  <w:rPr>
                    <w:rFonts w:eastAsia="Lucida Sans Unicode"/>
                    <w:b/>
                    <w:bCs/>
                    <w:spacing w:val="2"/>
                    <w:szCs w:val="24"/>
                    <w:shd w:val="clear" w:color="auto" w:fill="FFFFFF"/>
                    <w:vertAlign w:val="superscript"/>
                  </w:rPr>
                  <w:t>1</w:t>
                </w:r>
                <w:r>
                  <w:rPr>
                    <w:rFonts w:eastAsia="Lucida Sans Unicode"/>
                    <w:b/>
                    <w:bCs/>
                    <w:spacing w:val="2"/>
                    <w:szCs w:val="24"/>
                    <w:shd w:val="clear" w:color="auto" w:fill="FFFFFF"/>
                  </w:rPr>
                  <w:t xml:space="preserve"> straipsnis. Reikalavimai atitikties vertinimo įstaigoms, siekiančioms tapti notifikuotosiomis įstaigomis</w:t>
                </w:r>
              </w:p>
              <w:p w14:paraId="133647B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Atitikties vertinimo įstaiga, siekianti tapti notifikuotąja įstaiga ir Vyriausybės įgaliotai institucijai pateikusi paraišką tapti notifikuotąja įstaiga, Vyriausybės nustatyta tvarka paskiriama atlikti gaminių atitikties vertinimo procedūras ir apie ją pranešama Europos Komisijai, Europos Sąjungos ir kitoms valstybėms, kai ji atitinka šiuos kriterijus:</w:t>
                </w:r>
              </w:p>
              <w:p w14:paraId="246AAE8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ji atitinka techniniame reglamente notifikuotosioms įstaigoms ir jų personalui nustatytus reikalavimus;</w:t>
                </w:r>
              </w:p>
              <w:p w14:paraId="2BB5F92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ji turi technines galimybes atlikti techniniame reglamente nustatytas atitikties vertinimo procedūras;</w:t>
                </w:r>
              </w:p>
              <w:p w14:paraId="7F237EDD" w14:textId="08EEF8D3">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3) ji atitinka Reglamente </w:t>
                </w:r>
                <w:fldSimple w:instr="HYPERLINK http://eur-lex.europa.eu/legal-content/LIT/TXT/?uri=CELEX:32008R0765&amp;locale=lt \t _blank">
                  <w:r>
                    <w:rPr>
                      <w:rFonts w:eastAsia="Lucida Sans Unicode"/>
                      <w:spacing w:val="2"/>
                      <w:szCs w:val="24"/>
                      <w:shd w:val="clear" w:color="auto" w:fill="FFFFFF"/>
                      <w:u w:val="single"/>
                      <w:color w:val="0000FF" w:themeColor="hyperlink"/>
                    </w:rPr>
                    <w:t>(EB) Nr. 765/2008</w:t>
                  </w:r>
                </w:fldSimple>
                <w:r>
                  <w:rPr>
                    <w:rFonts w:eastAsia="Lucida Sans Unicode"/>
                    <w:spacing w:val="2"/>
                    <w:szCs w:val="24"/>
                    <w:shd w:val="clear" w:color="auto" w:fill="FFFFFF"/>
                  </w:rPr>
                  <w:t xml:space="preserve"> nurodytos Europos akreditacijos organizacijos išleistame vadove EA-2/17 „Dokumentas dėl akreditavimo notifikavimo tikslais“ atitikties vertinimo įstaigų akreditavimui notifikavimo tikslais nustatytus reikalavimus;</w:t>
                </w:r>
              </w:p>
              <w:p w14:paraId="0FC6EB9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ji yra įregistruota Lietuvos Respublikoje teisės aktų, reglamentuojančių juridinių asmenų registravimą, nustatyta tvarka;</w:t>
                </w:r>
              </w:p>
              <w:p w14:paraId="5D4974F2" w14:textId="1C6B8C64">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5) ji yra nešališka, nepatiria interesų konflikto ir nepriklauso nuo ekonominės veiklos vykdytojų, susijusių su gaminiu (-iais), kurio (-ių) atitikties vertinimo procedūroms atlikti siekia tapti notifikuotąja, arba nuo paties gaminio, kaip tai nustatyta Sprendime </w:t>
                </w:r>
                <w:fldSimple w:instr="HYPERLINK http://eur-lex.europa.eu/legal-content/LIT/TXT/?uri=CELEX:32008D0768&amp;locale=lt \t _blank">
                  <w:r>
                    <w:rPr>
                      <w:rFonts w:eastAsia="Lucida Sans Unicode"/>
                      <w:spacing w:val="2"/>
                      <w:szCs w:val="24"/>
                      <w:shd w:val="clear" w:color="auto" w:fill="FFFFFF"/>
                      <w:u w:val="single"/>
                      <w:color w:val="0000FF" w:themeColor="hyperlink"/>
                    </w:rPr>
                    <w:t>Nr. 768/2008/EB</w:t>
                  </w:r>
                </w:fldSimple>
                <w:r>
                  <w:rPr>
                    <w:rFonts w:eastAsia="Lucida Sans Unicode"/>
                    <w:spacing w:val="2"/>
                    <w:szCs w:val="24"/>
                    <w:shd w:val="clear" w:color="auto" w:fill="FFFFFF"/>
                  </w:rPr>
                  <w:t>, šio straipsnio 3 punkte nurodytame Europos akreditacijos organizacijos vadove bei atitinkamame techniniame reglamente;</w:t>
                </w:r>
              </w:p>
              <w:p w14:paraId="6618475F" w14:textId="4329E18C">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6) ji yra akredituota šio įstatymo arba Reglamento </w:t>
                </w:r>
                <w:fldSimple w:instr="HYPERLINK http://eur-lex.europa.eu/legal-content/LIT/TXT/?uri=CELEX:32008R0765&amp;locale=lt \t _blank">
                  <w:r>
                    <w:rPr>
                      <w:rFonts w:eastAsia="Lucida Sans Unicode"/>
                      <w:spacing w:val="2"/>
                      <w:szCs w:val="24"/>
                      <w:shd w:val="clear" w:color="auto" w:fill="FFFFFF"/>
                      <w:u w:val="single"/>
                      <w:color w:val="0000FF" w:themeColor="hyperlink"/>
                    </w:rPr>
                    <w:t>(EB) Nr. 765/2008</w:t>
                  </w:r>
                </w:fldSimple>
                <w:r>
                  <w:rPr>
                    <w:rFonts w:eastAsia="Lucida Sans Unicode"/>
                    <w:spacing w:val="2"/>
                    <w:szCs w:val="24"/>
                    <w:shd w:val="clear" w:color="auto" w:fill="FFFFFF"/>
                  </w:rPr>
                  <w:t>, jeigu akreditavimas įrodytas kitos Europos Sąjungos valstybės narės nacionalinės akreditacijos įstaigos išduotu akreditavimo pažymėjimu arba kitu akreditavimą patvirtinančiu dokumentu, nustatyta tvarka.</w:t>
                </w:r>
              </w:p>
              <w:p w14:paraId="1A65E405" w14:textId="77777777">
                <w:pPr>
                  <w:widowControl w:val="0"/>
                  <w:suppressAutoHyphens/>
                  <w:ind w:firstLine="709"/>
                  <w:jc w:val="both"/>
                  <w:rPr>
                    <w:rFonts w:eastAsia="Lucida Sans Unicode"/>
                    <w:b/>
                    <w:bCs/>
                    <w:spacing w:val="2"/>
                    <w:szCs w:val="24"/>
                    <w:shd w:val="clear" w:color="auto" w:fill="FFFFFF"/>
                  </w:rPr>
                </w:pPr>
              </w:p>
              <w:p w14:paraId="33A96DDF" w14:textId="19598592">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14</w:t>
                </w:r>
                <w:r>
                  <w:rPr>
                    <w:rFonts w:eastAsia="Lucida Sans Unicode"/>
                    <w:b/>
                    <w:bCs/>
                    <w:spacing w:val="2"/>
                    <w:szCs w:val="24"/>
                    <w:shd w:val="clear" w:color="auto" w:fill="FFFFFF"/>
                    <w:vertAlign w:val="superscript"/>
                  </w:rPr>
                  <w:t>5</w:t>
                </w:r>
                <w:r>
                  <w:rPr>
                    <w:rFonts w:eastAsia="Lucida Sans Unicode"/>
                    <w:b/>
                    <w:bCs/>
                    <w:spacing w:val="2"/>
                    <w:szCs w:val="24"/>
                    <w:shd w:val="clear" w:color="auto" w:fill="FFFFFF"/>
                  </w:rPr>
                  <w:t xml:space="preserve"> straipsnis. Vyriausybės įgaliotos institucijos sprendimo dėl atitikties vertinimo įstaigos paskyrimo atlikti gaminių atitikties vertinimo procedūras galiojimo laikinas sustabdymas</w:t>
                </w:r>
              </w:p>
              <w:p w14:paraId="05E8D2C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Vyriausybės įgaliotos institucijos sprendimo dėl atitikties vertinimo įstaigos paskyrimo atlikti gaminių atitikties vertinimo procedūras, apie kurį pateiktas notifikavimo pranešimas, galiojimas laikinai sustabdomas:</w:t>
                </w:r>
              </w:p>
              <w:p w14:paraId="4FEA5902"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397CC258" w14:textId="233E250E">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kai Vyriausybės įgaliota institucija nustato notifikuotosios įstaigos ar jos veiklos neatitiktį šio įstatymo 14</w:t>
                </w:r>
                <w:r>
                  <w:rPr>
                    <w:rFonts w:eastAsia="Lucida Sans Unicode"/>
                    <w:spacing w:val="2"/>
                    <w:szCs w:val="24"/>
                    <w:shd w:val="clear" w:color="auto" w:fill="FFFFFF"/>
                    <w:vertAlign w:val="superscript"/>
                  </w:rPr>
                  <w:t>1</w:t>
                </w:r>
                <w:r>
                  <w:rPr>
                    <w:rFonts w:eastAsia="Lucida Sans Unicode"/>
                    <w:spacing w:val="2"/>
                    <w:szCs w:val="24"/>
                    <w:shd w:val="clear" w:color="auto" w:fill="FFFFFF"/>
                  </w:rPr>
                  <w:t xml:space="preserve"> straipsnyje nustatytiems reikalavimams ir įspėja apie galimą atitikties vertinimo įstaigos paskyrimo atlikti gaminių atitikties vertinimo procedūras galiojimo sustabdymą bei nustato terminą joms ištaisyti, kuris negali būti trumpesnis kaip 10 darbo dienų ir ilgesnis kaip 20 darbo dienų nuo notifikuotosios įstaigos informavimo apie neatitikties šio įstatymo 14</w:t>
                </w:r>
                <w:r>
                  <w:rPr>
                    <w:rFonts w:eastAsia="Lucida Sans Unicode"/>
                    <w:spacing w:val="2"/>
                    <w:szCs w:val="24"/>
                    <w:shd w:val="clear" w:color="auto" w:fill="FFFFFF"/>
                    <w:vertAlign w:val="superscript"/>
                  </w:rPr>
                  <w:t>1</w:t>
                </w:r>
                <w:r>
                  <w:rPr>
                    <w:rFonts w:eastAsia="Lucida Sans Unicode"/>
                    <w:spacing w:val="2"/>
                    <w:szCs w:val="24"/>
                    <w:shd w:val="clear" w:color="auto" w:fill="FFFFFF"/>
                  </w:rPr>
                  <w:t> straipsnyje nustatytiems reikalavimams nustatymą dienos, bet jų nepašalina per nurodytą terminą ir (ar) nepraneša apie jų pašalinimą Vyriausybės įgaliotai institucijai.</w:t>
                </w:r>
              </w:p>
              <w:p w14:paraId="02386EE8" w14:textId="0F743890">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4A0371F4" w14:textId="77777777">
                <w:pPr>
                  <w:widowControl w:val="0"/>
                  <w:suppressAutoHyphens/>
                  <w:ind w:firstLine="709"/>
                  <w:jc w:val="both"/>
                  <w:rPr>
                    <w:rFonts w:eastAsia="Lucida Sans Unicode"/>
                    <w:spacing w:val="2"/>
                    <w:szCs w:val="24"/>
                    <w:shd w:val="clear" w:color="auto" w:fill="FFFFFF"/>
                  </w:rPr>
                </w:pPr>
              </w:p>
              <w:p w14:paraId="013775EA" w14:textId="4C1B2EB8">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14</w:t>
                </w:r>
                <w:r>
                  <w:rPr>
                    <w:rFonts w:eastAsia="Lucida Sans Unicode"/>
                    <w:b/>
                    <w:bCs/>
                    <w:spacing w:val="2"/>
                    <w:szCs w:val="24"/>
                    <w:shd w:val="clear" w:color="auto" w:fill="FFFFFF"/>
                    <w:vertAlign w:val="superscript"/>
                  </w:rPr>
                  <w:t>7</w:t>
                </w:r>
                <w:r>
                  <w:rPr>
                    <w:rFonts w:eastAsia="Lucida Sans Unicode"/>
                    <w:b/>
                    <w:bCs/>
                    <w:spacing w:val="2"/>
                    <w:szCs w:val="24"/>
                    <w:shd w:val="clear" w:color="auto" w:fill="FFFFFF"/>
                  </w:rPr>
                  <w:t xml:space="preserve"> straipsnis. Notifikuotosios įstaigos paskyrimo atlikti gaminių atitikties vertinimo procedūras galiojimo panaikinimas</w:t>
                </w:r>
              </w:p>
              <w:p w14:paraId="47B3351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Vyriausybės įgaliota institucija notifikuotosios įstaigos paskyrimo atlikti gaminių atitikties vertinimo procedūras galiojimą panaikina šiais atvejais:</w:t>
                </w:r>
              </w:p>
              <w:p w14:paraId="4107F40B"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692A1CA4" w14:textId="7ED9A67D">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įvertinusi notifikuotosios įstaigos per šio įstatymo 14</w:t>
                </w:r>
                <w:r>
                  <w:rPr>
                    <w:rFonts w:eastAsia="Lucida Sans Unicode"/>
                    <w:spacing w:val="2"/>
                    <w:szCs w:val="24"/>
                    <w:shd w:val="clear" w:color="auto" w:fill="FFFFFF"/>
                    <w:vertAlign w:val="superscript"/>
                  </w:rPr>
                  <w:t>5</w:t>
                </w:r>
                <w:r>
                  <w:rPr>
                    <w:rFonts w:eastAsia="Lucida Sans Unicode"/>
                    <w:spacing w:val="2"/>
                    <w:szCs w:val="24"/>
                    <w:shd w:val="clear" w:color="auto" w:fill="FFFFFF"/>
                  </w:rPr>
                  <w:t xml:space="preserve"> straipsnio 1 dalies 3 punkte nustatytą terminą Vyriausybės nustatyta tvarka pateiktus duomenis ar dokumentus apie notifikuotosios įstaigos ar jos veiklos neatitikčių šio įstatymo 14</w:t>
                </w:r>
                <w:r>
                  <w:rPr>
                    <w:rFonts w:eastAsia="Lucida Sans Unicode"/>
                    <w:spacing w:val="2"/>
                    <w:szCs w:val="24"/>
                    <w:shd w:val="clear" w:color="auto" w:fill="FFFFFF"/>
                    <w:vertAlign w:val="superscript"/>
                  </w:rPr>
                  <w:t>1</w:t>
                </w:r>
                <w:r>
                  <w:rPr>
                    <w:rFonts w:eastAsia="Lucida Sans Unicode"/>
                    <w:spacing w:val="2"/>
                    <w:szCs w:val="24"/>
                    <w:shd w:val="clear" w:color="auto" w:fill="FFFFFF"/>
                  </w:rPr>
                  <w:t xml:space="preserve"> straipsnyje nustatytiems reikalavimams pašalinimą, nustato, kad atitikties vertinimo įstaiga ar jos veikla neatitinka šio įstatymo 14</w:t>
                </w:r>
                <w:r>
                  <w:rPr>
                    <w:rFonts w:eastAsia="Lucida Sans Unicode"/>
                    <w:spacing w:val="2"/>
                    <w:szCs w:val="24"/>
                    <w:shd w:val="clear" w:color="auto" w:fill="FFFFFF"/>
                    <w:vertAlign w:val="superscript"/>
                  </w:rPr>
                  <w:t>1</w:t>
                </w:r>
                <w:r>
                  <w:rPr>
                    <w:rFonts w:eastAsia="Lucida Sans Unicode"/>
                    <w:spacing w:val="2"/>
                    <w:szCs w:val="24"/>
                    <w:shd w:val="clear" w:color="auto" w:fill="FFFFFF"/>
                  </w:rPr>
                  <w:t xml:space="preserve"> straipsnyje nustatytų reikalavimų ir būtina panaikinti notifikuotosios įstaigos paskyrimą atlikti atitikties vertinimo procedūras;</w:t>
                </w:r>
              </w:p>
              <w:p w14:paraId="53632E7C" w14:textId="7ED502F1">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1EFB3CF1"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PSĮ</w:t>
                </w:r>
              </w:p>
              <w:p w14:paraId="275DA0A0" w14:textId="4996D06F">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13 straipsnis. Privalomi nurodymai elektroninių prekyviečių paslaugų teikėjams, ekonominės veiklos vykdytojams ir paslaugų teikėjams</w:t>
                </w:r>
              </w:p>
              <w:p w14:paraId="4DE7E102" w14:textId="3C38961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nustačiusi, kad elektroninėje prekyvietėje vartotojams pateikta informacija, kuria teikiamas pavojingo gaminio pasiūlymas, turi teisę duoti privalomą nurodymą elektroninės prekyvietės paslaugų teikėjui iš savo elektroninės sąsajos pašalinti šią informaciją, panaikinti prieigą prie jos ar pateikti aiškų įspėjimą vartotojams. Tokie privalomi nurodymai turi atitikti 2022 m. spalio 19 d. Europos Parlamento ir Tarybos reglamento </w:t>
                </w:r>
                <w:fldSimple w:instr="HYPERLINK http://eur-lex.europa.eu/legal-content/LIT/TXT/?uri=CELEX:32022R2065&amp;locale=lt \t _blank">
                  <w:r>
                    <w:rPr>
                      <w:rFonts w:eastAsia="Lucida Sans Unicode"/>
                      <w:spacing w:val="2"/>
                      <w:szCs w:val="24"/>
                      <w:shd w:val="clear" w:color="auto" w:fill="FFFFFF"/>
                      <w:u w:val="single"/>
                      <w:color w:val="0000FF" w:themeColor="hyperlink"/>
                    </w:rPr>
                    <w:t>(ES) 2022/2065</w:t>
                  </w:r>
                </w:fldSimple>
                <w:r>
                  <w:rPr>
                    <w:rFonts w:eastAsia="Lucida Sans Unicode"/>
                    <w:spacing w:val="2"/>
                    <w:szCs w:val="24"/>
                    <w:shd w:val="clear" w:color="auto" w:fill="FFFFFF"/>
                  </w:rPr>
                  <w:t xml:space="preserve"> dėl bendrosios skaitmeninių paslaugų rinkos, kuriuo iš dalies keičiama Direktyva </w:t>
                </w:r>
                <w:fldSimple w:instr="HYPERLINK http://eur-lex.europa.eu/legal-content/LIT/TXT/?uri=CELEX:32000L0031&amp;locale=lt \t _blank">
                  <w:r>
                    <w:rPr>
                      <w:rFonts w:eastAsia="Lucida Sans Unicode"/>
                      <w:spacing w:val="2"/>
                      <w:szCs w:val="24"/>
                      <w:shd w:val="clear" w:color="auto" w:fill="FFFFFF"/>
                      <w:u w:val="single"/>
                      <w:color w:val="0000FF" w:themeColor="hyperlink"/>
                    </w:rPr>
                    <w:t>2000/31/EB</w:t>
                  </w:r>
                </w:fldSimple>
                <w:r>
                  <w:rPr>
                    <w:rFonts w:eastAsia="Lucida Sans Unicode"/>
                    <w:spacing w:val="2"/>
                    <w:szCs w:val="24"/>
                    <w:shd w:val="clear" w:color="auto" w:fill="FFFFFF"/>
                  </w:rPr>
                  <w:t xml:space="preserve">, (Skaitmeninių paslaugų akto) 9 straipsnio 2 dalyje nustatytas sąlygas. Kai yra Reglamento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nustatytos sąlygos, rinkos priežiūros institucija turi teisę duoti privalomus nurodymus elektroninės prekyvietės paslaugų teikėjui pašalinti iš savo elektroninės sąsajos visą tapačią informaciją, susijusią su pavojingo gaminio pasiūlymu, panaikinti prieigą prie tapataus turinio arba pateikti aiškų įspėjimą vartotojams.</w:t>
                </w:r>
              </w:p>
              <w:p w14:paraId="1B1A1668" w14:textId="1DAE4213">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&lt;...&gt;</w:t>
                </w:r>
              </w:p>
              <w:p w14:paraId="730092CB" w14:textId="77777777">
                <w:pPr>
                  <w:widowControl w:val="0"/>
                  <w:suppressAutoHyphens/>
                  <w:ind w:firstLine="709"/>
                  <w:jc w:val="both"/>
                  <w:rPr>
                    <w:rFonts w:eastAsia="Lucida Sans Unicode"/>
                    <w:spacing w:val="2"/>
                    <w:szCs w:val="24"/>
                    <w:shd w:val="clear" w:color="auto" w:fill="FFFFFF"/>
                  </w:rPr>
                </w:pPr>
              </w:p>
              <w:p w14:paraId="177C1D3D" w14:textId="299B22E9">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15 straipsnis. Rinkos ribojimo priemonių taikymo pagrindai</w:t>
                </w:r>
              </w:p>
              <w:p w14:paraId="0F7A6E9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Šio įstatymo 16 straipsnio 1 dalies 1 punkte nurodyta rinkos ribojimo priemonė taikoma, kai tenkinama bent viena iš šių sąlygų:</w:t>
                </w:r>
              </w:p>
              <w:p w14:paraId="66F0C6D4"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produktas neatitinka nustatytų saugos reikalavimų, bet neatitiktį galima pašalinti;</w:t>
                </w:r>
              </w:p>
              <w:p w14:paraId="3E08B385"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jeigu yra pagrindo manyti, kad produktas yra pavojingas, nors jis ir atitinka bendrojo saugos reikalavimo prezumpciją;</w:t>
                </w:r>
              </w:p>
              <w:p w14:paraId="6EDBBC7F" w14:textId="4BAF973C">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3) jeigu per Reglamente </w:t>
                </w:r>
                <w:fldSimple w:instr="HYPERLINK http://eur-lex.europa.eu/legal-content/LIT/TXT/?uri=CELEX:32023R0988&amp;locale=lt \t _blank">
                  <w:r>
                    <w:rPr>
                      <w:rFonts w:eastAsia="Lucida Sans Unicode"/>
                      <w:spacing w:val="2"/>
                      <w:szCs w:val="24"/>
                      <w:shd w:val="clear" w:color="auto" w:fill="FFFFFF"/>
                      <w:u w:val="single"/>
                      <w:color w:val="0000FF" w:themeColor="hyperlink"/>
                    </w:rPr>
                    <w:t>(ES) 2023/988</w:t>
                  </w:r>
                </w:fldSimple>
                <w:r>
                  <w:rPr>
                    <w:rFonts w:eastAsia="Lucida Sans Unicode"/>
                    <w:spacing w:val="2"/>
                    <w:szCs w:val="24"/>
                    <w:shd w:val="clear" w:color="auto" w:fill="FFFFFF"/>
                  </w:rPr>
                  <w:t xml:space="preserve"> nurodytą skubių įspėjimų sistemą gaunamas pranešimas apie didelį pavojų keliantį gaminį.</w:t>
                </w:r>
              </w:p>
              <w:p w14:paraId="7EDB4367"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Šio įstatymo 16 straipsnio 1 dalies 2 punkte nurodyta rinkos ribojimo priemonė taikoma, jeigu:</w:t>
                </w:r>
              </w:p>
              <w:p w14:paraId="3CB5BC95" w14:textId="036BB4D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1) rinkos priežiūros institucija nustato, kad yra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19 straipsnyje nurodyti pagrindai;</w:t>
                </w:r>
              </w:p>
              <w:p w14:paraId="231064D7" w14:textId="5EED614B">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 xml:space="preserve">2) ekonominės veiklos vykdytojas ar elektroninės prekyvietės paslaugų teikėjas nesiima rinkos priežiūros institucijos nurodytų taisomųjų veiksmų pagal Reglamento </w:t>
                </w:r>
                <w:fldSimple w:instr="HYPERLINK http://eur-lex.europa.eu/legal-content/LIT/TXT/?uri=CELEX:32019R1020&amp;locale=lt \t _blank">
                  <w:r>
                    <w:rPr>
                      <w:rFonts w:eastAsia="Lucida Sans Unicode"/>
                      <w:spacing w:val="2"/>
                      <w:szCs w:val="24"/>
                      <w:shd w:val="clear" w:color="auto" w:fill="FFFFFF"/>
                      <w:u w:val="single"/>
                      <w:color w:val="0000FF" w:themeColor="hyperlink"/>
                    </w:rPr>
                    <w:t>(ES) 2019/1020</w:t>
                  </w:r>
                </w:fldSimple>
                <w:r>
                  <w:rPr>
                    <w:rFonts w:eastAsia="Lucida Sans Unicode"/>
                    <w:spacing w:val="2"/>
                    <w:szCs w:val="24"/>
                    <w:shd w:val="clear" w:color="auto" w:fill="FFFFFF"/>
                  </w:rPr>
                  <w:t xml:space="preserve"> 16 straipsnį arba nepašalinamas produkto keliamas didelis pavojus.</w:t>
                </w:r>
              </w:p>
              <w:p w14:paraId="46F9553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Sprendimus dėl šio įstatymo 16 straipsnio 1 dalyje nurodytų rinkos ribojimo priemonių taikymo priima rinkos priežiūros institucija, atlikusi ekonominės veiklos vykdytojo, paslaugų teikėjo ir (ar) elektroninės prekyvietės paslaugų teikėjo veiklos patikrinimą.</w:t>
                </w:r>
              </w:p>
              <w:p w14:paraId="6647C36C"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 priėmusi sprendimą dėl rinkos ribojimo priemonių taikymo, kontroliuoja jo įgyvendinimą.</w:t>
                </w:r>
              </w:p>
              <w:p w14:paraId="1AE7CE9C" w14:textId="77777777">
                <w:pPr>
                  <w:widowControl w:val="0"/>
                  <w:suppressAutoHyphens/>
                  <w:ind w:firstLine="709"/>
                  <w:jc w:val="both"/>
                  <w:rPr>
                    <w:rFonts w:eastAsia="Lucida Sans Unicode"/>
                    <w:b/>
                    <w:bCs/>
                    <w:spacing w:val="2"/>
                    <w:szCs w:val="24"/>
                    <w:shd w:val="clear" w:color="auto" w:fill="FFFFFF"/>
                  </w:rPr>
                </w:pPr>
              </w:p>
              <w:p w14:paraId="039964E3" w14:textId="4A397FC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16 straipsnis. Rinkos ribojimo priemonės</w:t>
                </w:r>
              </w:p>
              <w:p w14:paraId="2EC00F9D" w14:textId="77777777">
                <w:pPr>
                  <w:widowControl w:val="0"/>
                  <w:suppressAutoHyphens/>
                  <w:ind w:firstLine="709"/>
                  <w:jc w:val="both"/>
                  <w:rPr>
                    <w:rFonts w:eastAsia="Lucida Sans Unicode"/>
                    <w:b/>
                    <w:bCs/>
                    <w:spacing w:val="2"/>
                    <w:szCs w:val="24"/>
                    <w:shd w:val="clear" w:color="auto" w:fill="FFFFFF"/>
                  </w:rPr>
                </w:pPr>
                <w:r>
                  <w:rPr>
                    <w:rFonts w:eastAsia="Lucida Sans Unicode"/>
                    <w:b/>
                    <w:bCs/>
                    <w:spacing w:val="2"/>
                    <w:szCs w:val="24"/>
                    <w:shd w:val="clear" w:color="auto" w:fill="FFFFFF"/>
                  </w:rPr>
                  <w:t>1. Rinkos priežiūros institucija šio įstatymo 15 straipsnyje nurodytais rinkos ribojimo priemonių taikymo pagrindais turi teisę šiame įstatyme nustatyta tvarka taikyti šias rinkos ribojimo priemones:</w:t>
                </w:r>
              </w:p>
              <w:p w14:paraId="1923C7E3"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priimti sprendimą laikinai (ne ilgesniam kaip 6 mėnesių laikotarpiui) uždrausti tiekti rinkai ir demonstruoti bet kokį produktą, dėl kurio kyla pagrįstų įtarimų, kad jis gali būti pavojingas, ir (ar) elektroninėje sąsajoje pateikti informaciją, kuria teikiamas tokio produkto pasiūlymas. Priėmusi šį sprendimą, rinkos priežiūros institucija įpareigoja ekonominės veiklos vykdytoją savo lėšomis atlikti produkto saugos vertinimą, iki sprendime nurodyto termino pabaigos pateikti šio vertinimo rezultatus arba pašalinti nustatytas produkto saugos reikalavimų neatitiktis ir iki sprendime nurodyto termino pabaigos pateikti informaciją apie šių neatitikčių šalinimo būdus ir rezultatus;</w:t>
                </w:r>
              </w:p>
              <w:p w14:paraId="0CB81EBE"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uždrausti bet kokio pavojingo produkto tiekimą rinkai, toliau imtis priemonių, kuriomis būtų užtikrintas šio draudimo laikymasis, ir (ar) uždrausti elektroninėje sąsajoje pateikti informaciją, susijusią su pavojingo produkto pasiūlymu.</w:t>
                </w:r>
              </w:p>
              <w:p w14:paraId="0E80193F" w14:textId="0907B795">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Rinkos priežiūros institucija, priėmusi šio straipsnio 1 dalies 1 punkte nurodytą sprendimą, ne vėliau kaip per 20 darbo dienų nuo jame nurodyto termino pabaigos arba, jeigu ekonominės veiklos vykdytojas, paslaugų teikėjas ar elektroninės prekyvietės paslaugos teikėjas šio straipsnio 1 dalies 1 punkte nurodytą informaciją pateikia anksčiau, ne vėliau kaip per 20 darbo dienų nuo šios informacijos gavimo dienos atlieka ekonominės veiklos vykdytojo, paslaugų teikėjo ar elektroninės prekyvietės paslaugos teikėjo veiklos patikrinimą ir (arba) produkto saugos ekspertizę, įvertindama produkto atitiktį produktų saugos reikalavimams. Jeigu yra objektyvių priežasčių ir šias priežastis pagrindžiančių įrodymų, produkto saugos ekspertizės atlikimo terminas rinkos priežiūros institucijos atskiru sprendimu gali būti pratęsiamas, bet ne ilgesniam kaip 6 mėnesių terminui. Jeigu ekonominės veiklos vykdytojas, paslaugų teikėjas ar elektroninės prekyvietės paslaugos teikėjas, pasibaigus šio straipsnio 1 dalies 1 punkte nurodyto sprendimo nurodytam terminui, informacijos apie produkto saugos vertinimo arba saugos reikalavimų neatitikčių šalinimo rezultatus nėra pateikęs arba pagal pateiktą informaciją produktas nėra saugus, rinkos priežiūros institucija taiko šio straipsnio 1 dalies 2 punkte nurodytą rinkos ribojimo priemonę. Ekonominės veiklos vykdytojui, paslaugų teikėjui ar elektroninės prekyvietės paslaugos teikėjui pateikus informaciją, kad produktas yra saugus, ir šią informaciją patvirtinus ekonominės veiklos vykdytojo, paslaugų teikėjo ar elektroninės prekyvietės paslaugos teikėjo veiklos patikrinimo ir (arba) produkto saugos ekspertizės metu, rinkos priežiūros institucija ne vėliau kaip per 3 darbo dienas nuo šio patikrinimo ir (arba) ekspertizės atlikimo dienos priima sprendimą leisti produktą toliau tiekti rinkai.</w:t>
                </w:r>
              </w:p>
              <w:p w14:paraId="63553E88"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3. Priėmusi šio straipsnio 1 dalies 2 punkte nurodytą sprendimą, rinkos priežiūros institucija ekonominės veiklos vykdytoją, paslaugų teikėją ar elektroninės prekyvietės paslaugos teikėją taip pat įpareigoja:</w:t>
                </w:r>
              </w:p>
              <w:p w14:paraId="584CCD88"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1) nedelsiant pašalinti iš rinkos pavojingą produktą arba organizuoti jo pašalinimą ir įspėti vartotojus apie su tokiu produktu susijusį pavojų, jeigu pavojingas produktas jau yra rinkoje, įskaitant informacijos, susijusios su pavojingo produkto pasiūlymu, pašalinimą iš elektroninės sąsajos;</w:t>
                </w:r>
              </w:p>
              <w:p w14:paraId="1575CA5A" w14:textId="77777777">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2) nedelsiant atšaukti pavojingą gaminį.</w:t>
                </w:r>
              </w:p>
              <w:p w14:paraId="62E0A068" w14:textId="19233BEA">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4. Rinkos priežiūros institucijai įpareigojus ekonominės veiklos vykdytoją, paslaugų teikėją ar elektroninės prekyvietės paslaugos teikėją atlikti šio straipsnio 3 dalies 1 ir (arba) 2 punktuose nurodytus veiksmus, ekonominės veiklos vykdytojas, paslaugų teikėjas ar elektroninės prekyvietės paslaugos teikėjas privalo juos atlikti per šios institucijos nurodytą terminą savo priemonėmis ir lėšomis ir nedelsdamas, bet ne vėliau kaip per 3 kalendorines dienas nuo šių veiksmų atlikimo dienos apie tai pranešti juos atlikti įpareigojusiai institucijai.</w:t>
                </w:r>
              </w:p>
              <w:p w14:paraId="5E769B15" w14:textId="324C281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5. Rinkos priežiūros institucija, priėmusi šio straipsnio 1 dalies 2 punkte nurodytą sprendimą ir (arba) šio straipsnio 3 dalies 1 ir (arba) 2 punktuose nurodytus sprendimus, įpareigoja ekonominės veiklos vykdytoją pavojingą gaminį saugiai sunaikinti, laikantis atliekų tvarkymą reguliuojančių teisės aktų reikalavimų. Pavojingą gaminį ekonominės veiklos vykdytojas sunaikina savo lėšomis ir ne vėliau kaip per 5 darbo dienas nuo šių veiksmų atlikimo dienos rinkos priežiūros institucijai pateikia gaminio sunaikinimą patvirtinantį dokumentą.</w:t>
                </w:r>
              </w:p>
              <w:p w14:paraId="072864A7" w14:textId="50BABEBF">
                <w:pPr>
                  <w:widowControl w:val="0"/>
                  <w:suppressAutoHyphens/>
                  <w:ind w:firstLine="709"/>
                  <w:jc w:val="both"/>
                  <w:rPr>
                    <w:rFonts w:eastAsia="Lucida Sans Unicode"/>
                    <w:spacing w:val="2"/>
                    <w:szCs w:val="24"/>
                    <w:shd w:val="clear" w:color="auto" w:fill="FFFFFF"/>
                  </w:rPr>
                </w:pPr>
                <w:r>
                  <w:rPr>
                    <w:rFonts w:eastAsia="Lucida Sans Unicode"/>
                    <w:spacing w:val="2"/>
                    <w:szCs w:val="24"/>
                    <w:shd w:val="clear" w:color="auto" w:fill="FFFFFF"/>
                  </w:rPr>
                  <w:t>6. Jeigu ekonominės veiklos vykdytojas, paslaugų teikėjas ar elektroninės prekyvietės paslaugos teikėjas per rinkos priežiūros institucijos nurodytą terminą neatlieka šio straipsnio 3 dalies 1 ir (arba) 2 punktuose nurodytų veiksmų ir (arba) pavojingų gaminių nesunaikina, šiuos veiksmus vykdo rinkos priežiūros institucija, įpareigojusi juos atlikti. Dėl šio straipsnio 3 dalies 1 ir (arba) 2 punktuose nurodytų veiksmų vykdymo ir pavojingo gaminio sunaikinimo rinkos priežiūros institucijos patirtas išlaidas atlygina pavojingą produktą pateikęs ir tiekęs rinkai ekonominės veiklos vykdytojas.</w:t>
                </w:r>
              </w:p>
              <w:p w14:paraId="16139918" w14:textId="737F0598">
                <w:pPr>
                  <w:widowControl w:val="0"/>
                  <w:suppressAutoHyphens/>
                  <w:ind w:firstLine="709"/>
                  <w:jc w:val="both"/>
                  <w:rPr>
                    <w:rFonts w:eastAsia="Lucida Sans Unicode"/>
                    <w:b/>
                    <w:bCs/>
                    <w:szCs w:val="24"/>
                  </w:rPr>
                </w:pPr>
                <w:r>
                  <w:rPr>
                    <w:rFonts w:eastAsia="Lucida Sans Unicode"/>
                    <w:spacing w:val="2"/>
                    <w:szCs w:val="24"/>
                    <w:shd w:val="clear" w:color="auto" w:fill="FFFFFF"/>
                  </w:rPr>
                  <w:t>&lt;...&gt;</w:t>
                </w:r>
              </w:p>
            </w:tc>
            <w:tc>
              <w:tcPr>
                <w:tcW w:w="1777" w:type="dxa"/>
              </w:tcPr>
              <w:p w14:paraId="14DE9D81" w14:textId="77777777">
                <w:pPr>
                  <w:widowControl w:val="0"/>
                  <w:suppressAutoHyphens/>
                  <w:rPr>
                    <w:rFonts w:eastAsia="Lucida Sans Unicode"/>
                    <w:b/>
                    <w:bCs/>
                    <w:szCs w:val="24"/>
                  </w:rPr>
                </w:pPr>
                <w:r>
                  <w:rPr>
                    <w:rFonts w:eastAsia="Lucida Sans Unicode"/>
                    <w:b/>
                    <w:bCs/>
                    <w:szCs w:val="24"/>
                  </w:rPr>
                  <w:t>Visiškas</w:t>
                </w:r>
              </w:p>
              <w:p w14:paraId="08E4E219" w14:textId="77777777">
                <w:pPr>
                  <w:widowControl w:val="0"/>
                  <w:suppressAutoHyphens/>
                  <w:ind w:firstLine="709"/>
                  <w:rPr>
                    <w:rFonts w:eastAsia="Lucida Sans Unicode"/>
                    <w:b/>
                    <w:bCs/>
                    <w:szCs w:val="24"/>
                  </w:rPr>
                </w:pPr>
              </w:p>
            </w:tc>
          </w:tr>
        </w:tbl>
        <w:p/>
      </w:sdtContent>
    </w:sdt>
    <w:sdt>
      <w:sdtPr>
        <w:alias w:val="pastraipa"/>
        <w:tag w:val="part_7f9cd21004c54182a856dc8178c637ed"/>
        <w:lock w:val="sdtLocked"/>
        <w:richText/>
      </w:sdtPr>
      <w:sdtContent>
        <w:p w14:paraId="148F81F3" w14:textId="6EC6F2D0">
          <w:pPr>
            <w:widowControl w:val="0"/>
            <w:shd w:val="clear" w:color="auto" w:fill="FFFFFF"/>
            <w:suppressAutoHyphens/>
            <w:jc w:val="center"/>
            <w:rPr>
              <w:rFonts w:eastAsia="Lucida Sans Unicode"/>
              <w:szCs w:val="24"/>
            </w:rPr>
          </w:pPr>
          <w:r>
            <w:rPr>
              <w:rFonts w:eastAsia="Lucida Sans Unicode"/>
              <w:szCs w:val="24"/>
            </w:rPr>
            <w:t>_______________________________</w:t>
          </w:r>
        </w:p>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3988DA" w14:textId="77777777">
      <w:pPr>
        <w:widowControl w:val="0"/>
        <w:suppressAutoHyphens/>
        <w:rPr>
          <w:rFonts w:eastAsia="Lucida Sans Unicode"/>
          <w:szCs w:val="24"/>
        </w:rPr>
      </w:pPr>
      <w:r>
        <w:rPr>
          <w:rFonts w:eastAsia="Lucida Sans Unicode"/>
          <w:szCs w:val="24"/>
        </w:rPr>
        <w:separator/>
      </w:r>
    </w:p>
  </w:endnote>
  <w:endnote w:type="continuationSeparator" w:id="0">
    <w:p w14:paraId="2E93E15F" w14:textId="77777777">
      <w:pPr>
        <w:widowControl w:val="0"/>
        <w:suppressAutoHyphens/>
        <w:rPr>
          <w:rFonts w:eastAsia="Lucida Sans Unicode"/>
          <w:szCs w:val="24"/>
        </w:rPr>
      </w:pPr>
      <w:r>
        <w:rPr>
          <w:rFonts w:eastAsia="Lucida Sans Unicode"/>
          <w:szCs w:val="24"/>
        </w:rPr>
        <w:continuationSeparator/>
      </w:r>
    </w:p>
  </w:endnote>
  <w:endnote w:type="continuationNotice" w:id="1">
    <w:p w14:paraId="1782147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1A896" w14:textId="77777777">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F754AC" w14:textId="77777777">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A284D" w14:textId="77777777">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B5408F" w14:textId="77777777">
      <w:pPr>
        <w:widowControl w:val="0"/>
        <w:suppressAutoHyphens/>
        <w:rPr>
          <w:rFonts w:eastAsia="Lucida Sans Unicode"/>
          <w:szCs w:val="24"/>
        </w:rPr>
      </w:pPr>
      <w:r>
        <w:rPr>
          <w:rFonts w:eastAsia="Lucida Sans Unicode"/>
          <w:szCs w:val="24"/>
        </w:rPr>
        <w:separator/>
      </w:r>
    </w:p>
  </w:footnote>
  <w:footnote w:type="continuationSeparator" w:id="0">
    <w:p w14:paraId="6BFEA68A" w14:textId="77777777">
      <w:pPr>
        <w:widowControl w:val="0"/>
        <w:suppressAutoHyphens/>
        <w:rPr>
          <w:rFonts w:eastAsia="Lucida Sans Unicode"/>
          <w:szCs w:val="24"/>
        </w:rPr>
      </w:pPr>
      <w:r>
        <w:rPr>
          <w:rFonts w:eastAsia="Lucida Sans Unicode"/>
          <w:szCs w:val="24"/>
        </w:rPr>
        <w:continuationSeparator/>
      </w:r>
    </w:p>
  </w:footnote>
  <w:footnote w:type="continuationNotice" w:id="1">
    <w:p w14:paraId="1BF8BD5F"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2E851" w14:textId="77777777">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8629A" w14:textId="77777777">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14:paraId="7E3B79FE" w14:textId="77777777">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304F5" w14:textId="77777777">
    <w:pPr>
      <w:widowControl w:val="0"/>
      <w:tabs>
        <w:tab w:val="center" w:pos="4819"/>
        <w:tab w:val="right" w:pos="9638"/>
      </w:tabs>
      <w:suppressAutoHyphens/>
      <w:rPr>
        <w:rFonts w:eastAsia="Lucida Sans Unicode"/>
        <w:szCs w:val="24"/>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193DB"/>
  <w15:docId w15:val="{F957973A-337C-4E54-BDCC-BADF42CFECC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87386">
      <w:bodyDiv w:val="1"/>
      <w:marLeft w:val="0"/>
      <w:marRight w:val="0"/>
      <w:marTop w:val="0"/>
      <w:marBottom w:val="0"/>
      <w:divBdr>
        <w:top w:val="none" w:sz="0" w:space="0" w:color="auto"/>
        <w:left w:val="none" w:sz="0" w:space="0" w:color="auto"/>
        <w:bottom w:val="none" w:sz="0" w:space="0" w:color="auto"/>
        <w:right w:val="none" w:sz="0" w:space="0" w:color="auto"/>
      </w:divBdr>
    </w:div>
    <w:div w:id="12154933">
      <w:bodyDiv w:val="1"/>
      <w:marLeft w:val="0"/>
      <w:marRight w:val="0"/>
      <w:marTop w:val="0"/>
      <w:marBottom w:val="0"/>
      <w:divBdr>
        <w:top w:val="none" w:sz="0" w:space="0" w:color="auto"/>
        <w:left w:val="none" w:sz="0" w:space="0" w:color="auto"/>
        <w:bottom w:val="none" w:sz="0" w:space="0" w:color="auto"/>
        <w:right w:val="none" w:sz="0" w:space="0" w:color="auto"/>
      </w:divBdr>
      <w:divsChild>
        <w:div w:id="860321202">
          <w:marLeft w:val="0"/>
          <w:marRight w:val="0"/>
          <w:marTop w:val="0"/>
          <w:marBottom w:val="0"/>
          <w:divBdr>
            <w:top w:val="none" w:sz="0" w:space="0" w:color="auto"/>
            <w:left w:val="none" w:sz="0" w:space="0" w:color="auto"/>
            <w:bottom w:val="none" w:sz="0" w:space="0" w:color="auto"/>
            <w:right w:val="none" w:sz="0" w:space="0" w:color="auto"/>
          </w:divBdr>
        </w:div>
        <w:div w:id="1752314296">
          <w:marLeft w:val="0"/>
          <w:marRight w:val="0"/>
          <w:marTop w:val="0"/>
          <w:marBottom w:val="0"/>
          <w:divBdr>
            <w:top w:val="none" w:sz="0" w:space="0" w:color="auto"/>
            <w:left w:val="none" w:sz="0" w:space="0" w:color="auto"/>
            <w:bottom w:val="none" w:sz="0" w:space="0" w:color="auto"/>
            <w:right w:val="none" w:sz="0" w:space="0" w:color="auto"/>
          </w:divBdr>
        </w:div>
      </w:divsChild>
    </w:div>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313417746">
      <w:bodyDiv w:val="1"/>
      <w:marLeft w:val="0"/>
      <w:marRight w:val="0"/>
      <w:marTop w:val="0"/>
      <w:marBottom w:val="0"/>
      <w:divBdr>
        <w:top w:val="none" w:sz="0" w:space="0" w:color="auto"/>
        <w:left w:val="none" w:sz="0" w:space="0" w:color="auto"/>
        <w:bottom w:val="none" w:sz="0" w:space="0" w:color="auto"/>
        <w:right w:val="none" w:sz="0" w:space="0" w:color="auto"/>
      </w:divBdr>
      <w:divsChild>
        <w:div w:id="143208990">
          <w:marLeft w:val="0"/>
          <w:marRight w:val="0"/>
          <w:marTop w:val="0"/>
          <w:marBottom w:val="0"/>
          <w:divBdr>
            <w:top w:val="none" w:sz="0" w:space="0" w:color="auto"/>
            <w:left w:val="none" w:sz="0" w:space="0" w:color="auto"/>
            <w:bottom w:val="none" w:sz="0" w:space="0" w:color="auto"/>
            <w:right w:val="none" w:sz="0" w:space="0" w:color="auto"/>
          </w:divBdr>
        </w:div>
        <w:div w:id="801270784">
          <w:marLeft w:val="0"/>
          <w:marRight w:val="0"/>
          <w:marTop w:val="0"/>
          <w:marBottom w:val="0"/>
          <w:divBdr>
            <w:top w:val="none" w:sz="0" w:space="0" w:color="auto"/>
            <w:left w:val="none" w:sz="0" w:space="0" w:color="auto"/>
            <w:bottom w:val="none" w:sz="0" w:space="0" w:color="auto"/>
            <w:right w:val="none" w:sz="0" w:space="0" w:color="auto"/>
          </w:divBdr>
        </w:div>
        <w:div w:id="881869699">
          <w:marLeft w:val="0"/>
          <w:marRight w:val="0"/>
          <w:marTop w:val="0"/>
          <w:marBottom w:val="0"/>
          <w:divBdr>
            <w:top w:val="none" w:sz="0" w:space="0" w:color="auto"/>
            <w:left w:val="none" w:sz="0" w:space="0" w:color="auto"/>
            <w:bottom w:val="none" w:sz="0" w:space="0" w:color="auto"/>
            <w:right w:val="none" w:sz="0" w:space="0" w:color="auto"/>
          </w:divBdr>
        </w:div>
        <w:div w:id="1390883453">
          <w:marLeft w:val="0"/>
          <w:marRight w:val="0"/>
          <w:marTop w:val="0"/>
          <w:marBottom w:val="0"/>
          <w:divBdr>
            <w:top w:val="none" w:sz="0" w:space="0" w:color="auto"/>
            <w:left w:val="none" w:sz="0" w:space="0" w:color="auto"/>
            <w:bottom w:val="none" w:sz="0" w:space="0" w:color="auto"/>
            <w:right w:val="none" w:sz="0" w:space="0" w:color="auto"/>
          </w:divBdr>
        </w:div>
        <w:div w:id="1787310815">
          <w:marLeft w:val="0"/>
          <w:marRight w:val="0"/>
          <w:marTop w:val="0"/>
          <w:marBottom w:val="0"/>
          <w:divBdr>
            <w:top w:val="none" w:sz="0" w:space="0" w:color="auto"/>
            <w:left w:val="none" w:sz="0" w:space="0" w:color="auto"/>
            <w:bottom w:val="none" w:sz="0" w:space="0" w:color="auto"/>
            <w:right w:val="none" w:sz="0" w:space="0" w:color="auto"/>
          </w:divBdr>
        </w:div>
        <w:div w:id="1831628339">
          <w:marLeft w:val="0"/>
          <w:marRight w:val="0"/>
          <w:marTop w:val="0"/>
          <w:marBottom w:val="0"/>
          <w:divBdr>
            <w:top w:val="none" w:sz="0" w:space="0" w:color="auto"/>
            <w:left w:val="none" w:sz="0" w:space="0" w:color="auto"/>
            <w:bottom w:val="none" w:sz="0" w:space="0" w:color="auto"/>
            <w:right w:val="none" w:sz="0" w:space="0" w:color="auto"/>
          </w:divBdr>
        </w:div>
        <w:div w:id="1860587235">
          <w:marLeft w:val="0"/>
          <w:marRight w:val="0"/>
          <w:marTop w:val="0"/>
          <w:marBottom w:val="0"/>
          <w:divBdr>
            <w:top w:val="none" w:sz="0" w:space="0" w:color="auto"/>
            <w:left w:val="none" w:sz="0" w:space="0" w:color="auto"/>
            <w:bottom w:val="none" w:sz="0" w:space="0" w:color="auto"/>
            <w:right w:val="none" w:sz="0" w:space="0" w:color="auto"/>
          </w:divBdr>
        </w:div>
      </w:divsChild>
    </w:div>
    <w:div w:id="423260267">
      <w:bodyDiv w:val="1"/>
      <w:marLeft w:val="0"/>
      <w:marRight w:val="0"/>
      <w:marTop w:val="0"/>
      <w:marBottom w:val="0"/>
      <w:divBdr>
        <w:top w:val="none" w:sz="0" w:space="0" w:color="auto"/>
        <w:left w:val="none" w:sz="0" w:space="0" w:color="auto"/>
        <w:bottom w:val="none" w:sz="0" w:space="0" w:color="auto"/>
        <w:right w:val="none" w:sz="0" w:space="0" w:color="auto"/>
      </w:divBdr>
      <w:divsChild>
        <w:div w:id="406390805">
          <w:marLeft w:val="0"/>
          <w:marRight w:val="0"/>
          <w:marTop w:val="0"/>
          <w:marBottom w:val="0"/>
          <w:divBdr>
            <w:top w:val="none" w:sz="0" w:space="0" w:color="auto"/>
            <w:left w:val="none" w:sz="0" w:space="0" w:color="auto"/>
            <w:bottom w:val="none" w:sz="0" w:space="0" w:color="auto"/>
            <w:right w:val="none" w:sz="0" w:space="0" w:color="auto"/>
          </w:divBdr>
        </w:div>
        <w:div w:id="728844363">
          <w:marLeft w:val="0"/>
          <w:marRight w:val="0"/>
          <w:marTop w:val="0"/>
          <w:marBottom w:val="0"/>
          <w:divBdr>
            <w:top w:val="none" w:sz="0" w:space="0" w:color="auto"/>
            <w:left w:val="none" w:sz="0" w:space="0" w:color="auto"/>
            <w:bottom w:val="none" w:sz="0" w:space="0" w:color="auto"/>
            <w:right w:val="none" w:sz="0" w:space="0" w:color="auto"/>
          </w:divBdr>
          <w:divsChild>
            <w:div w:id="1088114221">
              <w:marLeft w:val="0"/>
              <w:marRight w:val="0"/>
              <w:marTop w:val="0"/>
              <w:marBottom w:val="0"/>
              <w:divBdr>
                <w:top w:val="none" w:sz="0" w:space="0" w:color="auto"/>
                <w:left w:val="none" w:sz="0" w:space="0" w:color="auto"/>
                <w:bottom w:val="none" w:sz="0" w:space="0" w:color="auto"/>
                <w:right w:val="none" w:sz="0" w:space="0" w:color="auto"/>
              </w:divBdr>
            </w:div>
            <w:div w:id="1468281137">
              <w:marLeft w:val="0"/>
              <w:marRight w:val="0"/>
              <w:marTop w:val="0"/>
              <w:marBottom w:val="0"/>
              <w:divBdr>
                <w:top w:val="none" w:sz="0" w:space="0" w:color="auto"/>
                <w:left w:val="none" w:sz="0" w:space="0" w:color="auto"/>
                <w:bottom w:val="none" w:sz="0" w:space="0" w:color="auto"/>
                <w:right w:val="none" w:sz="0" w:space="0" w:color="auto"/>
              </w:divBdr>
            </w:div>
          </w:divsChild>
        </w:div>
        <w:div w:id="1564675409">
          <w:marLeft w:val="0"/>
          <w:marRight w:val="0"/>
          <w:marTop w:val="0"/>
          <w:marBottom w:val="0"/>
          <w:divBdr>
            <w:top w:val="none" w:sz="0" w:space="0" w:color="auto"/>
            <w:left w:val="none" w:sz="0" w:space="0" w:color="auto"/>
            <w:bottom w:val="none" w:sz="0" w:space="0" w:color="auto"/>
            <w:right w:val="none" w:sz="0" w:space="0" w:color="auto"/>
          </w:divBdr>
        </w:div>
        <w:div w:id="1663505745">
          <w:marLeft w:val="0"/>
          <w:marRight w:val="0"/>
          <w:marTop w:val="0"/>
          <w:marBottom w:val="0"/>
          <w:divBdr>
            <w:top w:val="none" w:sz="0" w:space="0" w:color="auto"/>
            <w:left w:val="none" w:sz="0" w:space="0" w:color="auto"/>
            <w:bottom w:val="none" w:sz="0" w:space="0" w:color="auto"/>
            <w:right w:val="none" w:sz="0" w:space="0" w:color="auto"/>
          </w:divBdr>
          <w:divsChild>
            <w:div w:id="1886482809">
              <w:marLeft w:val="0"/>
              <w:marRight w:val="0"/>
              <w:marTop w:val="0"/>
              <w:marBottom w:val="0"/>
              <w:divBdr>
                <w:top w:val="none" w:sz="0" w:space="0" w:color="auto"/>
                <w:left w:val="none" w:sz="0" w:space="0" w:color="auto"/>
                <w:bottom w:val="none" w:sz="0" w:space="0" w:color="auto"/>
                <w:right w:val="none" w:sz="0" w:space="0" w:color="auto"/>
              </w:divBdr>
            </w:div>
            <w:div w:id="2044135127">
              <w:marLeft w:val="0"/>
              <w:marRight w:val="0"/>
              <w:marTop w:val="0"/>
              <w:marBottom w:val="0"/>
              <w:divBdr>
                <w:top w:val="none" w:sz="0" w:space="0" w:color="auto"/>
                <w:left w:val="none" w:sz="0" w:space="0" w:color="auto"/>
                <w:bottom w:val="none" w:sz="0" w:space="0" w:color="auto"/>
                <w:right w:val="none" w:sz="0" w:space="0" w:color="auto"/>
              </w:divBdr>
            </w:div>
          </w:divsChild>
        </w:div>
        <w:div w:id="1673532181">
          <w:marLeft w:val="0"/>
          <w:marRight w:val="0"/>
          <w:marTop w:val="0"/>
          <w:marBottom w:val="0"/>
          <w:divBdr>
            <w:top w:val="none" w:sz="0" w:space="0" w:color="auto"/>
            <w:left w:val="none" w:sz="0" w:space="0" w:color="auto"/>
            <w:bottom w:val="none" w:sz="0" w:space="0" w:color="auto"/>
            <w:right w:val="none" w:sz="0" w:space="0" w:color="auto"/>
          </w:divBdr>
        </w:div>
        <w:div w:id="2002999732">
          <w:marLeft w:val="0"/>
          <w:marRight w:val="0"/>
          <w:marTop w:val="0"/>
          <w:marBottom w:val="0"/>
          <w:divBdr>
            <w:top w:val="none" w:sz="0" w:space="0" w:color="auto"/>
            <w:left w:val="none" w:sz="0" w:space="0" w:color="auto"/>
            <w:bottom w:val="none" w:sz="0" w:space="0" w:color="auto"/>
            <w:right w:val="none" w:sz="0" w:space="0" w:color="auto"/>
          </w:divBdr>
        </w:div>
      </w:divsChild>
    </w:div>
    <w:div w:id="445731317">
      <w:bodyDiv w:val="1"/>
      <w:marLeft w:val="0"/>
      <w:marRight w:val="0"/>
      <w:marTop w:val="0"/>
      <w:marBottom w:val="0"/>
      <w:divBdr>
        <w:top w:val="none" w:sz="0" w:space="0" w:color="auto"/>
        <w:left w:val="none" w:sz="0" w:space="0" w:color="auto"/>
        <w:bottom w:val="none" w:sz="0" w:space="0" w:color="auto"/>
        <w:right w:val="none" w:sz="0" w:space="0" w:color="auto"/>
      </w:divBdr>
      <w:divsChild>
        <w:div w:id="127940478">
          <w:marLeft w:val="0"/>
          <w:marRight w:val="0"/>
          <w:marTop w:val="0"/>
          <w:marBottom w:val="0"/>
          <w:divBdr>
            <w:top w:val="none" w:sz="0" w:space="0" w:color="auto"/>
            <w:left w:val="none" w:sz="0" w:space="0" w:color="auto"/>
            <w:bottom w:val="none" w:sz="0" w:space="0" w:color="auto"/>
            <w:right w:val="none" w:sz="0" w:space="0" w:color="auto"/>
          </w:divBdr>
        </w:div>
        <w:div w:id="235366147">
          <w:marLeft w:val="0"/>
          <w:marRight w:val="0"/>
          <w:marTop w:val="0"/>
          <w:marBottom w:val="0"/>
          <w:divBdr>
            <w:top w:val="none" w:sz="0" w:space="0" w:color="auto"/>
            <w:left w:val="none" w:sz="0" w:space="0" w:color="auto"/>
            <w:bottom w:val="none" w:sz="0" w:space="0" w:color="auto"/>
            <w:right w:val="none" w:sz="0" w:space="0" w:color="auto"/>
          </w:divBdr>
        </w:div>
        <w:div w:id="593637502">
          <w:marLeft w:val="0"/>
          <w:marRight w:val="0"/>
          <w:marTop w:val="0"/>
          <w:marBottom w:val="0"/>
          <w:divBdr>
            <w:top w:val="none" w:sz="0" w:space="0" w:color="auto"/>
            <w:left w:val="none" w:sz="0" w:space="0" w:color="auto"/>
            <w:bottom w:val="none" w:sz="0" w:space="0" w:color="auto"/>
            <w:right w:val="none" w:sz="0" w:space="0" w:color="auto"/>
          </w:divBdr>
        </w:div>
        <w:div w:id="1452279809">
          <w:marLeft w:val="0"/>
          <w:marRight w:val="0"/>
          <w:marTop w:val="0"/>
          <w:marBottom w:val="0"/>
          <w:divBdr>
            <w:top w:val="none" w:sz="0" w:space="0" w:color="auto"/>
            <w:left w:val="none" w:sz="0" w:space="0" w:color="auto"/>
            <w:bottom w:val="none" w:sz="0" w:space="0" w:color="auto"/>
            <w:right w:val="none" w:sz="0" w:space="0" w:color="auto"/>
          </w:divBdr>
        </w:div>
        <w:div w:id="1949461766">
          <w:marLeft w:val="0"/>
          <w:marRight w:val="0"/>
          <w:marTop w:val="0"/>
          <w:marBottom w:val="0"/>
          <w:divBdr>
            <w:top w:val="none" w:sz="0" w:space="0" w:color="auto"/>
            <w:left w:val="none" w:sz="0" w:space="0" w:color="auto"/>
            <w:bottom w:val="none" w:sz="0" w:space="0" w:color="auto"/>
            <w:right w:val="none" w:sz="0" w:space="0" w:color="auto"/>
          </w:divBdr>
        </w:div>
        <w:div w:id="2057386364">
          <w:marLeft w:val="0"/>
          <w:marRight w:val="0"/>
          <w:marTop w:val="0"/>
          <w:marBottom w:val="0"/>
          <w:divBdr>
            <w:top w:val="none" w:sz="0" w:space="0" w:color="auto"/>
            <w:left w:val="none" w:sz="0" w:space="0" w:color="auto"/>
            <w:bottom w:val="none" w:sz="0" w:space="0" w:color="auto"/>
            <w:right w:val="none" w:sz="0" w:space="0" w:color="auto"/>
          </w:divBdr>
        </w:div>
      </w:divsChild>
    </w:div>
    <w:div w:id="534582930">
      <w:bodyDiv w:val="1"/>
      <w:marLeft w:val="0"/>
      <w:marRight w:val="0"/>
      <w:marTop w:val="0"/>
      <w:marBottom w:val="0"/>
      <w:divBdr>
        <w:top w:val="none" w:sz="0" w:space="0" w:color="auto"/>
        <w:left w:val="none" w:sz="0" w:space="0" w:color="auto"/>
        <w:bottom w:val="none" w:sz="0" w:space="0" w:color="auto"/>
        <w:right w:val="none" w:sz="0" w:space="0" w:color="auto"/>
      </w:divBdr>
      <w:divsChild>
        <w:div w:id="870262164">
          <w:marLeft w:val="0"/>
          <w:marRight w:val="0"/>
          <w:marTop w:val="0"/>
          <w:marBottom w:val="0"/>
          <w:divBdr>
            <w:top w:val="none" w:sz="0" w:space="0" w:color="auto"/>
            <w:left w:val="none" w:sz="0" w:space="0" w:color="auto"/>
            <w:bottom w:val="none" w:sz="0" w:space="0" w:color="auto"/>
            <w:right w:val="none" w:sz="0" w:space="0" w:color="auto"/>
          </w:divBdr>
        </w:div>
      </w:divsChild>
    </w:div>
    <w:div w:id="537400708">
      <w:bodyDiv w:val="1"/>
      <w:marLeft w:val="0"/>
      <w:marRight w:val="0"/>
      <w:marTop w:val="0"/>
      <w:marBottom w:val="0"/>
      <w:divBdr>
        <w:top w:val="none" w:sz="0" w:space="0" w:color="auto"/>
        <w:left w:val="none" w:sz="0" w:space="0" w:color="auto"/>
        <w:bottom w:val="none" w:sz="0" w:space="0" w:color="auto"/>
        <w:right w:val="none" w:sz="0" w:space="0" w:color="auto"/>
      </w:divBdr>
      <w:divsChild>
        <w:div w:id="1133717">
          <w:marLeft w:val="0"/>
          <w:marRight w:val="0"/>
          <w:marTop w:val="0"/>
          <w:marBottom w:val="0"/>
          <w:divBdr>
            <w:top w:val="none" w:sz="0" w:space="0" w:color="auto"/>
            <w:left w:val="none" w:sz="0" w:space="0" w:color="auto"/>
            <w:bottom w:val="none" w:sz="0" w:space="0" w:color="auto"/>
            <w:right w:val="none" w:sz="0" w:space="0" w:color="auto"/>
          </w:divBdr>
        </w:div>
        <w:div w:id="62534496">
          <w:marLeft w:val="0"/>
          <w:marRight w:val="0"/>
          <w:marTop w:val="0"/>
          <w:marBottom w:val="0"/>
          <w:divBdr>
            <w:top w:val="none" w:sz="0" w:space="0" w:color="auto"/>
            <w:left w:val="none" w:sz="0" w:space="0" w:color="auto"/>
            <w:bottom w:val="none" w:sz="0" w:space="0" w:color="auto"/>
            <w:right w:val="none" w:sz="0" w:space="0" w:color="auto"/>
          </w:divBdr>
        </w:div>
        <w:div w:id="144785445">
          <w:marLeft w:val="0"/>
          <w:marRight w:val="0"/>
          <w:marTop w:val="0"/>
          <w:marBottom w:val="0"/>
          <w:divBdr>
            <w:top w:val="none" w:sz="0" w:space="0" w:color="auto"/>
            <w:left w:val="none" w:sz="0" w:space="0" w:color="auto"/>
            <w:bottom w:val="none" w:sz="0" w:space="0" w:color="auto"/>
            <w:right w:val="none" w:sz="0" w:space="0" w:color="auto"/>
          </w:divBdr>
        </w:div>
        <w:div w:id="1200437318">
          <w:marLeft w:val="0"/>
          <w:marRight w:val="0"/>
          <w:marTop w:val="0"/>
          <w:marBottom w:val="0"/>
          <w:divBdr>
            <w:top w:val="none" w:sz="0" w:space="0" w:color="auto"/>
            <w:left w:val="none" w:sz="0" w:space="0" w:color="auto"/>
            <w:bottom w:val="none" w:sz="0" w:space="0" w:color="auto"/>
            <w:right w:val="none" w:sz="0" w:space="0" w:color="auto"/>
          </w:divBdr>
        </w:div>
        <w:div w:id="1447892625">
          <w:marLeft w:val="0"/>
          <w:marRight w:val="0"/>
          <w:marTop w:val="0"/>
          <w:marBottom w:val="0"/>
          <w:divBdr>
            <w:top w:val="none" w:sz="0" w:space="0" w:color="auto"/>
            <w:left w:val="none" w:sz="0" w:space="0" w:color="auto"/>
            <w:bottom w:val="none" w:sz="0" w:space="0" w:color="auto"/>
            <w:right w:val="none" w:sz="0" w:space="0" w:color="auto"/>
          </w:divBdr>
        </w:div>
        <w:div w:id="1611618741">
          <w:marLeft w:val="0"/>
          <w:marRight w:val="0"/>
          <w:marTop w:val="0"/>
          <w:marBottom w:val="0"/>
          <w:divBdr>
            <w:top w:val="none" w:sz="0" w:space="0" w:color="auto"/>
            <w:left w:val="none" w:sz="0" w:space="0" w:color="auto"/>
            <w:bottom w:val="none" w:sz="0" w:space="0" w:color="auto"/>
            <w:right w:val="none" w:sz="0" w:space="0" w:color="auto"/>
          </w:divBdr>
        </w:div>
        <w:div w:id="1942250977">
          <w:marLeft w:val="0"/>
          <w:marRight w:val="0"/>
          <w:marTop w:val="0"/>
          <w:marBottom w:val="0"/>
          <w:divBdr>
            <w:top w:val="none" w:sz="0" w:space="0" w:color="auto"/>
            <w:left w:val="none" w:sz="0" w:space="0" w:color="auto"/>
            <w:bottom w:val="none" w:sz="0" w:space="0" w:color="auto"/>
            <w:right w:val="none" w:sz="0" w:space="0" w:color="auto"/>
          </w:divBdr>
        </w:div>
      </w:divsChild>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908273172">
      <w:bodyDiv w:val="1"/>
      <w:marLeft w:val="0"/>
      <w:marRight w:val="0"/>
      <w:marTop w:val="0"/>
      <w:marBottom w:val="0"/>
      <w:divBdr>
        <w:top w:val="none" w:sz="0" w:space="0" w:color="auto"/>
        <w:left w:val="none" w:sz="0" w:space="0" w:color="auto"/>
        <w:bottom w:val="none" w:sz="0" w:space="0" w:color="auto"/>
        <w:right w:val="none" w:sz="0" w:space="0" w:color="auto"/>
      </w:divBdr>
    </w:div>
    <w:div w:id="967201198">
      <w:bodyDiv w:val="1"/>
      <w:marLeft w:val="0"/>
      <w:marRight w:val="0"/>
      <w:marTop w:val="0"/>
      <w:marBottom w:val="0"/>
      <w:divBdr>
        <w:top w:val="none" w:sz="0" w:space="0" w:color="auto"/>
        <w:left w:val="none" w:sz="0" w:space="0" w:color="auto"/>
        <w:bottom w:val="none" w:sz="0" w:space="0" w:color="auto"/>
        <w:right w:val="none" w:sz="0" w:space="0" w:color="auto"/>
      </w:divBdr>
      <w:divsChild>
        <w:div w:id="710570518">
          <w:marLeft w:val="0"/>
          <w:marRight w:val="0"/>
          <w:marTop w:val="0"/>
          <w:marBottom w:val="0"/>
          <w:divBdr>
            <w:top w:val="none" w:sz="0" w:space="0" w:color="auto"/>
            <w:left w:val="none" w:sz="0" w:space="0" w:color="auto"/>
            <w:bottom w:val="none" w:sz="0" w:space="0" w:color="auto"/>
            <w:right w:val="none" w:sz="0" w:space="0" w:color="auto"/>
          </w:divBdr>
        </w:div>
        <w:div w:id="1209296546">
          <w:marLeft w:val="0"/>
          <w:marRight w:val="0"/>
          <w:marTop w:val="0"/>
          <w:marBottom w:val="0"/>
          <w:divBdr>
            <w:top w:val="none" w:sz="0" w:space="0" w:color="auto"/>
            <w:left w:val="none" w:sz="0" w:space="0" w:color="auto"/>
            <w:bottom w:val="none" w:sz="0" w:space="0" w:color="auto"/>
            <w:right w:val="none" w:sz="0" w:space="0" w:color="auto"/>
          </w:divBdr>
        </w:div>
        <w:div w:id="1375616867">
          <w:marLeft w:val="0"/>
          <w:marRight w:val="0"/>
          <w:marTop w:val="0"/>
          <w:marBottom w:val="0"/>
          <w:divBdr>
            <w:top w:val="none" w:sz="0" w:space="0" w:color="auto"/>
            <w:left w:val="none" w:sz="0" w:space="0" w:color="auto"/>
            <w:bottom w:val="none" w:sz="0" w:space="0" w:color="auto"/>
            <w:right w:val="none" w:sz="0" w:space="0" w:color="auto"/>
          </w:divBdr>
        </w:div>
        <w:div w:id="1600983443">
          <w:marLeft w:val="0"/>
          <w:marRight w:val="0"/>
          <w:marTop w:val="0"/>
          <w:marBottom w:val="0"/>
          <w:divBdr>
            <w:top w:val="none" w:sz="0" w:space="0" w:color="auto"/>
            <w:left w:val="none" w:sz="0" w:space="0" w:color="auto"/>
            <w:bottom w:val="none" w:sz="0" w:space="0" w:color="auto"/>
            <w:right w:val="none" w:sz="0" w:space="0" w:color="auto"/>
          </w:divBdr>
        </w:div>
        <w:div w:id="1837838852">
          <w:marLeft w:val="0"/>
          <w:marRight w:val="0"/>
          <w:marTop w:val="0"/>
          <w:marBottom w:val="0"/>
          <w:divBdr>
            <w:top w:val="none" w:sz="0" w:space="0" w:color="auto"/>
            <w:left w:val="none" w:sz="0" w:space="0" w:color="auto"/>
            <w:bottom w:val="none" w:sz="0" w:space="0" w:color="auto"/>
            <w:right w:val="none" w:sz="0" w:space="0" w:color="auto"/>
          </w:divBdr>
        </w:div>
        <w:div w:id="1874538275">
          <w:marLeft w:val="0"/>
          <w:marRight w:val="0"/>
          <w:marTop w:val="0"/>
          <w:marBottom w:val="0"/>
          <w:divBdr>
            <w:top w:val="none" w:sz="0" w:space="0" w:color="auto"/>
            <w:left w:val="none" w:sz="0" w:space="0" w:color="auto"/>
            <w:bottom w:val="none" w:sz="0" w:space="0" w:color="auto"/>
            <w:right w:val="none" w:sz="0" w:space="0" w:color="auto"/>
          </w:divBdr>
        </w:div>
      </w:divsChild>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002928357">
      <w:bodyDiv w:val="1"/>
      <w:marLeft w:val="0"/>
      <w:marRight w:val="0"/>
      <w:marTop w:val="0"/>
      <w:marBottom w:val="0"/>
      <w:divBdr>
        <w:top w:val="none" w:sz="0" w:space="0" w:color="auto"/>
        <w:left w:val="none" w:sz="0" w:space="0" w:color="auto"/>
        <w:bottom w:val="none" w:sz="0" w:space="0" w:color="auto"/>
        <w:right w:val="none" w:sz="0" w:space="0" w:color="auto"/>
      </w:divBdr>
      <w:divsChild>
        <w:div w:id="142813525">
          <w:marLeft w:val="0"/>
          <w:marRight w:val="0"/>
          <w:marTop w:val="0"/>
          <w:marBottom w:val="0"/>
          <w:divBdr>
            <w:top w:val="none" w:sz="0" w:space="0" w:color="auto"/>
            <w:left w:val="none" w:sz="0" w:space="0" w:color="auto"/>
            <w:bottom w:val="none" w:sz="0" w:space="0" w:color="auto"/>
            <w:right w:val="none" w:sz="0" w:space="0" w:color="auto"/>
          </w:divBdr>
        </w:div>
        <w:div w:id="209149374">
          <w:marLeft w:val="0"/>
          <w:marRight w:val="0"/>
          <w:marTop w:val="0"/>
          <w:marBottom w:val="0"/>
          <w:divBdr>
            <w:top w:val="none" w:sz="0" w:space="0" w:color="auto"/>
            <w:left w:val="none" w:sz="0" w:space="0" w:color="auto"/>
            <w:bottom w:val="none" w:sz="0" w:space="0" w:color="auto"/>
            <w:right w:val="none" w:sz="0" w:space="0" w:color="auto"/>
          </w:divBdr>
        </w:div>
        <w:div w:id="1444182382">
          <w:marLeft w:val="0"/>
          <w:marRight w:val="0"/>
          <w:marTop w:val="0"/>
          <w:marBottom w:val="0"/>
          <w:divBdr>
            <w:top w:val="none" w:sz="0" w:space="0" w:color="auto"/>
            <w:left w:val="none" w:sz="0" w:space="0" w:color="auto"/>
            <w:bottom w:val="none" w:sz="0" w:space="0" w:color="auto"/>
            <w:right w:val="none" w:sz="0" w:space="0" w:color="auto"/>
          </w:divBdr>
        </w:div>
        <w:div w:id="1472750715">
          <w:marLeft w:val="0"/>
          <w:marRight w:val="0"/>
          <w:marTop w:val="0"/>
          <w:marBottom w:val="0"/>
          <w:divBdr>
            <w:top w:val="none" w:sz="0" w:space="0" w:color="auto"/>
            <w:left w:val="none" w:sz="0" w:space="0" w:color="auto"/>
            <w:bottom w:val="none" w:sz="0" w:space="0" w:color="auto"/>
            <w:right w:val="none" w:sz="0" w:space="0" w:color="auto"/>
          </w:divBdr>
        </w:div>
        <w:div w:id="1760564729">
          <w:marLeft w:val="0"/>
          <w:marRight w:val="0"/>
          <w:marTop w:val="0"/>
          <w:marBottom w:val="0"/>
          <w:divBdr>
            <w:top w:val="none" w:sz="0" w:space="0" w:color="auto"/>
            <w:left w:val="none" w:sz="0" w:space="0" w:color="auto"/>
            <w:bottom w:val="none" w:sz="0" w:space="0" w:color="auto"/>
            <w:right w:val="none" w:sz="0" w:space="0" w:color="auto"/>
          </w:divBdr>
        </w:div>
      </w:divsChild>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187450248">
      <w:bodyDiv w:val="1"/>
      <w:marLeft w:val="0"/>
      <w:marRight w:val="0"/>
      <w:marTop w:val="0"/>
      <w:marBottom w:val="0"/>
      <w:divBdr>
        <w:top w:val="none" w:sz="0" w:space="0" w:color="auto"/>
        <w:left w:val="none" w:sz="0" w:space="0" w:color="auto"/>
        <w:bottom w:val="none" w:sz="0" w:space="0" w:color="auto"/>
        <w:right w:val="none" w:sz="0" w:space="0" w:color="auto"/>
      </w:divBdr>
    </w:div>
    <w:div w:id="1221482678">
      <w:bodyDiv w:val="1"/>
      <w:marLeft w:val="0"/>
      <w:marRight w:val="0"/>
      <w:marTop w:val="0"/>
      <w:marBottom w:val="0"/>
      <w:divBdr>
        <w:top w:val="none" w:sz="0" w:space="0" w:color="auto"/>
        <w:left w:val="none" w:sz="0" w:space="0" w:color="auto"/>
        <w:bottom w:val="none" w:sz="0" w:space="0" w:color="auto"/>
        <w:right w:val="none" w:sz="0" w:space="0" w:color="auto"/>
      </w:divBdr>
      <w:divsChild>
        <w:div w:id="1035041963">
          <w:marLeft w:val="0"/>
          <w:marRight w:val="0"/>
          <w:marTop w:val="0"/>
          <w:marBottom w:val="0"/>
          <w:divBdr>
            <w:top w:val="none" w:sz="0" w:space="0" w:color="auto"/>
            <w:left w:val="none" w:sz="0" w:space="0" w:color="auto"/>
            <w:bottom w:val="none" w:sz="0" w:space="0" w:color="auto"/>
            <w:right w:val="none" w:sz="0" w:space="0" w:color="auto"/>
          </w:divBdr>
        </w:div>
        <w:div w:id="1327830587">
          <w:marLeft w:val="0"/>
          <w:marRight w:val="0"/>
          <w:marTop w:val="0"/>
          <w:marBottom w:val="0"/>
          <w:divBdr>
            <w:top w:val="none" w:sz="0" w:space="0" w:color="auto"/>
            <w:left w:val="none" w:sz="0" w:space="0" w:color="auto"/>
            <w:bottom w:val="none" w:sz="0" w:space="0" w:color="auto"/>
            <w:right w:val="none" w:sz="0" w:space="0" w:color="auto"/>
          </w:divBdr>
        </w:div>
        <w:div w:id="1492868825">
          <w:marLeft w:val="0"/>
          <w:marRight w:val="0"/>
          <w:marTop w:val="0"/>
          <w:marBottom w:val="0"/>
          <w:divBdr>
            <w:top w:val="none" w:sz="0" w:space="0" w:color="auto"/>
            <w:left w:val="none" w:sz="0" w:space="0" w:color="auto"/>
            <w:bottom w:val="none" w:sz="0" w:space="0" w:color="auto"/>
            <w:right w:val="none" w:sz="0" w:space="0" w:color="auto"/>
          </w:divBdr>
        </w:div>
        <w:div w:id="1725441889">
          <w:marLeft w:val="0"/>
          <w:marRight w:val="0"/>
          <w:marTop w:val="0"/>
          <w:marBottom w:val="0"/>
          <w:divBdr>
            <w:top w:val="none" w:sz="0" w:space="0" w:color="auto"/>
            <w:left w:val="none" w:sz="0" w:space="0" w:color="auto"/>
            <w:bottom w:val="none" w:sz="0" w:space="0" w:color="auto"/>
            <w:right w:val="none" w:sz="0" w:space="0" w:color="auto"/>
          </w:divBdr>
        </w:div>
        <w:div w:id="1966962131">
          <w:marLeft w:val="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293289765">
      <w:bodyDiv w:val="1"/>
      <w:marLeft w:val="0"/>
      <w:marRight w:val="0"/>
      <w:marTop w:val="0"/>
      <w:marBottom w:val="0"/>
      <w:divBdr>
        <w:top w:val="none" w:sz="0" w:space="0" w:color="auto"/>
        <w:left w:val="none" w:sz="0" w:space="0" w:color="auto"/>
        <w:bottom w:val="none" w:sz="0" w:space="0" w:color="auto"/>
        <w:right w:val="none" w:sz="0" w:space="0" w:color="auto"/>
      </w:divBdr>
      <w:divsChild>
        <w:div w:id="239097693">
          <w:marLeft w:val="0"/>
          <w:marRight w:val="0"/>
          <w:marTop w:val="0"/>
          <w:marBottom w:val="0"/>
          <w:divBdr>
            <w:top w:val="none" w:sz="0" w:space="0" w:color="auto"/>
            <w:left w:val="none" w:sz="0" w:space="0" w:color="auto"/>
            <w:bottom w:val="none" w:sz="0" w:space="0" w:color="auto"/>
            <w:right w:val="none" w:sz="0" w:space="0" w:color="auto"/>
          </w:divBdr>
          <w:divsChild>
            <w:div w:id="417753339">
              <w:marLeft w:val="0"/>
              <w:marRight w:val="0"/>
              <w:marTop w:val="0"/>
              <w:marBottom w:val="0"/>
              <w:divBdr>
                <w:top w:val="none" w:sz="0" w:space="0" w:color="auto"/>
                <w:left w:val="none" w:sz="0" w:space="0" w:color="auto"/>
                <w:bottom w:val="none" w:sz="0" w:space="0" w:color="auto"/>
                <w:right w:val="none" w:sz="0" w:space="0" w:color="auto"/>
              </w:divBdr>
            </w:div>
            <w:div w:id="497307327">
              <w:marLeft w:val="0"/>
              <w:marRight w:val="0"/>
              <w:marTop w:val="0"/>
              <w:marBottom w:val="0"/>
              <w:divBdr>
                <w:top w:val="none" w:sz="0" w:space="0" w:color="auto"/>
                <w:left w:val="none" w:sz="0" w:space="0" w:color="auto"/>
                <w:bottom w:val="none" w:sz="0" w:space="0" w:color="auto"/>
                <w:right w:val="none" w:sz="0" w:space="0" w:color="auto"/>
              </w:divBdr>
            </w:div>
          </w:divsChild>
        </w:div>
        <w:div w:id="917250746">
          <w:marLeft w:val="0"/>
          <w:marRight w:val="0"/>
          <w:marTop w:val="0"/>
          <w:marBottom w:val="0"/>
          <w:divBdr>
            <w:top w:val="none" w:sz="0" w:space="0" w:color="auto"/>
            <w:left w:val="none" w:sz="0" w:space="0" w:color="auto"/>
            <w:bottom w:val="none" w:sz="0" w:space="0" w:color="auto"/>
            <w:right w:val="none" w:sz="0" w:space="0" w:color="auto"/>
          </w:divBdr>
        </w:div>
        <w:div w:id="1265189551">
          <w:marLeft w:val="0"/>
          <w:marRight w:val="0"/>
          <w:marTop w:val="0"/>
          <w:marBottom w:val="0"/>
          <w:divBdr>
            <w:top w:val="none" w:sz="0" w:space="0" w:color="auto"/>
            <w:left w:val="none" w:sz="0" w:space="0" w:color="auto"/>
            <w:bottom w:val="none" w:sz="0" w:space="0" w:color="auto"/>
            <w:right w:val="none" w:sz="0" w:space="0" w:color="auto"/>
          </w:divBdr>
        </w:div>
        <w:div w:id="1362513683">
          <w:marLeft w:val="0"/>
          <w:marRight w:val="0"/>
          <w:marTop w:val="0"/>
          <w:marBottom w:val="0"/>
          <w:divBdr>
            <w:top w:val="none" w:sz="0" w:space="0" w:color="auto"/>
            <w:left w:val="none" w:sz="0" w:space="0" w:color="auto"/>
            <w:bottom w:val="none" w:sz="0" w:space="0" w:color="auto"/>
            <w:right w:val="none" w:sz="0" w:space="0" w:color="auto"/>
          </w:divBdr>
        </w:div>
        <w:div w:id="1382826818">
          <w:marLeft w:val="0"/>
          <w:marRight w:val="0"/>
          <w:marTop w:val="0"/>
          <w:marBottom w:val="0"/>
          <w:divBdr>
            <w:top w:val="none" w:sz="0" w:space="0" w:color="auto"/>
            <w:left w:val="none" w:sz="0" w:space="0" w:color="auto"/>
            <w:bottom w:val="none" w:sz="0" w:space="0" w:color="auto"/>
            <w:right w:val="none" w:sz="0" w:space="0" w:color="auto"/>
          </w:divBdr>
          <w:divsChild>
            <w:div w:id="42212856">
              <w:marLeft w:val="0"/>
              <w:marRight w:val="0"/>
              <w:marTop w:val="0"/>
              <w:marBottom w:val="0"/>
              <w:divBdr>
                <w:top w:val="none" w:sz="0" w:space="0" w:color="auto"/>
                <w:left w:val="none" w:sz="0" w:space="0" w:color="auto"/>
                <w:bottom w:val="none" w:sz="0" w:space="0" w:color="auto"/>
                <w:right w:val="none" w:sz="0" w:space="0" w:color="auto"/>
              </w:divBdr>
            </w:div>
            <w:div w:id="2138183725">
              <w:marLeft w:val="0"/>
              <w:marRight w:val="0"/>
              <w:marTop w:val="0"/>
              <w:marBottom w:val="0"/>
              <w:divBdr>
                <w:top w:val="none" w:sz="0" w:space="0" w:color="auto"/>
                <w:left w:val="none" w:sz="0" w:space="0" w:color="auto"/>
                <w:bottom w:val="none" w:sz="0" w:space="0" w:color="auto"/>
                <w:right w:val="none" w:sz="0" w:space="0" w:color="auto"/>
              </w:divBdr>
            </w:div>
          </w:divsChild>
        </w:div>
        <w:div w:id="1493523678">
          <w:marLeft w:val="0"/>
          <w:marRight w:val="0"/>
          <w:marTop w:val="0"/>
          <w:marBottom w:val="0"/>
          <w:divBdr>
            <w:top w:val="none" w:sz="0" w:space="0" w:color="auto"/>
            <w:left w:val="none" w:sz="0" w:space="0" w:color="auto"/>
            <w:bottom w:val="none" w:sz="0" w:space="0" w:color="auto"/>
            <w:right w:val="none" w:sz="0" w:space="0" w:color="auto"/>
          </w:divBdr>
        </w:div>
      </w:divsChild>
    </w:div>
    <w:div w:id="1427768448">
      <w:bodyDiv w:val="1"/>
      <w:marLeft w:val="0"/>
      <w:marRight w:val="0"/>
      <w:marTop w:val="0"/>
      <w:marBottom w:val="0"/>
      <w:divBdr>
        <w:top w:val="none" w:sz="0" w:space="0" w:color="auto"/>
        <w:left w:val="none" w:sz="0" w:space="0" w:color="auto"/>
        <w:bottom w:val="none" w:sz="0" w:space="0" w:color="auto"/>
        <w:right w:val="none" w:sz="0" w:space="0" w:color="auto"/>
      </w:divBdr>
      <w:divsChild>
        <w:div w:id="1646737387">
          <w:marLeft w:val="0"/>
          <w:marRight w:val="0"/>
          <w:marTop w:val="0"/>
          <w:marBottom w:val="0"/>
          <w:divBdr>
            <w:top w:val="none" w:sz="0" w:space="0" w:color="auto"/>
            <w:left w:val="none" w:sz="0" w:space="0" w:color="auto"/>
            <w:bottom w:val="none" w:sz="0" w:space="0" w:color="auto"/>
            <w:right w:val="none" w:sz="0" w:space="0" w:color="auto"/>
          </w:divBdr>
        </w:div>
      </w:divsChild>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5875197">
      <w:bodyDiv w:val="1"/>
      <w:marLeft w:val="0"/>
      <w:marRight w:val="0"/>
      <w:marTop w:val="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495760093">
      <w:bodyDiv w:val="1"/>
      <w:marLeft w:val="0"/>
      <w:marRight w:val="0"/>
      <w:marTop w:val="0"/>
      <w:marBottom w:val="0"/>
      <w:divBdr>
        <w:top w:val="none" w:sz="0" w:space="0" w:color="auto"/>
        <w:left w:val="none" w:sz="0" w:space="0" w:color="auto"/>
        <w:bottom w:val="none" w:sz="0" w:space="0" w:color="auto"/>
        <w:right w:val="none" w:sz="0" w:space="0" w:color="auto"/>
      </w:divBdr>
      <w:divsChild>
        <w:div w:id="29766306">
          <w:marLeft w:val="0"/>
          <w:marRight w:val="0"/>
          <w:marTop w:val="0"/>
          <w:marBottom w:val="0"/>
          <w:divBdr>
            <w:top w:val="none" w:sz="0" w:space="0" w:color="auto"/>
            <w:left w:val="none" w:sz="0" w:space="0" w:color="auto"/>
            <w:bottom w:val="none" w:sz="0" w:space="0" w:color="auto"/>
            <w:right w:val="none" w:sz="0" w:space="0" w:color="auto"/>
          </w:divBdr>
        </w:div>
        <w:div w:id="313989782">
          <w:marLeft w:val="0"/>
          <w:marRight w:val="0"/>
          <w:marTop w:val="0"/>
          <w:marBottom w:val="0"/>
          <w:divBdr>
            <w:top w:val="none" w:sz="0" w:space="0" w:color="auto"/>
            <w:left w:val="none" w:sz="0" w:space="0" w:color="auto"/>
            <w:bottom w:val="none" w:sz="0" w:space="0" w:color="auto"/>
            <w:right w:val="none" w:sz="0" w:space="0" w:color="auto"/>
          </w:divBdr>
        </w:div>
        <w:div w:id="338627883">
          <w:marLeft w:val="0"/>
          <w:marRight w:val="0"/>
          <w:marTop w:val="0"/>
          <w:marBottom w:val="0"/>
          <w:divBdr>
            <w:top w:val="none" w:sz="0" w:space="0" w:color="auto"/>
            <w:left w:val="none" w:sz="0" w:space="0" w:color="auto"/>
            <w:bottom w:val="none" w:sz="0" w:space="0" w:color="auto"/>
            <w:right w:val="none" w:sz="0" w:space="0" w:color="auto"/>
          </w:divBdr>
        </w:div>
        <w:div w:id="401634907">
          <w:marLeft w:val="0"/>
          <w:marRight w:val="0"/>
          <w:marTop w:val="0"/>
          <w:marBottom w:val="0"/>
          <w:divBdr>
            <w:top w:val="none" w:sz="0" w:space="0" w:color="auto"/>
            <w:left w:val="none" w:sz="0" w:space="0" w:color="auto"/>
            <w:bottom w:val="none" w:sz="0" w:space="0" w:color="auto"/>
            <w:right w:val="none" w:sz="0" w:space="0" w:color="auto"/>
          </w:divBdr>
        </w:div>
        <w:div w:id="420218988">
          <w:marLeft w:val="0"/>
          <w:marRight w:val="0"/>
          <w:marTop w:val="0"/>
          <w:marBottom w:val="0"/>
          <w:divBdr>
            <w:top w:val="none" w:sz="0" w:space="0" w:color="auto"/>
            <w:left w:val="none" w:sz="0" w:space="0" w:color="auto"/>
            <w:bottom w:val="none" w:sz="0" w:space="0" w:color="auto"/>
            <w:right w:val="none" w:sz="0" w:space="0" w:color="auto"/>
          </w:divBdr>
        </w:div>
        <w:div w:id="498038846">
          <w:marLeft w:val="0"/>
          <w:marRight w:val="0"/>
          <w:marTop w:val="0"/>
          <w:marBottom w:val="0"/>
          <w:divBdr>
            <w:top w:val="none" w:sz="0" w:space="0" w:color="auto"/>
            <w:left w:val="none" w:sz="0" w:space="0" w:color="auto"/>
            <w:bottom w:val="none" w:sz="0" w:space="0" w:color="auto"/>
            <w:right w:val="none" w:sz="0" w:space="0" w:color="auto"/>
          </w:divBdr>
        </w:div>
        <w:div w:id="1072582045">
          <w:marLeft w:val="0"/>
          <w:marRight w:val="0"/>
          <w:marTop w:val="0"/>
          <w:marBottom w:val="0"/>
          <w:divBdr>
            <w:top w:val="none" w:sz="0" w:space="0" w:color="auto"/>
            <w:left w:val="none" w:sz="0" w:space="0" w:color="auto"/>
            <w:bottom w:val="none" w:sz="0" w:space="0" w:color="auto"/>
            <w:right w:val="none" w:sz="0" w:space="0" w:color="auto"/>
          </w:divBdr>
        </w:div>
        <w:div w:id="1212840582">
          <w:marLeft w:val="0"/>
          <w:marRight w:val="0"/>
          <w:marTop w:val="0"/>
          <w:marBottom w:val="0"/>
          <w:divBdr>
            <w:top w:val="none" w:sz="0" w:space="0" w:color="auto"/>
            <w:left w:val="none" w:sz="0" w:space="0" w:color="auto"/>
            <w:bottom w:val="none" w:sz="0" w:space="0" w:color="auto"/>
            <w:right w:val="none" w:sz="0" w:space="0" w:color="auto"/>
          </w:divBdr>
        </w:div>
        <w:div w:id="1682854089">
          <w:marLeft w:val="0"/>
          <w:marRight w:val="0"/>
          <w:marTop w:val="0"/>
          <w:marBottom w:val="0"/>
          <w:divBdr>
            <w:top w:val="none" w:sz="0" w:space="0" w:color="auto"/>
            <w:left w:val="none" w:sz="0" w:space="0" w:color="auto"/>
            <w:bottom w:val="none" w:sz="0" w:space="0" w:color="auto"/>
            <w:right w:val="none" w:sz="0" w:space="0" w:color="auto"/>
          </w:divBdr>
        </w:div>
        <w:div w:id="1880433402">
          <w:marLeft w:val="0"/>
          <w:marRight w:val="0"/>
          <w:marTop w:val="0"/>
          <w:marBottom w:val="0"/>
          <w:divBdr>
            <w:top w:val="none" w:sz="0" w:space="0" w:color="auto"/>
            <w:left w:val="none" w:sz="0" w:space="0" w:color="auto"/>
            <w:bottom w:val="none" w:sz="0" w:space="0" w:color="auto"/>
            <w:right w:val="none" w:sz="0" w:space="0" w:color="auto"/>
          </w:divBdr>
        </w:div>
      </w:divsChild>
    </w:div>
    <w:div w:id="1536846547">
      <w:bodyDiv w:val="1"/>
      <w:marLeft w:val="0"/>
      <w:marRight w:val="0"/>
      <w:marTop w:val="0"/>
      <w:marBottom w:val="0"/>
      <w:divBdr>
        <w:top w:val="none" w:sz="0" w:space="0" w:color="auto"/>
        <w:left w:val="none" w:sz="0" w:space="0" w:color="auto"/>
        <w:bottom w:val="none" w:sz="0" w:space="0" w:color="auto"/>
        <w:right w:val="none" w:sz="0" w:space="0" w:color="auto"/>
      </w:divBdr>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38053781">
      <w:bodyDiv w:val="1"/>
      <w:marLeft w:val="0"/>
      <w:marRight w:val="0"/>
      <w:marTop w:val="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 w:id="2073263051">
      <w:bodyDiv w:val="1"/>
      <w:marLeft w:val="0"/>
      <w:marRight w:val="0"/>
      <w:marTop w:val="0"/>
      <w:marBottom w:val="0"/>
      <w:divBdr>
        <w:top w:val="none" w:sz="0" w:space="0" w:color="auto"/>
        <w:left w:val="none" w:sz="0" w:space="0" w:color="auto"/>
        <w:bottom w:val="none" w:sz="0" w:space="0" w:color="auto"/>
        <w:right w:val="none" w:sz="0" w:space="0" w:color="auto"/>
      </w:divBdr>
    </w:div>
    <w:div w:id="212179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b55825709ff911eea5a28c81c82193a8"/>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b449e51851ecef6313d1a8a90b6a0449">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5822cd2f187b26fcfaa279de054585b"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7149d951875c45ce8d3fb624d3fdc1ca" PartId="b9ad73788d274027864a09b080fbb5ba"/>
  <Part Type="pastraipa" DocPartId="079feca3f01a427c93987e5c422be6d4" PartId="7f9cd21004c54182a856dc8178c637ed"/>
</Parts>
</file>

<file path=customXml/itemProps1.xml><?xml version="1.0" encoding="utf-8"?>
<ds:datastoreItem xmlns:ds="http://schemas.openxmlformats.org/officeDocument/2006/customXml" ds:itemID="{AF91BE8F-7C2B-4422-839A-CA70B52339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3AC7F6-623D-44C1-B582-1CE6A2051807}">
  <ds:schemaRefs>
    <ds:schemaRef ds:uri="http://purl.org/dc/elements/1.1/"/>
    <ds:schemaRef ds:uri="http://purl.org/dc/terms/"/>
    <ds:schemaRef ds:uri="http://schemas.openxmlformats.org/package/2006/metadata/core-properties"/>
    <ds:schemaRef ds:uri="f5aad5d0-9c26-490e-8743-a6c7ceabd501"/>
    <ds:schemaRef ds:uri="19cf09c5-daa1-4028-a0ff-74a0be4ec5cc"/>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5418A557-41DE-47D1-8023-37392E54CFA1}">
  <ds:schemaRefs>
    <ds:schemaRef ds:uri="http://schemas.microsoft.com/sharepoint/v3/contenttype/forms"/>
  </ds:schemaRefs>
</ds:datastoreItem>
</file>

<file path=customXml/itemProps4.xml><?xml version="1.0" encoding="utf-8"?>
<ds:datastoreItem xmlns:ds="http://schemas.openxmlformats.org/officeDocument/2006/customXml" ds:itemID="{53951475-BF2F-42ED-97C4-D4B6FD9D8D74}">
  <ds:schemaRefs>
    <ds:schemaRef ds:uri="http://schemas.openxmlformats.org/officeDocument/2006/bibliography"/>
  </ds:schemaRefs>
</ds:datastoreItem>
</file>

<file path=customXml/itemProps5.xml><?xml version="1.0" encoding="utf-8"?>
<ds:datastoreItem xmlns:ds="http://schemas.openxmlformats.org/officeDocument/2006/customXml" ds:itemID="{B24D5BBF-451F-4AC0-8A7A-EFF3261D09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14016</Words>
  <Characters>98817</Characters>
  <Application>Microsoft Office Word</Application>
  <DocSecurity>4</DocSecurity>
  <Lines>2016</Lines>
  <Paragraphs>688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112145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Orinta Vaitkutė</dc:creator>
  <lastModifiedBy>adlibuser</lastModifiedBy>
  <lastPrinted>2015-03-03T18:26:00Z</lastPrinted>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