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b6c88a893ea14f3bb9feef6c7d8ac65c"/>
        <w:lock w:val="sdtLocked"/>
        <w:richText/>
      </w:sdtPr>
      <w:sdtContent>
        <w:tbl>
          <w:tblPr>
            <w:tblW w:w="9638" w:type="dxa"/>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hemeColor="text1"/>
                </w:tcBorders>
              </w:tcPr>
              <w:p>
                <w:pPr>
                  <w:suppressLineNumbers/>
                  <w:tabs>
                    <w:tab w:val="center" w:pos="4800"/>
                    <w:tab w:val="right" w:pos="9601"/>
                  </w:tabs>
                  <w:jc w:val="both"/>
                  <w:rPr>
                    <w:rFonts w:eastAsia="Andale Sans UI" w:cs="Tahoma"/>
                    <w:szCs w:val="24"/>
                    <w:lang w:bidi="en-US"/>
                  </w:rPr>
                </w:pPr>
              </w:p>
              <w:p>
                <w:pPr>
                  <w:suppressLineNumbers/>
                  <w:jc w:val="center"/>
                  <w:rPr>
                    <w:rFonts w:eastAsia="Andale Sans UI" w:cs="Tahoma"/>
                    <w:b/>
                    <w:bCs/>
                    <w:spacing w:val="20"/>
                    <w:szCs w:val="24"/>
                    <w:lang w:bidi="en-US"/>
                  </w:rPr>
                </w:pPr>
                <w:r>
                  <w:rPr>
                    <w:rFonts w:eastAsia="Andale Sans UI" w:cs="Tahoma"/>
                    <w:b/>
                    <w:spacing w:val="20"/>
                    <w:sz w:val="26"/>
                    <w:szCs w:val="26"/>
                    <w:lang w:val="en-US"/>
                  </w:rPr>
                  <w:drawing>
                    <wp:inline distT="0" distB="0" distL="0" distR="0" wp14:anchorId="47B4FF70" wp14:editId="05B85950">
                      <wp:extent cx="523875" cy="61912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rPr>
                    <w:sz w:val="10"/>
                    <w:szCs w:val="10"/>
                  </w:rPr>
                </w:pPr>
              </w:p>
              <w:p>
                <w:pPr>
                  <w:suppressLineNumbers/>
                  <w:jc w:val="center"/>
                  <w:rPr>
                    <w:rFonts w:eastAsia="Andale Sans UI" w:cs="Tahoma"/>
                    <w:b/>
                    <w:bCs/>
                    <w:spacing w:val="20"/>
                    <w:szCs w:val="24"/>
                    <w:lang w:bidi="en-US"/>
                  </w:rPr>
                </w:pPr>
                <w:r>
                  <w:rPr>
                    <w:rFonts w:eastAsia="Andale Sans UI" w:cs="Tahoma"/>
                    <w:b/>
                    <w:bCs/>
                    <w:spacing w:val="20"/>
                    <w:szCs w:val="24"/>
                    <w:lang w:bidi="en-US"/>
                  </w:rPr>
                  <w:t>LIETUVOS RESPUBLIKOS APLINKOS MINISTERIJA</w:t>
                </w:r>
              </w:p>
              <w:p>
                <w:pPr>
                  <w:rPr>
                    <w:sz w:val="10"/>
                    <w:szCs w:val="10"/>
                  </w:rPr>
                </w:pPr>
              </w:p>
              <w:p>
                <w:pPr>
                  <w:suppressLineNumbers/>
                  <w:jc w:val="center"/>
                  <w:rPr>
                    <w:rFonts w:eastAsia="Andale Sans UI"/>
                    <w:spacing w:val="12"/>
                    <w:sz w:val="16"/>
                    <w:szCs w:val="16"/>
                    <w:lang w:bidi="en-US"/>
                  </w:rPr>
                </w:pPr>
                <w:r>
                  <w:rPr>
                    <w:rFonts w:eastAsia="Andale Sans UI"/>
                    <w:spacing w:val="12"/>
                    <w:sz w:val="16"/>
                    <w:szCs w:val="16"/>
                    <w:lang w:bidi="en-US"/>
                  </w:rPr>
                  <w:t>Biudžetinė įstaiga, A. Jakšto g. 4, LT-01105 Vilnius,</w:t>
                </w:r>
              </w:p>
              <w:p>
                <w:pPr>
                  <w:suppressLineNumbers/>
                  <w:jc w:val="center"/>
                  <w:rPr>
                    <w:rFonts w:eastAsia="Andale Sans UI"/>
                    <w:spacing w:val="12"/>
                    <w:sz w:val="16"/>
                    <w:szCs w:val="16"/>
                    <w:lang w:bidi="en-US"/>
                  </w:rPr>
                </w:pPr>
                <w:r>
                  <w:rPr>
                    <w:rFonts w:eastAsia="Andale Sans UI"/>
                    <w:spacing w:val="12"/>
                    <w:sz w:val="16"/>
                    <w:szCs w:val="16"/>
                    <w:lang w:bidi="en-US"/>
                  </w:rPr>
                  <w:t>tel. +370 626 22 252, el. p. info@am.lt, https://am.lrv.lt.</w:t>
                </w:r>
              </w:p>
              <w:p>
                <w:pPr>
                  <w:suppressLineNumbers/>
                  <w:jc w:val="center"/>
                  <w:rPr>
                    <w:rFonts w:ascii="Arial" w:eastAsia="Andale Sans UI" w:hAnsi="Arial" w:cs="Tahoma"/>
                    <w:b/>
                    <w:bCs/>
                    <w:spacing w:val="12"/>
                    <w:sz w:val="14"/>
                    <w:szCs w:val="14"/>
                    <w:lang w:bidi="en-US"/>
                  </w:rPr>
                </w:pPr>
                <w:r>
                  <w:rPr>
                    <w:rFonts w:eastAsia="Andale Sans UI"/>
                    <w:spacing w:val="12"/>
                    <w:sz w:val="16"/>
                    <w:szCs w:val="16"/>
                    <w:lang w:bidi="en-US"/>
                  </w:rPr>
                  <w:t>Duomenys kaupiami ir saugomi Juridinių asmenų registre, kodas 188602370</w:t>
                </w:r>
              </w:p>
            </w:tc>
          </w:tr>
          <w:tr>
            <w:tc>
              <w:tcPr>
                <w:tcW w:w="9638" w:type="dxa"/>
                <w:gridSpan w:val="5"/>
                <w:tcMar>
                  <w:top w:w="0" w:type="dxa"/>
                  <w:left w:w="0" w:type="dxa"/>
                  <w:bottom w:w="0" w:type="dxa"/>
                  <w:right w:w="0" w:type="dxa"/>
                </w:tcMar>
              </w:tcPr>
              <w:p>
                <w:pPr>
                  <w:suppressLineNumbers/>
                  <w:jc w:val="both"/>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suppressLineNumbers/>
                  <w:jc w:val="both"/>
                  <w:rPr>
                    <w:rFonts w:eastAsia="Andale Sans UI"/>
                    <w:szCs w:val="24"/>
                    <w:lang w:bidi="en-US"/>
                  </w:rPr>
                </w:pPr>
                <w:r>
                  <w:rPr>
                    <w:rFonts w:eastAsia="Andale Sans UI"/>
                    <w:szCs w:val="24"/>
                    <w:lang w:bidi="en-US"/>
                  </w:rPr>
                  <w:t>Lietuvos Respublikos Vyriausybei</w:t>
                </w:r>
              </w:p>
              <w:p>
                <w:pPr>
                  <w:suppressLineNumbers/>
                  <w:jc w:val="both"/>
                  <w:rPr>
                    <w:rFonts w:eastAsia="Andale Sans UI"/>
                    <w:spacing w:val="10"/>
                    <w:szCs w:val="24"/>
                    <w:lang w:bidi="en-US"/>
                  </w:rPr>
                </w:pPr>
              </w:p>
              <w:p>
                <w:pPr>
                  <w:suppressLineNumbers/>
                  <w:jc w:val="both"/>
                  <w:rPr>
                    <w:rFonts w:eastAsia="Andale Sans UI"/>
                    <w:spacing w:val="10"/>
                    <w:szCs w:val="24"/>
                    <w:lang w:bidi="en-US"/>
                  </w:rPr>
                </w:pPr>
              </w:p>
            </w:tc>
            <w:tc>
              <w:tcPr>
                <w:tcW w:w="282" w:type="dxa"/>
                <w:tcMar>
                  <w:top w:w="0" w:type="dxa"/>
                  <w:left w:w="0" w:type="dxa"/>
                  <w:bottom w:w="0" w:type="dxa"/>
                  <w:right w:w="0" w:type="dxa"/>
                </w:tcMar>
              </w:tcPr>
              <w:p>
                <w:pPr>
                  <w:ind w:right="67"/>
                  <w:jc w:val="right"/>
                  <w:rPr>
                    <w:rFonts w:eastAsia="Andale Sans UI"/>
                    <w:spacing w:val="10"/>
                    <w:szCs w:val="24"/>
                    <w:lang w:bidi="en-US"/>
                  </w:rPr>
                </w:pPr>
              </w:p>
            </w:tc>
            <w:tc>
              <w:tcPr>
                <w:tcW w:w="1841" w:type="dxa"/>
                <w:tcMar>
                  <w:top w:w="0" w:type="dxa"/>
                  <w:left w:w="0" w:type="dxa"/>
                  <w:bottom w:w="0" w:type="dxa"/>
                  <w:right w:w="0" w:type="dxa"/>
                </w:tcMar>
              </w:tcPr>
              <w:p>
                <w:pPr>
                  <w:suppressLineNumbers/>
                  <w:ind w:right="67"/>
                  <w:jc w:val="both"/>
                  <w:rPr>
                    <w:rFonts w:eastAsia="Andale Sans UI"/>
                    <w:szCs w:val="24"/>
                    <w:lang w:bidi="en-US"/>
                  </w:rPr>
                </w:pPr>
                <w:r>
                  <w:rPr>
                    <w:rFonts w:eastAsia="Andale Sans UI"/>
                    <w:szCs w:val="24"/>
                    <w:lang w:bidi="en-US"/>
                  </w:rPr>
                  <w:t>2025-</w:t>
                </w:r>
              </w:p>
            </w:tc>
            <w:tc>
              <w:tcPr>
                <w:tcW w:w="565" w:type="dxa"/>
              </w:tcPr>
              <w:p>
                <w:pPr>
                  <w:ind w:right="67"/>
                  <w:jc w:val="right"/>
                  <w:rPr>
                    <w:rFonts w:eastAsia="Andale Sans UI"/>
                    <w:spacing w:val="10"/>
                    <w:szCs w:val="24"/>
                    <w:lang w:bidi="en-US"/>
                  </w:rPr>
                </w:pPr>
                <w:r>
                  <w:rPr>
                    <w:rFonts w:eastAsia="Andale Sans UI"/>
                    <w:spacing w:val="10"/>
                    <w:szCs w:val="24"/>
                    <w:lang w:bidi="en-US"/>
                  </w:rPr>
                  <w:t>Nr.</w:t>
                </w:r>
              </w:p>
            </w:tc>
            <w:tc>
              <w:tcPr>
                <w:tcW w:w="2133" w:type="dxa"/>
              </w:tcPr>
              <w:p>
                <w:pPr>
                  <w:suppressLineNumbers/>
                  <w:ind w:right="67"/>
                  <w:jc w:val="both"/>
                  <w:rPr>
                    <w:rFonts w:eastAsia="Andale Sans UI"/>
                    <w:szCs w:val="24"/>
                    <w:lang w:bidi="en-US"/>
                  </w:rPr>
                </w:pPr>
              </w:p>
            </w:tc>
          </w:tr>
          <w:tr>
            <w:trPr>
              <w:cantSplit/>
              <w:trHeight w:val="340"/>
            </w:trPr>
            <w:tc>
              <w:tcPr>
                <w:tcW w:w="4817" w:type="dxa"/>
                <w:vMerge/>
                <w:tcMar>
                  <w:top w:w="0" w:type="dxa"/>
                  <w:left w:w="0" w:type="dxa"/>
                  <w:bottom w:w="0" w:type="dxa"/>
                  <w:right w:w="0" w:type="dxa"/>
                </w:tcMar>
              </w:tcPr>
              <w:p>
                <w:pPr>
                  <w:jc w:val="both"/>
                  <w:rPr>
                    <w:rFonts w:eastAsia="Andale Sans UI"/>
                    <w:szCs w:val="24"/>
                    <w:lang w:bidi="en-US"/>
                  </w:rPr>
                </w:pPr>
              </w:p>
            </w:tc>
            <w:tc>
              <w:tcPr>
                <w:tcW w:w="282" w:type="dxa"/>
                <w:tcMar>
                  <w:top w:w="0" w:type="dxa"/>
                  <w:left w:w="0" w:type="dxa"/>
                  <w:bottom w:w="0" w:type="dxa"/>
                  <w:right w:w="0" w:type="dxa"/>
                </w:tcMar>
              </w:tcPr>
              <w:p>
                <w:pPr>
                  <w:tabs>
                    <w:tab w:val="left" w:pos="2869"/>
                  </w:tabs>
                  <w:ind w:right="67"/>
                  <w:jc w:val="right"/>
                  <w:rPr>
                    <w:rFonts w:eastAsia="Andale Sans UI"/>
                    <w:spacing w:val="10"/>
                    <w:szCs w:val="24"/>
                    <w:lang w:bidi="en-US"/>
                  </w:rPr>
                </w:pPr>
                <w:r>
                  <w:rPr>
                    <w:rFonts w:eastAsia="Andale Sans UI"/>
                    <w:spacing w:val="10"/>
                    <w:szCs w:val="24"/>
                    <w:lang w:bidi="en-US"/>
                  </w:rPr>
                  <w:t>Į</w:t>
                </w:r>
              </w:p>
            </w:tc>
            <w:tc>
              <w:tcPr>
                <w:tcW w:w="1841" w:type="dxa"/>
                <w:tcMar>
                  <w:top w:w="0" w:type="dxa"/>
                  <w:left w:w="0" w:type="dxa"/>
                  <w:bottom w:w="0" w:type="dxa"/>
                  <w:right w:w="0" w:type="dxa"/>
                </w:tcMar>
              </w:tcPr>
              <w:p>
                <w:pPr>
                  <w:suppressLineNumbers/>
                  <w:ind w:right="67"/>
                  <w:jc w:val="both"/>
                  <w:rPr>
                    <w:rFonts w:eastAsia="Andale Sans UI"/>
                    <w:szCs w:val="24"/>
                    <w:lang w:bidi="en-US"/>
                  </w:rPr>
                </w:pPr>
              </w:p>
            </w:tc>
            <w:tc>
              <w:tcPr>
                <w:tcW w:w="565" w:type="dxa"/>
              </w:tcPr>
              <w:p>
                <w:pPr>
                  <w:tabs>
                    <w:tab w:val="left" w:pos="2869"/>
                  </w:tabs>
                  <w:ind w:right="67"/>
                  <w:jc w:val="right"/>
                  <w:rPr>
                    <w:rFonts w:eastAsia="Andale Sans UI"/>
                    <w:spacing w:val="10"/>
                    <w:szCs w:val="24"/>
                    <w:lang w:bidi="en-US"/>
                  </w:rPr>
                </w:pPr>
                <w:r>
                  <w:rPr>
                    <w:rFonts w:eastAsia="Andale Sans UI"/>
                    <w:spacing w:val="10"/>
                    <w:szCs w:val="24"/>
                    <w:lang w:bidi="en-US"/>
                  </w:rPr>
                  <w:t>Nr.</w:t>
                </w:r>
              </w:p>
            </w:tc>
            <w:tc>
              <w:tcPr>
                <w:tcW w:w="2133" w:type="dxa"/>
              </w:tcPr>
              <w:p>
                <w:pPr>
                  <w:suppressLineNumbers/>
                  <w:ind w:right="67"/>
                  <w:jc w:val="both"/>
                  <w:rPr>
                    <w:rFonts w:eastAsia="Andale Sans UI"/>
                    <w:szCs w:val="24"/>
                    <w:lang w:bidi="en-US"/>
                  </w:rPr>
                </w:pPr>
              </w:p>
            </w:tc>
          </w:tr>
          <w:tr>
            <w:trPr>
              <w:cantSplit/>
            </w:trPr>
            <w:tc>
              <w:tcPr>
                <w:tcW w:w="4817" w:type="dxa"/>
                <w:vMerge/>
                <w:tcMar>
                  <w:top w:w="0" w:type="dxa"/>
                  <w:left w:w="0" w:type="dxa"/>
                  <w:bottom w:w="0" w:type="dxa"/>
                  <w:right w:w="0" w:type="dxa"/>
                </w:tcMar>
              </w:tcPr>
              <w:p>
                <w:pPr>
                  <w:jc w:val="both"/>
                  <w:rPr>
                    <w:rFonts w:eastAsia="Andale Sans UI"/>
                    <w:szCs w:val="24"/>
                    <w:lang w:bidi="en-US"/>
                  </w:rPr>
                </w:pPr>
              </w:p>
            </w:tc>
            <w:tc>
              <w:tcPr>
                <w:tcW w:w="4821" w:type="dxa"/>
                <w:gridSpan w:val="4"/>
                <w:tcMar>
                  <w:top w:w="0" w:type="dxa"/>
                  <w:left w:w="0" w:type="dxa"/>
                  <w:bottom w:w="0" w:type="dxa"/>
                  <w:right w:w="0" w:type="dxa"/>
                </w:tcMar>
              </w:tcPr>
              <w:p>
                <w:pPr>
                  <w:tabs>
                    <w:tab w:val="left" w:pos="2869"/>
                  </w:tabs>
                  <w:ind w:right="67"/>
                  <w:jc w:val="both"/>
                  <w:rPr>
                    <w:rFonts w:eastAsia="Andale Sans UI"/>
                    <w:spacing w:val="10"/>
                    <w:szCs w:val="24"/>
                    <w:lang w:bidi="en-US"/>
                  </w:rPr>
                </w:pPr>
              </w:p>
            </w:tc>
          </w:tr>
          <w:tr>
            <w:trPr>
              <w:trHeight w:val="340"/>
            </w:trPr>
            <w:tc>
              <w:tcPr>
                <w:tcW w:w="9638" w:type="dxa"/>
                <w:gridSpan w:val="5"/>
                <w:tcMar>
                  <w:top w:w="0" w:type="dxa"/>
                  <w:left w:w="0" w:type="dxa"/>
                  <w:bottom w:w="0" w:type="dxa"/>
                  <w:right w:w="0" w:type="dxa"/>
                </w:tcMar>
              </w:tcPr>
              <w:p>
                <w:pPr>
                  <w:suppressLineNumbers/>
                  <w:jc w:val="both"/>
                  <w:rPr>
                    <w:rFonts w:eastAsia="Andale Sans UI"/>
                    <w:b/>
                    <w:bCs/>
                    <w:szCs w:val="24"/>
                    <w:lang w:bidi="en-US"/>
                  </w:rPr>
                </w:pPr>
                <w:r>
                  <w:rPr>
                    <w:rFonts w:eastAsia="Andale Sans UI"/>
                    <w:b/>
                    <w:caps/>
                    <w:szCs w:val="24"/>
                    <w:lang w:bidi="en-US"/>
                  </w:rPr>
                  <w:t xml:space="preserve">DĖL </w:t>
                </w:r>
                <w:r>
                  <w:rPr>
                    <w:rFonts w:eastAsia="Andale Sans UI"/>
                    <w:b/>
                    <w:szCs w:val="24"/>
                    <w:lang w:eastAsia="lt-LT" w:bidi="en-US"/>
                  </w:rPr>
                  <w:t>ĮSTATYMŲ PROJEKTŲ</w:t>
                </w:r>
              </w:p>
            </w:tc>
          </w:tr>
        </w:tbl>
        <w:p>
          <w:pPr>
            <w:shd w:val="clear" w:color="auto" w:fill="FFFFFF"/>
            <w:ind w:firstLine="567"/>
            <w:jc w:val="both"/>
            <w:textAlignment w:val="center"/>
            <w:rPr>
              <w:rFonts w:eastAsia="Andale Sans UI"/>
              <w:szCs w:val="24"/>
              <w:lang w:bidi="en-US"/>
            </w:rPr>
          </w:pPr>
        </w:p>
        <w:p>
          <w:pPr>
            <w:shd w:val="clear" w:color="auto" w:fill="FFFFFF"/>
            <w:ind w:firstLine="567"/>
            <w:jc w:val="both"/>
            <w:textAlignment w:val="center"/>
            <w:rPr>
              <w:rFonts w:eastAsia="Andale Sans UI"/>
              <w:szCs w:val="24"/>
              <w:lang w:bidi="en-US"/>
            </w:rPr>
          </w:pPr>
        </w:p>
      </w:sdtContent>
    </w:sdt>
    <w:sdt>
      <w:sdtPr>
        <w:alias w:val="pastraipa"/>
        <w:tag w:val="part_ebaf58841bdb41a4872332bdd1e89a5e"/>
        <w:lock w:val="sdtLocked"/>
        <w:richText/>
      </w:sdtPr>
      <w:sdtContent>
        <w:p>
          <w:pPr>
            <w:shd w:val="clear" w:color="auto" w:fill="FFFFFF"/>
            <w:ind w:firstLine="567"/>
            <w:jc w:val="both"/>
            <w:textAlignment w:val="center"/>
            <w:rPr>
              <w:rFonts w:eastAsia="Andale Sans UI"/>
              <w:szCs w:val="24"/>
              <w:lang w:bidi="en-US"/>
            </w:rPr>
          </w:pPr>
          <w:r>
            <w:rPr>
              <w:rFonts w:eastAsia="Andale Sans UI"/>
              <w:szCs w:val="24"/>
              <w:lang w:bidi="en-US"/>
            </w:rPr>
            <w:t>Aplinkos ministerija teikia šiuos įstatymų projektus (toliau kartu – Projektai):</w:t>
          </w:r>
        </w:p>
        <w:sdt>
          <w:sdtPr>
            <w:alias w:val="1 pp."/>
            <w:tag w:val="part_230df60a909144df8c251018fd37ef90"/>
            <w:lock w:val="sdtLocked"/>
            <w:richText/>
          </w:sdtPr>
          <w:sdtContent>
            <w:p>
              <w:pPr>
                <w:shd w:val="clear" w:color="auto" w:fill="FFFFFF"/>
                <w:ind w:firstLine="567"/>
                <w:jc w:val="both"/>
                <w:textAlignment w:val="center"/>
                <w:rPr>
                  <w:rFonts w:eastAsia="Andale Sans UI"/>
                  <w:szCs w:val="24"/>
                  <w:lang w:bidi="en-US"/>
                </w:rPr>
              </w:pPr>
              <w:sdt>
                <w:sdtPr>
                  <w:alias w:val="Numeris"/>
                  <w:tag w:val="nr_230df60a909144df8c251018fd37ef90"/>
                  <w:lock w:val="sdtLocked"/>
                  <w:richText/>
                </w:sdtPr>
                <w:sdtContent>
                  <w:r>
                    <w:rPr>
                      <w:rFonts w:eastAsia="Andale Sans UI"/>
                      <w:szCs w:val="24"/>
                      <w:lang w:bidi="en-US"/>
                    </w:rPr>
                    <w:t>1</w:t>
                  </w:r>
                </w:sdtContent>
              </w:sdt>
              <w:r>
                <w:rPr>
                  <w:rFonts w:eastAsia="Andale Sans UI"/>
                  <w:szCs w:val="24"/>
                  <w:lang w:bidi="en-US"/>
                </w:rPr>
                <w:t>) Lietuvos Respublikos baterijų ir baterijų atliekų tvarkymo įstatymo projektą (toliau – Baterijų įstatymo projektas);</w:t>
              </w:r>
            </w:p>
          </w:sdtContent>
        </w:sdt>
        <w:sdt>
          <w:sdtPr>
            <w:alias w:val="2 pp."/>
            <w:tag w:val="part_fd7a0d38423f42e6b8546702eddc786e"/>
            <w:lock w:val="sdtLocked"/>
            <w:richText/>
          </w:sdtPr>
          <w:sdtContent>
            <w:p>
              <w:pPr>
                <w:shd w:val="clear" w:color="auto" w:fill="FFFFFF"/>
                <w:ind w:firstLine="567"/>
                <w:jc w:val="both"/>
                <w:textAlignment w:val="center"/>
                <w:rPr>
                  <w:rFonts w:eastAsia="Andale Sans UI"/>
                  <w:szCs w:val="24"/>
                  <w:lang w:bidi="en-US"/>
                </w:rPr>
              </w:pPr>
              <w:sdt>
                <w:sdtPr>
                  <w:alias w:val="Numeris"/>
                  <w:tag w:val="nr_fd7a0d38423f42e6b8546702eddc786e"/>
                  <w:lock w:val="sdtLocked"/>
                  <w:richText/>
                </w:sdtPr>
                <w:sdtContent>
                  <w:r>
                    <w:rPr>
                      <w:rFonts w:eastAsia="Andale Sans UI"/>
                      <w:szCs w:val="24"/>
                      <w:lang w:bidi="en-US"/>
                    </w:rPr>
                    <w:t>2</w:t>
                  </w:r>
                </w:sdtContent>
              </w:sdt>
              <w:r>
                <w:rPr>
                  <w:rFonts w:eastAsia="Andale Sans UI"/>
                  <w:szCs w:val="24"/>
                  <w:lang w:bidi="en-US"/>
                </w:rPr>
                <w:t xml:space="preserve">) Lietuvos Respublikos atliekų tvarkymo įstatymo Nr. VIII-787 (toliau – ATĮ) 1, </w:t>
              </w:r>
              <w:r>
                <w:rPr>
                  <w:rFonts w:eastAsia="Andale Sans UI" w:cs="Tahoma"/>
                  <w:szCs w:val="24"/>
                  <w:lang w:bidi="en-US"/>
                </w:rPr>
                <w:t>2, 4, 30, 32</w:t>
              </w:r>
              <w:r>
                <w:rPr>
                  <w:rFonts w:eastAsia="Andale Sans UI" w:cs="Tahoma"/>
                  <w:szCs w:val="24"/>
                  <w:vertAlign w:val="superscript"/>
                  <w:lang w:bidi="en-US"/>
                </w:rPr>
                <w:t>1</w:t>
              </w:r>
              <w:r>
                <w:rPr>
                  <w:rFonts w:eastAsia="Andale Sans UI" w:cs="Tahoma"/>
                  <w:szCs w:val="24"/>
                  <w:lang w:bidi="en-US"/>
                </w:rPr>
                <w:t>, 34</w:t>
              </w:r>
              <w:r>
                <w:rPr>
                  <w:rFonts w:eastAsia="Andale Sans UI" w:cs="Tahoma"/>
                  <w:szCs w:val="24"/>
                  <w:vertAlign w:val="superscript"/>
                  <w:lang w:bidi="en-US"/>
                </w:rPr>
                <w:t>1</w:t>
              </w:r>
              <w:r>
                <w:rPr>
                  <w:rFonts w:eastAsia="Andale Sans UI" w:cs="Tahoma"/>
                  <w:szCs w:val="24"/>
                  <w:lang w:bidi="en-US"/>
                </w:rPr>
                <w:t>, 34</w:t>
              </w:r>
              <w:r>
                <w:rPr>
                  <w:rFonts w:eastAsia="Andale Sans UI" w:cs="Tahoma"/>
                  <w:szCs w:val="24"/>
                  <w:vertAlign w:val="superscript"/>
                  <w:lang w:bidi="en-US"/>
                </w:rPr>
                <w:t>15</w:t>
              </w:r>
              <w:r>
                <w:rPr>
                  <w:rFonts w:eastAsia="Andale Sans UI" w:cs="Tahoma"/>
                  <w:szCs w:val="24"/>
                  <w:lang w:bidi="en-US"/>
                </w:rPr>
                <w:t>, 34</w:t>
              </w:r>
              <w:r>
                <w:rPr>
                  <w:rFonts w:eastAsia="Andale Sans UI" w:cs="Tahoma"/>
                  <w:szCs w:val="24"/>
                  <w:vertAlign w:val="superscript"/>
                  <w:lang w:bidi="en-US"/>
                </w:rPr>
                <w:t>16</w:t>
              </w:r>
              <w:r>
                <w:rPr>
                  <w:rFonts w:eastAsia="Andale Sans UI" w:cs="Tahoma"/>
                  <w:szCs w:val="24"/>
                  <w:lang w:bidi="en-US"/>
                </w:rPr>
                <w:t>, 34</w:t>
              </w:r>
              <w:r>
                <w:rPr>
                  <w:rFonts w:eastAsia="Andale Sans UI" w:cs="Tahoma"/>
                  <w:szCs w:val="24"/>
                  <w:vertAlign w:val="superscript"/>
                  <w:lang w:bidi="en-US"/>
                </w:rPr>
                <w:t>18</w:t>
              </w:r>
              <w:r>
                <w:rPr>
                  <w:rFonts w:eastAsia="Andale Sans UI" w:cs="Tahoma"/>
                  <w:szCs w:val="24"/>
                  <w:lang w:bidi="en-US"/>
                </w:rPr>
                <w:t>, 34</w:t>
              </w:r>
              <w:r>
                <w:rPr>
                  <w:rFonts w:eastAsia="Andale Sans UI" w:cs="Tahoma"/>
                  <w:szCs w:val="24"/>
                  <w:vertAlign w:val="superscript"/>
                  <w:lang w:bidi="en-US"/>
                </w:rPr>
                <w:t>22</w:t>
              </w:r>
              <w:r>
                <w:rPr>
                  <w:rFonts w:eastAsia="Andale Sans UI" w:cs="Tahoma"/>
                  <w:szCs w:val="24"/>
                  <w:lang w:bidi="en-US"/>
                </w:rPr>
                <w:t>, 34</w:t>
              </w:r>
              <w:r>
                <w:rPr>
                  <w:rFonts w:eastAsia="Andale Sans UI" w:cs="Tahoma"/>
                  <w:szCs w:val="24"/>
                  <w:vertAlign w:val="superscript"/>
                  <w:lang w:bidi="en-US"/>
                </w:rPr>
                <w:t>24</w:t>
              </w:r>
              <w:r>
                <w:rPr>
                  <w:rFonts w:eastAsia="Andale Sans UI" w:cs="Tahoma"/>
                  <w:szCs w:val="24"/>
                  <w:lang w:bidi="en-US"/>
                </w:rPr>
                <w:t>, 34</w:t>
              </w:r>
              <w:r>
                <w:rPr>
                  <w:rFonts w:eastAsia="Andale Sans UI" w:cs="Tahoma"/>
                  <w:szCs w:val="24"/>
                  <w:vertAlign w:val="superscript"/>
                  <w:lang w:bidi="en-US"/>
                </w:rPr>
                <w:t>25</w:t>
              </w:r>
              <w:r>
                <w:rPr>
                  <w:rFonts w:eastAsia="Andale Sans UI" w:cs="Tahoma"/>
                  <w:szCs w:val="24"/>
                  <w:lang w:bidi="en-US"/>
                </w:rPr>
                <w:t>, 34</w:t>
              </w:r>
              <w:r>
                <w:rPr>
                  <w:rFonts w:eastAsia="Andale Sans UI" w:cs="Tahoma"/>
                  <w:szCs w:val="24"/>
                  <w:vertAlign w:val="superscript"/>
                  <w:lang w:bidi="en-US"/>
                </w:rPr>
                <w:t>26</w:t>
              </w:r>
              <w:r>
                <w:rPr>
                  <w:rFonts w:eastAsia="Andale Sans UI" w:cs="Tahoma"/>
                  <w:szCs w:val="24"/>
                  <w:lang w:bidi="en-US"/>
                </w:rPr>
                <w:t>, 34</w:t>
              </w:r>
              <w:r>
                <w:rPr>
                  <w:rFonts w:eastAsia="Andale Sans UI" w:cs="Tahoma"/>
                  <w:szCs w:val="24"/>
                  <w:vertAlign w:val="superscript"/>
                  <w:lang w:bidi="en-US"/>
                </w:rPr>
                <w:t>30</w:t>
              </w:r>
              <w:r>
                <w:rPr>
                  <w:rFonts w:eastAsia="Andale Sans UI" w:cs="Tahoma"/>
                  <w:szCs w:val="24"/>
                  <w:lang w:bidi="en-US"/>
                </w:rPr>
                <w:t>, 34</w:t>
              </w:r>
              <w:r>
                <w:rPr>
                  <w:rFonts w:eastAsia="Andale Sans UI" w:cs="Tahoma"/>
                  <w:szCs w:val="24"/>
                  <w:vertAlign w:val="superscript"/>
                  <w:lang w:bidi="en-US"/>
                </w:rPr>
                <w:t>31</w:t>
              </w:r>
              <w:r>
                <w:rPr>
                  <w:rFonts w:eastAsia="Andale Sans UI" w:cs="Tahoma"/>
                  <w:szCs w:val="24"/>
                  <w:lang w:bidi="en-US"/>
                </w:rPr>
                <w:t xml:space="preserve"> straipsnių, aštuntojo</w:t>
              </w:r>
              <w:r>
                <w:rPr>
                  <w:rFonts w:eastAsia="Andale Sans UI" w:cs="Tahoma"/>
                  <w:szCs w:val="24"/>
                  <w:vertAlign w:val="superscript"/>
                  <w:lang w:bidi="en-US"/>
                </w:rPr>
                <w:t>4</w:t>
              </w:r>
              <w:r>
                <w:rPr>
                  <w:rFonts w:eastAsia="Andale Sans UI" w:cs="Tahoma"/>
                  <w:szCs w:val="24"/>
                  <w:lang w:bidi="en-US"/>
                </w:rPr>
                <w:t xml:space="preserve"> ir aštuntojo</w:t>
              </w:r>
              <w:r>
                <w:rPr>
                  <w:rFonts w:eastAsia="Andale Sans UI" w:cs="Tahoma"/>
                  <w:szCs w:val="24"/>
                  <w:vertAlign w:val="superscript"/>
                  <w:lang w:bidi="en-US"/>
                </w:rPr>
                <w:t>5</w:t>
              </w:r>
              <w:r>
                <w:rPr>
                  <w:rFonts w:eastAsia="Andale Sans UI" w:cs="Tahoma"/>
                  <w:szCs w:val="24"/>
                  <w:lang w:bidi="en-US"/>
                </w:rPr>
                <w:t xml:space="preserve"> skirsnių pavadinimų, 5 priedo pakeitimo, </w:t>
              </w:r>
              <w:r>
                <w:rPr>
                  <w:rFonts w:eastAsia="Andale Sans UI"/>
                  <w:szCs w:val="24"/>
                  <w:lang w:bidi="en-US"/>
                </w:rPr>
                <w:t>Įstatymo papildymo 4</w:t>
              </w:r>
              <w:r>
                <w:rPr>
                  <w:rFonts w:eastAsia="Andale Sans UI"/>
                  <w:szCs w:val="24"/>
                  <w:vertAlign w:val="superscript"/>
                  <w:lang w:bidi="en-US"/>
                </w:rPr>
                <w:t>3</w:t>
              </w:r>
              <w:r>
                <w:rPr>
                  <w:rFonts w:eastAsia="Andale Sans UI"/>
                  <w:szCs w:val="24"/>
                  <w:lang w:bidi="en-US"/>
                </w:rPr>
                <w:t xml:space="preserve"> straipsniu</w:t>
              </w:r>
              <w:r>
                <w:rPr>
                  <w:rFonts w:eastAsia="Andale Sans UI" w:cs="Tahoma"/>
                  <w:szCs w:val="24"/>
                  <w:lang w:bidi="en-US"/>
                </w:rPr>
                <w:t xml:space="preserve"> ir 34</w:t>
              </w:r>
              <w:r>
                <w:rPr>
                  <w:rFonts w:eastAsia="Andale Sans UI" w:cs="Tahoma"/>
                  <w:szCs w:val="24"/>
                  <w:vertAlign w:val="superscript"/>
                  <w:lang w:bidi="en-US"/>
                </w:rPr>
                <w:t>17</w:t>
              </w:r>
              <w:r>
                <w:rPr>
                  <w:rFonts w:eastAsia="Andale Sans UI" w:cs="Tahoma"/>
                  <w:szCs w:val="24"/>
                  <w:lang w:bidi="en-US"/>
                </w:rPr>
                <w:t xml:space="preserve"> straipsnio pripažinimo netekusiu galios</w:t>
              </w:r>
              <w:r>
                <w:rPr>
                  <w:rFonts w:eastAsia="Andale Sans UI"/>
                  <w:szCs w:val="24"/>
                  <w:lang w:bidi="en-US"/>
                </w:rPr>
                <w:t xml:space="preserve"> įstatymo projektą (toliau – ATĮ projektas);</w:t>
              </w:r>
            </w:p>
          </w:sdtContent>
        </w:sdt>
        <w:sdt>
          <w:sdtPr>
            <w:alias w:val="3 pp."/>
            <w:tag w:val="part_f016281eecae4dab923d570a73481a0b"/>
            <w:lock w:val="sdtLocked"/>
            <w:richText/>
          </w:sdtPr>
          <w:sdtContent>
            <w:p>
              <w:pPr>
                <w:shd w:val="clear" w:color="auto" w:fill="FFFFFF"/>
                <w:ind w:firstLine="567"/>
                <w:jc w:val="both"/>
                <w:textAlignment w:val="center"/>
                <w:rPr>
                  <w:rFonts w:eastAsia="Andale Sans UI"/>
                  <w:szCs w:val="24"/>
                  <w:lang w:bidi="en-US"/>
                </w:rPr>
              </w:pPr>
              <w:sdt>
                <w:sdtPr>
                  <w:alias w:val="Numeris"/>
                  <w:tag w:val="nr_f016281eecae4dab923d570a73481a0b"/>
                  <w:lock w:val="sdtLocked"/>
                  <w:richText/>
                </w:sdtPr>
                <w:sdtContent>
                  <w:r>
                    <w:rPr>
                      <w:rFonts w:eastAsia="Andale Sans UI"/>
                      <w:szCs w:val="24"/>
                      <w:lang w:bidi="en-US"/>
                    </w:rPr>
                    <w:t>3</w:t>
                  </w:r>
                </w:sdtContent>
              </w:sdt>
              <w:r>
                <w:rPr>
                  <w:rFonts w:eastAsia="Andale Sans UI"/>
                  <w:szCs w:val="24"/>
                  <w:lang w:bidi="en-US"/>
                </w:rPr>
                <w:t>) Lietuvos Respublikos mokesčio už aplinkos teršimą įstatymo Nr. VIII-1183 (toliau – MATĮ) 2 straipsnio ir 3, 9 priedų pakeitimo įstatymo projektą (toliau – MATĮ projektas);</w:t>
              </w:r>
            </w:p>
          </w:sdtContent>
        </w:sdt>
        <w:sdt>
          <w:sdtPr>
            <w:alias w:val="4 pp."/>
            <w:tag w:val="part_e7abb84386df482fa2d401a712337b61"/>
            <w:lock w:val="sdtLocked"/>
            <w:richText/>
          </w:sdtPr>
          <w:sdtContent>
            <w:p>
              <w:pPr>
                <w:shd w:val="clear" w:color="auto" w:fill="FFFFFF"/>
                <w:ind w:firstLine="567"/>
                <w:jc w:val="both"/>
                <w:textAlignment w:val="center"/>
                <w:rPr>
                  <w:rFonts w:eastAsia="Andale Sans UI"/>
                  <w:szCs w:val="24"/>
                  <w:lang w:bidi="en-US"/>
                </w:rPr>
              </w:pPr>
              <w:sdt>
                <w:sdtPr>
                  <w:alias w:val="Numeris"/>
                  <w:tag w:val="nr_e7abb84386df482fa2d401a712337b61"/>
                  <w:lock w:val="sdtLocked"/>
                  <w:richText/>
                </w:sdtPr>
                <w:sdtContent>
                  <w:r>
                    <w:rPr>
                      <w:rFonts w:eastAsia="Andale Sans UI"/>
                      <w:szCs w:val="24"/>
                      <w:lang w:bidi="en-US"/>
                    </w:rPr>
                    <w:t>4</w:t>
                  </w:r>
                </w:sdtContent>
              </w:sdt>
              <w:r>
                <w:rPr>
                  <w:rFonts w:eastAsia="Andale Sans UI"/>
                  <w:szCs w:val="24"/>
                  <w:lang w:bidi="en-US"/>
                </w:rPr>
                <w:t xml:space="preserve">) Lietuvos Respublikos aplinkos apsaugos įstatymo Nr. I-2223 (toliau – AAĮ) 1, 47, 94, 95, 97, 98, 99, 100, 102 straipsnių ir priedo </w:t>
              </w:r>
              <w:r>
                <w:rPr>
                  <w:rFonts w:eastAsia="Andale Sans UI"/>
                  <w:spacing w:val="2"/>
                  <w:szCs w:val="24"/>
                  <w:shd w:val="clear" w:color="auto" w:fill="FFFFFF"/>
                  <w:lang w:bidi="en-US"/>
                </w:rPr>
                <w:t xml:space="preserve">pakeitimo, Įstatymo papildymo </w:t>
              </w:r>
              <w:r>
                <w:rPr>
                  <w:rFonts w:eastAsia="Andale Sans UI"/>
                  <w:szCs w:val="24"/>
                  <w:lang w:bidi="en-US"/>
                </w:rPr>
                <w:t>100</w:t>
              </w:r>
              <w:r>
                <w:rPr>
                  <w:rFonts w:eastAsia="Andale Sans UI"/>
                  <w:szCs w:val="24"/>
                  <w:vertAlign w:val="superscript"/>
                  <w:lang w:bidi="en-US"/>
                </w:rPr>
                <w:t>2</w:t>
              </w:r>
              <w:r>
                <w:rPr>
                  <w:rFonts w:eastAsia="Andale Sans UI"/>
                  <w:szCs w:val="24"/>
                  <w:lang w:bidi="en-US"/>
                </w:rPr>
                <w:t xml:space="preserve"> straipsniu</w:t>
              </w:r>
              <w:r>
                <w:rPr>
                  <w:rFonts w:eastAsia="Andale Sans UI"/>
                  <w:spacing w:val="2"/>
                  <w:szCs w:val="24"/>
                  <w:shd w:val="clear" w:color="auto" w:fill="FFFFFF"/>
                  <w:lang w:bidi="en-US"/>
                </w:rPr>
                <w:t xml:space="preserve"> įstatymo projektas </w:t>
              </w:r>
              <w:r>
                <w:rPr>
                  <w:rFonts w:eastAsia="Andale Sans UI"/>
                  <w:szCs w:val="24"/>
                  <w:lang w:bidi="en-US"/>
                </w:rPr>
                <w:t>projektą (toliau – AAĮ projektas);</w:t>
              </w:r>
            </w:p>
          </w:sdtContent>
        </w:sdt>
        <w:sdt>
          <w:sdtPr>
            <w:alias w:val="5 pp."/>
            <w:tag w:val="part_a733daab38164c4a93680f3167b8e684"/>
            <w:lock w:val="sdtLocked"/>
            <w:richText/>
          </w:sdtPr>
          <w:sdtContent>
            <w:p>
              <w:pPr>
                <w:shd w:val="clear" w:color="auto" w:fill="FFFFFF"/>
                <w:ind w:firstLine="567"/>
                <w:jc w:val="both"/>
                <w:textAlignment w:val="center"/>
                <w:rPr>
                  <w:rFonts w:eastAsia="Andale Sans UI"/>
                  <w:szCs w:val="24"/>
                  <w:lang w:bidi="en-US"/>
                </w:rPr>
              </w:pPr>
              <w:sdt>
                <w:sdtPr>
                  <w:alias w:val="Numeris"/>
                  <w:tag w:val="nr_a733daab38164c4a93680f3167b8e684"/>
                  <w:lock w:val="sdtLocked"/>
                  <w:richText/>
                </w:sdtPr>
                <w:sdtContent>
                  <w:r>
                    <w:rPr>
                      <w:rFonts w:eastAsia="Andale Sans UI"/>
                      <w:szCs w:val="24"/>
                      <w:lang w:bidi="en-US"/>
                    </w:rPr>
                    <w:t>5</w:t>
                  </w:r>
                </w:sdtContent>
              </w:sdt>
              <w:r>
                <w:rPr>
                  <w:rFonts w:eastAsia="Andale Sans UI"/>
                  <w:szCs w:val="24"/>
                  <w:lang w:bidi="en-US"/>
                </w:rPr>
                <w:t>) Administracinių nusižengimų kodekso (toliau – ANK) 252, 255</w:t>
              </w:r>
              <w:r>
                <w:rPr>
                  <w:rFonts w:eastAsia="Andale Sans UI"/>
                  <w:szCs w:val="24"/>
                  <w:vertAlign w:val="superscript"/>
                  <w:lang w:bidi="en-US"/>
                </w:rPr>
                <w:t>1</w:t>
              </w:r>
              <w:r>
                <w:rPr>
                  <w:rFonts w:eastAsia="Andale Sans UI"/>
                  <w:szCs w:val="24"/>
                  <w:lang w:bidi="en-US"/>
                </w:rPr>
                <w:t>, 589, 608 straipsnių, priedo pakeitimo ir Kodekso</w:t>
              </w:r>
              <w:r>
                <w:rPr>
                  <w:szCs w:val="24"/>
                  <w:lang w:bidi="en-US"/>
                </w:rPr>
                <w:t xml:space="preserve"> papildymo </w:t>
              </w:r>
              <w:r>
                <w:rPr>
                  <w:color w:val="000000"/>
                  <w:szCs w:val="24"/>
                  <w:lang w:bidi="en-US"/>
                </w:rPr>
                <w:t>252</w:t>
              </w:r>
              <w:r>
                <w:rPr>
                  <w:color w:val="000000"/>
                  <w:szCs w:val="24"/>
                  <w:vertAlign w:val="superscript"/>
                  <w:lang w:bidi="en-US"/>
                </w:rPr>
                <w:t>1</w:t>
              </w:r>
              <w:r>
                <w:rPr>
                  <w:color w:val="000000"/>
                  <w:szCs w:val="24"/>
                  <w:lang w:bidi="en-US"/>
                </w:rPr>
                <w:t xml:space="preserve"> </w:t>
              </w:r>
              <w:r>
                <w:rPr>
                  <w:rFonts w:eastAsia="Andale Sans UI"/>
                  <w:szCs w:val="24"/>
                  <w:lang w:bidi="en-US"/>
                </w:rPr>
                <w:t>straipsniu įstatymo projektą (toliau – ANK projektas);</w:t>
              </w:r>
            </w:p>
          </w:sdtContent>
        </w:sdt>
        <w:sdt>
          <w:sdtPr>
            <w:alias w:val="6 pp."/>
            <w:tag w:val="part_12dd09a5cae54cc2aa4a154085f54d3e"/>
            <w:lock w:val="sdtLocked"/>
            <w:richText/>
          </w:sdtPr>
          <w:sdtContent>
            <w:p>
              <w:pPr>
                <w:shd w:val="clear" w:color="auto" w:fill="FFFFFF"/>
                <w:ind w:firstLine="567"/>
                <w:jc w:val="both"/>
                <w:textAlignment w:val="center"/>
                <w:rPr>
                  <w:rFonts w:eastAsia="Andale Sans UI"/>
                  <w:szCs w:val="24"/>
                  <w:lang w:bidi="en-US"/>
                </w:rPr>
              </w:pPr>
              <w:sdt>
                <w:sdtPr>
                  <w:alias w:val="Numeris"/>
                  <w:tag w:val="nr_12dd09a5cae54cc2aa4a154085f54d3e"/>
                  <w:lock w:val="sdtLocked"/>
                  <w:richText/>
                </w:sdtPr>
                <w:sdtContent>
                  <w:r>
                    <w:rPr>
                      <w:rFonts w:eastAsia="Andale Sans UI"/>
                      <w:szCs w:val="24"/>
                      <w:lang w:bidi="en-US"/>
                    </w:rPr>
                    <w:t>6</w:t>
                  </w:r>
                </w:sdtContent>
              </w:sdt>
              <w:r>
                <w:rPr>
                  <w:rFonts w:eastAsia="Andale Sans UI"/>
                  <w:szCs w:val="24"/>
                  <w:lang w:bidi="en-US"/>
                </w:rPr>
                <w:t xml:space="preserve">) </w:t>
              </w:r>
              <w:r>
                <w:rPr>
                  <w:rFonts w:eastAsia="Andale Sans UI"/>
                  <w:spacing w:val="2"/>
                  <w:szCs w:val="24"/>
                  <w:shd w:val="clear" w:color="auto" w:fill="FFFFFF"/>
                  <w:lang w:bidi="en-US"/>
                </w:rPr>
                <w:t>Lietuvos Respublikos atliekų tvarkymo įstatymo Nr. VIII-787 pakeitimo įstatymo Nr. XV</w:t>
                <w:noBreakHyphen/>
                <w:t xml:space="preserve">444 48 ir 56 straipsnių pakeitimo įstatymo projektą </w:t>
              </w:r>
              <w:r>
                <w:rPr>
                  <w:rFonts w:eastAsia="Andale Sans UI"/>
                  <w:szCs w:val="24"/>
                  <w:lang w:bidi="en-US"/>
                </w:rPr>
                <w:t>(toliau – ATĮ Nr. XV</w:t>
                <w:noBreakHyphen/>
                <w:t>444 pakeitimo projektas);</w:t>
              </w:r>
            </w:p>
          </w:sdtContent>
        </w:sdt>
        <w:sdt>
          <w:sdtPr>
            <w:alias w:val="7 pp."/>
            <w:tag w:val="part_5f35c47db87149e78aa67e60a86349de"/>
            <w:lock w:val="sdtLocked"/>
            <w:richText/>
          </w:sdtPr>
          <w:sdtContent>
            <w:p>
              <w:pPr>
                <w:shd w:val="clear" w:color="auto" w:fill="FFFFFF"/>
                <w:ind w:firstLine="567"/>
                <w:jc w:val="both"/>
                <w:textAlignment w:val="center"/>
                <w:rPr>
                  <w:rFonts w:eastAsia="Andale Sans UI"/>
                  <w:szCs w:val="24"/>
                  <w:lang w:bidi="en-US"/>
                </w:rPr>
              </w:pPr>
              <w:sdt>
                <w:sdtPr>
                  <w:alias w:val="Numeris"/>
                  <w:tag w:val="nr_5f35c47db87149e78aa67e60a86349de"/>
                  <w:lock w:val="sdtLocked"/>
                  <w:richText/>
                </w:sdtPr>
                <w:sdtContent>
                  <w:r>
                    <w:rPr>
                      <w:rFonts w:eastAsia="Andale Sans UI"/>
                      <w:szCs w:val="24"/>
                      <w:lang w:bidi="en-US"/>
                    </w:rPr>
                    <w:t>7</w:t>
                  </w:r>
                </w:sdtContent>
              </w:sdt>
              <w:r>
                <w:rPr>
                  <w:rFonts w:eastAsia="Andale Sans UI"/>
                  <w:szCs w:val="24"/>
                  <w:lang w:bidi="en-US"/>
                </w:rPr>
                <w:t xml:space="preserve">) </w:t>
              </w:r>
              <w:r>
                <w:rPr>
                  <w:rFonts w:eastAsia="Andale Sans UI"/>
                  <w:spacing w:val="2"/>
                  <w:szCs w:val="24"/>
                  <w:shd w:val="clear" w:color="auto" w:fill="FFFFFF"/>
                  <w:lang w:bidi="en-US"/>
                </w:rPr>
                <w:t>Lietuvos Respublikos mokesčio už aplinkos teršimą įstatymo Nr. VIII-1183 1, 2, 4, 6, 7, 9, 11, 12 straipsnių ir 3, 7, 8 priedų pakeitimo įstatymo Nr. XV-446</w:t>
              </w:r>
              <w:r>
                <w:rPr>
                  <w:rFonts w:eastAsia="Andale Sans UI"/>
                  <w:szCs w:val="24"/>
                  <w:lang w:bidi="en-US"/>
                </w:rPr>
                <w:t xml:space="preserve"> </w:t>
              </w:r>
              <w:r>
                <w:rPr>
                  <w:rFonts w:eastAsia="Andale Sans UI"/>
                  <w:spacing w:val="2"/>
                  <w:szCs w:val="24"/>
                  <w:shd w:val="clear" w:color="auto" w:fill="FFFFFF"/>
                  <w:lang w:bidi="en-US"/>
                </w:rPr>
                <w:t xml:space="preserve">9 straipsnio pakeitimo įstatymo projektą </w:t>
              </w:r>
              <w:r>
                <w:rPr>
                  <w:rFonts w:eastAsia="Andale Sans UI"/>
                  <w:szCs w:val="24"/>
                  <w:lang w:bidi="en-US"/>
                </w:rPr>
                <w:t>(toliau – MATĮ Nr. XV-446 pakeitimo projektas);</w:t>
              </w:r>
            </w:p>
          </w:sdtContent>
        </w:sdt>
        <w:sdt>
          <w:sdtPr>
            <w:alias w:val="8 pp."/>
            <w:tag w:val="part_053b97a6c256486cad48091e28960aea"/>
            <w:lock w:val="sdtLocked"/>
            <w:richText/>
          </w:sdtPr>
          <w:sdtContent>
            <w:p>
              <w:pPr>
                <w:shd w:val="clear" w:color="auto" w:fill="FFFFFF"/>
                <w:ind w:firstLine="567"/>
                <w:jc w:val="both"/>
                <w:textAlignment w:val="center"/>
                <w:rPr>
                  <w:rFonts w:eastAsia="Andale Sans UI"/>
                  <w:szCs w:val="24"/>
                  <w:lang w:bidi="en-US"/>
                </w:rPr>
              </w:pPr>
              <w:sdt>
                <w:sdtPr>
                  <w:alias w:val="Numeris"/>
                  <w:tag w:val="nr_053b97a6c256486cad48091e28960aea"/>
                  <w:lock w:val="sdtLocked"/>
                  <w:richText/>
                </w:sdtPr>
                <w:sdtContent>
                  <w:r>
                    <w:rPr>
                      <w:rFonts w:eastAsia="Andale Sans UI"/>
                      <w:szCs w:val="24"/>
                      <w:lang w:bidi="en-US"/>
                    </w:rPr>
                    <w:t>8</w:t>
                  </w:r>
                </w:sdtContent>
              </w:sdt>
              <w:r>
                <w:rPr>
                  <w:rFonts w:eastAsia="Andale Sans UI"/>
                  <w:szCs w:val="24"/>
                  <w:lang w:bidi="en-US"/>
                </w:rPr>
                <w:t xml:space="preserve">) </w:t>
              </w:r>
              <w:r>
                <w:rPr>
                  <w:rFonts w:eastAsia="Andale Sans UI"/>
                  <w:spacing w:val="2"/>
                  <w:szCs w:val="24"/>
                  <w:shd w:val="clear" w:color="auto" w:fill="FFFFFF"/>
                  <w:lang w:bidi="en-US"/>
                </w:rPr>
                <w:t xml:space="preserve">Lietuvos Respublikos aplinkos apsaugos įstatymo </w:t>
              </w:r>
              <w:r>
                <w:rPr>
                  <w:rFonts w:eastAsia="Andale Sans UI"/>
                  <w:szCs w:val="24"/>
                  <w:lang w:bidi="en-US"/>
                </w:rPr>
                <w:t xml:space="preserve">Nr. I-2223 </w:t>
              </w:r>
              <w:r>
                <w:rPr>
                  <w:rFonts w:eastAsia="Andale Sans UI"/>
                  <w:caps/>
                  <w:szCs w:val="24"/>
                  <w:lang w:bidi="en-US"/>
                </w:rPr>
                <w:t xml:space="preserve">47, 84, 85, 94, 95, 98, 99, 100, 101, 102, 105 </w:t>
              </w:r>
              <w:r>
                <w:rPr>
                  <w:rFonts w:eastAsia="Andale Sans UI"/>
                  <w:szCs w:val="24"/>
                  <w:lang w:bidi="en-US"/>
                </w:rPr>
                <w:t>ir</w:t>
              </w:r>
              <w:r>
                <w:rPr>
                  <w:rFonts w:eastAsia="Andale Sans UI"/>
                  <w:caps/>
                  <w:szCs w:val="24"/>
                  <w:lang w:bidi="en-US"/>
                </w:rPr>
                <w:t xml:space="preserve"> 107</w:t>
              </w:r>
              <w:r>
                <w:rPr>
                  <w:rFonts w:eastAsia="Andale Sans UI"/>
                  <w:szCs w:val="24"/>
                  <w:lang w:bidi="en-US"/>
                </w:rPr>
                <w:t xml:space="preserve"> straipsnių </w:t>
              </w:r>
              <w:r>
                <w:rPr>
                  <w:rFonts w:eastAsia="Andale Sans UI"/>
                  <w:spacing w:val="2"/>
                  <w:szCs w:val="24"/>
                  <w:shd w:val="clear" w:color="auto" w:fill="FFFFFF"/>
                  <w:lang w:bidi="en-US"/>
                </w:rPr>
                <w:t xml:space="preserve">pakeitimo ir Įstatymo papildymo </w:t>
              </w:r>
              <w:r>
                <w:rPr>
                  <w:rFonts w:eastAsia="Andale Sans UI"/>
                  <w:szCs w:val="24"/>
                  <w:lang w:bidi="en-US"/>
                </w:rPr>
                <w:t>100</w:t>
              </w:r>
              <w:r>
                <w:rPr>
                  <w:rFonts w:eastAsia="Andale Sans UI"/>
                  <w:szCs w:val="24"/>
                  <w:vertAlign w:val="superscript"/>
                  <w:lang w:bidi="en-US"/>
                </w:rPr>
                <w:t>2</w:t>
              </w:r>
              <w:r>
                <w:rPr>
                  <w:rFonts w:eastAsia="Andale Sans UI"/>
                  <w:szCs w:val="24"/>
                  <w:lang w:bidi="en-US"/>
                </w:rPr>
                <w:t xml:space="preserve"> ir 100</w:t>
              </w:r>
              <w:r>
                <w:rPr>
                  <w:rFonts w:eastAsia="Andale Sans UI"/>
                  <w:szCs w:val="24"/>
                  <w:vertAlign w:val="superscript"/>
                  <w:lang w:bidi="en-US"/>
                </w:rPr>
                <w:t>3</w:t>
              </w:r>
              <w:r>
                <w:rPr>
                  <w:rFonts w:eastAsia="Andale Sans UI"/>
                  <w:szCs w:val="24"/>
                  <w:lang w:bidi="en-US"/>
                </w:rPr>
                <w:t xml:space="preserve"> straipsniais</w:t>
              </w:r>
              <w:r>
                <w:rPr>
                  <w:rFonts w:eastAsia="Andale Sans UI"/>
                  <w:spacing w:val="2"/>
                  <w:szCs w:val="24"/>
                  <w:shd w:val="clear" w:color="auto" w:fill="FFFFFF"/>
                  <w:lang w:bidi="en-US"/>
                </w:rPr>
                <w:t xml:space="preserve"> įstatymo</w:t>
              </w:r>
              <w:r>
                <w:rPr>
                  <w:rFonts w:eastAsia="Andale Sans UI"/>
                  <w:szCs w:val="24"/>
                  <w:lang w:bidi="en-US"/>
                </w:rPr>
                <w:t xml:space="preserve"> Nr. XV-447 5 straipsnio pakeitimo įstatymo projektą (toliau – AAĮ Nr. XV-447 pakeitimo projektas).</w:t>
              </w:r>
            </w:p>
            <w:sdt>
              <w:sdtPr>
                <w:alias w:val="8 pp. 1 p."/>
                <w:tag w:val="part_3c42d42d28b14104b7cb85d7f310c29b"/>
                <w:lock w:val="sdtLocked"/>
                <w:richText/>
              </w:sdtPr>
              <w:sdtContent>
                <w:p>
                  <w:pPr>
                    <w:shd w:val="clear" w:color="auto" w:fill="FFFFFF"/>
                    <w:ind w:firstLine="567"/>
                    <w:jc w:val="both"/>
                    <w:textAlignment w:val="center"/>
                    <w:rPr>
                      <w:rFonts w:eastAsia="Andale Sans UI"/>
                      <w:b/>
                      <w:bCs/>
                      <w:szCs w:val="24"/>
                      <w:lang w:bidi="en-US"/>
                    </w:rPr>
                  </w:pPr>
                  <w:sdt>
                    <w:sdtPr>
                      <w:alias w:val="Numeris"/>
                      <w:tag w:val="nr_3c42d42d28b14104b7cb85d7f310c29b"/>
                      <w:lock w:val="sdtLocked"/>
                      <w:richText/>
                    </w:sdtPr>
                    <w:sdtContent>
                      <w:r>
                        <w:rPr>
                          <w:rFonts w:eastAsia="Andale Sans UI"/>
                          <w:b/>
                          <w:bCs/>
                          <w:szCs w:val="24"/>
                          <w:lang w:bidi="en-US"/>
                        </w:rPr>
                        <w:t>1</w:t>
                      </w:r>
                    </w:sdtContent>
                  </w:sdt>
                  <w:r>
                    <w:rPr>
                      <w:rFonts w:eastAsia="Andale Sans UI"/>
                      <w:b/>
                      <w:bCs/>
                      <w:szCs w:val="24"/>
                      <w:lang w:bidi="en-US"/>
                    </w:rPr>
                    <w:t>. Projektais sprendžiama problema ir Projektus rengti paskatinusios priežastys</w:t>
                  </w:r>
                </w:p>
                <w:p>
                  <w:pPr>
                    <w:ind w:firstLine="567"/>
                    <w:jc w:val="both"/>
                    <w:rPr>
                      <w:rFonts w:eastAsia="Andale Sans UI"/>
                      <w:szCs w:val="24"/>
                      <w:lang w:bidi="en-US"/>
                    </w:rPr>
                  </w:pPr>
                  <w:r>
                    <w:rPr>
                      <w:rFonts w:eastAsia="Andale Sans UI"/>
                      <w:szCs w:val="24"/>
                      <w:lang w:bidi="en-US"/>
                    </w:rPr>
                    <w:t>Projektai parengti siekiant:</w:t>
                  </w:r>
                </w:p>
              </w:sdtContent>
            </w:sdt>
          </w:sdtContent>
        </w:sdt>
        <w:sdt>
          <w:sdtPr>
            <w:alias w:val="1 pp."/>
            <w:tag w:val="part_32ac37daadc44cf98409942579ef5272"/>
            <w:lock w:val="sdtLocked"/>
            <w:richText/>
          </w:sdtPr>
          <w:sdtContent>
            <w:p>
              <w:pPr>
                <w:ind w:firstLine="567"/>
                <w:jc w:val="both"/>
                <w:rPr>
                  <w:rFonts w:eastAsia="Andale Sans UI" w:cs="Tahoma"/>
                  <w:color w:val="000000"/>
                  <w:szCs w:val="24"/>
                  <w:lang w:bidi="en-US"/>
                </w:rPr>
              </w:pPr>
              <w:sdt>
                <w:sdtPr>
                  <w:alias w:val="Numeris"/>
                  <w:tag w:val="nr_32ac37daadc44cf98409942579ef5272"/>
                  <w:lock w:val="sdtLocked"/>
                  <w:richText/>
                </w:sdtPr>
                <w:sdtContent>
                  <w:r>
                    <w:rPr>
                      <w:rFonts w:eastAsia="Andale Sans UI"/>
                      <w:szCs w:val="24"/>
                      <w:lang w:bidi="en-US"/>
                    </w:rPr>
                    <w:t>1</w:t>
                  </w:r>
                </w:sdtContent>
              </w:sdt>
              <w:r>
                <w:rPr>
                  <w:rFonts w:eastAsia="Andale Sans UI"/>
                  <w:szCs w:val="24"/>
                  <w:lang w:bidi="en-US"/>
                </w:rPr>
                <w:t xml:space="preserve">) įgyvendinti 2023 m. liepos 13 d. Europos Parlamento ir Tarybos Reglamentą </w:t>
              </w:r>
              <w:fldSimple w:instr="HYPERLINK http://eur-lex.europa.eu/legal-content/LIT/TXT/?uri=CELEX:32023R1542&amp;locale=lt \t _blank">
                <w:r>
                  <w:rPr>
                    <w:rFonts w:eastAsia="Andale Sans UI"/>
                    <w:szCs w:val="24"/>
                    <w:lang w:bidi="en-US"/>
                    <w:u w:val="single"/>
                    <w:color w:val="0000FF" w:themeColor="hyperlink"/>
                  </w:rPr>
                  <w:t>(ES) 2023/1542</w:t>
                </w:r>
              </w:fldSimple>
              <w:r>
                <w:rPr>
                  <w:rFonts w:eastAsia="Andale Sans UI"/>
                  <w:szCs w:val="24"/>
                  <w:lang w:bidi="en-US"/>
                </w:rPr>
                <w:t xml:space="preserve"> dėl baterijų ir baterijų atliekų, kuriuo iš dalies keičiama Direktyva </w:t>
              </w:r>
              <w:fldSimple w:instr="HYPERLINK http://eur-lex.europa.eu/legal-content/LIT/TXT/?uri=CELEX:32008L0098&amp;locale=lt \t _blank">
                <w:r>
                  <w:rPr>
                    <w:rFonts w:eastAsia="Andale Sans UI"/>
                    <w:szCs w:val="24"/>
                    <w:lang w:bidi="en-US"/>
                    <w:u w:val="single"/>
                    <w:color w:val="0000FF" w:themeColor="hyperlink"/>
                  </w:rPr>
                  <w:t>2008/98/EB</w:t>
                </w:r>
              </w:fldSimple>
              <w:r>
                <w:rPr>
                  <w:rFonts w:eastAsia="Andale Sans UI"/>
                  <w:szCs w:val="24"/>
                  <w:lang w:bidi="en-US"/>
                </w:rPr>
                <w:t xml:space="preserve"> bei Reglamentas </w:t>
              </w:r>
              <w:fldSimple w:instr="HYPERLINK http://eur-lex.europa.eu/legal-content/LIT/TXT/?uri=CELEX:32019R1020&amp;locale=lt \t _blank">
                <w:r>
                  <w:rPr>
                    <w:rFonts w:eastAsia="Andale Sans UI"/>
                    <w:szCs w:val="24"/>
                    <w:lang w:bidi="en-US"/>
                    <w:u w:val="single"/>
                    <w:color w:val="0000FF" w:themeColor="hyperlink"/>
                  </w:rPr>
                  <w:t>(ES) 2019/1020</w:t>
                </w:r>
              </w:fldSimple>
              <w:r>
                <w:rPr>
                  <w:rFonts w:eastAsia="Andale Sans UI"/>
                  <w:szCs w:val="24"/>
                  <w:lang w:bidi="en-US"/>
                </w:rPr>
                <w:t xml:space="preserve"> ir panaikinama Direktyva </w:t>
              </w:r>
              <w:fldSimple w:instr="HYPERLINK http://eur-lex.europa.eu/legal-content/LIT/TXT/?uri=CELEX:32006L0066&amp;locale=lt \t _blank">
                <w:r>
                  <w:rPr>
                    <w:rFonts w:eastAsia="Andale Sans UI"/>
                    <w:szCs w:val="24"/>
                    <w:lang w:bidi="en-US"/>
                    <w:u w:val="single"/>
                    <w:color w:val="0000FF" w:themeColor="hyperlink"/>
                  </w:rPr>
                  <w:t>2006/66/EB</w:t>
                </w:r>
              </w:fldSimple>
              <w:r>
                <w:rPr>
                  <w:rFonts w:eastAsia="Andale Sans UI"/>
                  <w:szCs w:val="24"/>
                  <w:lang w:bidi="en-US"/>
                </w:rPr>
                <w:t xml:space="preserve"> (toliau – Reglamentas </w:t>
              </w:r>
              <w:fldSimple w:instr="HYPERLINK http://eur-lex.europa.eu/legal-content/LIT/TXT/?uri=CELEX:32023R1542&amp;locale=lt \t _blank">
                <w:r>
                  <w:rPr>
                    <w:rFonts w:eastAsia="Andale Sans UI"/>
                    <w:szCs w:val="24"/>
                    <w:lang w:bidi="en-US"/>
                    <w:u w:val="single"/>
                    <w:color w:val="0000FF" w:themeColor="hyperlink"/>
                  </w:rPr>
                  <w:t>(ES) 2023/1542</w:t>
                </w:r>
              </w:fldSimple>
              <w:r>
                <w:rPr>
                  <w:rFonts w:eastAsia="Andale Sans UI"/>
                  <w:szCs w:val="24"/>
                  <w:lang w:bidi="en-US"/>
                </w:rPr>
                <w:t>).</w:t>
              </w:r>
              <w:r>
                <w:rPr>
                  <w:rFonts w:eastAsia="Andale Sans UI" w:cs="Tahoma"/>
                  <w:szCs w:val="24"/>
                  <w:lang w:bidi="en-US"/>
                </w:rPr>
                <w:t xml:space="preserve"> Reglamente </w:t>
              </w:r>
              <w:fldSimple w:instr="HYPERLINK http://eur-lex.europa.eu/legal-content/LIT/TXT/?uri=CELEX:32023R1542&amp;locale=lt \t _blank">
                <w:r>
                  <w:rPr>
                    <w:rFonts w:eastAsia="Andale Sans UI" w:cs="Tahoma"/>
                    <w:szCs w:val="24"/>
                    <w:lang w:bidi="en-US"/>
                    <w:u w:val="single"/>
                    <w:color w:val="0000FF" w:themeColor="hyperlink"/>
                  </w:rPr>
                  <w:t>(ES) 2023/1542</w:t>
                </w:r>
              </w:fldSimple>
              <w:r>
                <w:rPr>
                  <w:rFonts w:eastAsia="Andale Sans UI" w:cs="Tahoma"/>
                  <w:szCs w:val="24"/>
                  <w:lang w:bidi="en-US"/>
                </w:rPr>
                <w:t xml:space="preserve"> reglamentuojami reikalavimai Europos sąjungos rinkai pateikiamoms ir jai tiekiamoms, naudojamoms baterijoms, </w:t>
              </w:r>
              <w:r>
                <w:rPr>
                  <w:color w:val="000000"/>
                  <w:szCs w:val="24"/>
                  <w:lang w:bidi="en-US"/>
                </w:rPr>
                <w:t xml:space="preserve">baterijų atitikties </w:t>
              </w:r>
              <w:r>
                <w:rPr>
                  <w:rFonts w:eastAsia="Andale Sans UI" w:cs="Tahoma"/>
                  <w:szCs w:val="24"/>
                  <w:lang w:bidi="en-US"/>
                </w:rPr>
                <w:t xml:space="preserve">Reglamentui </w:t>
              </w:r>
              <w:fldSimple w:instr="HYPERLINK http://eur-lex.europa.eu/legal-content/LIT/TXT/?uri=CELEX:32023R1542&amp;locale=lt \t _blank">
                <w:r>
                  <w:rPr>
                    <w:rFonts w:eastAsia="Andale Sans UI" w:cs="Tahoma"/>
                    <w:szCs w:val="24"/>
                    <w:lang w:bidi="en-US"/>
                    <w:u w:val="single"/>
                    <w:color w:val="0000FF" w:themeColor="hyperlink"/>
                  </w:rPr>
                  <w:t>(ES) 2023/1542</w:t>
                </w:r>
              </w:fldSimple>
              <w:r>
                <w:rPr>
                  <w:rFonts w:eastAsia="Andale Sans UI" w:cs="Tahoma"/>
                  <w:szCs w:val="24"/>
                  <w:lang w:bidi="en-US"/>
                </w:rPr>
                <w:t xml:space="preserve"> vertinimo ir jos deklaravimo</w:t>
              </w:r>
              <w:r>
                <w:rPr>
                  <w:color w:val="000000"/>
                  <w:szCs w:val="24"/>
                  <w:lang w:bidi="en-US"/>
                </w:rPr>
                <w:t xml:space="preserve">, baterijų atliekų tvarkymo ir tvarkymo organizavimo </w:t>
              </w:r>
              <w:r>
                <w:rPr>
                  <w:rFonts w:eastAsia="Andale Sans UI" w:cs="Tahoma"/>
                  <w:szCs w:val="24"/>
                  <w:lang w:bidi="en-US"/>
                </w:rPr>
                <w:t>reikalavimai,</w:t>
              </w:r>
              <w:r>
                <w:rPr>
                  <w:color w:val="000000"/>
                  <w:szCs w:val="24"/>
                  <w:lang w:bidi="en-US"/>
                </w:rPr>
                <w:t xml:space="preserve"> ekonominės veiklos vykdytojų pareigos ir t. t</w:t>
              </w:r>
              <w:r>
                <w:rPr>
                  <w:rFonts w:eastAsia="Andale Sans UI" w:cs="Tahoma"/>
                  <w:szCs w:val="24"/>
                  <w:lang w:bidi="en-US"/>
                </w:rPr>
                <w:t xml:space="preserve">. Reglamentu </w:t>
              </w:r>
              <w:fldSimple w:instr="HYPERLINK http://eur-lex.europa.eu/legal-content/LIT/TXT/?uri=CELEX:32023R1542&amp;locale=lt \t _blank">
                <w:r>
                  <w:rPr>
                    <w:rFonts w:eastAsia="Andale Sans UI" w:cs="Tahoma"/>
                    <w:szCs w:val="24"/>
                    <w:lang w:bidi="en-US"/>
                    <w:u w:val="single"/>
                    <w:color w:val="0000FF" w:themeColor="hyperlink"/>
                  </w:rPr>
                  <w:t>(ES) 2023/1542</w:t>
                </w:r>
              </w:fldSimple>
              <w:r>
                <w:rPr>
                  <w:rFonts w:eastAsia="Andale Sans UI" w:cs="Tahoma"/>
                  <w:szCs w:val="24"/>
                  <w:lang w:bidi="en-US"/>
                </w:rPr>
                <w:t xml:space="preserve"> nuo 2025 m. rugpjūčio 18 d. panaikinama </w:t>
              </w:r>
              <w:r>
                <w:rPr>
                  <w:rFonts w:eastAsia="Andale Sans UI" w:cs="Tahoma"/>
                  <w:color w:val="000000"/>
                  <w:szCs w:val="24"/>
                  <w:lang w:bidi="en-US"/>
                </w:rPr>
                <w:t xml:space="preserve">2006 m. rugsėjo 6 d. Europos Parlamento ir Tarybos direktyva </w:t>
              </w:r>
              <w:fldSimple w:instr="HYPERLINK http://eur-lex.europa.eu/legal-content/LIT/TXT/?uri=CELEX:32006L0066&amp;locale=lt \t _blank">
                <w:r>
                  <w:rPr>
                    <w:rFonts w:eastAsia="Andale Sans UI" w:cs="Tahoma"/>
                    <w:color w:val="0000FF" w:themeColor="hyperlink"/>
                    <w:szCs w:val="24"/>
                    <w:lang w:bidi="en-US"/>
                    <w:u w:val="single"/>
                  </w:rPr>
                  <w:t>2006/66/EB</w:t>
                </w:r>
              </w:fldSimple>
              <w:r>
                <w:rPr>
                  <w:rFonts w:eastAsia="Andale Sans UI" w:cs="Tahoma"/>
                  <w:color w:val="000000"/>
                  <w:szCs w:val="24"/>
                  <w:lang w:bidi="en-US"/>
                </w:rPr>
                <w:t xml:space="preserve"> dėl baterijų ir akumuliatorių bei baterijų ir akumuliatorių atliekų ir Direktyvos </w:t>
              </w:r>
              <w:fldSimple w:instr="HYPERLINK http://eur-lex.europa.eu/legal-content/LIT/TXT/?uri=CELEX:31991L0157&amp;locale=lt \t _blank">
                <w:r>
                  <w:rPr>
                    <w:rFonts w:eastAsia="Andale Sans UI" w:cs="Tahoma"/>
                    <w:color w:val="0000FF" w:themeColor="hyperlink"/>
                    <w:szCs w:val="24"/>
                    <w:lang w:bidi="en-US"/>
                    <w:u w:val="single"/>
                  </w:rPr>
                  <w:t>91/157/EEB</w:t>
                </w:r>
              </w:fldSimple>
              <w:r>
                <w:rPr>
                  <w:rFonts w:eastAsia="Andale Sans UI" w:cs="Tahoma"/>
                  <w:color w:val="000000"/>
                  <w:szCs w:val="24"/>
                  <w:lang w:bidi="en-US"/>
                </w:rPr>
                <w:t xml:space="preserve"> panaikinimo</w:t>
              </w:r>
              <w:r>
                <w:rPr>
                  <w:rFonts w:eastAsia="Andale Sans UI" w:cs="Tahoma"/>
                  <w:szCs w:val="24"/>
                  <w:lang w:bidi="en-US"/>
                </w:rPr>
                <w:t xml:space="preserve">. Ši direktyva perkelta ir įgyvendinta ATĮ (pvz., ATĮ </w:t>
              </w:r>
              <w:r>
                <w:rPr>
                  <w:rFonts w:eastAsia="Andale Sans UI" w:cs="Tahoma"/>
                  <w:color w:val="000000"/>
                  <w:szCs w:val="24"/>
                  <w:lang w:bidi="en-US"/>
                </w:rPr>
                <w:t>aštuntojo</w:t>
              </w:r>
              <w:r>
                <w:rPr>
                  <w:rFonts w:eastAsia="Andale Sans UI" w:cs="Tahoma"/>
                  <w:color w:val="000000"/>
                  <w:szCs w:val="24"/>
                  <w:vertAlign w:val="superscript"/>
                  <w:lang w:bidi="en-US"/>
                </w:rPr>
                <w:t>4</w:t>
              </w:r>
              <w:r>
                <w:rPr>
                  <w:rFonts w:eastAsia="Andale Sans UI" w:cs="Tahoma"/>
                  <w:color w:val="000000"/>
                  <w:szCs w:val="24"/>
                  <w:lang w:bidi="en-US"/>
                </w:rPr>
                <w:t xml:space="preserve"> skirsnio), MATĮ ir šių įstatymų įgyvendinamųjų teisės aktų, taip pat AAĮ ir ANK nuostatomis;</w:t>
              </w:r>
            </w:p>
          </w:sdtContent>
        </w:sdt>
        <w:sdt>
          <w:sdtPr>
            <w:alias w:val="2 pp."/>
            <w:tag w:val="part_5a1241b593fa46eb83582cf9c09ab6e0"/>
            <w:lock w:val="sdtLocked"/>
            <w:richText/>
          </w:sdtPr>
          <w:sdtContent>
            <w:p>
              <w:pPr>
                <w:widowControl w:val="0"/>
                <w:shd w:val="clear" w:color="auto" w:fill="FFFFFF"/>
                <w:ind w:firstLine="567"/>
                <w:jc w:val="both"/>
                <w:textAlignment w:val="center"/>
                <w:rPr>
                  <w:rFonts w:eastAsia="Andale Sans UI" w:cs="Tahoma"/>
                  <w:color w:val="000000"/>
                  <w:szCs w:val="24"/>
                  <w:lang w:bidi="en-US"/>
                </w:rPr>
              </w:pPr>
              <w:sdt>
                <w:sdtPr>
                  <w:alias w:val="Numeris"/>
                  <w:tag w:val="nr_5a1241b593fa46eb83582cf9c09ab6e0"/>
                  <w:lock w:val="sdtLocked"/>
                  <w:richText/>
                </w:sdtPr>
                <w:sdtContent>
                  <w:r>
                    <w:rPr>
                      <w:rFonts w:eastAsia="Andale Sans UI"/>
                      <w:szCs w:val="24"/>
                      <w:lang w:bidi="en-US"/>
                    </w:rPr>
                    <w:t>2</w:t>
                  </w:r>
                </w:sdtContent>
              </w:sdt>
              <w:r>
                <w:rPr>
                  <w:rFonts w:eastAsia="Andale Sans UI"/>
                  <w:szCs w:val="24"/>
                  <w:lang w:bidi="en-US"/>
                </w:rPr>
                <w:t xml:space="preserve">) perkelti 2024 m. kovo 13 d. Europos Parlamento ir Tarybos direktyvą </w:t>
              </w:r>
              <w:fldSimple w:instr="HYPERLINK http://eur-lex.europa.eu/legal-content/LIT/TXT/?uri=CELEX:32024L0884&amp;locale=lt \t _blank">
                <w:r>
                  <w:rPr>
                    <w:rFonts w:eastAsia="Andale Sans UI"/>
                    <w:szCs w:val="24"/>
                    <w:lang w:bidi="en-US"/>
                    <w:u w:val="single"/>
                    <w:color w:val="0000FF" w:themeColor="hyperlink"/>
                  </w:rPr>
                  <w:t>(ES) 2024/884</w:t>
                </w:r>
              </w:fldSimple>
              <w:r>
                <w:rPr>
                  <w:rFonts w:eastAsia="Andale Sans UI"/>
                  <w:szCs w:val="24"/>
                  <w:lang w:bidi="en-US"/>
                </w:rPr>
                <w:t xml:space="preserve">, kuria iš dalies keičiama Direktyva </w:t>
              </w:r>
              <w:fldSimple w:instr="HYPERLINK http://eur-lex.europa.eu/legal-content/LIT/TXT/?uri=CELEX:32012L0019&amp;locale=lt \t _blank">
                <w:r>
                  <w:rPr>
                    <w:rFonts w:eastAsia="Andale Sans UI"/>
                    <w:szCs w:val="24"/>
                    <w:lang w:bidi="en-US"/>
                    <w:u w:val="single"/>
                    <w:color w:val="0000FF" w:themeColor="hyperlink"/>
                  </w:rPr>
                  <w:t>2012/19/ES</w:t>
                </w:r>
              </w:fldSimple>
              <w:r>
                <w:rPr>
                  <w:rFonts w:eastAsia="Andale Sans UI"/>
                  <w:szCs w:val="24"/>
                  <w:lang w:bidi="en-US"/>
                </w:rPr>
                <w:t xml:space="preserve"> dėl elektros ir elektroninės įrangos atliekų (toliau – Direktyva </w:t>
              </w:r>
              <w:fldSimple w:instr="HYPERLINK http://eur-lex.europa.eu/legal-content/LIT/TXT/?uri=CELEX:32024L0884&amp;locale=lt \t _blank">
                <w:r>
                  <w:rPr>
                    <w:rFonts w:eastAsia="Andale Sans UI"/>
                    <w:szCs w:val="24"/>
                    <w:lang w:bidi="en-US"/>
                    <w:u w:val="single"/>
                    <w:color w:val="0000FF" w:themeColor="hyperlink"/>
                  </w:rPr>
                  <w:t>(ES) 2024/884</w:t>
                </w:r>
              </w:fldSimple>
              <w:r>
                <w:rPr>
                  <w:rFonts w:eastAsia="Andale Sans UI"/>
                  <w:szCs w:val="24"/>
                  <w:lang w:bidi="en-US"/>
                </w:rPr>
                <w:t xml:space="preserve">), ir įgyvendinti 2022 m. sausio 25 d. Europos Sąjungos Teisingumo Teismo sprendimą byloje C – 181/20, dėl kurio buvo pakeista Direktyvos </w:t>
              </w:r>
              <w:fldSimple w:instr="HYPERLINK http://eur-lex.europa.eu/legal-content/LIT/TXT/?uri=CELEX:32012L0019&amp;locale=lt \t _blank">
                <w:r>
                  <w:rPr>
                    <w:rFonts w:eastAsia="Andale Sans UI"/>
                    <w:szCs w:val="24"/>
                    <w:lang w:bidi="en-US"/>
                    <w:u w:val="single"/>
                    <w:color w:val="0000FF" w:themeColor="hyperlink"/>
                  </w:rPr>
                  <w:t>2012/19/ES</w:t>
                </w:r>
              </w:fldSimple>
              <w:r>
                <w:rPr>
                  <w:rFonts w:eastAsia="Andale Sans UI"/>
                  <w:szCs w:val="24"/>
                  <w:lang w:bidi="en-US"/>
                </w:rPr>
                <w:t xml:space="preserve"> dėl elektros ir elektroninės įrangos atliekų (toliau – EEĮ direktyva </w:t>
              </w:r>
              <w:fldSimple w:instr="HYPERLINK http://eur-lex.europa.eu/legal-content/LIT/TXT/?uri=CELEX:32012L0019&amp;locale=lt \t _blank">
                <w:r>
                  <w:rPr>
                    <w:rFonts w:eastAsia="Andale Sans UI"/>
                    <w:szCs w:val="24"/>
                    <w:lang w:bidi="en-US"/>
                    <w:u w:val="single"/>
                    <w:color w:val="0000FF" w:themeColor="hyperlink"/>
                  </w:rPr>
                  <w:t>2012/19/ES</w:t>
                </w:r>
              </w:fldSimple>
              <w:r>
                <w:rPr>
                  <w:rFonts w:eastAsia="Andale Sans UI"/>
                  <w:szCs w:val="24"/>
                  <w:lang w:bidi="en-US"/>
                </w:rPr>
                <w:t>) 12 straipsnio 1 dalis ir 13 straipsnio 1 dalis, kad nepagrįstai atgaline data nebūtų taikomas įpareigojimas elektros ir elektroninės įrangos (toliau – EEĮ) gamintojams ir (ar) importuotojams finansuoti fotovoltinių plokščių atliekų, ir kitos EEĮ, kurioms anksčiau EEĮ direktyva nebuvo taikoma, atliekų tvarkymo;</w:t>
              </w:r>
            </w:p>
          </w:sdtContent>
        </w:sdt>
        <w:sdt>
          <w:sdtPr>
            <w:alias w:val="3 pp."/>
            <w:tag w:val="part_df4a9a220e5347ed95b406bbc7c8cd53"/>
            <w:lock w:val="sdtLocked"/>
            <w:richText/>
          </w:sdtPr>
          <w:sdtContent>
            <w:p>
              <w:pPr>
                <w:widowControl w:val="0"/>
                <w:ind w:firstLine="567"/>
                <w:jc w:val="both"/>
                <w:rPr>
                  <w:rFonts w:eastAsia="Andale Sans UI"/>
                  <w:szCs w:val="24"/>
                  <w:lang w:bidi="en-US"/>
                </w:rPr>
              </w:pPr>
              <w:sdt>
                <w:sdtPr>
                  <w:alias w:val="Numeris"/>
                  <w:tag w:val="nr_df4a9a220e5347ed95b406bbc7c8cd53"/>
                  <w:lock w:val="sdtLocked"/>
                  <w:richText/>
                </w:sdtPr>
                <w:sdtContent>
                  <w:r>
                    <w:rPr>
                      <w:rFonts w:eastAsia="Andale Sans UI"/>
                      <w:szCs w:val="24"/>
                      <w:lang w:bidi="en-US"/>
                    </w:rPr>
                    <w:t>3</w:t>
                  </w:r>
                </w:sdtContent>
              </w:sdt>
              <w:r>
                <w:rPr>
                  <w:rFonts w:eastAsia="Andale Sans UI"/>
                  <w:szCs w:val="24"/>
                  <w:lang w:bidi="en-US"/>
                </w:rPr>
                <w:t xml:space="preserve">) įgyvendinti 2006 m. birželio 14 d. Europos Parlamento ir Tarybos reglamento </w:t>
              </w:r>
              <w:fldSimple w:instr="HYPERLINK http://eur-lex.europa.eu/legal-content/LIT/TXT/?uri=CELEX:32006R1013&amp;locale=lt \t _blank">
                <w:r>
                  <w:rPr>
                    <w:rFonts w:eastAsia="Andale Sans UI"/>
                    <w:szCs w:val="24"/>
                    <w:lang w:bidi="en-US"/>
                    <w:u w:val="single"/>
                    <w:color w:val="0000FF" w:themeColor="hyperlink"/>
                  </w:rPr>
                  <w:t>(EB) Nr. 1013/2006</w:t>
                </w:r>
              </w:fldSimple>
              <w:r>
                <w:rPr>
                  <w:rFonts w:eastAsia="Andale Sans UI"/>
                  <w:szCs w:val="24"/>
                  <w:lang w:bidi="en-US"/>
                </w:rPr>
                <w:t xml:space="preserve"> dėl atliekų vežimo (toliau – Reglamentas </w:t>
              </w:r>
              <w:fldSimple w:instr="HYPERLINK http://eur-lex.europa.eu/legal-content/LIT/TXT/?uri=CELEX:32006R1013&amp;locale=lt \t _blank">
                <w:r>
                  <w:rPr>
                    <w:rFonts w:eastAsia="Andale Sans UI"/>
                    <w:szCs w:val="24"/>
                    <w:lang w:bidi="en-US"/>
                    <w:u w:val="single"/>
                    <w:color w:val="0000FF" w:themeColor="hyperlink"/>
                  </w:rPr>
                  <w:t>(EB) Nr. 1013/2006</w:t>
                </w:r>
              </w:fldSimple>
              <w:r>
                <w:rPr>
                  <w:rFonts w:eastAsia="Andale Sans UI"/>
                  <w:szCs w:val="24"/>
                  <w:lang w:bidi="en-US"/>
                </w:rPr>
                <w:t xml:space="preserve">) 14 straipsnį „Išankstiniai leidimai naudojimo įrenginiams“ ir 2024 m. balandžio 11 d. Europos Parlamento ir Tarybos reglamento </w:t>
              </w:r>
              <w:fldSimple w:instr="HYPERLINK http://eur-lex.europa.eu/legal-content/LIT/TXT/?uri=CELEX:32024R1157&amp;locale=lt \t _blank">
                <w:r>
                  <w:rPr>
                    <w:rFonts w:eastAsia="Andale Sans UI"/>
                    <w:szCs w:val="24"/>
                    <w:lang w:bidi="en-US"/>
                    <w:u w:val="single"/>
                    <w:color w:val="0000FF" w:themeColor="hyperlink"/>
                  </w:rPr>
                  <w:t>(ES) 2024/1157</w:t>
                </w:r>
              </w:fldSimple>
              <w:r>
                <w:rPr>
                  <w:rFonts w:eastAsia="Andale Sans UI"/>
                  <w:szCs w:val="24"/>
                  <w:lang w:bidi="en-US"/>
                </w:rPr>
                <w:t xml:space="preserve"> dėl atliekų vežimo, kuriuo iš dalies keičiami Reglamentai </w:t>
              </w:r>
              <w:fldSimple w:instr="HYPERLINK http://eur-lex.europa.eu/legal-content/LIT/TXT/?uri=CELEX:32013R1257&amp;locale=lt \t _blank">
                <w:r>
                  <w:rPr>
                    <w:rFonts w:eastAsia="Andale Sans UI"/>
                    <w:szCs w:val="24"/>
                    <w:lang w:bidi="en-US"/>
                    <w:u w:val="single"/>
                    <w:color w:val="0000FF" w:themeColor="hyperlink"/>
                  </w:rPr>
                  <w:t>(ES) Nr. 1257/2013</w:t>
                </w:r>
              </w:fldSimple>
              <w:r>
                <w:rPr>
                  <w:rFonts w:eastAsia="Andale Sans UI"/>
                  <w:szCs w:val="24"/>
                  <w:lang w:bidi="en-US"/>
                </w:rPr>
                <w:t xml:space="preserve"> ir </w:t>
              </w:r>
              <w:fldSimple w:instr="HYPERLINK http://eur-lex.europa.eu/legal-content/LIT/TXT/?uri=CELEX:32020R1056&amp;locale=lt \t _blank">
                <w:r>
                  <w:rPr>
                    <w:rFonts w:eastAsia="Andale Sans UI"/>
                    <w:szCs w:val="24"/>
                    <w:lang w:bidi="en-US"/>
                    <w:u w:val="single"/>
                    <w:color w:val="0000FF" w:themeColor="hyperlink"/>
                  </w:rPr>
                  <w:t>(ES) 2020/1056</w:t>
                </w:r>
              </w:fldSimple>
              <w:r>
                <w:rPr>
                  <w:rFonts w:eastAsia="Andale Sans UI"/>
                  <w:szCs w:val="24"/>
                  <w:lang w:bidi="en-US"/>
                </w:rPr>
                <w:t xml:space="preserve"> ir panaikinamas Reglamentas </w:t>
              </w:r>
              <w:fldSimple w:instr="HYPERLINK http://eur-lex.europa.eu/legal-content/LIT/TXT/?uri=CELEX:32006R1013&amp;locale=lt \t _blank">
                <w:r>
                  <w:rPr>
                    <w:rFonts w:eastAsia="Andale Sans UI"/>
                    <w:szCs w:val="24"/>
                    <w:lang w:bidi="en-US"/>
                    <w:u w:val="single"/>
                    <w:color w:val="0000FF" w:themeColor="hyperlink"/>
                  </w:rPr>
                  <w:t>(EB) Nr. 1013/2006</w:t>
                </w:r>
              </w:fldSimple>
              <w:r>
                <w:rPr>
                  <w:rFonts w:eastAsia="Andale Sans UI"/>
                  <w:szCs w:val="24"/>
                  <w:lang w:bidi="en-US"/>
                </w:rPr>
                <w:t xml:space="preserve"> (toliau – Reglamentas </w:t>
              </w:r>
              <w:fldSimple w:instr="HYPERLINK http://eur-lex.europa.eu/legal-content/LIT/TXT/?uri=CELEX:32024R1157&amp;locale=lt \t _blank">
                <w:r>
                  <w:rPr>
                    <w:rFonts w:eastAsia="Andale Sans UI"/>
                    <w:szCs w:val="24"/>
                    <w:lang w:bidi="en-US"/>
                    <w:u w:val="single"/>
                    <w:color w:val="0000FF" w:themeColor="hyperlink"/>
                  </w:rPr>
                  <w:t>(ES) 2024/1157</w:t>
                </w:r>
              </w:fldSimple>
              <w:r>
                <w:rPr>
                  <w:rFonts w:eastAsia="Andale Sans UI"/>
                  <w:szCs w:val="24"/>
                  <w:lang w:bidi="en-US"/>
                </w:rPr>
                <w:t xml:space="preserve">), 14 straipsnį „Naudojimo įrenginiai, dėl kurių gautas išankstinis sutikimas“, 65 straipsnį „Valstybių narių bendradarbiavimas dėl vykdymo užtikrinimo“, 75 straipsnį „Kompetentingų institucijų paskyrimas“, 76 straipsnį „Susirašinėtojų paskyrimas“, kurie įsigalioja 2026 m. gegužės 21 d. ir įpareigoja Lietuvos Respubliką paskirti kompetentingą instituciją, atsakingą už Reglamento </w:t>
              </w:r>
              <w:fldSimple w:instr="HYPERLINK http://eur-lex.europa.eu/legal-content/LIT/TXT/?uri=CELEX:32024R1157&amp;locale=lt \t _blank">
                <w:r>
                  <w:rPr>
                    <w:rFonts w:eastAsia="Andale Sans UI"/>
                    <w:szCs w:val="24"/>
                    <w:lang w:bidi="en-US"/>
                    <w:u w:val="single"/>
                    <w:color w:val="0000FF" w:themeColor="hyperlink"/>
                  </w:rPr>
                  <w:t>(ES) 2024/1157</w:t>
                </w:r>
              </w:fldSimple>
              <w:r>
                <w:rPr>
                  <w:rFonts w:eastAsia="Andale Sans UI"/>
                  <w:szCs w:val="24"/>
                  <w:lang w:bidi="en-US"/>
                </w:rPr>
                <w:t xml:space="preserve"> nuostatų įgyvendinimą, instituciją, atsakingą už informacijos teikimą ar pranešimą asmenims ar įmonėms, teikiančioms su šio reglamento įgyvendinimu susijusias užklausas, instituciją, atsakingą už bendradarbiavimą su kitų Europos Sąjungos valstybių narių paskirtomis institucijomis neteisėto atliekų vežimo prevencijos nustatymo klausimais, dalinantis patirtimi ir žiniomis, atliekant fizinius tarptautinių atliekų vežimų patikrinimus. </w:t>
              </w:r>
            </w:p>
            <w:p>
              <w:pPr>
                <w:widowControl w:val="0"/>
                <w:ind w:firstLine="567"/>
                <w:jc w:val="both"/>
                <w:rPr>
                  <w:rFonts w:eastAsia="Andale Sans UI"/>
                  <w:szCs w:val="24"/>
                  <w:lang w:bidi="en-US"/>
                </w:rPr>
              </w:pPr>
              <w:r>
                <w:rPr>
                  <w:rFonts w:eastAsia="Andale Sans UI"/>
                  <w:szCs w:val="24"/>
                  <w:lang w:bidi="en-US"/>
                </w:rPr>
                <w:t xml:space="preserve">Pagal Lietuvos vyriausiojo administracinio teismo suformuotą praktiką, viešojo administravimo subjektų kompetencija turi būti nustatyta įstatymu, veikla vykdoma tik neperžengiant jiems priskirtos kompetencijos, o atitinkamam teisėkūros subjektui viršijus jam teisės aktais suteiktą kompetenciją ir priėmus norminį administracinį aktą, kurio jis nėra įgaliotas priimti, būtų pažeistas ir Konstitucijos preambulėje įtvirtintas teisinės valstybės principas. </w:t>
              </w:r>
            </w:p>
            <w:p>
              <w:pPr>
                <w:widowControl w:val="0"/>
                <w:ind w:firstLine="567"/>
                <w:jc w:val="both"/>
                <w:rPr>
                  <w:rFonts w:eastAsia="Andale Sans UI"/>
                  <w:szCs w:val="24"/>
                  <w:lang w:bidi="en-US"/>
                </w:rPr>
              </w:pPr>
              <w:r>
                <w:rPr>
                  <w:rFonts w:eastAsia="Andale Sans UI"/>
                  <w:szCs w:val="24"/>
                  <w:lang w:bidi="en-US"/>
                </w:rPr>
                <w:t xml:space="preserve">Reglamente </w:t>
              </w:r>
              <w:fldSimple w:instr="HYPERLINK http://eur-lex.europa.eu/legal-content/LIT/TXT/?uri=CELEX:32006R1013&amp;locale=lt \t _blank">
                <w:r>
                  <w:rPr>
                    <w:rFonts w:eastAsia="Andale Sans UI"/>
                    <w:szCs w:val="24"/>
                    <w:lang w:bidi="en-US"/>
                    <w:u w:val="single"/>
                    <w:color w:val="0000FF" w:themeColor="hyperlink"/>
                  </w:rPr>
                  <w:t>(EB) Nr. 1013/2006</w:t>
                </w:r>
              </w:fldSimple>
              <w:r>
                <w:rPr>
                  <w:rFonts w:eastAsia="Andale Sans UI"/>
                  <w:szCs w:val="24"/>
                  <w:lang w:bidi="en-US"/>
                </w:rPr>
                <w:t xml:space="preserve"> numatytos siunčiančiosios kompetentingos institucijos, paskirties kompetentingos institucijos, tranzito kompetentingos institucijos ir korespondento funkcijos pavestos Aplinkos apsaugos departamentui prie Lietuvos Respublikos aplinkos ministerijos (toliau – Aplinkos apsaugos departamentas) aplinkos ministro įsakymu.</w:t>
              </w:r>
            </w:p>
            <w:p>
              <w:pPr>
                <w:widowControl w:val="0"/>
                <w:shd w:val="clear" w:color="auto" w:fill="FFFFFF"/>
                <w:ind w:firstLine="567"/>
                <w:jc w:val="both"/>
                <w:textAlignment w:val="center"/>
                <w:rPr>
                  <w:rFonts w:eastAsia="Andale Sans UI"/>
                  <w:szCs w:val="24"/>
                  <w:lang w:bidi="en-US"/>
                </w:rPr>
              </w:pPr>
              <w:r>
                <w:rPr>
                  <w:rFonts w:eastAsia="Andale Sans UI"/>
                  <w:szCs w:val="24"/>
                  <w:lang w:bidi="en-US"/>
                </w:rPr>
                <w:t>Konstitucinio Teismo 2006 m. gegužės 31 d. nutarime konstatuota, kad tam tikri ūkinės veiklos santykiai gali būti reguliuojami tik įstatymais, kiti – Vyriausybės nutarimais, dar kiti – žemesnės galios poįstatyminiais teisės aktais, tačiau nustatyti esmines ūkinės veiklos sąlygas, draudimus ir ribojimus, darančius esminį poveikį ūkinei veiklai, taip pat įvairias sankcijas už atitinkamus teisės pažeidimus pagal Konstituciją galima tik įstatymu. Taigi tik įstatymu galima nustatyti ir esminį poveikį ūkinei veiklai galinčias daryti ekonominio poveikio priemones, kurios turi būti taikomos, kai nustatyti įpareigojimai nevykdomi arba vykdomi netinkamai. Todėl Reglamento </w:t>
              </w:r>
              <w:fldSimple w:instr="HYPERLINK http://eur-lex.europa.eu/legal-content/LIT/TXT/?uri=CELEX:32006R1013&amp;locale=lt \t _blank">
                <w:r>
                  <w:rPr>
                    <w:rFonts w:eastAsia="Andale Sans UI"/>
                    <w:szCs w:val="24"/>
                    <w:lang w:bidi="en-US"/>
                    <w:u w:val="single"/>
                    <w:color w:val="0000FF" w:themeColor="hyperlink"/>
                  </w:rPr>
                  <w:t>(EB) Nr.</w:t>
                </w:r>
                <w:r>
                  <w:rPr>
                    <w:rFonts w:eastAsia="Andale Sans UI" w:cs="Tahoma"/>
                    <w:szCs w:val="24"/>
                    <w:lang w:bidi="en-US"/>
                    <w:u w:val="single"/>
                    <w:color w:val="0000FF" w:themeColor="hyperlink"/>
                  </w:rPr>
                  <w:t> </w:t>
                </w:r>
                <w:r>
                  <w:rPr>
                    <w:rFonts w:eastAsia="Andale Sans UI"/>
                    <w:szCs w:val="24"/>
                    <w:lang w:bidi="en-US"/>
                    <w:u w:val="single"/>
                    <w:color w:val="0000FF" w:themeColor="hyperlink"/>
                  </w:rPr>
                  <w:t>1013/2006</w:t>
                </w:r>
              </w:fldSimple>
              <w:r>
                <w:rPr>
                  <w:rFonts w:eastAsia="Andale Sans UI"/>
                  <w:szCs w:val="24"/>
                  <w:lang w:bidi="en-US"/>
                </w:rPr>
                <w:t xml:space="preserve"> 14 straipsnyje „Išankstiniai leidimai naudojimo įrenginiams“ ir Reglamento </w:t>
              </w:r>
              <w:fldSimple w:instr="HYPERLINK http://eur-lex.europa.eu/legal-content/LIT/TXT/?uri=CELEX:32024R1157&amp;locale=lt \t _blank">
                <w:r>
                  <w:rPr>
                    <w:rFonts w:eastAsia="Andale Sans UI"/>
                    <w:szCs w:val="24"/>
                    <w:lang w:bidi="en-US"/>
                    <w:u w:val="single"/>
                    <w:color w:val="0000FF" w:themeColor="hyperlink"/>
                  </w:rPr>
                  <w:t>(ES) 2024/1157</w:t>
                </w:r>
              </w:fldSimple>
              <w:r>
                <w:rPr>
                  <w:rFonts w:eastAsia="Andale Sans UI"/>
                  <w:szCs w:val="24"/>
                  <w:lang w:bidi="en-US"/>
                </w:rPr>
                <w:t xml:space="preserve"> 14 straipsnyje „Naudojimo įrenginiai, dėl kurių gautas išankstinis sutikimas“ numatyto išankstinio sutikimo dėl atliekų naudojimo įrenginio (toliau – išankstinis sutikimas), naudojančiam įvežtas, importuotas į Lietuvos Respubliką atliekas, išdavimo, keitimo ir galiojimo panaikinimo esminės sąlygos turi būti numatytos įstatyme. </w:t>
              </w:r>
            </w:p>
            <w:p>
              <w:pPr>
                <w:widowControl w:val="0"/>
                <w:shd w:val="clear" w:color="auto" w:fill="FFFFFF"/>
                <w:ind w:firstLine="567"/>
                <w:jc w:val="both"/>
                <w:textAlignment w:val="center"/>
                <w:rPr>
                  <w:rFonts w:eastAsia="Andale Sans UI"/>
                  <w:szCs w:val="24"/>
                  <w:lang w:bidi="en-US"/>
                </w:rPr>
              </w:pPr>
              <w:r>
                <w:rPr>
                  <w:rFonts w:eastAsia="Andale Sans UI"/>
                  <w:szCs w:val="24"/>
                  <w:lang w:bidi="en-US"/>
                </w:rPr>
                <w:t xml:space="preserve">Reglamento </w:t>
              </w:r>
              <w:fldSimple w:instr="HYPERLINK http://eur-lex.europa.eu/legal-content/LIT/TXT/?uri=CELEX:32006R1013&amp;locale=lt \t _blank">
                <w:r>
                  <w:rPr>
                    <w:rFonts w:eastAsia="Andale Sans UI"/>
                    <w:szCs w:val="24"/>
                    <w:lang w:bidi="en-US"/>
                    <w:u w:val="single"/>
                    <w:color w:val="0000FF" w:themeColor="hyperlink"/>
                  </w:rPr>
                  <w:t>(EB) Nr. 1013/2006</w:t>
                </w:r>
              </w:fldSimple>
              <w:r>
                <w:rPr>
                  <w:rFonts w:eastAsia="Andale Sans UI"/>
                  <w:szCs w:val="24"/>
                  <w:lang w:bidi="en-US"/>
                </w:rPr>
                <w:t xml:space="preserve"> 14 straipsnyje ir Reglamento </w:t>
              </w:r>
              <w:fldSimple w:instr="HYPERLINK http://eur-lex.europa.eu/legal-content/LIT/TXT/?uri=CELEX:32024R1157&amp;locale=lt \t _blank">
                <w:r>
                  <w:rPr>
                    <w:rFonts w:eastAsia="Andale Sans UI"/>
                    <w:szCs w:val="24"/>
                    <w:lang w:bidi="en-US"/>
                    <w:u w:val="single"/>
                    <w:color w:val="0000FF" w:themeColor="hyperlink"/>
                  </w:rPr>
                  <w:t>(ES) 2024/1157</w:t>
                </w:r>
              </w:fldSimple>
              <w:r>
                <w:rPr>
                  <w:rFonts w:eastAsia="Andale Sans UI"/>
                  <w:szCs w:val="24"/>
                  <w:lang w:bidi="en-US"/>
                </w:rPr>
                <w:t xml:space="preserve"> 14 straipsnyje numatyto išankstinio sutikimo dešimčiai metų atliekų naudojimo įrenginiui, naudojančiam įvežtas, importuotas į Lietuvos Respubliką atliekas, išdavimas reikalingas atsižvelgiant į: </w:t>
              </w:r>
            </w:p>
            <w:p>
              <w:pPr>
                <w:widowControl w:val="0"/>
                <w:shd w:val="clear" w:color="auto" w:fill="FFFFFF"/>
                <w:ind w:firstLine="567"/>
                <w:jc w:val="both"/>
                <w:textAlignment w:val="center"/>
                <w:rPr>
                  <w:rFonts w:eastAsia="Andale Sans UI"/>
                  <w:szCs w:val="24"/>
                  <w:lang w:bidi="en-US"/>
                </w:rPr>
              </w:pPr>
              <w:r>
                <w:rPr>
                  <w:rFonts w:eastAsia="Andale Sans UI"/>
                  <w:szCs w:val="24"/>
                  <w:lang w:bidi="en-US"/>
                </w:rPr>
                <w:t xml:space="preserve">– Aplinkos ministerijos Centralizuoto vidaus audito skyriaus 2023 m. liepos 25 d. atlikto vidaus audito „Licencijų (leidimų) išdavimas ir su juo susijusių veiksmų procesas“ ataskaitoje pateiktą pastebėjimą, kad „remiantis geresnio reglamentavimo principais, būtina įvertinti tarpvalstybinių atliekų vežimų leidimų išdavimo įvežimui, importui perspektyvas pagal Reglamento </w:t>
              </w:r>
              <w:fldSimple w:instr="HYPERLINK http://eur-lex.europa.eu/legal-content/LIT/TXT/?uri=CELEX:32024R1157&amp;locale=lt \t _blank">
                <w:r>
                  <w:rPr>
                    <w:rFonts w:eastAsia="Andale Sans UI"/>
                    <w:szCs w:val="24"/>
                    <w:lang w:bidi="en-US"/>
                    <w:u w:val="single"/>
                    <w:color w:val="0000FF" w:themeColor="hyperlink"/>
                  </w:rPr>
                  <w:t>(ES) 2024/1157</w:t>
                </w:r>
              </w:fldSimple>
              <w:r>
                <w:rPr>
                  <w:rFonts w:eastAsia="Andale Sans UI"/>
                  <w:szCs w:val="24"/>
                  <w:lang w:bidi="en-US"/>
                </w:rPr>
                <w:t xml:space="preserve"> 14 straipsnį, esant poreikiui papildyti taikytinomis nacionalinėmis procedūromis išduodant tokius leidimus dėl tarpvalstybinio atliekų vežimo“; </w:t>
              </w:r>
            </w:p>
            <w:p>
              <w:pPr>
                <w:widowControl w:val="0"/>
                <w:shd w:val="clear" w:color="auto" w:fill="FFFFFF"/>
                <w:ind w:firstLine="567"/>
                <w:jc w:val="both"/>
                <w:textAlignment w:val="center"/>
                <w:rPr>
                  <w:rFonts w:eastAsia="Andale Sans UI"/>
                  <w:szCs w:val="24"/>
                  <w:lang w:bidi="en-US"/>
                </w:rPr>
              </w:pPr>
              <w:r>
                <w:rPr>
                  <w:rFonts w:eastAsia="Andale Sans UI"/>
                  <w:szCs w:val="24"/>
                  <w:lang w:bidi="en-US"/>
                </w:rPr>
                <w:t xml:space="preserve">– Ekonomikos ir inovacijų ministerijos paskelbtus administracinės naštos mažinimo principus, kuriais valstybės institucijos, remiantis geresnio reglamentavimo principais, skatinamos vertinti visų informacinių įpareigojimų, taip pat leidimų, licencijų, sertifikatų, pažymėjimų, kvalifikacinių ir kitų reikalavimų tikslingumą, pagrįstumą ir proporcingumą, paprastinti išdavimo procedūras; </w:t>
              </w:r>
            </w:p>
            <w:p>
              <w:pPr>
                <w:widowControl w:val="0"/>
                <w:shd w:val="clear" w:color="auto" w:fill="FFFFFF"/>
                <w:ind w:firstLine="567"/>
                <w:jc w:val="both"/>
                <w:textAlignment w:val="center"/>
                <w:rPr>
                  <w:rFonts w:eastAsia="Andale Sans UI"/>
                  <w:szCs w:val="24"/>
                  <w:lang w:bidi="en-US"/>
                </w:rPr>
              </w:pPr>
              <w:r>
                <w:rPr>
                  <w:rFonts w:eastAsia="Andale Sans UI"/>
                  <w:szCs w:val="24"/>
                  <w:lang w:bidi="en-US"/>
                </w:rPr>
                <w:t xml:space="preserve">– siekį sumažinti naštą Aplinkos apsaugos departamentui išduodant metinius atliekų įvežimo, importo į Lietuvos Respubliką leidimus; </w:t>
              </w:r>
            </w:p>
            <w:p>
              <w:pPr>
                <w:widowControl w:val="0"/>
                <w:shd w:val="clear" w:color="auto" w:fill="FFFFFF"/>
                <w:ind w:firstLine="567"/>
                <w:jc w:val="both"/>
                <w:textAlignment w:val="center"/>
                <w:rPr>
                  <w:rFonts w:eastAsia="Andale Sans UI"/>
                  <w:szCs w:val="24"/>
                  <w:lang w:bidi="en-US"/>
                </w:rPr>
              </w:pPr>
              <w:r>
                <w:rPr>
                  <w:rFonts w:eastAsia="Andale Sans UI"/>
                  <w:szCs w:val="24"/>
                  <w:lang w:bidi="en-US"/>
                </w:rPr>
                <w:t xml:space="preserve">– ūkio subjektų prašymus pagerinti atliekų tvarkymo paslaugas teikiančių įmonių verslo sąlygas, supaprastinant atliekų įvežimo, importo leidimų išdavimą, nes atliekų išsiuntimo (eksportuojančios) šalies leidimas išduodamas, kai gaunamas paskirties (importuojančios) šalies leidimas, t. y. visa metinio leidimo išdavimo procedūra užtrunka apie 4 mėnesius; </w:t>
              </w:r>
            </w:p>
            <w:p>
              <w:pPr>
                <w:widowControl w:val="0"/>
                <w:shd w:val="clear" w:color="auto" w:fill="FFFFFF"/>
                <w:ind w:firstLine="567"/>
                <w:jc w:val="both"/>
                <w:textAlignment w:val="center"/>
                <w:rPr>
                  <w:rFonts w:eastAsia="Andale Sans UI"/>
                  <w:szCs w:val="24"/>
                  <w:lang w:bidi="en-US"/>
                </w:rPr>
              </w:pPr>
              <w:r>
                <w:rPr>
                  <w:rFonts w:eastAsia="Andale Sans UI"/>
                  <w:szCs w:val="24"/>
                  <w:lang w:bidi="en-US"/>
                </w:rPr>
                <w:t>– užsienio šalių praktiką: remiantis Europos bendradarbiavimo ir plėtros organizacijos duomenų bazėje pateiktais duomenimis, 16 (9 ES valstybės narės) iš 43 valstybių taiko išankstinių sutikimų išdavimo tvarką. Išankstinis sutikimas galioja nuo 2 iki 15 metų, pavyzdžiui, Kipre išankstinis leidimas galioja 2 metus, Airijoje – 3 metus, Šveicarijoje ir Bulgarijoje – 5 metus, Ispanijoje – 9 metus, Belgijoje, Danijoje, Prancūzijoje, Olandijoje, Švedijoje – 10 metų, Vokietijoje – 15 metų.</w:t>
              </w:r>
            </w:p>
            <w:p>
              <w:pPr>
                <w:shd w:val="clear" w:color="auto" w:fill="FFFFFF"/>
                <w:ind w:firstLine="567"/>
                <w:jc w:val="both"/>
                <w:rPr>
                  <w:rFonts w:eastAsia="Andale Sans UI"/>
                  <w:szCs w:val="24"/>
                  <w:lang w:eastAsia="en-GB" w:bidi="en-US"/>
                </w:rPr>
              </w:pPr>
              <w:r>
                <w:rPr>
                  <w:rFonts w:eastAsia="Andale Sans UI"/>
                  <w:szCs w:val="24"/>
                  <w:lang w:eastAsia="en-GB" w:bidi="en-US"/>
                </w:rPr>
                <w:t xml:space="preserve">Pagal savo paskirtį ATĮ reglamentuoja atliekų tvarkymo reikalavimus, todėl jame neturėtų būti nuostatų, reglamentuojančių reikalavimus Lietuvos rinkai tiekiamoms baterijoms. Be to, ATĮ reglamentuoja ne tik bendruosius atliekų tvarkymo principus ir reikalavimus, bet ir tam tikrų atliekų srautų, kurių tvarkymui taikomas gamintojo atsakomybės principas, tvarkymo ypatumus, dėstomus atskiruose įstatymo skirsniuose. Dėl savo didelės apimties ATĮ tampa sudėtingu subjektams, kurie turi laikytis šiame įstatyme nustatytų reikalavimų. </w:t>
              </w:r>
            </w:p>
            <w:p>
              <w:pPr>
                <w:shd w:val="clear" w:color="auto" w:fill="FFFFFF"/>
                <w:ind w:firstLine="567"/>
                <w:jc w:val="both"/>
                <w:rPr>
                  <w:rFonts w:eastAsia="Andale Sans UI"/>
                  <w:szCs w:val="24"/>
                  <w:lang w:eastAsia="en-GB" w:bidi="en-US"/>
                </w:rPr>
              </w:pPr>
              <w:r>
                <w:rPr>
                  <w:rFonts w:eastAsia="Andale Sans UI"/>
                  <w:szCs w:val="24"/>
                  <w:lang w:eastAsia="en-GB" w:bidi="en-US"/>
                </w:rPr>
                <w:t xml:space="preserve">Vertinant tai, tikslinga pagrindinius reikalavimus, susijusius su baterijomis ir jų atliekų tvarkymu, reglamentuoti specialiajame įstatyme, kaip dabar taikoma pakuotėms Lietuvos Respublikos pakuočių ir pakuočių atliekų tvarkymo įstatymu. Pagrindinius reikalavimus, susijusius su baterijomis ir jų atliekų tvarkymu, reglamentavus specialiajame įstatyme, baterijų rinkos dalyviams būtų aiškesnis teisinis reguliavimas, aiškiau suprantamos baterijų atliekų tvarkymo teisinio reguliavimo ribos, sistemiškai įgyvendinami Reglamento </w:t>
              </w:r>
              <w:fldSimple w:instr="HYPERLINK http://eur-lex.europa.eu/legal-content/LIT/TXT/?uri=CELEX:32023R1542&amp;locale=lt \t _blank">
                <w:r>
                  <w:rPr>
                    <w:rFonts w:eastAsia="Andale Sans UI"/>
                    <w:szCs w:val="24"/>
                    <w:lang w:eastAsia="en-GB" w:bidi="en-US"/>
                    <w:u w:val="single"/>
                    <w:color w:val="0000FF" w:themeColor="hyperlink"/>
                  </w:rPr>
                  <w:t>(ES) 2023/1542</w:t>
                </w:r>
              </w:fldSimple>
              <w:r>
                <w:rPr>
                  <w:rFonts w:eastAsia="Andale Sans UI"/>
                  <w:szCs w:val="24"/>
                  <w:lang w:eastAsia="en-GB" w:bidi="en-US"/>
                </w:rPr>
                <w:t xml:space="preserve"> reikalavimai, ateityje, prireikus tikslinti tik baterijų atliekų tvarkymo srities įstatymines nuostatas, užtektų keisti tik specialųjį įstatymą ir nereikėtų liesti platesnio teisinio reguliavimo.</w:t>
              </w:r>
            </w:p>
            <w:p>
              <w:pPr>
                <w:shd w:val="clear" w:color="auto" w:fill="FFFFFF"/>
                <w:ind w:firstLine="567"/>
                <w:jc w:val="both"/>
                <w:rPr>
                  <w:rFonts w:eastAsia="Andale Sans UI"/>
                  <w:szCs w:val="24"/>
                  <w:lang w:bidi="en-US"/>
                </w:rPr>
              </w:pPr>
              <w:r>
                <w:rPr>
                  <w:rFonts w:eastAsia="Andale Sans UI"/>
                  <w:szCs w:val="24"/>
                  <w:lang w:eastAsia="en-GB" w:bidi="en-US"/>
                </w:rPr>
                <w:t xml:space="preserve">Be to, su baterijomis ir jų atliekų tvarkymu susijusius reikalavimus reglamentavus specialiajame įstatyme, o ne ATĮ, būtų išvengta nuostatų suderinimo iššūkių, kai skirtinguose Europos Sąjungos teisės aktuose, susijusiuose su atliekų tvarkymo sritimi, tos pačios sąvokos apibrėžtos nevienodai (pvz., sąvokos „ekonominės veiklos vykdytojas“, „tiekimas rinkai“, „atitikties vertinimas“), ir nereikėtų tame pačiame įstatyme dubliuoti nuostatų apie licencijavimą, nes Reglamente </w:t>
              </w:r>
              <w:fldSimple w:instr="HYPERLINK http://eur-lex.europa.eu/legal-content/LIT/TXT/?uri=CELEX:32023R1542&amp;locale=lt \t _blank">
                <w:r>
                  <w:rPr>
                    <w:rFonts w:eastAsia="Andale Sans UI"/>
                    <w:szCs w:val="24"/>
                    <w:lang w:eastAsia="en-GB" w:bidi="en-US"/>
                    <w:u w:val="single"/>
                    <w:color w:val="0000FF" w:themeColor="hyperlink"/>
                  </w:rPr>
                  <w:t>(ES) 2023/1542</w:t>
                </w:r>
              </w:fldSimple>
              <w:r>
                <w:rPr>
                  <w:rFonts w:eastAsia="Andale Sans UI"/>
                  <w:szCs w:val="24"/>
                  <w:lang w:eastAsia="en-GB" w:bidi="en-US"/>
                </w:rPr>
                <w:t xml:space="preserve"> nustatyti reikalavimai, susiję su licencijos išdavimu ir poveikio priemonių taikymu už gamintojo atsakomybės reikalavimų nesilaikymą, tik iš dalies atitinka ATĮ reglamentuotą gamintojų ir importuotojų organizacijų licencijavimo modelį. </w:t>
              </w:r>
            </w:p>
            <w:p>
              <w:pPr>
                <w:ind w:firstLine="567"/>
                <w:jc w:val="both"/>
                <w:rPr>
                  <w:rFonts w:eastAsia="Andale Sans UI"/>
                  <w:b/>
                  <w:bCs/>
                  <w:szCs w:val="24"/>
                  <w:lang w:bidi="en-US"/>
                </w:rPr>
              </w:pPr>
              <w:r>
                <w:rPr>
                  <w:rFonts w:eastAsia="Andale Sans UI"/>
                  <w:b/>
                  <w:bCs/>
                  <w:szCs w:val="24"/>
                  <w:lang w:bidi="en-US"/>
                </w:rPr>
                <w:t>2. Projektais siūlomo teisinio reguliavimo esmė – problemos sprendimas</w:t>
              </w:r>
            </w:p>
            <w:p>
              <w:pPr>
                <w:widowControl w:val="0"/>
                <w:shd w:val="clear" w:color="auto" w:fill="FFFFFF"/>
                <w:ind w:firstLine="567"/>
                <w:jc w:val="both"/>
                <w:textAlignment w:val="center"/>
                <w:rPr>
                  <w:rFonts w:eastAsia="Andale Sans UI"/>
                  <w:szCs w:val="24"/>
                  <w:lang w:bidi="en-US"/>
                </w:rPr>
              </w:pPr>
              <w:r>
                <w:rPr>
                  <w:rFonts w:eastAsia="Andale Sans UI"/>
                  <w:szCs w:val="24"/>
                  <w:lang w:bidi="en-US"/>
                </w:rPr>
                <w:t xml:space="preserve">Projektais sudaromos prielaidos įgyvendinti </w:t>
              </w:r>
              <w:r>
                <w:rPr>
                  <w:rFonts w:eastAsia="Andale Sans UI" w:cs="Tahoma"/>
                  <w:szCs w:val="24"/>
                  <w:lang w:bidi="en-US"/>
                </w:rPr>
                <w:t xml:space="preserve">Reglamentą </w:t>
              </w:r>
              <w:fldSimple w:instr="HYPERLINK http://eur-lex.europa.eu/legal-content/LIT/TXT/?uri=CELEX:32023R1542&amp;locale=lt \t _blank">
                <w:r>
                  <w:rPr>
                    <w:rFonts w:eastAsia="Andale Sans UI" w:cs="Tahoma"/>
                    <w:szCs w:val="24"/>
                    <w:lang w:bidi="en-US"/>
                    <w:u w:val="single"/>
                    <w:color w:val="0000FF" w:themeColor="hyperlink"/>
                  </w:rPr>
                  <w:t>(ES) 2023/1542</w:t>
                </w:r>
              </w:fldSimple>
              <w:r>
                <w:rPr>
                  <w:rFonts w:eastAsia="Andale Sans UI" w:cs="Tahoma"/>
                  <w:szCs w:val="24"/>
                  <w:lang w:bidi="en-US"/>
                </w:rPr>
                <w:t>,</w:t>
              </w:r>
              <w:r>
                <w:rPr>
                  <w:rFonts w:eastAsia="Andale Sans UI"/>
                  <w:szCs w:val="24"/>
                  <w:lang w:bidi="en-US"/>
                </w:rPr>
                <w:t xml:space="preserve"> sudaryti teisines prielaidas atitinkamam Lietuvos viešojo administravimo subjektui (Aplinkos apsaugos departamentui) atlikti Reglamente </w:t>
              </w:r>
              <w:fldSimple w:instr="HYPERLINK http://eur-lex.europa.eu/legal-content/LIT/TXT/?uri=CELEX:32006R1013&amp;locale=lt \t _blank">
                <w:r>
                  <w:rPr>
                    <w:rFonts w:eastAsia="Andale Sans UI"/>
                    <w:szCs w:val="24"/>
                    <w:lang w:bidi="en-US"/>
                    <w:u w:val="single"/>
                    <w:color w:val="0000FF" w:themeColor="hyperlink"/>
                  </w:rPr>
                  <w:t>(EB) Nr. 1013/2006</w:t>
                </w:r>
              </w:fldSimple>
              <w:r>
                <w:rPr>
                  <w:rFonts w:eastAsia="Andale Sans UI"/>
                  <w:szCs w:val="24"/>
                  <w:lang w:bidi="en-US"/>
                </w:rPr>
                <w:t xml:space="preserve"> ir Reglamente </w:t>
              </w:r>
              <w:fldSimple w:instr="HYPERLINK http://eur-lex.europa.eu/legal-content/LIT/TXT/?uri=CELEX:32024R1157&amp;locale=lt \t _blank">
                <w:r>
                  <w:rPr>
                    <w:rFonts w:eastAsia="Andale Sans UI"/>
                    <w:szCs w:val="24"/>
                    <w:lang w:bidi="en-US"/>
                    <w:u w:val="single"/>
                    <w:color w:val="0000FF" w:themeColor="hyperlink"/>
                  </w:rPr>
                  <w:t>(ES) 2024/1157</w:t>
                </w:r>
              </w:fldSimple>
              <w:r>
                <w:rPr>
                  <w:rFonts w:eastAsia="Andale Sans UI"/>
                  <w:szCs w:val="24"/>
                  <w:lang w:bidi="en-US"/>
                </w:rPr>
                <w:t xml:space="preserve"> numatytas kompetentingos institucijos, korespondento ir bendradarbiavimo funkcijas, sumažinti administracinę naštą Lietuvos Respublikos kompetentingai institucijai (Aplinkos apsaugos departamentui), susijusią su atliekų įvežimu, importu į Lietuvą, pagerinti atliekų tvarkytojų verslo sąlygas įvežant, importuojant į Lietuvą atliekas. </w:t>
              </w:r>
            </w:p>
            <w:p>
              <w:pPr>
                <w:ind w:firstLine="567"/>
                <w:jc w:val="both"/>
                <w:rPr>
                  <w:rFonts w:eastAsia="Andale Sans UI" w:cs="Tahoma"/>
                  <w:szCs w:val="24"/>
                  <w:lang w:val="lt" w:bidi="en-US"/>
                </w:rPr>
              </w:pPr>
              <w:r>
                <w:rPr>
                  <w:rFonts w:eastAsia="Andale Sans UI" w:cs="Tahoma"/>
                  <w:szCs w:val="24"/>
                  <w:lang w:val="lt" w:bidi="en-US"/>
                </w:rPr>
                <w:t>Baterijų įstatymo projekte:</w:t>
              </w:r>
            </w:p>
          </w:sdtContent>
        </w:sdt>
        <w:sdt>
          <w:sdtPr>
            <w:alias w:val="1 pp."/>
            <w:tag w:val="part_c7f21c9387204ceb98704d13bd261f43"/>
            <w:lock w:val="sdtLocked"/>
            <w:richText/>
          </w:sdtPr>
          <w:sdtContent>
            <w:p>
              <w:pPr>
                <w:ind w:firstLine="567"/>
                <w:jc w:val="both"/>
                <w:rPr>
                  <w:szCs w:val="24"/>
                  <w:lang w:val="lt" w:bidi="en-US"/>
                </w:rPr>
              </w:pPr>
              <w:sdt>
                <w:sdtPr>
                  <w:alias w:val="Numeris"/>
                  <w:tag w:val="nr_c7f21c9387204ceb98704d13bd261f43"/>
                  <w:lock w:val="sdtLocked"/>
                  <w:richText/>
                </w:sdtPr>
                <w:sdtContent>
                  <w:r>
                    <w:rPr>
                      <w:rFonts w:eastAsia="Andale Sans UI" w:cs="Tahoma"/>
                      <w:szCs w:val="24"/>
                      <w:lang w:val="lt" w:bidi="en-US"/>
                    </w:rPr>
                    <w:t>1</w:t>
                  </w:r>
                </w:sdtContent>
              </w:sdt>
              <w:r>
                <w:rPr>
                  <w:rFonts w:eastAsia="Andale Sans UI" w:cs="Tahoma"/>
                  <w:szCs w:val="24"/>
                  <w:lang w:val="lt" w:bidi="en-US"/>
                </w:rPr>
                <w:t xml:space="preserve">) </w:t>
              </w:r>
              <w:r>
                <w:rPr>
                  <w:color w:val="000000"/>
                  <w:szCs w:val="24"/>
                  <w:lang w:val="lt" w:bidi="en-US"/>
                </w:rPr>
                <w:t xml:space="preserve">numatoma, kad pradedamos </w:t>
              </w:r>
              <w:r>
                <w:rPr>
                  <w:szCs w:val="24"/>
                  <w:lang w:val="lt" w:bidi="en-US"/>
                </w:rPr>
                <w:t xml:space="preserve">naudoti, Lietuvos Respublikos rinkai pateikiamos ir jai tiekiamos </w:t>
              </w:r>
              <w:r>
                <w:rPr>
                  <w:color w:val="000000"/>
                  <w:szCs w:val="24"/>
                  <w:lang w:val="lt" w:bidi="en-US"/>
                </w:rPr>
                <w:t xml:space="preserve">gali būti tik tokios baterijos, kurios atitinka </w:t>
              </w:r>
              <w:r>
                <w:rPr>
                  <w:rFonts w:eastAsia="Andale Sans UI" w:cs="Tahoma"/>
                  <w:szCs w:val="24"/>
                  <w:lang w:bidi="en-US"/>
                </w:rPr>
                <w:t xml:space="preserve">Reglamento </w:t>
              </w:r>
              <w:fldSimple w:instr="HYPERLINK http://eur-lex.europa.eu/legal-content/LIT/TXT/?uri=CELEX:32023R1542&amp;locale=lt \t _blank">
                <w:r>
                  <w:rPr>
                    <w:rFonts w:eastAsia="Andale Sans UI" w:cs="Tahoma"/>
                    <w:szCs w:val="24"/>
                    <w:lang w:bidi="en-US"/>
                    <w:u w:val="single"/>
                    <w:color w:val="0000FF" w:themeColor="hyperlink"/>
                  </w:rPr>
                  <w:t>(ES) 2023/1542</w:t>
                </w:r>
              </w:fldSimple>
              <w:r>
                <w:rPr>
                  <w:rFonts w:eastAsia="Andale Sans UI" w:cs="Tahoma"/>
                  <w:szCs w:val="24"/>
                  <w:lang w:bidi="en-US"/>
                </w:rPr>
                <w:t xml:space="preserve"> II ir III skyriuose nustatytus reikalavimus</w:t>
              </w:r>
              <w:r>
                <w:rPr>
                  <w:szCs w:val="24"/>
                  <w:lang w:val="lt" w:bidi="en-US"/>
                </w:rPr>
                <w:t>;</w:t>
              </w:r>
            </w:p>
          </w:sdtContent>
        </w:sdt>
        <w:sdt>
          <w:sdtPr>
            <w:alias w:val="2 pp."/>
            <w:tag w:val="part_814dc546f5ec4c70bab5831b7a15af2f"/>
            <w:lock w:val="sdtLocked"/>
            <w:richText/>
          </w:sdtPr>
          <w:sdtContent>
            <w:p>
              <w:pPr>
                <w:ind w:firstLine="567"/>
                <w:jc w:val="both"/>
                <w:rPr>
                  <w:color w:val="000000"/>
                  <w:szCs w:val="24"/>
                  <w:lang w:val="lt" w:bidi="en-US"/>
                </w:rPr>
              </w:pPr>
              <w:sdt>
                <w:sdtPr>
                  <w:alias w:val="Numeris"/>
                  <w:tag w:val="nr_814dc546f5ec4c70bab5831b7a15af2f"/>
                  <w:lock w:val="sdtLocked"/>
                  <w:richText/>
                </w:sdtPr>
                <w:sdtContent>
                  <w:r>
                    <w:rPr>
                      <w:szCs w:val="24"/>
                      <w:lang w:val="lt" w:bidi="en-US"/>
                    </w:rPr>
                    <w:t>2</w:t>
                  </w:r>
                </w:sdtContent>
              </w:sdt>
              <w:r>
                <w:rPr>
                  <w:szCs w:val="24"/>
                  <w:lang w:val="lt" w:bidi="en-US"/>
                </w:rPr>
                <w:t xml:space="preserve">) </w:t>
              </w:r>
              <w:r>
                <w:rPr>
                  <w:rFonts w:eastAsia="Andale Sans UI" w:cs="Tahoma"/>
                  <w:color w:val="000000"/>
                  <w:szCs w:val="24"/>
                  <w:lang w:bidi="en-US"/>
                </w:rPr>
                <w:t xml:space="preserve">atsižvelgiant į </w:t>
              </w:r>
              <w:r>
                <w:rPr>
                  <w:rFonts w:eastAsia="Andale Sans UI" w:cs="Tahoma"/>
                  <w:szCs w:val="24"/>
                  <w:lang w:bidi="en-US"/>
                </w:rPr>
                <w:t xml:space="preserve">Reglamento </w:t>
              </w:r>
              <w:fldSimple w:instr="HYPERLINK http://eur-lex.europa.eu/legal-content/LIT/TXT/?uri=CELEX:32023R1542&amp;locale=lt \t _blank">
                <w:r>
                  <w:rPr>
                    <w:rFonts w:eastAsia="Andale Sans UI" w:cs="Tahoma"/>
                    <w:szCs w:val="24"/>
                    <w:lang w:bidi="en-US"/>
                    <w:u w:val="single"/>
                    <w:color w:val="0000FF" w:themeColor="hyperlink"/>
                  </w:rPr>
                  <w:t>(ES) 2023/1542</w:t>
                </w:r>
              </w:fldSimple>
              <w:r>
                <w:rPr>
                  <w:rFonts w:eastAsia="Andale Sans UI" w:cs="Tahoma"/>
                  <w:color w:val="000000"/>
                  <w:szCs w:val="24"/>
                  <w:lang w:bidi="en-US"/>
                </w:rPr>
                <w:t xml:space="preserve"> VIII skyriaus „Baterijų atliekų tvarkymas“ nuostatas, </w:t>
              </w:r>
              <w:r>
                <w:rPr>
                  <w:color w:val="000000"/>
                  <w:szCs w:val="24"/>
                  <w:lang w:val="lt" w:bidi="en-US"/>
                </w:rPr>
                <w:t>aprašoma, kokių reikalavimų privalu laikytis tvarkant baterijų atliekas ir organizuojant tokių atliekų tvarkymą;</w:t>
              </w:r>
            </w:p>
          </w:sdtContent>
        </w:sdt>
        <w:sdt>
          <w:sdtPr>
            <w:alias w:val="3 pp."/>
            <w:tag w:val="part_20d64b2ab0b94562bd862069dfa4c890"/>
            <w:lock w:val="sdtLocked"/>
            <w:richText/>
          </w:sdtPr>
          <w:sdtContent>
            <w:p>
              <w:pPr>
                <w:ind w:firstLine="567"/>
                <w:jc w:val="both"/>
                <w:rPr>
                  <w:color w:val="000000"/>
                  <w:szCs w:val="24"/>
                  <w:lang w:val="lt" w:bidi="en-US"/>
                </w:rPr>
              </w:pPr>
              <w:sdt>
                <w:sdtPr>
                  <w:alias w:val="Numeris"/>
                  <w:tag w:val="nr_20d64b2ab0b94562bd862069dfa4c890"/>
                  <w:lock w:val="sdtLocked"/>
                  <w:richText/>
                </w:sdtPr>
                <w:sdtContent>
                  <w:r>
                    <w:rPr>
                      <w:szCs w:val="24"/>
                      <w:lang w:val="lt" w:bidi="en-US"/>
                    </w:rPr>
                    <w:t>3</w:t>
                  </w:r>
                </w:sdtContent>
              </w:sdt>
              <w:r>
                <w:rPr>
                  <w:szCs w:val="24"/>
                  <w:lang w:val="lt" w:bidi="en-US"/>
                </w:rPr>
                <w:t xml:space="preserve">) </w:t>
              </w:r>
              <w:r>
                <w:rPr>
                  <w:color w:val="000000"/>
                  <w:szCs w:val="24"/>
                  <w:lang w:val="lt" w:bidi="en-US"/>
                </w:rPr>
                <w:t>aprašoma, kokių reikalavimų privalu laikytis išduodant baterijų atliekų tvarkymo organizavimo licencijas, įspėjant apie galimą tokių licencijų galiojimo sustabdymą ar panaikinimą, taip pat sustabdant ar panaikinant jų galiojimą;</w:t>
              </w:r>
            </w:p>
          </w:sdtContent>
        </w:sdt>
        <w:sdt>
          <w:sdtPr>
            <w:alias w:val="4 pp."/>
            <w:tag w:val="part_85a573f1cd0d4e7f869df55a92a1f3b5"/>
            <w:lock w:val="sdtLocked"/>
            <w:richText/>
          </w:sdtPr>
          <w:sdtContent>
            <w:p>
              <w:pPr>
                <w:ind w:firstLine="567"/>
                <w:jc w:val="both"/>
                <w:rPr>
                  <w:szCs w:val="24"/>
                  <w:lang w:val="lt" w:bidi="en-US"/>
                </w:rPr>
              </w:pPr>
              <w:sdt>
                <w:sdtPr>
                  <w:alias w:val="Numeris"/>
                  <w:tag w:val="nr_85a573f1cd0d4e7f869df55a92a1f3b5"/>
                  <w:lock w:val="sdtLocked"/>
                  <w:richText/>
                </w:sdtPr>
                <w:sdtContent>
                  <w:r>
                    <w:rPr>
                      <w:szCs w:val="24"/>
                      <w:lang w:val="lt" w:bidi="en-US"/>
                    </w:rPr>
                    <w:t>4</w:t>
                  </w:r>
                </w:sdtContent>
              </w:sdt>
              <w:r>
                <w:rPr>
                  <w:szCs w:val="24"/>
                  <w:lang w:val="lt" w:bidi="en-US"/>
                </w:rPr>
                <w:t xml:space="preserve">) </w:t>
              </w:r>
              <w:r>
                <w:rPr>
                  <w:color w:val="000000"/>
                  <w:szCs w:val="24"/>
                  <w:lang w:val="lt" w:bidi="en-US"/>
                </w:rPr>
                <w:t xml:space="preserve">numatoma, kad vykdant viešuosius žaliuosius pirkimus privalu laikytis </w:t>
              </w:r>
              <w:r>
                <w:rPr>
                  <w:szCs w:val="24"/>
                  <w:lang w:val="lt" w:bidi="en-US"/>
                </w:rPr>
                <w:t xml:space="preserve">Reglamento </w:t>
              </w:r>
              <w:fldSimple w:instr="HYPERLINK http://eur-lex.europa.eu/legal-content/LIT/TXT/?uri=CELEX:32023R1542&amp;locale=lt \t _blank">
                <w:r>
                  <w:rPr>
                    <w:szCs w:val="24"/>
                    <w:lang w:val="lt" w:bidi="en-US"/>
                    <w:u w:val="single"/>
                    <w:color w:val="0000FF" w:themeColor="hyperlink"/>
                  </w:rPr>
                  <w:t>(ES) 2023/1542</w:t>
                </w:r>
              </w:fldSimple>
              <w:r>
                <w:rPr>
                  <w:szCs w:val="24"/>
                  <w:lang w:val="lt" w:bidi="en-US"/>
                </w:rPr>
                <w:t xml:space="preserve"> 85 straipsnio reikalavimų;</w:t>
              </w:r>
            </w:p>
          </w:sdtContent>
        </w:sdt>
        <w:sdt>
          <w:sdtPr>
            <w:alias w:val="5 pp."/>
            <w:tag w:val="part_4dd50c7de12946c1b3c7ebea89253f70"/>
            <w:lock w:val="sdtLocked"/>
            <w:richText/>
          </w:sdtPr>
          <w:sdtContent>
            <w:p>
              <w:pPr>
                <w:ind w:firstLine="567"/>
                <w:jc w:val="both"/>
                <w:rPr>
                  <w:rFonts w:eastAsia="Andale Sans UI" w:cs="Tahoma"/>
                  <w:szCs w:val="24"/>
                  <w:lang w:val="lt" w:bidi="en-US"/>
                </w:rPr>
              </w:pPr>
              <w:sdt>
                <w:sdtPr>
                  <w:alias w:val="Numeris"/>
                  <w:tag w:val="nr_4dd50c7de12946c1b3c7ebea89253f70"/>
                  <w:lock w:val="sdtLocked"/>
                  <w:richText/>
                </w:sdtPr>
                <w:sdtContent>
                  <w:r>
                    <w:rPr>
                      <w:szCs w:val="24"/>
                      <w:lang w:val="lt" w:bidi="en-US"/>
                    </w:rPr>
                    <w:t>5</w:t>
                  </w:r>
                </w:sdtContent>
              </w:sdt>
              <w:r>
                <w:rPr>
                  <w:szCs w:val="24"/>
                  <w:lang w:val="lt" w:bidi="en-US"/>
                </w:rPr>
                <w:t xml:space="preserve">) </w:t>
              </w:r>
              <w:r>
                <w:rPr>
                  <w:color w:val="000000"/>
                  <w:szCs w:val="24"/>
                  <w:lang w:val="lt" w:bidi="en-US"/>
                </w:rPr>
                <w:t xml:space="preserve">numatoma, kad </w:t>
              </w:r>
              <w:r>
                <w:rPr>
                  <w:szCs w:val="24"/>
                  <w:lang w:val="lt" w:bidi="en-US"/>
                </w:rPr>
                <w:t xml:space="preserve">Vyriausybė paskiria kompetentingas institucijas, atsakingas už Reglamente </w:t>
              </w:r>
              <w:fldSimple w:instr="HYPERLINK http://eur-lex.europa.eu/legal-content/LIT/TXT/?uri=CELEX:32023R1542&amp;locale=lt \t _blank">
                <w:r>
                  <w:rPr>
                    <w:szCs w:val="24"/>
                    <w:lang w:val="lt" w:bidi="en-US"/>
                    <w:u w:val="single"/>
                    <w:color w:val="0000FF" w:themeColor="hyperlink"/>
                  </w:rPr>
                  <w:t>(ES) 2023/1542</w:t>
                </w:r>
              </w:fldSimple>
              <w:r>
                <w:rPr>
                  <w:szCs w:val="24"/>
                  <w:lang w:val="lt" w:bidi="en-US"/>
                </w:rPr>
                <w:t xml:space="preserve"> ir šiame įstatyme nustatytų funkcijų vykdymą;</w:t>
              </w:r>
            </w:p>
          </w:sdtContent>
        </w:sdt>
        <w:sdt>
          <w:sdtPr>
            <w:alias w:val="6 pp."/>
            <w:tag w:val="part_4ebcccbaf22148a0abc11f799a334079"/>
            <w:lock w:val="sdtLocked"/>
            <w:richText/>
          </w:sdtPr>
          <w:sdtContent>
            <w:p>
              <w:pPr>
                <w:ind w:firstLine="567"/>
                <w:jc w:val="both"/>
                <w:rPr>
                  <w:rFonts w:eastAsia="Andale Sans UI" w:cs="Tahoma"/>
                  <w:szCs w:val="24"/>
                  <w:lang w:val="lt" w:bidi="en-US"/>
                </w:rPr>
              </w:pPr>
              <w:sdt>
                <w:sdtPr>
                  <w:alias w:val="Numeris"/>
                  <w:tag w:val="nr_4ebcccbaf22148a0abc11f799a334079"/>
                  <w:lock w:val="sdtLocked"/>
                  <w:richText/>
                </w:sdtPr>
                <w:sdtContent>
                  <w:r>
                    <w:rPr>
                      <w:color w:val="000000"/>
                      <w:szCs w:val="24"/>
                      <w:lang w:val="lt" w:bidi="en-US"/>
                    </w:rPr>
                    <w:t>6</w:t>
                  </w:r>
                </w:sdtContent>
              </w:sdt>
              <w:r>
                <w:rPr>
                  <w:color w:val="000000"/>
                  <w:szCs w:val="24"/>
                  <w:lang w:val="lt" w:bidi="en-US"/>
                </w:rPr>
                <w:t xml:space="preserve">) numatoma, kad </w:t>
              </w:r>
              <w:r>
                <w:rPr>
                  <w:szCs w:val="24"/>
                  <w:lang w:val="lt" w:bidi="en-US"/>
                </w:rPr>
                <w:t xml:space="preserve">šio įstatymo ir (ar) Reglamento </w:t>
              </w:r>
              <w:fldSimple w:instr="HYPERLINK http://eur-lex.europa.eu/legal-content/LIT/TXT/?uri=CELEX:32023R1542&amp;locale=lt \t _blank">
                <w:r>
                  <w:rPr>
                    <w:szCs w:val="24"/>
                    <w:lang w:val="lt" w:bidi="en-US"/>
                    <w:u w:val="single"/>
                    <w:color w:val="0000FF" w:themeColor="hyperlink"/>
                  </w:rPr>
                  <w:t>(ES) 2023/1542</w:t>
                </w:r>
              </w:fldSimple>
              <w:r>
                <w:rPr>
                  <w:szCs w:val="24"/>
                  <w:lang w:val="lt" w:bidi="en-US"/>
                </w:rPr>
                <w:t xml:space="preserve"> reikalavimus pažeidusiems asmenims taikoma atsakomybė Lietuvos Respublikos </w:t>
              </w:r>
              <w:r>
                <w:rPr>
                  <w:rFonts w:eastAsia="Andale Sans UI" w:cs="Tahoma"/>
                  <w:szCs w:val="24"/>
                  <w:lang w:bidi="en-US"/>
                </w:rPr>
                <w:t>produktų saugos įstatyme, AAĮ, ANK</w:t>
              </w:r>
              <w:r>
                <w:rPr>
                  <w:szCs w:val="24"/>
                  <w:lang w:val="lt" w:bidi="en-US"/>
                </w:rPr>
                <w:t xml:space="preserve"> nustatyta tvarka.</w:t>
              </w:r>
              <w:r>
                <w:rPr>
                  <w:rFonts w:eastAsia="Andale Sans UI" w:cs="Tahoma"/>
                  <w:szCs w:val="24"/>
                  <w:lang w:val="lt" w:bidi="en-US"/>
                </w:rPr>
                <w:t xml:space="preserve"> </w:t>
              </w:r>
            </w:p>
            <w:p>
              <w:pPr>
                <w:ind w:firstLine="567"/>
                <w:jc w:val="both"/>
                <w:rPr>
                  <w:rFonts w:eastAsia="Andale Sans UI" w:cs="Tahoma"/>
                  <w:color w:val="000000"/>
                  <w:szCs w:val="24"/>
                  <w:lang w:val="lt" w:bidi="en-US"/>
                </w:rPr>
              </w:pPr>
              <w:r>
                <w:rPr>
                  <w:rFonts w:eastAsia="Andale Sans UI" w:cs="Tahoma"/>
                  <w:szCs w:val="24"/>
                  <w:lang w:val="lt" w:bidi="en-US"/>
                </w:rPr>
                <w:t xml:space="preserve">ATĮ projekte: </w:t>
              </w:r>
            </w:p>
          </w:sdtContent>
        </w:sdt>
        <w:sdt>
          <w:sdtPr>
            <w:alias w:val="1 pp."/>
            <w:tag w:val="part_4064f5e5e6774b25818f4ffd5e289f5d"/>
            <w:lock w:val="sdtLocked"/>
            <w:richText/>
          </w:sdtPr>
          <w:sdtContent>
            <w:p>
              <w:pPr>
                <w:ind w:firstLine="567"/>
                <w:jc w:val="both"/>
                <w:rPr>
                  <w:rFonts w:eastAsia="Andale Sans UI" w:cs="Tahoma"/>
                  <w:color w:val="000000"/>
                  <w:szCs w:val="24"/>
                  <w:lang w:bidi="en-US"/>
                </w:rPr>
              </w:pPr>
              <w:sdt>
                <w:sdtPr>
                  <w:alias w:val="Numeris"/>
                  <w:tag w:val="nr_4064f5e5e6774b25818f4ffd5e289f5d"/>
                  <w:lock w:val="sdtLocked"/>
                  <w:richText/>
                </w:sdtPr>
                <w:sdtContent>
                  <w:r>
                    <w:rPr>
                      <w:rFonts w:eastAsia="Andale Sans UI" w:cs="Tahoma"/>
                      <w:color w:val="000000"/>
                      <w:szCs w:val="24"/>
                      <w:lang w:bidi="en-US"/>
                    </w:rPr>
                    <w:t>1</w:t>
                  </w:r>
                </w:sdtContent>
              </w:sdt>
              <w:r>
                <w:rPr>
                  <w:rFonts w:eastAsia="Andale Sans UI" w:cs="Tahoma"/>
                  <w:color w:val="000000"/>
                  <w:szCs w:val="24"/>
                  <w:lang w:bidi="en-US"/>
                </w:rPr>
                <w:t xml:space="preserve">) atsižvelgiant į </w:t>
              </w:r>
              <w:r>
                <w:rPr>
                  <w:rFonts w:eastAsia="Andale Sans UI" w:cs="Tahoma"/>
                  <w:szCs w:val="24"/>
                  <w:lang w:bidi="en-US"/>
                </w:rPr>
                <w:t xml:space="preserve">Reglamente </w:t>
              </w:r>
              <w:fldSimple w:instr="HYPERLINK http://eur-lex.europa.eu/legal-content/LIT/TXT/?uri=CELEX:32023R1542&amp;locale=lt \t _blank">
                <w:r>
                  <w:rPr>
                    <w:rFonts w:eastAsia="Andale Sans UI" w:cs="Tahoma"/>
                    <w:szCs w:val="24"/>
                    <w:lang w:bidi="en-US"/>
                    <w:u w:val="single"/>
                    <w:color w:val="0000FF" w:themeColor="hyperlink"/>
                  </w:rPr>
                  <w:t>(ES) 2023/1542</w:t>
                </w:r>
              </w:fldSimple>
              <w:r>
                <w:rPr>
                  <w:rFonts w:eastAsia="Andale Sans UI" w:cs="Tahoma"/>
                  <w:color w:val="000000"/>
                  <w:szCs w:val="24"/>
                  <w:lang w:bidi="en-US"/>
                </w:rPr>
                <w:t xml:space="preserve"> nustatytas baterijų kategorijas (</w:t>
              </w:r>
              <w:r>
                <w:rPr>
                  <w:rFonts w:eastAsia="Andale Sans UI" w:cs="Tahoma"/>
                  <w:szCs w:val="24"/>
                  <w:lang w:bidi="en-US"/>
                </w:rPr>
                <w:t>nešiojamosios, mažųjų transporto priemonių, elektrinių transporto priemonių, automobilių, pramoninės</w:t>
              </w:r>
              <w:r>
                <w:rPr>
                  <w:rFonts w:eastAsia="Andale Sans UI" w:cs="Tahoma"/>
                  <w:color w:val="000000"/>
                  <w:szCs w:val="24"/>
                  <w:lang w:bidi="en-US"/>
                </w:rPr>
                <w:t xml:space="preserve"> baterijos), numatomos naujos baterijų atliekų tvarkymo organizavimo licencijų rūšys;</w:t>
              </w:r>
            </w:p>
          </w:sdtContent>
        </w:sdt>
        <w:sdt>
          <w:sdtPr>
            <w:alias w:val="2 pp."/>
            <w:tag w:val="part_df3a1c0cea2c409d9bedcdd5dec6440e"/>
            <w:lock w:val="sdtLocked"/>
            <w:richText/>
          </w:sdtPr>
          <w:sdtContent>
            <w:p>
              <w:pPr>
                <w:ind w:firstLine="567"/>
                <w:jc w:val="both"/>
                <w:rPr>
                  <w:rFonts w:eastAsia="Andale Sans UI" w:cs="Tahoma"/>
                  <w:szCs w:val="24"/>
                  <w:lang w:bidi="en-US"/>
                </w:rPr>
              </w:pPr>
              <w:sdt>
                <w:sdtPr>
                  <w:alias w:val="Numeris"/>
                  <w:tag w:val="nr_df3a1c0cea2c409d9bedcdd5dec6440e"/>
                  <w:lock w:val="sdtLocked"/>
                  <w:richText/>
                </w:sdtPr>
                <w:sdtContent>
                  <w:r>
                    <w:rPr>
                      <w:szCs w:val="24"/>
                      <w:lang w:bidi="en-US"/>
                    </w:rPr>
                    <w:t>2</w:t>
                  </w:r>
                </w:sdtContent>
              </w:sdt>
              <w:r>
                <w:rPr>
                  <w:szCs w:val="24"/>
                  <w:lang w:bidi="en-US"/>
                </w:rPr>
                <w:t>) numa</w:t>
              </w:r>
              <w:r>
                <w:rPr>
                  <w:rFonts w:eastAsia="Andale Sans UI" w:cs="Tahoma"/>
                  <w:color w:val="000000"/>
                  <w:szCs w:val="24"/>
                  <w:lang w:bidi="en-US"/>
                </w:rPr>
                <w:t>toma</w:t>
              </w:r>
              <w:r>
                <w:rPr>
                  <w:szCs w:val="24"/>
                  <w:lang w:bidi="en-US"/>
                </w:rPr>
                <w:t xml:space="preserve">, kad baterijų atliekų sutvarkymą įrodančius dokumentus galės išrašyti aplinkos ministro nustatyta tvarka į Gaminių ir (ar) pakuočių atliekų sutvarkymą įrodančius dokumentus turinčių teisę išrašyti atliekų tvarkytojų sąrašą įrašyti baterijų atliekų tvarkytojai, kurie turi tokiai atliekų tvarkymo veiklai būtinus leidimus ir juos pagal Reglamentą </w:t>
              </w:r>
              <w:fldSimple w:instr="HYPERLINK http://eur-lex.europa.eu/legal-content/LIT/TXT/?uri=CELEX:32023R1542&amp;locale=lt \t _blank">
                <w:r>
                  <w:rPr>
                    <w:szCs w:val="24"/>
                    <w:lang w:bidi="en-US"/>
                    <w:u w:val="single"/>
                    <w:color w:val="0000FF" w:themeColor="hyperlink"/>
                  </w:rPr>
                  <w:t>(ES) 2023/1542</w:t>
                </w:r>
              </w:fldSimple>
              <w:r>
                <w:rPr>
                  <w:szCs w:val="24"/>
                  <w:lang w:bidi="en-US"/>
                </w:rPr>
                <w:t xml:space="preserve"> 57 straipsnio 8 dalyje nurodytą procedūrą parinko gamintojo atsakomybę perimančios organizacijos;</w:t>
              </w:r>
            </w:p>
          </w:sdtContent>
        </w:sdt>
        <w:sdt>
          <w:sdtPr>
            <w:alias w:val="3 pp."/>
            <w:tag w:val="part_975dff49102f4de68a7cb7b7f6db9355"/>
            <w:lock w:val="sdtLocked"/>
            <w:richText/>
          </w:sdtPr>
          <w:sdtContent>
            <w:p>
              <w:pPr>
                <w:widowControl w:val="0"/>
                <w:shd w:val="clear" w:color="auto" w:fill="FFFFFF"/>
                <w:ind w:firstLine="567"/>
                <w:jc w:val="both"/>
                <w:textAlignment w:val="center"/>
                <w:rPr>
                  <w:rFonts w:eastAsia="Andale Sans UI"/>
                  <w:szCs w:val="24"/>
                  <w:lang w:bidi="en-US"/>
                </w:rPr>
              </w:pPr>
              <w:sdt>
                <w:sdtPr>
                  <w:alias w:val="Numeris"/>
                  <w:tag w:val="nr_975dff49102f4de68a7cb7b7f6db9355"/>
                  <w:lock w:val="sdtLocked"/>
                  <w:richText/>
                </w:sdtPr>
                <w:sdtContent>
                  <w:r>
                    <w:rPr>
                      <w:rFonts w:eastAsia="Andale Sans UI"/>
                      <w:szCs w:val="24"/>
                      <w:lang w:bidi="en-US"/>
                    </w:rPr>
                    <w:t>3</w:t>
                  </w:r>
                </w:sdtContent>
              </w:sdt>
              <w:r>
                <w:rPr>
                  <w:rFonts w:eastAsia="Andale Sans UI"/>
                  <w:szCs w:val="24"/>
                  <w:lang w:bidi="en-US"/>
                </w:rPr>
                <w:t xml:space="preserve">) </w:t>
              </w:r>
              <w:r>
                <w:rPr>
                  <w:rFonts w:eastAsia="Andale Sans UI"/>
                  <w:szCs w:val="24"/>
                  <w:lang w:val="lt" w:bidi="en-US"/>
                </w:rPr>
                <w:t xml:space="preserve">suteikiama teisė aplinkos ministrui paskirti instituciją, atsakingą už Reglamente </w:t>
              </w:r>
              <w:fldSimple w:instr="HYPERLINK http://eur-lex.europa.eu/legal-content/LIT/TXT/?uri=CELEX:32006R1013&amp;locale=lt \t _blank">
                <w:r>
                  <w:rPr>
                    <w:rFonts w:eastAsia="Andale Sans UI"/>
                    <w:szCs w:val="24"/>
                    <w:lang w:val="lt" w:bidi="en-US"/>
                    <w:u w:val="single"/>
                    <w:color w:val="0000FF" w:themeColor="hyperlink"/>
                  </w:rPr>
                  <w:t>(EB) Nr. 1013/2006</w:t>
                </w:r>
              </w:fldSimple>
              <w:r>
                <w:rPr>
                  <w:rFonts w:eastAsia="Andale Sans UI"/>
                  <w:szCs w:val="24"/>
                  <w:lang w:val="lt" w:bidi="en-US"/>
                </w:rPr>
                <w:t xml:space="preserve"> ir Reglamente </w:t>
              </w:r>
              <w:fldSimple w:instr="HYPERLINK http://eur-lex.europa.eu/legal-content/LIT/TXT/?uri=CELEX:32024R1157&amp;locale=lt \t _blank">
                <w:r>
                  <w:rPr>
                    <w:rFonts w:eastAsia="Andale Sans UI"/>
                    <w:szCs w:val="24"/>
                    <w:lang w:val="lt" w:bidi="en-US"/>
                    <w:u w:val="single"/>
                    <w:color w:val="0000FF" w:themeColor="hyperlink"/>
                  </w:rPr>
                  <w:t>(ES) 2024/1157</w:t>
                </w:r>
              </w:fldSimple>
              <w:r>
                <w:rPr>
                  <w:rFonts w:eastAsia="Andale Sans UI"/>
                  <w:szCs w:val="24"/>
                  <w:lang w:val="lt" w:bidi="en-US"/>
                </w:rPr>
                <w:t xml:space="preserve"> numatytų kompetentingos institucijos, korespondento ir bendradarbiavimo funkcijų atlikimą; </w:t>
              </w:r>
            </w:p>
          </w:sdtContent>
        </w:sdt>
        <w:sdt>
          <w:sdtPr>
            <w:alias w:val="4 pp."/>
            <w:tag w:val="part_de4467b70c834ba397f28d9e1d63d5f1"/>
            <w:lock w:val="sdtLocked"/>
            <w:richText/>
          </w:sdtPr>
          <w:sdtContent>
            <w:p>
              <w:pPr>
                <w:widowControl w:val="0"/>
                <w:shd w:val="clear" w:color="auto" w:fill="FFFFFF"/>
                <w:ind w:firstLine="567"/>
                <w:jc w:val="both"/>
                <w:textAlignment w:val="center"/>
                <w:rPr>
                  <w:rFonts w:eastAsia="Andale Sans UI"/>
                  <w:szCs w:val="24"/>
                  <w:lang w:bidi="en-US"/>
                </w:rPr>
              </w:pPr>
              <w:sdt>
                <w:sdtPr>
                  <w:alias w:val="Numeris"/>
                  <w:tag w:val="nr_de4467b70c834ba397f28d9e1d63d5f1"/>
                  <w:lock w:val="sdtLocked"/>
                  <w:richText/>
                </w:sdtPr>
                <w:sdtContent>
                  <w:r>
                    <w:rPr>
                      <w:rFonts w:eastAsia="Andale Sans UI"/>
                      <w:szCs w:val="24"/>
                      <w:lang w:bidi="en-US"/>
                    </w:rPr>
                    <w:t>4</w:t>
                  </w:r>
                </w:sdtContent>
              </w:sdt>
              <w:r>
                <w:rPr>
                  <w:rFonts w:eastAsia="Andale Sans UI"/>
                  <w:szCs w:val="24"/>
                  <w:lang w:bidi="en-US"/>
                </w:rPr>
                <w:t>) suteikiama teisė aplinkos ministrui nustatyti tarpvalstybinio atliekų vežimo tvarką ir išankstinių sutikimų dėl atitinkamų atliekų naudojimo įrenginių, į kuriuos įvežamos (importuojamos) atliekos iš Europos Sąjungos, Europos ekonominės erdvės ir Ekonominio bendradarbiavimo ir plėtros organizacijos valstybių, išdavimo, keitimo ir galiojimo panaikinimo atliekų tvarkytojams tvarką;</w:t>
              </w:r>
            </w:p>
          </w:sdtContent>
        </w:sdt>
        <w:sdt>
          <w:sdtPr>
            <w:alias w:val="5 pp."/>
            <w:tag w:val="part_cf8ae10f67db473680c680b1ecafc550"/>
            <w:lock w:val="sdtLocked"/>
            <w:richText/>
          </w:sdtPr>
          <w:sdtContent>
            <w:p>
              <w:pPr>
                <w:widowControl w:val="0"/>
                <w:shd w:val="clear" w:color="auto" w:fill="FFFFFF"/>
                <w:ind w:firstLine="567"/>
                <w:jc w:val="both"/>
                <w:textAlignment w:val="center"/>
                <w:rPr>
                  <w:rFonts w:eastAsia="Andale Sans UI"/>
                  <w:szCs w:val="24"/>
                  <w:lang w:val="lt" w:bidi="en-US"/>
                </w:rPr>
              </w:pPr>
              <w:sdt>
                <w:sdtPr>
                  <w:alias w:val="Numeris"/>
                  <w:tag w:val="nr_cf8ae10f67db473680c680b1ecafc550"/>
                  <w:lock w:val="sdtLocked"/>
                  <w:richText/>
                </w:sdtPr>
                <w:sdtContent>
                  <w:r>
                    <w:rPr>
                      <w:rFonts w:eastAsia="Andale Sans UI"/>
                      <w:szCs w:val="24"/>
                      <w:lang w:bidi="en-US"/>
                    </w:rPr>
                    <w:t>5</w:t>
                  </w:r>
                </w:sdtContent>
              </w:sdt>
              <w:r>
                <w:rPr>
                  <w:rFonts w:eastAsia="Andale Sans UI"/>
                  <w:szCs w:val="24"/>
                  <w:lang w:bidi="en-US"/>
                </w:rPr>
                <w:t xml:space="preserve">) </w:t>
              </w:r>
              <w:r>
                <w:rPr>
                  <w:rFonts w:eastAsia="Andale Sans UI"/>
                  <w:szCs w:val="24"/>
                  <w:lang w:val="lt" w:bidi="en-US"/>
                </w:rPr>
                <w:t xml:space="preserve">nustatomos išankstinio sutikimo išdavimo, keitimo ir galiojimo panaikinimo sąlygos; </w:t>
              </w:r>
            </w:p>
          </w:sdtContent>
        </w:sdt>
        <w:sdt>
          <w:sdtPr>
            <w:alias w:val="6 pp."/>
            <w:tag w:val="part_0c5f32b16e924deaab04a99815c937d0"/>
            <w:lock w:val="sdtLocked"/>
            <w:richText/>
          </w:sdtPr>
          <w:sdtContent>
            <w:p>
              <w:pPr>
                <w:ind w:firstLine="567"/>
                <w:jc w:val="both"/>
                <w:rPr>
                  <w:rFonts w:eastAsia="Andale Sans UI"/>
                  <w:szCs w:val="24"/>
                  <w:lang w:bidi="en-US"/>
                </w:rPr>
              </w:pPr>
              <w:sdt>
                <w:sdtPr>
                  <w:alias w:val="Numeris"/>
                  <w:tag w:val="nr_0c5f32b16e924deaab04a99815c937d0"/>
                  <w:lock w:val="sdtLocked"/>
                  <w:richText/>
                </w:sdtPr>
                <w:sdtContent>
                  <w:r>
                    <w:rPr>
                      <w:rFonts w:eastAsia="Andale Sans UI"/>
                      <w:szCs w:val="24"/>
                      <w:lang w:val="lt" w:bidi="en-US"/>
                    </w:rPr>
                    <w:t>6</w:t>
                  </w:r>
                </w:sdtContent>
              </w:sdt>
              <w:r>
                <w:rPr>
                  <w:rFonts w:eastAsia="Andale Sans UI"/>
                  <w:szCs w:val="24"/>
                  <w:lang w:val="lt" w:bidi="en-US"/>
                </w:rPr>
                <w:t xml:space="preserve">) perkeliant </w:t>
              </w:r>
              <w:r>
                <w:rPr>
                  <w:rFonts w:eastAsia="Andale Sans UI"/>
                  <w:szCs w:val="24"/>
                  <w:lang w:bidi="en-US"/>
                </w:rPr>
                <w:t xml:space="preserve">EEĮ direktyvą </w:t>
              </w:r>
              <w:fldSimple w:instr="HYPERLINK http://eur-lex.europa.eu/legal-content/LIT/TXT/?uri=CELEX:32012L0019&amp;locale=lt \t _blank">
                <w:r>
                  <w:rPr>
                    <w:rFonts w:eastAsia="Andale Sans UI"/>
                    <w:szCs w:val="24"/>
                    <w:lang w:bidi="en-US"/>
                    <w:u w:val="single"/>
                    <w:color w:val="0000FF" w:themeColor="hyperlink"/>
                  </w:rPr>
                  <w:t>2012/19/ES</w:t>
                </w:r>
              </w:fldSimple>
              <w:r>
                <w:rPr>
                  <w:rFonts w:eastAsia="Andale Sans UI"/>
                  <w:szCs w:val="24"/>
                  <w:lang w:bidi="en-US"/>
                </w:rPr>
                <w:t xml:space="preserve">, nustatoma, nuo kada EEĮ gamintojai ir importuotojai turi finansuoti fotovoltinių plokščių ir kitos įrangos, kuriai anksčiau nebuvo taikoma EEĮ direktyva </w:t>
              </w:r>
              <w:fldSimple w:instr="HYPERLINK http://eur-lex.europa.eu/legal-content/LIT/TXT/?uri=CELEX:32012L0019&amp;locale=lt \t _blank">
                <w:r>
                  <w:rPr>
                    <w:rFonts w:eastAsia="Andale Sans UI"/>
                    <w:szCs w:val="24"/>
                    <w:lang w:bidi="en-US"/>
                    <w:u w:val="single"/>
                    <w:color w:val="0000FF" w:themeColor="hyperlink"/>
                  </w:rPr>
                  <w:t>2012/19/ES</w:t>
                </w:r>
              </w:fldSimple>
              <w:r>
                <w:rPr>
                  <w:rFonts w:eastAsia="Andale Sans UI"/>
                  <w:szCs w:val="24"/>
                  <w:lang w:bidi="en-US"/>
                </w:rPr>
                <w:t>, atliekų tvarkymą.</w:t>
              </w:r>
            </w:p>
            <w:p>
              <w:pPr>
                <w:ind w:firstLine="567"/>
                <w:jc w:val="both"/>
                <w:rPr>
                  <w:rFonts w:eastAsia="Andale Sans UI"/>
                  <w:szCs w:val="24"/>
                  <w:lang w:bidi="en-US"/>
                </w:rPr>
              </w:pPr>
              <w:r>
                <w:rPr>
                  <w:szCs w:val="24"/>
                  <w:lang w:bidi="en-US"/>
                </w:rPr>
                <w:t xml:space="preserve">Reglamento </w:t>
              </w:r>
              <w:fldSimple w:instr="HYPERLINK http://eur-lex.europa.eu/legal-content/LIT/TXT/?uri=CELEX:32023R1542&amp;locale=lt \t _blank">
                <w:r>
                  <w:rPr>
                    <w:szCs w:val="24"/>
                    <w:lang w:bidi="en-US"/>
                    <w:u w:val="single"/>
                    <w:color w:val="0000FF" w:themeColor="hyperlink"/>
                  </w:rPr>
                  <w:t>(ES) 2023/1542</w:t>
                </w:r>
              </w:fldSimple>
              <w:r>
                <w:rPr>
                  <w:szCs w:val="24"/>
                  <w:lang w:bidi="en-US"/>
                </w:rPr>
                <w:t xml:space="preserve"> preambulės 138 punkte nurodyta, kad, nustatant sankcijas už reglamento pažeidimus, „svarbu deramai atsižvelgti į pažeidimo pobūdį, sunkumą, mastą, tyčinį pobūdį ir pasikartojamumą, taip pat į atsakingu laikomo fizinio ar juridinio asmens bendradarbiavimo su kompetentinga institucija lygį“. Atsižvelgiant į tai, akivaizdu, kad sankcijos suprantamos kaip administracinė atsakomybė, kaip numatoma AAĮ ir ANK. </w:t>
              </w:r>
              <w:r>
                <w:rPr>
                  <w:rFonts w:eastAsia="Andale Sans UI"/>
                  <w:szCs w:val="24"/>
                  <w:lang w:eastAsia="en-GB" w:bidi="en-US"/>
                </w:rPr>
                <w:t xml:space="preserve">Mokesčio už aplinkos teršimą taikymas už Reglamente </w:t>
              </w:r>
              <w:fldSimple w:instr="HYPERLINK http://eur-lex.europa.eu/legal-content/LIT/TXT/?uri=CELEX:32023R1542&amp;locale=lt \t _blank">
                <w:r>
                  <w:rPr>
                    <w:rFonts w:eastAsia="Andale Sans UI"/>
                    <w:szCs w:val="24"/>
                    <w:lang w:eastAsia="en-GB" w:bidi="en-US"/>
                    <w:u w:val="single"/>
                    <w:color w:val="0000FF" w:themeColor="hyperlink"/>
                  </w:rPr>
                  <w:t>(ES) 2023/1542</w:t>
                </w:r>
              </w:fldSimple>
              <w:r>
                <w:rPr>
                  <w:rFonts w:eastAsia="Andale Sans UI"/>
                  <w:szCs w:val="24"/>
                  <w:lang w:eastAsia="en-GB" w:bidi="en-US"/>
                </w:rPr>
                <w:t xml:space="preserve"> nustatytų baterijų atliekų surinkimo užduočių neįvykdymą neatitiktų Reglamento </w:t>
              </w:r>
              <w:fldSimple w:instr="HYPERLINK http://eur-lex.europa.eu/legal-content/LIT/TXT/?uri=CELEX:32023R1542&amp;locale=lt \t _blank">
                <w:r>
                  <w:rPr>
                    <w:rFonts w:eastAsia="Andale Sans UI"/>
                    <w:szCs w:val="24"/>
                    <w:lang w:eastAsia="en-GB" w:bidi="en-US"/>
                    <w:u w:val="single"/>
                    <w:color w:val="0000FF" w:themeColor="hyperlink"/>
                  </w:rPr>
                  <w:t>(ES) 2023/1542</w:t>
                </w:r>
              </w:fldSimple>
              <w:r>
                <w:rPr>
                  <w:rFonts w:eastAsia="Andale Sans UI"/>
                  <w:szCs w:val="24"/>
                  <w:lang w:eastAsia="en-GB" w:bidi="en-US"/>
                </w:rPr>
                <w:t xml:space="preserve"> preambulėje nurodyto sankcijų nustatymo principo.</w:t>
              </w:r>
            </w:p>
            <w:p>
              <w:pPr>
                <w:ind w:firstLine="567"/>
                <w:jc w:val="both"/>
                <w:rPr>
                  <w:rFonts w:eastAsia="Andale Sans UI" w:cs="Tahoma"/>
                  <w:szCs w:val="24"/>
                  <w:lang w:bidi="en-US"/>
                </w:rPr>
              </w:pPr>
              <w:r>
                <w:rPr>
                  <w:rFonts w:eastAsia="Andale Sans UI" w:cs="Tahoma"/>
                  <w:szCs w:val="24"/>
                  <w:lang w:bidi="en-US"/>
                </w:rPr>
                <w:t xml:space="preserve">Todėl MATĮ projekte siūloma atsisakyti nuostatų, kurios numato mokesčio už aplinkos teršimą gaminių atliekomis taikymą baterijoms (ir akumuliatoriams). </w:t>
              </w:r>
            </w:p>
            <w:p>
              <w:pPr>
                <w:ind w:firstLine="567"/>
                <w:jc w:val="both"/>
                <w:rPr>
                  <w:rFonts w:eastAsia="Andale Sans UI" w:cs="Tahoma"/>
                  <w:szCs w:val="24"/>
                  <w:lang w:bidi="en-US"/>
                </w:rPr>
              </w:pPr>
              <w:r>
                <w:rPr>
                  <w:rFonts w:eastAsia="Andale Sans UI" w:cs="Tahoma"/>
                  <w:szCs w:val="24"/>
                  <w:lang w:bidi="en-US"/>
                </w:rPr>
                <w:t xml:space="preserve">AAĮ ir ANK projektuose ekonominės veiklos vykdytojams numatomos baudos už Reglamente </w:t>
              </w:r>
              <w:fldSimple w:instr="HYPERLINK http://eur-lex.europa.eu/legal-content/LIT/TXT/?uri=CELEX:32023R1542&amp;locale=lt \t _blank">
                <w:r>
                  <w:rPr>
                    <w:rFonts w:eastAsia="Andale Sans UI" w:cs="Tahoma"/>
                    <w:szCs w:val="24"/>
                    <w:lang w:bidi="en-US"/>
                    <w:u w:val="single"/>
                    <w:color w:val="0000FF" w:themeColor="hyperlink"/>
                  </w:rPr>
                  <w:t>(ES) 2023/1542</w:t>
                </w:r>
              </w:fldSimple>
              <w:r>
                <w:rPr>
                  <w:rFonts w:eastAsia="Andale Sans UI" w:cs="Tahoma"/>
                  <w:szCs w:val="24"/>
                  <w:lang w:bidi="en-US"/>
                </w:rPr>
                <w:t xml:space="preserve"> nustatytų </w:t>
              </w:r>
              <w:r>
                <w:rPr>
                  <w:rFonts w:eastAsia="Andale Sans UI"/>
                  <w:szCs w:val="24"/>
                  <w:lang w:bidi="en-US"/>
                </w:rPr>
                <w:t xml:space="preserve">reikalavimų </w:t>
              </w:r>
              <w:r>
                <w:rPr>
                  <w:rFonts w:eastAsia="Andale Sans UI" w:cs="Tahoma"/>
                  <w:szCs w:val="24"/>
                  <w:lang w:bidi="en-US"/>
                </w:rPr>
                <w:t xml:space="preserve">nevykdymą. </w:t>
              </w:r>
            </w:p>
            <w:p>
              <w:pPr>
                <w:ind w:firstLine="567"/>
                <w:jc w:val="both"/>
                <w:rPr>
                  <w:rFonts w:eastAsia="Andale Sans UI"/>
                  <w:b/>
                  <w:bCs/>
                  <w:szCs w:val="24"/>
                  <w:lang w:bidi="en-US"/>
                </w:rPr>
              </w:pPr>
              <w:r>
                <w:rPr>
                  <w:rFonts w:eastAsia="Andale Sans UI"/>
                  <w:b/>
                  <w:bCs/>
                  <w:szCs w:val="24"/>
                  <w:lang w:bidi="en-US"/>
                </w:rPr>
                <w:t>3. Pasiūlymų įgyvendinimo mechanizmas, kaštai ir nauda</w:t>
              </w:r>
            </w:p>
            <w:p>
              <w:pPr>
                <w:shd w:val="clear" w:color="auto" w:fill="FFFFFF"/>
                <w:ind w:firstLine="567"/>
                <w:jc w:val="both"/>
                <w:rPr>
                  <w:rFonts w:eastAsia="Andale Sans UI"/>
                  <w:szCs w:val="24"/>
                  <w:lang w:bidi="en-US"/>
                </w:rPr>
              </w:pPr>
              <w:r>
                <w:rPr>
                  <w:rFonts w:eastAsia="Andale Sans UI"/>
                  <w:szCs w:val="24"/>
                  <w:lang w:bidi="en-US"/>
                </w:rPr>
                <w:t xml:space="preserve">Reglamentas </w:t>
              </w:r>
              <w:fldSimple w:instr="HYPERLINK http://eur-lex.europa.eu/legal-content/LIT/TXT/?uri=CELEX:32023R1542&amp;locale=lt \t _blank">
                <w:r>
                  <w:rPr>
                    <w:rFonts w:eastAsia="Andale Sans UI"/>
                    <w:szCs w:val="24"/>
                    <w:lang w:bidi="en-US"/>
                    <w:u w:val="single"/>
                    <w:color w:val="0000FF" w:themeColor="hyperlink"/>
                  </w:rPr>
                  <w:t>(ES) 2023/1542</w:t>
                </w:r>
              </w:fldSimple>
              <w:r>
                <w:rPr>
                  <w:rFonts w:eastAsia="Andale Sans UI"/>
                  <w:szCs w:val="24"/>
                  <w:lang w:bidi="en-US"/>
                </w:rPr>
                <w:t xml:space="preserve"> nustato ne tik baterijų atliekų tvarkymo reikalavimus, bet ir reikalavimus baterijoms. </w:t>
              </w:r>
              <w:r>
                <w:rPr>
                  <w:rFonts w:eastAsia="Andale Sans UI"/>
                  <w:szCs w:val="24"/>
                  <w:lang w:eastAsia="en-GB" w:bidi="en-US"/>
                </w:rPr>
                <w:t>Pagal savo paskirtį ATĮ reglamentuoja atliekų tvarkymo reikalavimus, todėl jame neturėtų būti nuostatų, reglamentuojančių reikalavimus Lietuvos rinkai tiekiamoms baterijoms.</w:t>
              </w:r>
              <w:r>
                <w:rPr>
                  <w:rFonts w:eastAsia="Andale Sans UI"/>
                  <w:szCs w:val="24"/>
                  <w:lang w:bidi="en-US"/>
                </w:rPr>
                <w:t xml:space="preserve"> </w:t>
              </w:r>
              <w:r>
                <w:rPr>
                  <w:rFonts w:eastAsia="Andale Sans UI"/>
                  <w:szCs w:val="24"/>
                  <w:lang w:eastAsia="en-GB" w:bidi="en-US"/>
                </w:rPr>
                <w:t xml:space="preserve">Pagrindinius reikalavimus, susijusius su baterijomis ir jų atliekų tvarkymu, išdėstant specialiajame įstatyme – Baterijų įstatyme, baterijų rinkos dalyviams būtų aiškesnis teisinis reguliavimas, aiškiau suprantamos baterijų atliekų tvarkymo teisinio reguliavimo ribos, sistemiškai įgyvendinami Reglamento </w:t>
              </w:r>
              <w:fldSimple w:instr="HYPERLINK http://eur-lex.europa.eu/legal-content/LIT/TXT/?uri=CELEX:32023R1542&amp;locale=lt \t _blank">
                <w:r>
                  <w:rPr>
                    <w:rFonts w:eastAsia="Andale Sans UI"/>
                    <w:szCs w:val="24"/>
                    <w:lang w:eastAsia="en-GB" w:bidi="en-US"/>
                    <w:u w:val="single"/>
                    <w:color w:val="0000FF" w:themeColor="hyperlink"/>
                  </w:rPr>
                  <w:t>(ES) 2023/1542</w:t>
                </w:r>
              </w:fldSimple>
              <w:r>
                <w:rPr>
                  <w:rFonts w:eastAsia="Andale Sans UI"/>
                  <w:szCs w:val="24"/>
                  <w:lang w:eastAsia="en-GB" w:bidi="en-US"/>
                </w:rPr>
                <w:t xml:space="preserve"> reikalavimai, ateityje, prireikus tikslinti tik baterijų atliekų tvarkymo srities įstatymines nuostatas, užtektų keisti tik specialųjį įstatymą ir nereikėtų liesti platesnio teisinio reguliavimo.</w:t>
              </w:r>
              <w:r>
                <w:rPr>
                  <w:rFonts w:eastAsia="Andale Sans UI"/>
                  <w:szCs w:val="24"/>
                  <w:lang w:bidi="en-US"/>
                </w:rPr>
                <w:t xml:space="preserve"> </w:t>
              </w:r>
            </w:p>
            <w:p>
              <w:pPr>
                <w:shd w:val="clear" w:color="auto" w:fill="FFFFFF"/>
                <w:ind w:firstLine="567"/>
                <w:jc w:val="both"/>
                <w:rPr>
                  <w:rFonts w:eastAsia="Andale Sans UI"/>
                  <w:szCs w:val="24"/>
                  <w:lang w:bidi="en-US"/>
                </w:rPr>
              </w:pPr>
              <w:r>
                <w:rPr>
                  <w:rFonts w:eastAsia="Andale Sans UI"/>
                  <w:szCs w:val="24"/>
                  <w:lang w:bidi="en-US"/>
                </w:rPr>
                <w:t>Planuojama, kad:</w:t>
              </w:r>
            </w:p>
          </w:sdtContent>
        </w:sdt>
        <w:sdt>
          <w:sdtPr>
            <w:alias w:val="1 pp."/>
            <w:tag w:val="part_923ff4f070ef4ddcb7b564f67c9c8231"/>
            <w:lock w:val="sdtLocked"/>
            <w:richText/>
          </w:sdtPr>
          <w:sdtContent>
            <w:p>
              <w:pPr>
                <w:ind w:firstLine="567"/>
                <w:jc w:val="both"/>
                <w:rPr>
                  <w:rFonts w:eastAsia="Andale Sans UI"/>
                  <w:szCs w:val="24"/>
                  <w:lang w:bidi="en-US"/>
                </w:rPr>
              </w:pPr>
              <w:sdt>
                <w:sdtPr>
                  <w:alias w:val="Numeris"/>
                  <w:tag w:val="nr_923ff4f070ef4ddcb7b564f67c9c8231"/>
                  <w:lock w:val="sdtLocked"/>
                  <w:richText/>
                </w:sdtPr>
                <w:sdtContent>
                  <w:r>
                    <w:rPr>
                      <w:rFonts w:eastAsia="Andale Sans UI"/>
                      <w:szCs w:val="24"/>
                    </w:rPr>
                    <w:t>1</w:t>
                  </w:r>
                </w:sdtContent>
              </w:sdt>
              <w:r>
                <w:rPr>
                  <w:rFonts w:eastAsia="Andale Sans UI"/>
                  <w:szCs w:val="24"/>
                </w:rPr>
                <w:t xml:space="preserve">) </w:t>
              </w:r>
              <w:r>
                <w:rPr>
                  <w:rFonts w:eastAsia="Andale Sans UI"/>
                  <w:szCs w:val="24"/>
                  <w:lang w:bidi="en-US"/>
                </w:rPr>
                <w:t xml:space="preserve">siekiant užtikrinti, kad Lietuvos rinkai būtų tiekiamos tik tokios baterijos, kurios atitinka Reglamente </w:t>
              </w:r>
              <w:fldSimple w:instr="HYPERLINK http://eur-lex.europa.eu/legal-content/LIT/TXT/?uri=CELEX:32023R1542&amp;locale=lt \t _blank">
                <w:r>
                  <w:rPr>
                    <w:rFonts w:eastAsia="Andale Sans UI"/>
                    <w:szCs w:val="24"/>
                    <w:lang w:bidi="en-US"/>
                    <w:u w:val="single"/>
                    <w:color w:val="0000FF" w:themeColor="hyperlink"/>
                  </w:rPr>
                  <w:t>(ES) 2023/1542</w:t>
                </w:r>
              </w:fldSimple>
              <w:r>
                <w:rPr>
                  <w:rFonts w:eastAsia="Andale Sans UI"/>
                  <w:szCs w:val="24"/>
                  <w:lang w:bidi="en-US"/>
                </w:rPr>
                <w:t xml:space="preserve"> nustatytus reikalavimus, kaip ir kitų ne maisto produktų atveju, baterijų (išskyrus elektrinių transporto priemonių baterijas) rinkos priežiūrą vykdys Valstybinė vartotojų teisių apsaugos tarnyba, o elektrinių transporto priemonių baterijų rinkos priežiūrą – Lietuvos transporto saugos administracija;</w:t>
              </w:r>
            </w:p>
          </w:sdtContent>
        </w:sdt>
        <w:sdt>
          <w:sdtPr>
            <w:alias w:val="2 pp."/>
            <w:tag w:val="part_3b757b2bf2dc4d718218fa4be40253e2"/>
            <w:lock w:val="sdtLocked"/>
            <w:richText/>
          </w:sdtPr>
          <w:sdtContent>
            <w:p>
              <w:pPr>
                <w:shd w:val="clear" w:color="auto" w:fill="FFFFFF"/>
                <w:ind w:firstLine="567"/>
                <w:jc w:val="both"/>
                <w:rPr>
                  <w:rFonts w:eastAsia="Andale Sans UI"/>
                  <w:szCs w:val="24"/>
                  <w:lang w:bidi="en-US"/>
                </w:rPr>
              </w:pPr>
              <w:sdt>
                <w:sdtPr>
                  <w:alias w:val="Numeris"/>
                  <w:tag w:val="nr_3b757b2bf2dc4d718218fa4be40253e2"/>
                  <w:lock w:val="sdtLocked"/>
                  <w:richText/>
                </w:sdtPr>
                <w:sdtContent>
                  <w:r>
                    <w:rPr>
                      <w:rFonts w:eastAsia="Andale Sans UI"/>
                      <w:szCs w:val="24"/>
                    </w:rPr>
                    <w:t>2</w:t>
                  </w:r>
                </w:sdtContent>
              </w:sdt>
              <w:r>
                <w:rPr>
                  <w:rFonts w:eastAsia="Andale Sans UI"/>
                  <w:szCs w:val="24"/>
                </w:rPr>
                <w:t xml:space="preserve">) </w:t>
              </w:r>
              <w:r>
                <w:rPr>
                  <w:rFonts w:eastAsia="Andale Sans UI"/>
                  <w:szCs w:val="24"/>
                  <w:lang w:bidi="en-US"/>
                </w:rPr>
                <w:t xml:space="preserve">baterijų atliekų tvarkymo reikalavimų laikymosi priežiūrą, įskaitant, ar baterijų gamintojus vienijančios organizacijos laikosi su didesne gamintojo atsakomybe susijusių baterijų atliekų tvarkymo organizavimo reikalavimų, vykdys Aplinkos apsaugos departamentas; </w:t>
              </w:r>
            </w:p>
          </w:sdtContent>
        </w:sdt>
        <w:sdt>
          <w:sdtPr>
            <w:alias w:val="3 pp."/>
            <w:tag w:val="part_38b6500f9896410e826b7cbaf5e99441"/>
            <w:lock w:val="sdtLocked"/>
            <w:richText/>
          </w:sdtPr>
          <w:sdtContent>
            <w:p>
              <w:pPr>
                <w:shd w:val="clear" w:color="auto" w:fill="FFFFFF"/>
                <w:ind w:firstLine="567"/>
                <w:jc w:val="both"/>
                <w:rPr>
                  <w:color w:val="000000"/>
                  <w:szCs w:val="24"/>
                  <w:lang w:bidi="en-US"/>
                </w:rPr>
              </w:pPr>
              <w:sdt>
                <w:sdtPr>
                  <w:alias w:val="Numeris"/>
                  <w:tag w:val="nr_38b6500f9896410e826b7cbaf5e99441"/>
                  <w:lock w:val="sdtLocked"/>
                  <w:richText/>
                </w:sdtPr>
                <w:sdtContent>
                  <w:r>
                    <w:rPr>
                      <w:color w:val="000000"/>
                      <w:szCs w:val="24"/>
                    </w:rPr>
                    <w:t>3</w:t>
                  </w:r>
                </w:sdtContent>
              </w:sdt>
              <w:r>
                <w:rPr>
                  <w:color w:val="000000"/>
                  <w:szCs w:val="24"/>
                </w:rPr>
                <w:t xml:space="preserve">) </w:t>
              </w:r>
              <w:r>
                <w:rPr>
                  <w:rFonts w:eastAsia="Andale Sans UI"/>
                  <w:szCs w:val="24"/>
                  <w:lang w:bidi="en-US"/>
                </w:rPr>
                <w:t xml:space="preserve">procedūras, susijusias gamintojų ir importuotojų registravimu </w:t>
              </w:r>
              <w:r>
                <w:rPr>
                  <w:color w:val="000000"/>
                  <w:szCs w:val="24"/>
                  <w:lang w:bidi="en-US"/>
                </w:rPr>
                <w:t xml:space="preserve">Reglamento </w:t>
              </w:r>
              <w:fldSimple w:instr="HYPERLINK http://eur-lex.europa.eu/legal-content/LIT/TXT/?uri=CELEX:32023R1542&amp;locale=lt \t _blank">
                <w:r>
                  <w:rPr>
                    <w:color w:val="0000FF" w:themeColor="hyperlink"/>
                    <w:szCs w:val="24"/>
                    <w:lang w:bidi="en-US"/>
                    <w:u w:val="single"/>
                  </w:rPr>
                  <w:t>(ES) 2023/1542</w:t>
                </w:r>
              </w:fldSimple>
              <w:r>
                <w:rPr>
                  <w:color w:val="000000"/>
                  <w:szCs w:val="24"/>
                  <w:lang w:bidi="en-US"/>
                </w:rPr>
                <w:t xml:space="preserve"> 55 straipsnyje nurodytame gamintojų registre ir baterijų atliekų tvarkymo organizavimo licencijų išdavimu, įspėjimu apie galimą tokių licencijų galiojimo sustabdymą ar galiojimo panaikinimą, licencijų galiojimo sustabdymu, galiojimo sustabdymo panaikinimu, galiojimo panaikinimu,</w:t>
              </w:r>
              <w:r>
                <w:rPr>
                  <w:szCs w:val="24"/>
                  <w:lang w:bidi="en-US"/>
                </w:rPr>
                <w:t xml:space="preserve"> </w:t>
              </w:r>
              <w:r>
                <w:rPr>
                  <w:color w:val="000000"/>
                  <w:szCs w:val="24"/>
                  <w:lang w:bidi="en-US"/>
                </w:rPr>
                <w:t>atliks, statistinius duomenis apie Lietuvos rinkai patiektą baterijų kiekį ir sutvarkytą baterijų atliekų kiekį viešai skelbs ir tokių duomenų ataskaitas Europos Komisijai teiks Aplinkos apsaugos agentūra;</w:t>
              </w:r>
            </w:p>
          </w:sdtContent>
        </w:sdt>
        <w:sdt>
          <w:sdtPr>
            <w:alias w:val="4 pp."/>
            <w:tag w:val="part_9855523b728a489a8ec519d8ea7d6fd1"/>
            <w:lock w:val="sdtLocked"/>
            <w:richText/>
          </w:sdtPr>
          <w:sdtContent>
            <w:p>
              <w:pPr>
                <w:shd w:val="clear" w:color="auto" w:fill="FFFFFF"/>
                <w:ind w:firstLine="567"/>
                <w:jc w:val="both"/>
                <w:rPr>
                  <w:color w:val="000000"/>
                  <w:szCs w:val="24"/>
                  <w:lang w:bidi="en-US"/>
                </w:rPr>
              </w:pPr>
              <w:sdt>
                <w:sdtPr>
                  <w:alias w:val="Numeris"/>
                  <w:tag w:val="nr_9855523b728a489a8ec519d8ea7d6fd1"/>
                  <w:lock w:val="sdtLocked"/>
                  <w:richText/>
                </w:sdtPr>
                <w:sdtContent>
                  <w:r>
                    <w:rPr>
                      <w:color w:val="000000"/>
                      <w:szCs w:val="24"/>
                    </w:rPr>
                    <w:t>4</w:t>
                  </w:r>
                </w:sdtContent>
              </w:sdt>
              <w:r>
                <w:rPr>
                  <w:color w:val="000000"/>
                  <w:szCs w:val="24"/>
                </w:rPr>
                <w:t xml:space="preserve">) </w:t>
              </w:r>
              <w:r>
                <w:rPr>
                  <w:color w:val="000000"/>
                  <w:szCs w:val="24"/>
                  <w:lang w:bidi="en-US"/>
                </w:rPr>
                <w:t xml:space="preserve">procedūras, susijusias su atitikties vertinimo įstaigų, kurios norėtų vykdyti baterijų atitikties Reglamente </w:t>
              </w:r>
              <w:fldSimple w:instr="HYPERLINK http://eur-lex.europa.eu/legal-content/LIT/TXT/?uri=CELEX:32023R1542&amp;locale=lt \t _blank">
                <w:r>
                  <w:rPr>
                    <w:color w:val="0000FF" w:themeColor="hyperlink"/>
                    <w:szCs w:val="24"/>
                    <w:lang w:bidi="en-US"/>
                    <w:u w:val="single"/>
                  </w:rPr>
                  <w:t>(ES) 2023/1542</w:t>
                </w:r>
              </w:fldSimple>
              <w:r>
                <w:rPr>
                  <w:color w:val="000000"/>
                  <w:szCs w:val="24"/>
                  <w:lang w:bidi="en-US"/>
                </w:rPr>
                <w:t xml:space="preserve"> nustatytiems reikalavimams vertinimo veiklą, akreditavimu, ir notifikuotų atitikties vertinimo įstaigų stebėseną vykdys nacionalinė akreditacijos įstaiga – Nacionalinis akreditacijos biuras (atlikus reorganizavimą, nuo 2026 m. sausio 1 d. – </w:t>
              </w:r>
              <w:r>
                <w:rPr>
                  <w:szCs w:val="24"/>
                  <w:lang w:bidi="en-US"/>
                </w:rPr>
                <w:t>Lietuvos akreditacijos ir standartizacijos agentūra)</w:t>
              </w:r>
              <w:r>
                <w:rPr>
                  <w:color w:val="000000"/>
                  <w:szCs w:val="24"/>
                  <w:lang w:bidi="en-US"/>
                </w:rPr>
                <w:t>;</w:t>
              </w:r>
            </w:p>
          </w:sdtContent>
        </w:sdt>
        <w:sdt>
          <w:sdtPr>
            <w:alias w:val="5 pp."/>
            <w:tag w:val="part_cc15520606024e6a81a17e1f5cedfcde"/>
            <w:lock w:val="sdtLocked"/>
            <w:richText/>
          </w:sdtPr>
          <w:sdtContent>
            <w:p>
              <w:pPr>
                <w:shd w:val="clear" w:color="auto" w:fill="FFFFFF"/>
                <w:ind w:firstLine="567"/>
                <w:jc w:val="both"/>
                <w:rPr>
                  <w:color w:val="000000"/>
                  <w:szCs w:val="24"/>
                  <w:lang w:bidi="en-US"/>
                </w:rPr>
              </w:pPr>
              <w:sdt>
                <w:sdtPr>
                  <w:alias w:val="Numeris"/>
                  <w:tag w:val="nr_cc15520606024e6a81a17e1f5cedfcde"/>
                  <w:lock w:val="sdtLocked"/>
                  <w:richText/>
                </w:sdtPr>
                <w:sdtContent>
                  <w:r>
                    <w:rPr>
                      <w:color w:val="000000"/>
                      <w:szCs w:val="24"/>
                    </w:rPr>
                    <w:t>5</w:t>
                  </w:r>
                </w:sdtContent>
              </w:sdt>
              <w:r>
                <w:rPr>
                  <w:color w:val="000000"/>
                  <w:szCs w:val="24"/>
                </w:rPr>
                <w:t xml:space="preserve">) </w:t>
              </w:r>
              <w:r>
                <w:rPr>
                  <w:color w:val="000000"/>
                  <w:szCs w:val="24"/>
                  <w:lang w:bidi="en-US"/>
                </w:rPr>
                <w:t xml:space="preserve">procedūras, susijusias su notifikavimo paraiškas pateikusių atitikties vertinimo įstaigų vertinimu pagal Reglamento </w:t>
              </w:r>
              <w:fldSimple w:instr="HYPERLINK http://eur-lex.europa.eu/legal-content/LIT/TXT/?uri=CELEX:32023R1542&amp;locale=lt \t _blank">
                <w:r>
                  <w:rPr>
                    <w:color w:val="0000FF" w:themeColor="hyperlink"/>
                    <w:szCs w:val="24"/>
                    <w:lang w:bidi="en-US"/>
                    <w:u w:val="single"/>
                  </w:rPr>
                  <w:t>(ES) 2023/1542</w:t>
                </w:r>
              </w:fldSimple>
              <w:r>
                <w:rPr>
                  <w:color w:val="000000"/>
                  <w:szCs w:val="24"/>
                  <w:lang w:bidi="en-US"/>
                </w:rPr>
                <w:t xml:space="preserve"> 25 straipsnio reikalavimus, turėtų vykdyti Lietuvos Respublikos ekonomikos ir inovacijų ministerija arba Nacionalinis akreditacijos biuras. </w:t>
              </w:r>
            </w:p>
            <w:p>
              <w:pPr>
                <w:shd w:val="clear" w:color="auto" w:fill="FFFFFF"/>
                <w:ind w:firstLine="567"/>
                <w:jc w:val="both"/>
                <w:rPr>
                  <w:color w:val="000000"/>
                  <w:szCs w:val="24"/>
                  <w:lang w:bidi="en-US"/>
                </w:rPr>
              </w:pPr>
              <w:r>
                <w:rPr>
                  <w:color w:val="000000"/>
                  <w:szCs w:val="24"/>
                  <w:lang w:bidi="en-US"/>
                </w:rPr>
                <w:t xml:space="preserve">Pažymėtina, kad </w:t>
              </w:r>
              <w:r>
                <w:rPr>
                  <w:rFonts w:eastAsia="Andale Sans UI" w:cs="Tahoma"/>
                  <w:szCs w:val="24"/>
                  <w:lang w:eastAsia="lt-LT" w:bidi="en-US"/>
                </w:rPr>
                <w:t>r</w:t>
              </w:r>
              <w:r>
                <w:rPr>
                  <w:rFonts w:eastAsia="Andale Sans UI"/>
                  <w:szCs w:val="24"/>
                  <w:lang w:bidi="en-US"/>
                </w:rPr>
                <w:t xml:space="preserve">eikalavimai rinkai pateikiamoms baterijoms susiję su gaminių ekologinio projektavimo reikalavimais, nustatytais </w:t>
              </w:r>
              <w:r>
                <w:rPr>
                  <w:rFonts w:eastAsia="Andale Sans UI" w:cs="Tahoma"/>
                  <w:szCs w:val="24"/>
                  <w:lang w:bidi="en-US"/>
                </w:rPr>
                <w:t xml:space="preserve">Reglamente </w:t>
              </w:r>
              <w:fldSimple w:instr="HYPERLINK http://eur-lex.europa.eu/legal-content/LIT/TXT/?uri=CELEX:32024R1781&amp;locale=lt \t _blank">
                <w:r>
                  <w:rPr>
                    <w:rFonts w:eastAsia="Andale Sans UI" w:cs="Tahoma"/>
                    <w:szCs w:val="24"/>
                    <w:lang w:bidi="en-US"/>
                    <w:u w:val="single"/>
                    <w:color w:val="0000FF" w:themeColor="hyperlink"/>
                  </w:rPr>
                  <w:t>(ES) 2024/1781</w:t>
                </w:r>
              </w:fldSimple>
              <w:r>
                <w:rPr>
                  <w:rFonts w:eastAsia="Andale Sans UI" w:cs="Tahoma"/>
                  <w:szCs w:val="24"/>
                  <w:lang w:bidi="en-US"/>
                </w:rPr>
                <w:t xml:space="preserve">, kuriuo nustatoma tvarių gaminių ekologinio projektavimo reikalavimų nustatymo sistema, iš dalies keičiami Direktyva </w:t>
              </w:r>
              <w:fldSimple w:instr="HYPERLINK http://eur-lex.europa.eu/legal-content/LIT/TXT/?uri=CELEX:32020L1828&amp;locale=lt \t _blank">
                <w:r>
                  <w:rPr>
                    <w:rFonts w:eastAsia="Andale Sans UI" w:cs="Tahoma"/>
                    <w:szCs w:val="24"/>
                    <w:lang w:bidi="en-US"/>
                    <w:u w:val="single"/>
                    <w:color w:val="0000FF" w:themeColor="hyperlink"/>
                  </w:rPr>
                  <w:t>(ES) 2020/1828</w:t>
                </w:r>
              </w:fldSimple>
              <w:r>
                <w:rPr>
                  <w:rFonts w:eastAsia="Andale Sans UI" w:cs="Tahoma"/>
                  <w:szCs w:val="24"/>
                  <w:lang w:bidi="en-US"/>
                </w:rPr>
                <w:t xml:space="preserve"> bei Reglamentas </w:t>
              </w:r>
              <w:fldSimple w:instr="HYPERLINK http://eur-lex.europa.eu/legal-content/LIT/TXT/?uri=CELEX:32023R1542&amp;locale=lt \t _blank">
                <w:r>
                  <w:rPr>
                    <w:rFonts w:eastAsia="Andale Sans UI" w:cs="Tahoma"/>
                    <w:szCs w:val="24"/>
                    <w:lang w:bidi="en-US"/>
                    <w:u w:val="single"/>
                    <w:color w:val="0000FF" w:themeColor="hyperlink"/>
                  </w:rPr>
                  <w:t>(ES) 2023/1542</w:t>
                </w:r>
              </w:fldSimple>
              <w:r>
                <w:rPr>
                  <w:rFonts w:eastAsia="Andale Sans UI" w:cs="Tahoma"/>
                  <w:szCs w:val="24"/>
                  <w:lang w:bidi="en-US"/>
                </w:rPr>
                <w:t xml:space="preserve"> ir panaikinama Direktyva </w:t>
              </w:r>
              <w:fldSimple w:instr="HYPERLINK http://eur-lex.europa.eu/legal-content/LIT/TXT/?uri=CELEX:32009L0125&amp;locale=lt \t _blank">
                <w:r>
                  <w:rPr>
                    <w:rFonts w:eastAsia="Andale Sans UI" w:cs="Tahoma"/>
                    <w:szCs w:val="24"/>
                    <w:lang w:bidi="en-US"/>
                    <w:u w:val="single"/>
                    <w:color w:val="0000FF" w:themeColor="hyperlink"/>
                  </w:rPr>
                  <w:t>2009/125/EB</w:t>
                </w:r>
              </w:fldSimple>
              <w:r>
                <w:rPr>
                  <w:rFonts w:eastAsia="Andale Sans UI" w:cs="Tahoma"/>
                  <w:szCs w:val="24"/>
                  <w:lang w:bidi="en-US"/>
                </w:rPr>
                <w:t xml:space="preserve">. </w:t>
              </w:r>
              <w:r>
                <w:rPr>
                  <w:rFonts w:eastAsia="Andale Sans UI"/>
                  <w:szCs w:val="24"/>
                  <w:lang w:bidi="en-US"/>
                </w:rPr>
                <w:t xml:space="preserve">Šiame reglamente atitikties vertinimo įstaigoms numatyti identiški reikalavimai, kaip ir Reglamente </w:t>
              </w:r>
              <w:fldSimple w:instr="HYPERLINK http://eur-lex.europa.eu/legal-content/LIT/TXT/?uri=CELEX:32023R1542&amp;locale=lt \t _blank">
                <w:r>
                  <w:rPr>
                    <w:rFonts w:eastAsia="Andale Sans UI"/>
                    <w:szCs w:val="24"/>
                    <w:lang w:bidi="en-US"/>
                    <w:u w:val="single"/>
                    <w:color w:val="0000FF" w:themeColor="hyperlink"/>
                  </w:rPr>
                  <w:t>(ES) 2023/1542</w:t>
                </w:r>
              </w:fldSimple>
              <w:r>
                <w:rPr>
                  <w:rFonts w:eastAsia="Andale Sans UI"/>
                  <w:szCs w:val="24"/>
                  <w:lang w:bidi="en-US"/>
                </w:rPr>
                <w:t>.</w:t>
              </w:r>
              <w:r>
                <w:rPr>
                  <w:rFonts w:eastAsia="Andale Sans UI" w:cs="Tahoma"/>
                  <w:szCs w:val="24"/>
                  <w:lang w:bidi="en-US"/>
                </w:rPr>
                <w:t xml:space="preserve"> Vadinasi, ir atitikties vertinimo įstaigų vertinimo ir notifikuotų atitikties vertinimo įstaigų stebėsenos procedūros būtų identiškos. Lietuvos Respublikos Vyriausybės 2025 m. liepos 30 d. nutarimo Nr. 515 „Dėl Reglamento </w:t>
              </w:r>
              <w:fldSimple w:instr="HYPERLINK http://eur-lex.europa.eu/legal-content/LIT/TXT/?uri=CELEX:32024R1781&amp;locale=lt \t _blank">
                <w:r>
                  <w:rPr>
                    <w:rFonts w:eastAsia="Andale Sans UI" w:cs="Tahoma"/>
                    <w:szCs w:val="24"/>
                    <w:lang w:bidi="en-US"/>
                    <w:u w:val="single"/>
                    <w:color w:val="0000FF" w:themeColor="hyperlink"/>
                  </w:rPr>
                  <w:t>(ES) 2024/1781</w:t>
                </w:r>
              </w:fldSimple>
              <w:r>
                <w:rPr>
                  <w:rFonts w:eastAsia="Andale Sans UI" w:cs="Tahoma"/>
                  <w:szCs w:val="24"/>
                  <w:lang w:bidi="en-US"/>
                </w:rPr>
                <w:t xml:space="preserve"> įgyvendinimo“ 1 ir 2 punktais Ekonomikos ir inovacijų ministerijai pavesta vykdyti </w:t>
              </w:r>
              <w:r>
                <w:rPr>
                  <w:rFonts w:eastAsia="Andale Sans UI"/>
                  <w:szCs w:val="24"/>
                  <w:lang w:bidi="en-US"/>
                </w:rPr>
                <w:t xml:space="preserve">Reglamente </w:t>
              </w:r>
              <w:fldSimple w:instr="HYPERLINK http://eur-lex.europa.eu/legal-content/LIT/TXT/?uri=CELEX:32024R1781&amp;locale=lt \t _blank">
                <w:r>
                  <w:rPr>
                    <w:rFonts w:eastAsia="Andale Sans UI"/>
                    <w:szCs w:val="24"/>
                    <w:lang w:bidi="en-US"/>
                    <w:u w:val="single"/>
                    <w:color w:val="0000FF" w:themeColor="hyperlink"/>
                  </w:rPr>
                  <w:t>2024/1781</w:t>
                </w:r>
              </w:fldSimple>
              <w:r>
                <w:rPr>
                  <w:rFonts w:eastAsia="Andale Sans UI"/>
                  <w:szCs w:val="24"/>
                  <w:lang w:bidi="en-US"/>
                </w:rPr>
                <w:t xml:space="preserve"> </w:t>
              </w:r>
              <w:r>
                <w:rPr>
                  <w:rFonts w:eastAsia="Andale Sans UI" w:cs="Tahoma"/>
                  <w:szCs w:val="24"/>
                  <w:lang w:bidi="en-US"/>
                </w:rPr>
                <w:t xml:space="preserve">numatytas notifikuojančiosios institucijos funkcijas, o Nacionaliniam akreditacijos biurui – „atitikties vertinimo įstaigų (notifikuotųjų įstaigų) priežiūrą, įskaitant vertinimą ir stebėjimą“. </w:t>
              </w:r>
              <w:r>
                <w:rPr>
                  <w:rFonts w:cs="Tahoma"/>
                  <w:szCs w:val="24"/>
                  <w:lang w:bidi="en-US"/>
                </w:rPr>
                <w:t>Atsižvelgiant į tai, būtų racionalu ir pagrįsta, kad Ekonomikos ir inovacijų ministerija (ar jai pavaldi nacionalinė akreditacijos įstaiga) vykdytų baterijų atitikties vertinimo įstaigų vertinimą ir atliktų su tuo susijusias procedūras.</w:t>
              </w:r>
            </w:p>
            <w:p>
              <w:pPr>
                <w:shd w:val="clear" w:color="auto" w:fill="FFFFFF"/>
                <w:ind w:firstLine="567"/>
                <w:jc w:val="both"/>
                <w:rPr>
                  <w:color w:val="000000"/>
                  <w:szCs w:val="24"/>
                  <w:lang w:bidi="en-US"/>
                </w:rPr>
              </w:pPr>
              <w:r>
                <w:rPr>
                  <w:color w:val="000000"/>
                  <w:szCs w:val="24"/>
                  <w:lang w:bidi="en-US"/>
                </w:rPr>
                <w:t xml:space="preserve">Kadangi tokias funkcijas šios institucijos ir dabar atlieka, tikėtina, kad papildomų išlaidų neturėtų būti patiriama. Papildomų asignavimų poreikį funkcijoms, susijusioms su notifikavimo paraiškas pateikusių atitikties vertinimo įstaigų vertinimu (ar jos atitinka Reglamente </w:t>
              </w:r>
              <w:fldSimple w:instr="HYPERLINK http://eur-lex.europa.eu/legal-content/LIT/TXT/?uri=CELEX:32023R1542&amp;locale=lt \t _blank">
                <w:r>
                  <w:rPr>
                    <w:color w:val="0000FF" w:themeColor="hyperlink"/>
                    <w:szCs w:val="24"/>
                    <w:lang w:bidi="en-US"/>
                    <w:u w:val="single"/>
                  </w:rPr>
                  <w:t>(ES) 2023/1542</w:t>
                </w:r>
              </w:fldSimple>
              <w:r>
                <w:rPr>
                  <w:color w:val="000000"/>
                  <w:szCs w:val="24"/>
                  <w:lang w:bidi="en-US"/>
                </w:rPr>
                <w:t xml:space="preserve"> tokioms įstaigoms nustatytus reikalavimus) ir notifikuotųjų įstaigų stebėsena, turėtų nustatyti ir suformuluoti Ekonomikos ir inovacijų ministerija.</w:t>
              </w:r>
            </w:p>
            <w:p>
              <w:pPr>
                <w:ind w:firstLine="567"/>
                <w:jc w:val="both"/>
                <w:rPr>
                  <w:rFonts w:eastAsia="Andale Sans UI" w:cs="Tahoma"/>
                  <w:szCs w:val="24"/>
                  <w:lang w:bidi="en-US"/>
                </w:rPr>
              </w:pPr>
              <w:r>
                <w:rPr>
                  <w:rFonts w:eastAsia="Andale Sans UI" w:cs="Tahoma"/>
                  <w:szCs w:val="24"/>
                  <w:lang w:bidi="en-US"/>
                </w:rPr>
                <w:t xml:space="preserve">Reglamente </w:t>
              </w:r>
              <w:fldSimple w:instr="HYPERLINK http://eur-lex.europa.eu/legal-content/LIT/TXT/?uri=CELEX:32023R1542&amp;locale=lt \t _blank">
                <w:r>
                  <w:rPr>
                    <w:rFonts w:eastAsia="Andale Sans UI" w:cs="Tahoma"/>
                    <w:szCs w:val="24"/>
                    <w:lang w:bidi="en-US"/>
                    <w:u w:val="single"/>
                    <w:color w:val="0000FF" w:themeColor="hyperlink"/>
                  </w:rPr>
                  <w:t>(ES) 2023/1542</w:t>
                </w:r>
              </w:fldSimple>
              <w:r>
                <w:rPr>
                  <w:rFonts w:eastAsia="Andale Sans UI" w:cs="Tahoma"/>
                  <w:szCs w:val="24"/>
                  <w:lang w:bidi="en-US"/>
                </w:rPr>
                <w:t xml:space="preserve"> nustatyti reikalavimai paveiks šiame reglamente išvardytų kategorijų baterijas (nešiojamąsias, mažųjų transporto priemonių, elektrinių transporto priemonių, automobilių, pramonines) gaminančias, į Europos Sąjungos importuojančias, Lietuvos rinkai tiekiančias, savo reikmėms pradedančias naudoti, tokias baterijas platinančias įmones, baterijų atliekų tvarkymą organizuojančias gamintojų ir importuotojų organizacijas, savivaldybes ir komunalinių atliekų tvarkymo sistemos administratorius, baterijų atliekas tvarkančias įmones.</w:t>
              </w:r>
            </w:p>
            <w:p>
              <w:pPr>
                <w:widowControl w:val="0"/>
                <w:ind w:firstLine="567"/>
                <w:jc w:val="both"/>
                <w:rPr>
                  <w:color w:val="000000"/>
                  <w:szCs w:val="24"/>
                  <w:lang w:eastAsia="lt-LT"/>
                </w:rPr>
              </w:pPr>
              <w:r>
                <w:rPr>
                  <w:color w:val="000000"/>
                  <w:szCs w:val="24"/>
                  <w:lang w:eastAsia="lt-LT"/>
                </w:rPr>
                <w:t xml:space="preserve">Šiuo metu </w:t>
              </w:r>
              <w:r>
                <w:rPr>
                  <w:rFonts w:eastAsia="Andale Sans UI"/>
                  <w:szCs w:val="24"/>
                  <w:lang w:bidi="en-US"/>
                </w:rPr>
                <w:t xml:space="preserve">kompetentingos institucijos, korespondento ir bendradarbiavimo funkcijas pagal Reglamentą </w:t>
              </w:r>
              <w:fldSimple w:instr="HYPERLINK http://eur-lex.europa.eu/legal-content/LIT/TXT/?uri=CELEX:32006R1013&amp;locale=lt \t _blank">
                <w:r>
                  <w:rPr>
                    <w:rFonts w:eastAsia="Andale Sans UI"/>
                    <w:szCs w:val="24"/>
                    <w:lang w:bidi="en-US"/>
                    <w:u w:val="single"/>
                    <w:color w:val="0000FF" w:themeColor="hyperlink"/>
                  </w:rPr>
                  <w:t>(EB) Nr. 1013/2006</w:t>
                </w:r>
              </w:fldSimple>
              <w:r>
                <w:rPr>
                  <w:rFonts w:eastAsia="Andale Sans UI"/>
                  <w:szCs w:val="24"/>
                  <w:lang w:bidi="en-US"/>
                </w:rPr>
                <w:t xml:space="preserve"> atlieka ir metinius</w:t>
              </w:r>
              <w:r>
                <w:rPr>
                  <w:rFonts w:eastAsia="Andale Sans UI"/>
                  <w:color w:val="000000"/>
                  <w:szCs w:val="24"/>
                  <w:lang w:bidi="en-US"/>
                </w:rPr>
                <w:t xml:space="preserve"> atliekų įvežimo, importo į Lietuvos Respubliką leidimus ir išvežimo, eksporto iš Lietuvos Respublikos išduoda Aplinkos apsaugos departamentas pagal </w:t>
              </w:r>
              <w:r>
                <w:rPr>
                  <w:color w:val="000000"/>
                  <w:szCs w:val="24"/>
                  <w:lang w:eastAsia="en-GB" w:bidi="en-US"/>
                </w:rPr>
                <w:t xml:space="preserve">Atliekų tarpvalstybinių vežimų tvarkos aprašą, patvirtintą aplinkos ministro 2004 m. balandžio 27 d. įsakymu Nr. D1-207 „Dėl Atliekų tarpvalstybinių vežimų tvarkos aprašo patvirtinimo“, todėl </w:t>
              </w:r>
              <w:r>
                <w:rPr>
                  <w:color w:val="000000"/>
                  <w:szCs w:val="24"/>
                  <w:lang w:eastAsia="lt-LT"/>
                </w:rPr>
                <w:t>atskiras Projektu siūlomų nuostatų įgyvendinimo mechanizmas nereikalingas</w:t>
              </w:r>
              <w:r>
                <w:rPr>
                  <w:color w:val="000000"/>
                  <w:szCs w:val="24"/>
                  <w:lang w:eastAsia="en-GB" w:bidi="en-US"/>
                </w:rPr>
                <w:t xml:space="preserve">, </w:t>
              </w:r>
              <w:r>
                <w:rPr>
                  <w:color w:val="000000"/>
                  <w:szCs w:val="24"/>
                  <w:lang w:eastAsia="lt-LT"/>
                </w:rPr>
                <w:t xml:space="preserve">nebus patiriama su tuo susijusių išlaidų. </w:t>
              </w:r>
            </w:p>
            <w:p>
              <w:pPr>
                <w:widowControl w:val="0"/>
                <w:ind w:firstLine="567"/>
                <w:jc w:val="both"/>
                <w:rPr>
                  <w:rFonts w:eastAsia="Andale Sans UI"/>
                  <w:bCs/>
                  <w:szCs w:val="24"/>
                  <w:lang w:bidi="en-US"/>
                </w:rPr>
              </w:pPr>
              <w:r>
                <w:rPr>
                  <w:color w:val="000000"/>
                  <w:szCs w:val="24"/>
                  <w:lang w:eastAsia="lt-LT"/>
                </w:rPr>
                <w:t>Gavus išankstinį sutikimą, atliekų tvarkytojai galės nepertraukiamai priiminėti įvežamas, importuojamas atliekas trejus metus, nes tarpvalstybinio atliekų vežimo leidimas atliekų eksportuotojui galės būti pratęsiamas iki trejų metų arba iškart išduodamas trejiems metams. Taip išduodant tarpvalstybinio atliekų vežimo leidimus būtų sumažinta našta tiek atliekų tvarkytojui, tiek kompetentingai institucijai, nes tokį leidimą reikės gauti kas trejus metus, o ne kiekvienais metais.</w:t>
              </w:r>
            </w:p>
            <w:p>
              <w:pPr>
                <w:shd w:val="clear" w:color="auto" w:fill="FFFFFF"/>
                <w:ind w:firstLine="567"/>
                <w:jc w:val="both"/>
                <w:textAlignment w:val="center"/>
                <w:rPr>
                  <w:rFonts w:eastAsia="Andale Sans UI"/>
                  <w:b/>
                  <w:bCs/>
                  <w:szCs w:val="24"/>
                  <w:lang w:bidi="en-US"/>
                </w:rPr>
              </w:pPr>
              <w:r>
                <w:rPr>
                  <w:rFonts w:eastAsia="Andale Sans UI"/>
                  <w:b/>
                  <w:bCs/>
                  <w:szCs w:val="24"/>
                  <w:lang w:bidi="en-US"/>
                </w:rPr>
                <w:t>4. Rodikliai, kurie bus stebimi</w:t>
              </w:r>
            </w:p>
            <w:p>
              <w:pPr>
                <w:ind w:firstLine="567"/>
                <w:jc w:val="both"/>
                <w:rPr>
                  <w:rFonts w:eastAsia="Andale Sans UI"/>
                  <w:szCs w:val="24"/>
                  <w:lang w:bidi="en-US"/>
                </w:rPr>
              </w:pPr>
              <w:r>
                <w:rPr>
                  <w:rFonts w:eastAsia="Andale Sans UI"/>
                  <w:szCs w:val="24"/>
                  <w:lang w:bidi="en-US"/>
                </w:rPr>
                <w:t>Stebėjimo rodikliai nenumatomi.</w:t>
              </w:r>
            </w:p>
            <w:p>
              <w:pPr>
                <w:shd w:val="clear" w:color="auto" w:fill="FFFFFF"/>
                <w:ind w:firstLine="567"/>
                <w:jc w:val="both"/>
                <w:textAlignment w:val="center"/>
                <w:rPr>
                  <w:szCs w:val="24"/>
                  <w:lang w:bidi="en-US"/>
                </w:rPr>
              </w:pPr>
              <w:r>
                <w:rPr>
                  <w:b/>
                  <w:bCs/>
                  <w:szCs w:val="24"/>
                  <w:lang w:eastAsia="lt-LT" w:bidi="en-US"/>
                </w:rPr>
                <w:t>5. Lietuvos Respublikos Vyriausybės programos</w:t>
              </w:r>
              <w:r>
                <w:rPr>
                  <w:b/>
                  <w:bCs/>
                  <w:szCs w:val="24"/>
                  <w:vertAlign w:val="superscript"/>
                  <w:lang w:eastAsia="lt-LT" w:bidi="en-US"/>
                </w:rPr>
                <w:footnoteReference w:id="2"/>
              </w:r>
              <w:r>
                <w:rPr>
                  <w:b/>
                  <w:bCs/>
                  <w:szCs w:val="24"/>
                  <w:lang w:eastAsia="lt-LT" w:bidi="en-US"/>
                </w:rPr>
                <w:t xml:space="preserve"> nuostatų įgyvendinimas </w:t>
              </w:r>
              <w:r>
                <w:rPr>
                  <w:color w:val="000000"/>
                  <w:szCs w:val="24"/>
                  <w:lang w:bidi="en-US"/>
                </w:rPr>
                <w:t>(pažymimas tinkamas variantas)</w:t>
              </w:r>
            </w:p>
            <w:p>
              <w:pPr>
                <w:shd w:val="clear" w:color="auto" w:fill="FFFFFF"/>
                <w:ind w:firstLine="567"/>
                <w:jc w:val="both"/>
                <w:textAlignment w:val="center"/>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Projektu įgyvendinamos šios Lietuvos Respublikos Vyriausybės programos nuostatos: (</w:t>
              </w:r>
              <w:r>
                <w:rPr>
                  <w:rFonts w:eastAsia="Andale Sans UI"/>
                  <w:i/>
                  <w:iCs/>
                  <w:szCs w:val="24"/>
                  <w:lang w:bidi="en-US"/>
                </w:rPr>
                <w:t>nurodomos programos nuostatos ir punktas ar papunktis, kuriame jos nurodytos</w:t>
              </w:r>
              <w:r>
                <w:rPr>
                  <w:rFonts w:eastAsia="Andale Sans UI"/>
                  <w:szCs w:val="24"/>
                  <w:lang w:bidi="en-US"/>
                </w:rPr>
                <w:t>).</w:t>
              </w:r>
            </w:p>
            <w:p>
              <w:pPr>
                <w:shd w:val="clear" w:color="auto" w:fill="FFFFFF"/>
                <w:ind w:firstLine="567"/>
                <w:jc w:val="both"/>
                <w:textAlignment w:val="center"/>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Projektas neprieštarauja Dvidešimtosios Lietuvos Respublikos Vyriausybės programai.</w:t>
              </w:r>
            </w:p>
            <w:p>
              <w:pPr>
                <w:ind w:firstLine="567"/>
                <w:jc w:val="both"/>
                <w:rPr>
                  <w:szCs w:val="24"/>
                  <w:lang w:eastAsia="lt-LT" w:bidi="en-US"/>
                </w:rPr>
              </w:pPr>
              <w:r>
                <w:rPr>
                  <w:b/>
                  <w:bCs/>
                  <w:szCs w:val="24"/>
                  <w:lang w:eastAsia="lt-LT" w:bidi="en-US"/>
                </w:rPr>
                <w:t xml:space="preserve">6. Europos Sąjungos teisės aktų perkėlimas ir (ar) įgyvendinimas </w:t>
              </w:r>
              <w:r>
                <w:rPr>
                  <w:szCs w:val="24"/>
                  <w:lang w:eastAsia="lt-LT" w:bidi="en-US"/>
                </w:rPr>
                <w:t>(pažymimas tinkamas variantas)</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Projektais neperkeliamos ir neįgyvendinamos Europos Sąjungos teisės aktų nuostatos.</w:t>
              </w:r>
            </w:p>
            <w:p>
              <w:pPr>
                <w:ind w:firstLine="567"/>
                <w:jc w:val="both"/>
                <w:rPr>
                  <w:color w:val="000000"/>
                  <w:szCs w:val="24"/>
                  <w:lang w:eastAsia="en-GB" w:bidi="en-US"/>
                </w:rPr>
              </w:pPr>
              <w:r>
                <w:rPr>
                  <w:rFonts w:ascii="MS Gothic" w:eastAsia="MS Gothic" w:hAnsi="MS Gothic"/>
                  <w:szCs w:val="24"/>
                  <w:lang w:bidi="en-US"/>
                </w:rPr>
                <w:t>☒</w:t>
              </w:r>
              <w:r>
                <w:rPr>
                  <w:rFonts w:eastAsia="Andale Sans UI"/>
                  <w:szCs w:val="24"/>
                  <w:lang w:bidi="en-US"/>
                </w:rPr>
                <w:t xml:space="preserve"> ATĮ projektu perkeliamos Direktyvos </w:t>
              </w:r>
              <w:fldSimple w:instr="HYPERLINK http://eur-lex.europa.eu/legal-content/LIT/TXT/?uri=CELEX:32024L0884&amp;locale=lt \t _blank">
                <w:r>
                  <w:rPr>
                    <w:rFonts w:eastAsia="Andale Sans UI"/>
                    <w:szCs w:val="24"/>
                    <w:lang w:bidi="en-US"/>
                    <w:u w:val="single"/>
                    <w:color w:val="0000FF" w:themeColor="hyperlink"/>
                  </w:rPr>
                  <w:t>(ES) 2024/884</w:t>
                </w:r>
              </w:fldSimple>
              <w:r>
                <w:rPr>
                  <w:rFonts w:eastAsia="Andale Sans UI"/>
                  <w:szCs w:val="24"/>
                  <w:lang w:bidi="en-US"/>
                </w:rPr>
                <w:t xml:space="preserve"> </w:t>
              </w:r>
              <w:r>
                <w:rPr>
                  <w:color w:val="000000"/>
                  <w:szCs w:val="24"/>
                  <w:lang w:eastAsia="en-GB" w:bidi="en-US"/>
                </w:rPr>
                <w:t>1 straipsnio 2 dalies a ir c punktų ir 3 dalies nuostatos</w:t>
              </w:r>
              <w:r>
                <w:rPr>
                  <w:rFonts w:eastAsia="Andale Sans UI"/>
                  <w:szCs w:val="24"/>
                  <w:lang w:bidi="en-US"/>
                </w:rPr>
                <w:t xml:space="preserve">. Projektais įgyvendinamos šios Europos Sąjungos teisės aktų nuostatos: 2006 m. birželio 14 d. Europos Parlamento ir Tarybos Reglamento </w:t>
              </w:r>
              <w:fldSimple w:instr="HYPERLINK http://eur-lex.europa.eu/legal-content/LIT/TXT/?uri=CELEX:32006R1013&amp;locale=lt \t _blank">
                <w:r>
                  <w:rPr>
                    <w:rFonts w:eastAsia="Andale Sans UI"/>
                    <w:szCs w:val="24"/>
                    <w:lang w:bidi="en-US"/>
                    <w:u w:val="single"/>
                    <w:color w:val="0000FF" w:themeColor="hyperlink"/>
                  </w:rPr>
                  <w:t>(EB) Nr. 1013/2006</w:t>
                </w:r>
              </w:fldSimple>
              <w:r>
                <w:rPr>
                  <w:rFonts w:eastAsia="Andale Sans UI"/>
                  <w:szCs w:val="24"/>
                  <w:lang w:bidi="en-US"/>
                </w:rPr>
                <w:t xml:space="preserve"> dėl atliekų vežimo 14, 53 ir 54 straipsniai; 2024 m. balandžio 11 d. Europos Parlamento ir Tarybos reglamento </w:t>
              </w:r>
              <w:fldSimple w:instr="HYPERLINK http://eur-lex.europa.eu/legal-content/LIT/TXT/?uri=CELEX:32024R1157&amp;locale=lt \t _blank">
                <w:r>
                  <w:rPr>
                    <w:rFonts w:eastAsia="Andale Sans UI"/>
                    <w:szCs w:val="24"/>
                    <w:lang w:bidi="en-US"/>
                    <w:u w:val="single"/>
                    <w:color w:val="0000FF" w:themeColor="hyperlink"/>
                  </w:rPr>
                  <w:t>(ES) 2024/1157</w:t>
                </w:r>
              </w:fldSimple>
              <w:r>
                <w:rPr>
                  <w:rFonts w:eastAsia="Andale Sans UI"/>
                  <w:szCs w:val="24"/>
                  <w:lang w:bidi="en-US"/>
                </w:rPr>
                <w:t xml:space="preserve"> dėl atliekų vežimo, kuriuo iš dalies keičiami reglamentai </w:t>
              </w:r>
              <w:fldSimple w:instr="HYPERLINK http://eur-lex.europa.eu/legal-content/LIT/TXT/?uri=CELEX:32013R1257&amp;locale=lt \t _blank">
                <w:r>
                  <w:rPr>
                    <w:rFonts w:eastAsia="Andale Sans UI"/>
                    <w:szCs w:val="24"/>
                    <w:lang w:bidi="en-US"/>
                    <w:u w:val="single"/>
                    <w:color w:val="0000FF" w:themeColor="hyperlink"/>
                  </w:rPr>
                  <w:t>(ES) Nr. 1257/2013</w:t>
                </w:r>
              </w:fldSimple>
              <w:r>
                <w:rPr>
                  <w:rFonts w:eastAsia="Andale Sans UI"/>
                  <w:szCs w:val="24"/>
                  <w:lang w:bidi="en-US"/>
                </w:rPr>
                <w:t xml:space="preserve"> ir </w:t>
              </w:r>
              <w:fldSimple w:instr="HYPERLINK http://eur-lex.europa.eu/legal-content/LIT/TXT/?uri=CELEX:32020R1056&amp;locale=lt \t _blank">
                <w:r>
                  <w:rPr>
                    <w:rFonts w:eastAsia="Andale Sans UI"/>
                    <w:szCs w:val="24"/>
                    <w:lang w:bidi="en-US"/>
                    <w:u w:val="single"/>
                    <w:color w:val="0000FF" w:themeColor="hyperlink"/>
                  </w:rPr>
                  <w:t>(ES) 2020/1056</w:t>
                </w:r>
              </w:fldSimple>
              <w:r>
                <w:rPr>
                  <w:rFonts w:eastAsia="Andale Sans UI"/>
                  <w:szCs w:val="24"/>
                  <w:lang w:bidi="en-US"/>
                </w:rPr>
                <w:t xml:space="preserve"> ir panaikinamas Reglamentas </w:t>
              </w:r>
              <w:fldSimple w:instr="HYPERLINK http://eur-lex.europa.eu/legal-content/LIT/TXT/?uri=CELEX:32006R1013&amp;locale=lt \t _blank">
                <w:r>
                  <w:rPr>
                    <w:rFonts w:eastAsia="Andale Sans UI"/>
                    <w:szCs w:val="24"/>
                    <w:lang w:bidi="en-US"/>
                    <w:u w:val="single"/>
                    <w:color w:val="0000FF" w:themeColor="hyperlink"/>
                  </w:rPr>
                  <w:t>(EB) Nr. 1013/2006</w:t>
                </w:r>
              </w:fldSimple>
              <w:r>
                <w:rPr>
                  <w:rFonts w:eastAsia="Andale Sans UI"/>
                  <w:szCs w:val="24"/>
                  <w:lang w:bidi="en-US"/>
                </w:rPr>
                <w:t xml:space="preserve">, 14, 65, 75 ir 76 straipsniai; Reglamentas </w:t>
              </w:r>
              <w:fldSimple w:instr="HYPERLINK http://eur-lex.europa.eu/legal-content/LIT/TXT/?uri=CELEX:32023R1542&amp;locale=lt \t _blank">
                <w:r>
                  <w:rPr>
                    <w:rFonts w:eastAsia="Andale Sans UI"/>
                    <w:szCs w:val="24"/>
                    <w:lang w:bidi="en-US"/>
                    <w:u w:val="single"/>
                    <w:color w:val="0000FF" w:themeColor="hyperlink"/>
                  </w:rPr>
                  <w:t>(ES) 2023/1542</w:t>
                </w:r>
              </w:fldSimple>
              <w:r>
                <w:rPr>
                  <w:rFonts w:eastAsia="Andale Sans UI"/>
                  <w:szCs w:val="24"/>
                  <w:lang w:bidi="en-US"/>
                </w:rPr>
                <w:t xml:space="preserve">. </w:t>
              </w:r>
              <w:r>
                <w:rPr>
                  <w:rFonts w:eastAsia="Andale Sans UI"/>
                  <w:szCs w:val="24"/>
                  <w:lang w:eastAsia="lt-LT" w:bidi="en-US"/>
                </w:rPr>
                <w:t>Projektai įtraukti į perkeliamo ir (ar) įgyvendinamo Europos Sąjungos teisės akto perkėlimo ir įgyvendinimo planą Lietuvos narystės Europos Sąjungoje informacinėje sistemoje (LINESIS), į kurią įkeltos atitikties lentelės</w:t>
              </w:r>
              <w:r>
                <w:rPr>
                  <w:rFonts w:eastAsia="Andale Sans UI"/>
                  <w:szCs w:val="24"/>
                  <w:vertAlign w:val="superscript"/>
                  <w:lang w:eastAsia="lt-LT" w:bidi="en-US"/>
                </w:rPr>
                <w:footnoteReference w:id="3"/>
              </w:r>
              <w:r>
                <w:rPr>
                  <w:rFonts w:eastAsia="Andale Sans UI"/>
                  <w:i/>
                  <w:iCs/>
                  <w:szCs w:val="24"/>
                  <w:lang w:eastAsia="lt-LT" w:bidi="en-US"/>
                </w:rPr>
                <w:t xml:space="preserve">. </w:t>
              </w:r>
              <w:r>
                <w:rPr>
                  <w:rFonts w:eastAsia="Andale Sans UI"/>
                  <w:szCs w:val="24"/>
                  <w:lang w:bidi="en-US"/>
                </w:rPr>
                <w:t xml:space="preserve">Siekiant užtikrinti visišką </w:t>
              </w:r>
              <w:r>
                <w:rPr>
                  <w:color w:val="000000"/>
                  <w:szCs w:val="24"/>
                  <w:lang w:eastAsia="lt-LT" w:bidi="en-US"/>
                </w:rPr>
                <w:t xml:space="preserve">susijusių Europos Sąjungos teisės aktų įgyvendinimą, reikės keisti </w:t>
              </w:r>
              <w:r>
                <w:rPr>
                  <w:color w:val="000000"/>
                  <w:szCs w:val="24"/>
                  <w:lang w:eastAsia="en-GB" w:bidi="en-US"/>
                </w:rPr>
                <w:t xml:space="preserve">Atliekų tarpvalstybinių vežimų tvarkos aprašą, patvirtintą aplinkos ministro 2004 m. balandžio 27 d. įsakymu Nr. D1-207 „Dėl Atliekų tarpvalstybinių vežimų tvarkos aprašo patvirtinimo“, </w:t>
              </w:r>
              <w:r>
                <w:rPr>
                  <w:szCs w:val="24"/>
                  <w:lang w:bidi="en-US"/>
                </w:rPr>
                <w:t>Lietuvos Respublikos Vyriausybės 2006 m. lapkričio 24 d. nutarimą Nr. 1168 „Dėl gaminių ir pakuočių atliekų naudojimo ir (ar) perdirbimo užduočių patvirtinimo“</w:t>
              </w:r>
              <w:r>
                <w:rPr>
                  <w:rFonts w:eastAsia="Andale Sans UI" w:cs="Tahoma"/>
                  <w:szCs w:val="24"/>
                  <w:lang w:bidi="en-US"/>
                </w:rPr>
                <w:t xml:space="preserve">, </w:t>
              </w:r>
              <w:r>
                <w:rPr>
                  <w:szCs w:val="24"/>
                  <w:lang w:bidi="en-US"/>
                </w:rPr>
                <w:t xml:space="preserve">Lietuvos Respublikos </w:t>
              </w:r>
              <w:r>
                <w:rPr>
                  <w:rFonts w:eastAsia="Andale Sans UI" w:cs="Tahoma"/>
                  <w:szCs w:val="24"/>
                  <w:lang w:bidi="en-US"/>
                </w:rPr>
                <w:t xml:space="preserve">Vyriausybės 2006 m. sausio 11 d. nutarimą Nr. 18 „Dėl Gaminių ir (ar) pakuočių atliekų tvarkymo organizavimo licencijavimo taisyklių patvirtinimo“, </w:t>
              </w:r>
              <w:r>
                <w:rPr>
                  <w:szCs w:val="24"/>
                  <w:lang w:bidi="en-US"/>
                </w:rPr>
                <w:t>Konkrečių valstybės rinkliavos dydžių sąrašą, patvirtintą Lietuvos Respublikos Vyriausybės 2000 m. gruodžio 15 d. nutarimu Nr. 1458 „Dėl Konkrečių valstybės rinkliavos dydžių sąrašo ir Valstybės rinkliavos mokėjimo ir grąžinimo taisyklių patvirtinimo“</w:t>
              </w:r>
              <w:r>
                <w:rPr>
                  <w:rFonts w:eastAsia="Andale Sans UI" w:cs="Tahoma"/>
                  <w:szCs w:val="24"/>
                  <w:lang w:bidi="en-US"/>
                </w:rPr>
                <w:t>, B</w:t>
              </w:r>
              <w:r>
                <w:rPr>
                  <w:szCs w:val="24"/>
                  <w:lang w:bidi="en-US"/>
                </w:rPr>
                <w:t>aterijų ir akumuliatorių bei baterijų ir akumuliatorių atliekų tvarkymo taisykles, patvirtintas Lietuvos Respublikos aplinkos ministro 2001 m. gruodžio 21 d. įsakymu Nr. 625 „Dėl baterijų ir akumuliatorių bei baterijų ir akumuliatorių atliekų tvarkymo taisyklių patvirtinimo“</w:t>
              </w:r>
              <w:r>
                <w:rPr>
                  <w:rFonts w:eastAsia="Andale Sans UI" w:cs="Tahoma"/>
                  <w:szCs w:val="24"/>
                  <w:lang w:bidi="en-US"/>
                </w:rPr>
                <w:t xml:space="preserve">, </w:t>
              </w:r>
              <w:r>
                <w:rPr>
                  <w:szCs w:val="24"/>
                  <w:lang w:bidi="en-US"/>
                </w:rPr>
                <w:t>Gamintojų ir importuotojų registravimo taisykles, patvirtintas Lietuvos Respublikos aplinkos ministro 2009 m. gegužės 27 d. įsakymu Nr. D1-291 „Dėl Gamintojų ir importuotojų registravimo taisyklių patvirtinimo“,</w:t>
              </w:r>
              <w:r>
                <w:rPr>
                  <w:color w:val="000000"/>
                  <w:szCs w:val="24"/>
                  <w:lang w:eastAsia="en-GB" w:bidi="en-US"/>
                </w:rPr>
                <w:t xml:space="preserve"> </w:t>
              </w:r>
              <w:r>
                <w:rPr>
                  <w:szCs w:val="24"/>
                  <w:lang w:bidi="en-US"/>
                </w:rPr>
                <w:t xml:space="preserve">Gamintojų ir importuotojų organizacijos veiklos organizavimo plano, finansavimo schemos ir švietimo programos rengimo, derinimo ir ataskaitų bei informacijos apie jų vykdymą teikimo tvarkos aprašą, patvirtintą Lietuvos Respublikos aplinkos ministro 2006 m. sausio 30 d. įsakymu Nr. D1-57 „Dėl Gamintojų ir importuotojų organizacijos veiklos organizavimo plano, finansavimo schemos ir švietimo programos rengimo, derinimo ir ataskaitų bei informacijos apie jų vykdymą teikimo tvarkos aprašo patvirtinimo“, Gaminių apskaitos ir atliekų tvarkymo organizavimo veiklos ataskaitų teikimo taisykles, patvirtintas Lietuvos Respublikos aplinkos ministro 2009 m. gegužės 27 d. įsakymu Nr. D1-290 „Dėl Gaminių apskaitos ir atliekų tvarkymo organizavimo veiklos ataskaitų teikimo taisyklių patvirtinimo“, </w:t>
              </w:r>
              <w:r>
                <w:rPr>
                  <w:color w:val="000000"/>
                  <w:szCs w:val="24"/>
                  <w:lang w:bidi="en-US"/>
                </w:rPr>
                <w:t>Atliekų susidarymo ir tvarkymo apskaitos ir ataskaitų teikimo taisykles, patvirtintas Lietuvos Respublikos aplinkos ministro 2011 m. gegužės 3 d. įsakymu Nr. D1</w:t>
                <w:noBreakHyphen/>
                <w:t xml:space="preserve">367 „Dėl Atliekų susidarymo ir tvarkymo apskaitos ir ataskaitų teikimo taisyklių patvirtinimo“, Turinčių teisę išrašyti gaminių ir (ar) pakuočių atliekų sutvarkymą įrodančius dokumentus atliekų tvarkytojų sąrašo sudarymo tvarkos aprašą, patvirtintą Lietuvos Respublikos aplinkos ministro 2003 m. balandžio 14 d. įsakymu Nr. 184 „Dėl Turinčių teisę išrašyti gaminių ir (ar) pakuočių atliekų sutvarkymą įrodančius dokumentus atliekų tvarkytojų sąrašo sudarymo tvarkos aprašo patvirtinimo“, Gaminių ir (ar) pakuočių atliekų sutvarkymą įrodančių dokumentų išrašymo tvarkos aprašą, patvirtintą Lietuvos Respublikos aplinkos ministro 2013 m. gegužės 20 d. įsakymu Nr. D1-359 „Dėl Gaminių ir (ar) pakuočių atliekų sutvarkymą įrodančių dokumentų išrašymo tvarkos aprašo patvirtinimo“, pakeisti Mokesčio už aplinkos teršimą gaminių atliekomis deklaracijos FR0523 formos ir mokesčio už aplinkos teršimą pakuočių atliekomis deklaracijos FR0524 formos pildymo taisykles, patvirtintas Lietuvos Respublikos aplinkos ministro ir Valstybinės mokesčių inspekcijos prie Lietuvos Respublikos finansų ministerijos viršininko 2008 m. gruodžio 8 d. įsakymu Nr. VA-61/D1-658 „Dėl Mokesčio už aplinkos teršimą deklaracijų FR0521, FR0522, FR0523 ir FR0524 formų ir jų pildymo taisyklių patvirtinimo“, </w:t>
              </w:r>
              <w:r>
                <w:rPr>
                  <w:szCs w:val="24"/>
                  <w:lang w:bidi="en-US"/>
                </w:rPr>
                <w:t>Lietuvos Respublikos ekonomikos ir inovacijų ministro ir Lietuvos Respublikos aplinkos ministro 2004 m. balandžio 19 d. įsakymą Nr. 4-117/D3-196 „Dėl Baterijų ir akumuliatorių tiekimo rinkai reikalavimų aprašo patvirtinimo“, Lietuvos Respublikos ekonomikos ir inovacijų ministro 2019 m. gegužės 13 d. įsakymą Nr. 4-305 „Dėl baterijų (galvaninių elementų) ir akumuliatorių, tiekiamų Lietuvos Respublikos vidaus rinkai verslo tikslais, gyvsidabrio ir kadmio kiekio ribojimo nustatymo“</w:t>
              </w:r>
              <w:r>
                <w:rPr>
                  <w:color w:val="000000"/>
                  <w:szCs w:val="24"/>
                  <w:lang w:eastAsia="en-GB" w:bidi="en-US"/>
                </w:rPr>
                <w:t>.</w:t>
              </w:r>
            </w:p>
            <w:p>
              <w:pPr>
                <w:ind w:firstLine="567"/>
                <w:jc w:val="both"/>
                <w:rPr>
                  <w:szCs w:val="24"/>
                  <w:lang w:eastAsia="lt-LT" w:bidi="en-US"/>
                </w:rPr>
              </w:pPr>
              <w:r>
                <w:rPr>
                  <w:rFonts w:eastAsia="Andale Sans UI"/>
                  <w:b/>
                  <w:bCs/>
                  <w:szCs w:val="24"/>
                  <w:lang w:bidi="en-US"/>
                </w:rPr>
                <w:t>7. Notifikavimas</w:t>
              </w:r>
              <w:r>
                <w:rPr>
                  <w:rFonts w:eastAsia="Andale Sans UI"/>
                  <w:b/>
                  <w:bCs/>
                  <w:szCs w:val="24"/>
                  <w:vertAlign w:val="superscript"/>
                  <w:lang w:bidi="en-US"/>
                </w:rPr>
                <w:footnoteReference w:id="4"/>
              </w:r>
              <w:r>
                <w:rPr>
                  <w:rFonts w:eastAsia="Andale Sans UI"/>
                  <w:b/>
                  <w:bCs/>
                  <w:szCs w:val="24"/>
                  <w:lang w:bidi="en-US"/>
                </w:rPr>
                <w:t xml:space="preserve"> Europos Komisijai </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Projektai nenotifikuotini Europos Komisijai.</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Projektai notifikuotini Europos Komisijai (</w:t>
              </w:r>
              <w:r>
                <w:rPr>
                  <w:rFonts w:eastAsia="Andale Sans UI"/>
                  <w:i/>
                  <w:iCs/>
                  <w:szCs w:val="24"/>
                  <w:lang w:bidi="en-US"/>
                </w:rPr>
                <w:t>nurodoma data</w:t>
              </w:r>
              <w:r>
                <w:rPr>
                  <w:rFonts w:eastAsia="Andale Sans UI"/>
                  <w:szCs w:val="24"/>
                  <w:lang w:bidi="en-US"/>
                </w:rPr>
                <w:t>).</w:t>
              </w:r>
            </w:p>
            <w:p>
              <w:pPr>
                <w:ind w:firstLine="567"/>
                <w:jc w:val="both"/>
                <w:rPr>
                  <w:color w:val="000000"/>
                  <w:szCs w:val="24"/>
                  <w:lang w:eastAsia="lt-LT" w:bidi="en-US"/>
                </w:rPr>
              </w:pPr>
              <w:r>
                <w:rPr>
                  <w:rFonts w:eastAsia="Andale Sans UI"/>
                  <w:b/>
                  <w:bCs/>
                  <w:szCs w:val="24"/>
                  <w:lang w:bidi="en-US"/>
                </w:rPr>
                <w:t xml:space="preserve">8. </w:t>
              </w:r>
              <w:r>
                <w:rPr>
                  <w:b/>
                  <w:bCs/>
                  <w:color w:val="000000"/>
                  <w:szCs w:val="24"/>
                  <w:lang w:eastAsia="lt-LT" w:bidi="en-US"/>
                </w:rPr>
                <w:t>Pranešimo Europos Komisijai teikimas</w:t>
              </w:r>
              <w:r>
                <w:rPr>
                  <w:b/>
                  <w:bCs/>
                  <w:color w:val="000000"/>
                  <w:szCs w:val="24"/>
                  <w:vertAlign w:val="superscript"/>
                  <w:lang w:eastAsia="lt-LT" w:bidi="en-US"/>
                </w:rPr>
                <w:footnoteReference w:id="5"/>
              </w:r>
              <w:r>
                <w:rPr>
                  <w:color w:val="000000"/>
                  <w:szCs w:val="24"/>
                  <w:lang w:eastAsia="lt-LT" w:bidi="en-US"/>
                </w:rPr>
                <w:t xml:space="preserve"> (</w:t>
              </w:r>
              <w:r>
                <w:rPr>
                  <w:szCs w:val="24"/>
                  <w:lang w:eastAsia="lt-LT" w:bidi="en-US"/>
                </w:rPr>
                <w:t>pažymimas tinkamas variantas)</w:t>
              </w:r>
            </w:p>
            <w:p>
              <w:pPr>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color w:val="000000"/>
                  <w:szCs w:val="24"/>
                  <w:lang w:eastAsia="lt-LT" w:bidi="en-US"/>
                </w:rPr>
                <w:t>ranešimas Europos Komisijai teiktinas.</w:t>
              </w:r>
            </w:p>
            <w:p>
              <w:pPr>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color w:val="000000"/>
                  <w:szCs w:val="24"/>
                  <w:lang w:eastAsia="lt-LT" w:bidi="en-US"/>
                </w:rPr>
                <w:t>ranešimas Europos Komisijai neteiktinas.</w:t>
              </w:r>
            </w:p>
            <w:p>
              <w:pPr>
                <w:ind w:firstLine="567"/>
                <w:jc w:val="both"/>
                <w:rPr>
                  <w:rFonts w:eastAsia="Andale Sans UI"/>
                  <w:b/>
                  <w:bCs/>
                  <w:szCs w:val="24"/>
                  <w:lang w:bidi="en-US"/>
                </w:rPr>
              </w:pPr>
              <w:r>
                <w:rPr>
                  <w:rFonts w:eastAsia="Andale Sans UI"/>
                  <w:b/>
                  <w:bCs/>
                  <w:szCs w:val="24"/>
                  <w:lang w:bidi="en-US"/>
                </w:rPr>
                <w:t>9. Numatomo teisinio reguliavimo poveikio vertinimas</w:t>
              </w:r>
              <w:r>
                <w:rPr>
                  <w:rFonts w:eastAsia="Andale Sans UI"/>
                  <w:b/>
                  <w:bCs/>
                  <w:szCs w:val="24"/>
                  <w:vertAlign w:val="superscript"/>
                  <w:lang w:bidi="en-US"/>
                </w:rPr>
                <w:footnoteReference w:id="6"/>
              </w:r>
              <w:r>
                <w:rPr>
                  <w:rFonts w:eastAsia="Andale Sans UI"/>
                  <w:b/>
                  <w:bCs/>
                  <w:szCs w:val="24"/>
                  <w:lang w:bidi="en-US"/>
                </w:rPr>
                <w:t xml:space="preserve"> </w:t>
              </w:r>
              <w:r>
                <w:rPr>
                  <w:szCs w:val="24"/>
                  <w:lang w:eastAsia="lt-LT" w:bidi="en-US"/>
                </w:rPr>
                <w:t>(pažymimas tinkamas variantas)</w:t>
              </w:r>
            </w:p>
            <w:p>
              <w:pPr>
                <w:widowControl w:val="0"/>
                <w:ind w:firstLine="567"/>
                <w:jc w:val="both"/>
                <w:rPr>
                  <w:rFonts w:eastAsia="Andale Sans UI"/>
                  <w:b/>
                  <w:szCs w:val="24"/>
                  <w:lang w:bidi="en-US"/>
                </w:rPr>
              </w:pPr>
              <w:r>
                <w:rPr>
                  <w:rFonts w:ascii="Segoe UI Symbol" w:eastAsia="MS Gothic" w:hAnsi="Segoe UI Symbol" w:cs="Segoe UI Symbol"/>
                  <w:szCs w:val="24"/>
                  <w:lang w:bidi="en-US"/>
                </w:rPr>
                <w:t>☐</w:t>
              </w:r>
              <w:r>
                <w:rPr>
                  <w:rFonts w:eastAsia="Andale Sans UI"/>
                  <w:szCs w:val="24"/>
                  <w:lang w:bidi="en-US"/>
                </w:rPr>
                <w:t xml:space="preserve"> Atliktas Projekto numatomo teisinio reguliavimo poveikio vertinimas (</w:t>
              </w:r>
              <w:r>
                <w:rPr>
                  <w:rFonts w:eastAsia="Andale Sans UI"/>
                  <w:i/>
                  <w:iCs/>
                  <w:color w:val="000000"/>
                  <w:szCs w:val="24"/>
                  <w:lang w:bidi="en-US"/>
                </w:rPr>
                <w:t>pateikiamos nutarimo projekto poveikio vertinimo rezultatų išvados – apibendrinta informacija, kurioje nurodomas numatomo teisinio reguliavimo tikslas, galimas teigiamas ir (ar) neigiamas Projekto poveikis kiekvienu vertinimo aspektu, kur įmanoma, pagrįstas atliktais skaičiavimais; jeigu atliekamas Projekto poveikio aplinkai ir klimato kaitai vertinimas</w:t>
              </w:r>
              <w:r>
                <w:rPr>
                  <w:rFonts w:eastAsia="Andale Sans UI"/>
                  <w:i/>
                  <w:iCs/>
                  <w:color w:val="000000"/>
                  <w:szCs w:val="24"/>
                  <w:vertAlign w:val="superscript"/>
                  <w:lang w:bidi="en-US"/>
                </w:rPr>
                <w:footnoteReference w:id="7"/>
              </w:r>
              <w:r>
                <w:rPr>
                  <w:rFonts w:eastAsia="Andale Sans UI"/>
                  <w:i/>
                  <w:iCs/>
                  <w:color w:val="000000"/>
                  <w:szCs w:val="24"/>
                  <w:lang w:bidi="en-US"/>
                </w:rPr>
                <w:t>, kokybiškai ir (ar) kiekybiškai įvertinamas ir aprašomas galimas poveikis aplinkai ir klimato kaitai</w:t>
              </w:r>
              <w:r>
                <w:rPr>
                  <w:rFonts w:eastAsia="Andale Sans UI"/>
                  <w:i/>
                  <w:iCs/>
                  <w:color w:val="000000"/>
                  <w:szCs w:val="24"/>
                  <w:vertAlign w:val="superscript"/>
                  <w:lang w:bidi="en-US"/>
                </w:rPr>
                <w:footnoteReference w:id="8"/>
              </w:r>
              <w:r>
                <w:rPr>
                  <w:rFonts w:eastAsia="Andale Sans UI"/>
                  <w:i/>
                  <w:iCs/>
                  <w:color w:val="000000"/>
                  <w:szCs w:val="24"/>
                  <w:lang w:bidi="en-US"/>
                </w:rPr>
                <w:t>; d</w:t>
              </w:r>
              <w:r>
                <w:rPr>
                  <w:rFonts w:eastAsia="Andale Sans UI"/>
                  <w:i/>
                  <w:iCs/>
                  <w:szCs w:val="24"/>
                  <w:lang w:bidi="en-US"/>
                </w:rPr>
                <w:t>ėl poveikio aplinkai ir klimato kaitai vertinimo konsultuoja Aplinkos apsaugos agentūra</w:t>
              </w:r>
              <w:r>
                <w:rPr>
                  <w:rFonts w:eastAsia="Andale Sans UI"/>
                  <w:i/>
                  <w:iCs/>
                  <w:szCs w:val="24"/>
                  <w:vertAlign w:val="superscript"/>
                  <w:lang w:bidi="en-US"/>
                </w:rPr>
                <w:footnoteReference w:id="9"/>
              </w:r>
              <w:r>
                <w:rPr>
                  <w:rFonts w:eastAsia="Andale Sans UI"/>
                  <w:szCs w:val="24"/>
                  <w:lang w:bidi="en-US"/>
                </w:rPr>
                <w:t>)</w:t>
              </w:r>
              <w:r>
                <w:rPr>
                  <w:rFonts w:eastAsia="Andale Sans UI"/>
                  <w:i/>
                  <w:iCs/>
                  <w:color w:val="000000"/>
                  <w:szCs w:val="24"/>
                  <w:lang w:bidi="en-US"/>
                </w:rPr>
                <w:t xml:space="preserve">. </w:t>
              </w:r>
            </w:p>
            <w:p>
              <w:pPr>
                <w:widowControl w:val="0"/>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Projekto numatomo teisinio reguliavimo poveikio vertinimas neatliekamas.</w:t>
              </w:r>
            </w:p>
            <w:p>
              <w:pPr>
                <w:widowControl w:val="0"/>
                <w:ind w:firstLine="567"/>
                <w:jc w:val="both"/>
                <w:rPr>
                  <w:rFonts w:eastAsia="Andale Sans UI"/>
                  <w:color w:val="000000"/>
                  <w:szCs w:val="24"/>
                  <w:lang w:bidi="en-US"/>
                </w:rPr>
              </w:pPr>
              <w:r>
                <w:rPr>
                  <w:rFonts w:ascii="MS Gothic" w:eastAsia="MS Gothic" w:hAnsi="MS Gothic"/>
                  <w:szCs w:val="24"/>
                  <w:lang w:bidi="en-US"/>
                </w:rPr>
                <w:t>☒</w:t>
              </w:r>
              <w:r>
                <w:rPr>
                  <w:color w:val="000000"/>
                  <w:szCs w:val="24"/>
                  <w:lang w:eastAsia="lt-LT" w:bidi="en-US"/>
                </w:rPr>
                <w:t xml:space="preserve"> </w:t>
              </w:r>
              <w:r>
                <w:rPr>
                  <w:rFonts w:eastAsia="Andale Sans UI"/>
                  <w:color w:val="000000"/>
                  <w:szCs w:val="24"/>
                  <w:lang w:bidi="en-US"/>
                </w:rPr>
                <w:t>Ši informacija nurodoma aiškinamajame rašte.</w:t>
              </w:r>
            </w:p>
            <w:p>
              <w:pPr>
                <w:ind w:firstLine="567"/>
                <w:jc w:val="both"/>
                <w:rPr>
                  <w:rFonts w:eastAsia="Andale Sans UI"/>
                  <w:b/>
                  <w:bCs/>
                  <w:szCs w:val="24"/>
                  <w:lang w:bidi="en-US"/>
                </w:rPr>
              </w:pPr>
              <w:r>
                <w:rPr>
                  <w:rFonts w:eastAsia="Andale Sans UI"/>
                  <w:b/>
                  <w:bCs/>
                  <w:szCs w:val="24"/>
                  <w:lang w:bidi="en-US"/>
                </w:rPr>
                <w:t xml:space="preserve">10. Teisės aktai, kuriuos reikės priimti, pakeisti arba pripažinti netekusiais galios </w:t>
              </w:r>
              <w:r>
                <w:rPr>
                  <w:szCs w:val="24"/>
                  <w:lang w:eastAsia="lt-LT" w:bidi="en-US"/>
                </w:rPr>
                <w:t>(pažymimas tinkamas variantas)</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Projektams įtraukti į teisės sistemą kitų teisės aktų priimti nereikės.</w:t>
              </w:r>
            </w:p>
            <w:p>
              <w:pPr>
                <w:ind w:firstLine="567"/>
                <w:jc w:val="both"/>
                <w:rPr>
                  <w:rFonts w:eastAsia="Andale Sans UI"/>
                  <w: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Projektams įtraukti į teisės sistemą reikės priimti šiuos teisės aktus: (</w:t>
              </w:r>
              <w:r>
                <w:rPr>
                  <w:rFonts w:eastAsia="Andale Sans UI"/>
                  <w:i/>
                  <w:szCs w:val="24"/>
                  <w:lang w:bidi="en-US"/>
                </w:rPr>
                <w:t>išvardijama</w:t>
              </w:r>
              <w:r>
                <w:rPr>
                  <w:rFonts w:eastAsia="Andale Sans UI"/>
                  <w:szCs w:val="24"/>
                  <w:lang w:bidi="en-US"/>
                </w:rPr>
                <w:t>)</w:t>
              </w:r>
              <w:r>
                <w:rPr>
                  <w:rFonts w:eastAsia="Andale Sans UI"/>
                  <w:i/>
                  <w:szCs w:val="24"/>
                  <w:lang w:bidi="en-US"/>
                </w:rPr>
                <w:t>.</w:t>
              </w:r>
            </w:p>
            <w:p>
              <w:pPr>
                <w:ind w:firstLine="567"/>
                <w:jc w:val="both"/>
                <w:rPr>
                  <w:rFonts w:eastAsia="Andale Sans UI"/>
                  <w:color w:val="000000"/>
                  <w:szCs w:val="24"/>
                  <w:lang w:bidi="en-US"/>
                </w:rPr>
              </w:pPr>
              <w:r>
                <w:rPr>
                  <w:rFonts w:ascii="MS Gothic" w:eastAsia="MS Gothic" w:hAnsi="MS Gothic" w:cs="MS Gothic"/>
                  <w:szCs w:val="24"/>
                  <w:lang w:bidi="en-US"/>
                </w:rPr>
                <w:t>☒</w:t>
              </w:r>
              <w:r>
                <w:rPr>
                  <w:color w:val="000000"/>
                  <w:szCs w:val="24"/>
                  <w:lang w:eastAsia="lt-LT" w:bidi="en-US"/>
                </w:rPr>
                <w:t xml:space="preserve"> </w:t>
              </w:r>
              <w:r>
                <w:rPr>
                  <w:rFonts w:eastAsia="Andale Sans UI"/>
                  <w:color w:val="000000"/>
                  <w:szCs w:val="24"/>
                  <w:lang w:bidi="en-US"/>
                </w:rPr>
                <w:t>Ši informacija nurodoma aiškinamajame rašte.</w:t>
              </w:r>
            </w:p>
            <w:p>
              <w:pPr>
                <w:ind w:firstLine="567"/>
                <w:jc w:val="both"/>
                <w:rPr>
                  <w:rFonts w:eastAsia="Andale Sans UI"/>
                  <w:b/>
                  <w:bCs/>
                  <w:szCs w:val="24"/>
                  <w:lang w:bidi="en-US"/>
                </w:rPr>
              </w:pPr>
              <w:r>
                <w:rPr>
                  <w:rFonts w:eastAsia="Andale Sans UI"/>
                  <w:b/>
                  <w:bCs/>
                  <w:szCs w:val="24"/>
                  <w:lang w:bidi="en-US"/>
                </w:rPr>
                <w:t xml:space="preserve">11. Informacija apie sąvokų įvertinimą Lietuvos Respublikos terminų banko įstatymo ir jo įgyvendinamųjų teisės aktų nustatyta tvarka </w:t>
              </w:r>
              <w:r>
                <w:rPr>
                  <w:szCs w:val="24"/>
                  <w:lang w:eastAsia="lt-LT" w:bidi="en-US"/>
                </w:rPr>
                <w:t>(pažymimas tinkamas variantas)</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Projektuose naujų sąvokų nėra.</w:t>
              </w:r>
            </w:p>
            <w:p>
              <w:pPr>
                <w:ind w:firstLine="567"/>
                <w:jc w:val="both"/>
                <w:rPr>
                  <w:rFonts w:eastAsia="Andale Sans UI"/>
                  <w:color w:val="000000"/>
                  <w:szCs w:val="24"/>
                  <w:lang w:bidi="en-US"/>
                </w:rPr>
              </w:pPr>
              <w:r>
                <w:rPr>
                  <w:rFonts w:ascii="Segoe UI Symbol" w:eastAsia="MS Gothic" w:hAnsi="Segoe UI Symbol" w:cs="Segoe UI Symbol"/>
                  <w:szCs w:val="24"/>
                  <w:lang w:bidi="en-US"/>
                </w:rPr>
                <w:t>☐</w:t>
              </w:r>
              <w:r>
                <w:rPr>
                  <w:rFonts w:eastAsia="Andale Sans UI"/>
                  <w:szCs w:val="24"/>
                  <w:lang w:bidi="en-US"/>
                </w:rPr>
                <w:t xml:space="preserve"> P</w:t>
              </w:r>
              <w:r>
                <w:rPr>
                  <w:rFonts w:eastAsia="Andale Sans UI"/>
                  <w:color w:val="000000"/>
                  <w:szCs w:val="24"/>
                  <w:lang w:bidi="en-US"/>
                </w:rPr>
                <w:t xml:space="preserve">rojektuose vartojamos sąvokos aprobuotos Lietuvos Respublikos terminų banko įstatymo ir jo įgyvendinamųjų teisės aktų nustatyta tvarka. </w:t>
              </w:r>
            </w:p>
            <w:p>
              <w:pPr>
                <w:ind w:firstLine="567"/>
                <w:jc w:val="both"/>
                <w:rPr>
                  <w:rFonts w:eastAsia="Andale Sans UI"/>
                  <w:color w:val="000000"/>
                  <w:szCs w:val="24"/>
                  <w:lang w:bidi="en-US"/>
                </w:rPr>
              </w:pPr>
              <w:r>
                <w:rPr>
                  <w:rFonts w:ascii="MS Gothic" w:eastAsia="MS Gothic" w:hAnsi="MS Gothic" w:cs="MS Gothic"/>
                  <w:szCs w:val="24"/>
                  <w:lang w:bidi="en-US"/>
                </w:rPr>
                <w:t>☒</w:t>
              </w:r>
              <w:r>
                <w:rPr>
                  <w:color w:val="000000"/>
                  <w:szCs w:val="24"/>
                  <w:lang w:eastAsia="lt-LT" w:bidi="en-US"/>
                </w:rPr>
                <w:t xml:space="preserve"> </w:t>
              </w:r>
              <w:r>
                <w:rPr>
                  <w:rFonts w:eastAsia="Andale Sans UI"/>
                  <w:color w:val="000000"/>
                  <w:szCs w:val="24"/>
                  <w:lang w:bidi="en-US"/>
                </w:rPr>
                <w:t>Ši informacija nurodoma aiškinamajame rašte.</w:t>
              </w:r>
            </w:p>
            <w:p>
              <w:pPr>
                <w:ind w:firstLine="567"/>
                <w:jc w:val="both"/>
                <w:rPr>
                  <w:rFonts w:eastAsia="Andale Sans UI"/>
                  <w:b/>
                  <w:bCs/>
                  <w:color w:val="000000"/>
                  <w:szCs w:val="24"/>
                  <w:lang w:bidi="en-US"/>
                </w:rPr>
              </w:pPr>
              <w:r>
                <w:rPr>
                  <w:rFonts w:eastAsia="Andale Sans UI"/>
                  <w:b/>
                  <w:bCs/>
                  <w:szCs w:val="24"/>
                  <w:lang w:bidi="en-US"/>
                </w:rPr>
                <w:t>12. Kita reikalinga informacija</w:t>
              </w:r>
            </w:p>
            <w:p>
              <w:pPr>
                <w:shd w:val="clear" w:color="auto" w:fill="FFFFFF"/>
                <w:ind w:firstLine="567"/>
                <w:jc w:val="both"/>
                <w:textAlignment w:val="center"/>
                <w:rPr>
                  <w:rFonts w:eastAsia="Andale Sans UI"/>
                  <w:szCs w:val="24"/>
                  <w:lang w:eastAsia="lt-LT" w:bidi="en-US"/>
                </w:rPr>
              </w:pPr>
              <w:r>
                <w:rPr>
                  <w:rFonts w:eastAsia="Andale Sans UI"/>
                  <w:szCs w:val="24"/>
                  <w:lang w:bidi="en-US"/>
                </w:rPr>
                <w:t>P</w:t>
              </w:r>
              <w:r>
                <w:rPr>
                  <w:rFonts w:eastAsia="Andale Sans UI"/>
                  <w:color w:val="000000"/>
                  <w:szCs w:val="24"/>
                  <w:lang w:bidi="en-US"/>
                </w:rPr>
                <w:t>rojektuose nereglamentuojamas asmens duomenų naudojimas</w:t>
              </w:r>
              <w:r>
                <w:rPr>
                  <w:rFonts w:eastAsia="Andale Sans UI"/>
                  <w:szCs w:val="24"/>
                  <w:lang w:eastAsia="lt-LT" w:bidi="en-US"/>
                </w:rPr>
                <w:t>.</w:t>
              </w:r>
            </w:p>
            <w:p>
              <w:pPr>
                <w:ind w:firstLine="567"/>
                <w:jc w:val="both"/>
                <w:rPr>
                  <w:color w:val="000000"/>
                  <w:szCs w:val="24"/>
                  <w:lang w:bidi="en-US"/>
                </w:rPr>
              </w:pPr>
              <w:r>
                <w:rPr>
                  <w:rFonts w:eastAsia="Andale Sans UI"/>
                  <w:szCs w:val="24"/>
                  <w:lang w:bidi="en-US"/>
                </w:rPr>
                <w:t>Su Ekonomikos ir inovacijų ministerija darbo tvarka suderinta, kad ūkio subjektų administracinė našta neskaičiuojama taikant išimtį, numatytą Ū</w:t>
              </w:r>
              <w:r>
                <w:rPr>
                  <w:color w:val="000000"/>
                  <w:szCs w:val="24"/>
                  <w:lang w:bidi="en-US"/>
                </w:rPr>
                <w:t>kio</w:t>
              </w:r>
              <w:r>
                <w:rPr>
                  <w:color w:val="000000"/>
                  <w:szCs w:val="24"/>
                  <w:lang w:val="lt" w:bidi="en-US"/>
                </w:rPr>
                <w:t xml:space="preserve"> subjektų administracinės naštos ir prisitaikymo prie reguliavimo išlaidų vertinimo metodikos, patvirtintos Lietuvos Respublikos Vyriausybės 2022 m. balandžio 6 d. nutarimu Nr. 333 </w:t>
              </w:r>
              <w:r>
                <w:rPr>
                  <w:rFonts w:eastAsia="Andale Sans UI"/>
                  <w:szCs w:val="24"/>
                  <w:lang w:bidi="en-US"/>
                </w:rPr>
                <w:t>„D</w:t>
              </w:r>
              <w:r>
                <w:rPr>
                  <w:color w:val="000000"/>
                  <w:szCs w:val="24"/>
                  <w:lang w:bidi="en-US"/>
                </w:rPr>
                <w:t>ėl</w:t>
              </w:r>
              <w:r>
                <w:rPr>
                  <w:color w:val="000000"/>
                  <w:szCs w:val="24"/>
                  <w:lang w:val="lt" w:bidi="en-US"/>
                </w:rPr>
                <w:t xml:space="preserve"> Ūkio subjektų administracinės naštos ir prisitaikymo prie reguliavimo išlaidų vertinimo metodikos patvirtinimo“, 5 punkte: </w:t>
              </w:r>
              <w:r>
                <w:rPr>
                  <w:rFonts w:eastAsia="Andale Sans UI"/>
                  <w:szCs w:val="24"/>
                  <w:lang w:bidi="en-US"/>
                </w:rPr>
                <w:t>„&lt;...&gt;</w:t>
              </w:r>
              <w:r>
                <w:rPr>
                  <w:color w:val="000000"/>
                  <w:szCs w:val="24"/>
                  <w:lang w:bidi="en-US"/>
                </w:rPr>
                <w:t xml:space="preserve"> Jei, atlikus preliminarų vertinimą, pagal Metodikos 6.1 papunktyje nustatytą išlaidų kategoriją nustatoma, kad įvykdyti informacinį įpareigojimą ūkio subjektui trunka mažiau nei 2 valandas per metus ir jis taikomas mažiau nei 20 ūkio subjektų, informacinių įpareigojimų sukeliama administracinė našta laikoma nereikšminga ir tolesnis vertinimas ir apskaičiavimas pagal Metodikos 6.4 ir 6.5 papunkčiuose nustatytas išlaidų kategorijas neatliekamas“. Galimybe prašyti išduoti išankstinį sutikimą kartą per 10 metų gali pasinaudoti iki 5 ūkio subjektų. Dokumentai teikiami per Aplinkosauginių leidimų informacinę sistemą</w:t>
              </w:r>
              <w:r>
                <w:rPr>
                  <w:szCs w:val="24"/>
                  <w:lang w:bidi="en-US"/>
                </w:rPr>
                <w:t xml:space="preserve"> (toliau – ALIS) </w:t>
              </w:r>
              <w:r>
                <w:rPr>
                  <w:color w:val="000000"/>
                  <w:szCs w:val="24"/>
                  <w:lang w:bidi="en-US"/>
                </w:rPr>
                <w:t>arba kitomis ryšio priemonėmis. Daroma prielaida, kad vienam dokumentui įkelti reikia iki 5 min. Išankstiniam sutikimui gauti ūkio subjektai kartu su prašymu turės pateikti 5 tipų dokumentus. Vadinasi, visam dokumentų paketui sukelti į ALIS reikės iki 30 min. (6 x 5=30).</w:t>
              </w:r>
            </w:p>
            <w:p>
              <w:pPr>
                <w:widowControl w:val="0"/>
                <w:ind w:firstLine="567"/>
                <w:jc w:val="both"/>
                <w:rPr>
                  <w:rFonts w:eastAsia="Andale Sans UI" w:cs="Tahoma"/>
                  <w:bCs/>
                  <w:szCs w:val="24"/>
                  <w:lang w:bidi="en-US"/>
                </w:rPr>
              </w:pPr>
              <w:r>
                <w:rPr>
                  <w:rFonts w:eastAsia="Andale Sans UI" w:cs="Tahoma"/>
                  <w:bCs/>
                  <w:szCs w:val="24"/>
                  <w:lang w:bidi="en-US"/>
                </w:rPr>
                <w:t>Informacinių įpareigojimų, susijusių su baterijų atliekų tvarkymo organizavimo reikalavimais, sukeliama administracinė našta nereikšminga, sukeliamos prisitaikymo naštos vertinimas ir apskaičiavimas neatliekamas, nes:</w:t>
              </w:r>
            </w:p>
          </w:sdtContent>
        </w:sdt>
        <w:sdt>
          <w:sdtPr>
            <w:alias w:val="1 pp."/>
            <w:tag w:val="part_30208dc2de0146d6a3b634f4084a5b80"/>
            <w:lock w:val="sdtLocked"/>
            <w:richText/>
          </w:sdtPr>
          <w:sdtContent>
            <w:p>
              <w:pPr>
                <w:widowControl w:val="0"/>
                <w:ind w:firstLine="567"/>
                <w:jc w:val="both"/>
                <w:rPr>
                  <w:rFonts w:eastAsia="Andale Sans UI"/>
                  <w:bCs/>
                  <w:szCs w:val="24"/>
                  <w:lang w:bidi="en-US"/>
                </w:rPr>
              </w:pPr>
              <w:sdt>
                <w:sdtPr>
                  <w:alias w:val="Numeris"/>
                  <w:tag w:val="nr_30208dc2de0146d6a3b634f4084a5b80"/>
                  <w:lock w:val="sdtLocked"/>
                  <w:richText/>
                </w:sdtPr>
                <w:sdtContent>
                  <w:r>
                    <w:rPr>
                      <w:rFonts w:eastAsia="Andale Sans UI" w:cs="Tahoma"/>
                      <w:bCs/>
                      <w:szCs w:val="24"/>
                      <w:lang w:bidi="en-US"/>
                    </w:rPr>
                    <w:t>1</w:t>
                  </w:r>
                </w:sdtContent>
              </w:sdt>
              <w:r>
                <w:rPr>
                  <w:rFonts w:eastAsia="Andale Sans UI" w:cs="Tahoma"/>
                  <w:bCs/>
                  <w:szCs w:val="24"/>
                  <w:lang w:bidi="en-US"/>
                </w:rPr>
                <w:t xml:space="preserve">) </w:t>
              </w:r>
              <w:r>
                <w:rPr>
                  <w:rFonts w:eastAsia="Andale Sans UI"/>
                  <w:bCs/>
                  <w:szCs w:val="24"/>
                  <w:lang w:bidi="en-US"/>
                </w:rPr>
                <w:t xml:space="preserve">dabar baterijų atliekų tvarkymą organizuoja tik 3 licencijuotos gamintojų ir importuotojų organizacijos. Iki Reglamento </w:t>
              </w:r>
              <w:fldSimple w:instr="HYPERLINK http://eur-lex.europa.eu/legal-content/LIT/TXT/?uri=CELEX:32023R1542&amp;locale=lt \t _blank">
                <w:r>
                  <w:rPr>
                    <w:rFonts w:eastAsia="Andale Sans UI"/>
                    <w:bCs/>
                    <w:szCs w:val="24"/>
                    <w:lang w:bidi="en-US"/>
                    <w:u w:val="single"/>
                    <w:color w:val="0000FF" w:themeColor="hyperlink"/>
                  </w:rPr>
                  <w:t>(ES) 2023/1542</w:t>
                </w:r>
              </w:fldSimple>
              <w:r>
                <w:rPr>
                  <w:rFonts w:eastAsia="Andale Sans UI"/>
                  <w:bCs/>
                  <w:szCs w:val="24"/>
                  <w:lang w:bidi="en-US"/>
                </w:rPr>
                <w:t xml:space="preserve"> įsigaliojimo elektrinių transporto priemonių ir mažųjų transporto priemonių baterijos pateko į pramoninių baterijų kategorijos apimtį. Minėtos organizacijos, pagal jų pateiktą informaciją, kaip dabar, elektrinių transporto priemonių ir mažųjų transporto priemonių baterijų atliekų tvarkymą organizuos naudodamos esamas šių organizacijų įdiegtas baterijų atliekų surinkimo sistemas. Todėl minėtoms 3 licencijuotoms gamintojų ir importuotojų organizacijoms veiklos dokumentų (atliekų tvarkymo veiklos organizavimo plano, finansavimo schemos, visuomenės švietimo ir informavimo programos) atnaujinimas įtraukiant informaciją apie elektrinių transporto priemonių ir mažųjų transporto priemonių baterijų atliekų tvarkymą, tikėtina, neužtruks ilgiau kaip 2 val., nes jos tiesiog nukopijuos anksčiau pildytą informaciją apie nešiojamųjų, pramoninių ir automobilių baterijų atliekų tvarkymo organizavimą;</w:t>
              </w:r>
            </w:p>
          </w:sdtContent>
        </w:sdt>
        <w:sdt>
          <w:sdtPr>
            <w:alias w:val="2 pp."/>
            <w:tag w:val="part_ddc571d9c64b45f497a66b8db47cbd28"/>
            <w:lock w:val="sdtLocked"/>
            <w:richText/>
          </w:sdtPr>
          <w:sdtContent>
            <w:p>
              <w:pPr>
                <w:widowControl w:val="0"/>
                <w:ind w:firstLine="567"/>
                <w:jc w:val="both"/>
                <w:rPr>
                  <w:rFonts w:eastAsia="Andale Sans UI" w:cs="Tahoma"/>
                  <w:bCs/>
                  <w:szCs w:val="24"/>
                  <w:lang w:bidi="en-US"/>
                </w:rPr>
              </w:pPr>
              <w:sdt>
                <w:sdtPr>
                  <w:alias w:val="Numeris"/>
                  <w:tag w:val="nr_ddc571d9c64b45f497a66b8db47cbd28"/>
                  <w:lock w:val="sdtLocked"/>
                  <w:richText/>
                </w:sdtPr>
                <w:sdtContent>
                  <w:r>
                    <w:rPr>
                      <w:rFonts w:eastAsia="Andale Sans UI"/>
                      <w:bCs/>
                      <w:szCs w:val="24"/>
                      <w:lang w:bidi="en-US"/>
                    </w:rPr>
                    <w:t>2</w:t>
                  </w:r>
                </w:sdtContent>
              </w:sdt>
              <w:r>
                <w:rPr>
                  <w:rFonts w:eastAsia="Andale Sans UI"/>
                  <w:bCs/>
                  <w:szCs w:val="24"/>
                  <w:lang w:bidi="en-US"/>
                </w:rPr>
                <w:t xml:space="preserve">) </w:t>
              </w:r>
              <w:r>
                <w:rPr>
                  <w:rFonts w:eastAsia="Andale Sans UI" w:cs="Tahoma"/>
                  <w:bCs/>
                  <w:szCs w:val="24"/>
                  <w:lang w:bidi="en-US"/>
                </w:rPr>
                <w:t>neįmanoma prognozuoti, ar bus steigiamos naujos baterijų gamintojų organizacijos, kurios norės gauti bet kurią iš naujų rūšių licencijų – atitinkamų kategorijų baterijų atliekų tvarkymo organizavimo licencijų. Ūkio subjektų apklausa nesuteiktų objektyvių duomenų, nes, pvz., 5 gamintojai gali atsakyti, kad ateityje galbūt svarstytų steigti naują baterijų gamintojų organizaciją, tačiau tai nereikštų realių planų steigti naujas organizacijas ir nereikštų, kad tie gamintojai atskirai steigtų 5 naujas organizacijas. Pažymėtina, kad gamintojai dažniausiai renkasi prisijungti prie jau veikiančių licencijuotų organizacijų. Paskutinįkart apmokestinamųjų gaminių atliekų tvarkymo organizavimo licencija, suteikianti gamintojų ir importuotojų organizacijai teisę organizuoti ir baterijų atliekų tvarkymą, išduota</w:t>
              </w:r>
              <w:r>
                <w:rPr>
                  <w:rFonts w:eastAsia="Andale Sans UI" w:cs="Tahoma"/>
                  <w:bCs/>
                  <w:szCs w:val="24"/>
                  <w:vertAlign w:val="superscript"/>
                  <w:lang w:bidi="en-US"/>
                </w:rPr>
                <w:t>2</w:t>
              </w:r>
              <w:r>
                <w:rPr>
                  <w:rFonts w:eastAsia="Andale Sans UI" w:cs="Tahoma"/>
                  <w:bCs/>
                  <w:szCs w:val="24"/>
                  <w:lang w:bidi="en-US"/>
                </w:rPr>
                <w:t xml:space="preserve"> 2016 m. Taigi per pastaruosius 9 metus nebuvo nei vieno prašymo išduoti apmokestinamųjų gaminių atliekų tvarkymo organizavimo licenciją ar apmokestinamųjų gaminių (baterijų ir akumuliatorių) atliekų tvarkymo organizavimo licenciją;</w:t>
              </w:r>
            </w:p>
          </w:sdtContent>
        </w:sdt>
        <w:sdt>
          <w:sdtPr>
            <w:alias w:val="3 pp."/>
            <w:tag w:val="part_cde05c5bf64a46919e76e23fcb27bab8"/>
            <w:lock w:val="sdtLocked"/>
            <w:richText/>
          </w:sdtPr>
          <w:sdtContent>
            <w:p>
              <w:pPr>
                <w:widowControl w:val="0"/>
                <w:ind w:firstLine="567"/>
                <w:jc w:val="both"/>
                <w:rPr>
                  <w:rFonts w:eastAsia="Andale Sans UI" w:cs="Tahoma"/>
                  <w:bCs/>
                  <w:szCs w:val="24"/>
                  <w:lang w:bidi="en-US"/>
                </w:rPr>
              </w:pPr>
              <w:sdt>
                <w:sdtPr>
                  <w:alias w:val="Numeris"/>
                  <w:tag w:val="nr_cde05c5bf64a46919e76e23fcb27bab8"/>
                  <w:lock w:val="sdtLocked"/>
                  <w:richText/>
                </w:sdtPr>
                <w:sdtContent>
                  <w:r>
                    <w:rPr>
                      <w:rFonts w:eastAsia="Andale Sans UI" w:cs="Tahoma"/>
                      <w:bCs/>
                      <w:szCs w:val="24"/>
                      <w:lang w:bidi="en-US"/>
                    </w:rPr>
                    <w:t>3</w:t>
                  </w:r>
                </w:sdtContent>
              </w:sdt>
              <w:r>
                <w:rPr>
                  <w:rFonts w:eastAsia="Andale Sans UI" w:cs="Tahoma"/>
                  <w:bCs/>
                  <w:szCs w:val="24"/>
                  <w:lang w:bidi="en-US"/>
                </w:rPr>
                <w:t>) Baterijų įstatymo projekto 6 straipsnio 2 dalies 3–5 punktuose minima informacija, kaip organizuojamas baterijų atliekų atskiras surinkimas, kad būtų įvykdyta pareiga organizuoti baterijų atliekų tvarkymą ir įvykdyti gamintojams nustatytas baterijų atliekų tvarkymo užduotis, nurodoma organizacijos veiklos organizavimo plane, kaip numatyta Gamintojų ir importuotojų organizacijos veiklos organizavimo plano, finansavimo schemos ir švietimo programos rengimo, derinimo ir ataskaitų bei informacijos apie jų vykdymą teikimo tvarkos aprašo, patvirtintame Lietuvos Respublikos aplinkos ministro 2006 m. sausio 30 d. įsakymu Nr. D1-57 „Dėl Gamintojų ir importuotojų organizacijos veiklos organizavimo plano, finansavimo schemos ir švietimo programos rengimo, derinimo ir ataskaitų bei informacijos apie jų vykdymą teikimo tvarkos aprašo patvirtinimo“, 9 punkte. Šio tvarkos aprašo nuostatos bus tikslinamos detalizuojant reikalavimus organizacijų veiklos dokumentų turiniui. Tada bus aiškiau, ar reikšmingai keistųsi našta ūkio subjektams, norintiems gauti licenciją baterijų atliekų tvarkymui organizuoti;</w:t>
              </w:r>
            </w:p>
          </w:sdtContent>
        </w:sdt>
        <w:sdt>
          <w:sdtPr>
            <w:alias w:val="4 pp."/>
            <w:tag w:val="part_55fab7c7ea324e3d8556bc3097ad8294"/>
            <w:lock w:val="sdtLocked"/>
            <w:richText/>
          </w:sdtPr>
          <w:sdtContent>
            <w:p>
              <w:pPr>
                <w:widowControl w:val="0"/>
                <w:ind w:firstLine="567"/>
                <w:jc w:val="both"/>
                <w:rPr>
                  <w:color w:val="000000"/>
                  <w:szCs w:val="24"/>
                  <w:lang w:bidi="en-US"/>
                </w:rPr>
              </w:pPr>
              <w:sdt>
                <w:sdtPr>
                  <w:alias w:val="Numeris"/>
                  <w:tag w:val="nr_55fab7c7ea324e3d8556bc3097ad8294"/>
                  <w:lock w:val="sdtLocked"/>
                  <w:richText/>
                </w:sdtPr>
                <w:sdtContent>
                  <w:r>
                    <w:rPr>
                      <w:rFonts w:eastAsia="Andale Sans UI"/>
                      <w:bCs/>
                      <w:szCs w:val="24"/>
                      <w:lang w:bidi="en-US"/>
                    </w:rPr>
                    <w:t>4</w:t>
                  </w:r>
                </w:sdtContent>
              </w:sdt>
              <w:r>
                <w:rPr>
                  <w:rFonts w:eastAsia="Andale Sans UI"/>
                  <w:bCs/>
                  <w:szCs w:val="24"/>
                  <w:lang w:bidi="en-US"/>
                </w:rPr>
                <w:t xml:space="preserve">) </w:t>
              </w:r>
              <w:r>
                <w:rPr>
                  <w:rFonts w:eastAsia="Andale Sans UI" w:cs="Tahoma"/>
                  <w:bCs/>
                  <w:szCs w:val="24"/>
                  <w:lang w:bidi="en-US"/>
                </w:rPr>
                <w:t>b</w:t>
              </w:r>
              <w:r>
                <w:rPr>
                  <w:rFonts w:eastAsia="Andale Sans UI"/>
                  <w:bCs/>
                  <w:szCs w:val="24"/>
                  <w:lang w:bidi="en-US"/>
                </w:rPr>
                <w:t>aterijas Lietuvos rinkai tiekiantiems gamintojams</w:t>
              </w:r>
              <w:r>
                <w:rPr>
                  <w:rFonts w:eastAsia="Andale Sans UI" w:cs="Tahoma"/>
                  <w:bCs/>
                  <w:szCs w:val="24"/>
                  <w:lang w:bidi="en-US"/>
                </w:rPr>
                <w:t xml:space="preserve">, kurie rinkdavosi individualų pareigų vykdymo būdą, </w:t>
              </w:r>
              <w:r>
                <w:rPr>
                  <w:rFonts w:eastAsia="Andale Sans UI"/>
                  <w:bCs/>
                  <w:szCs w:val="24"/>
                  <w:lang w:bidi="en-US"/>
                </w:rPr>
                <w:t>įsipareigojim</w:t>
              </w:r>
              <w:r>
                <w:rPr>
                  <w:rFonts w:eastAsia="Andale Sans UI" w:cs="Tahoma"/>
                  <w:bCs/>
                  <w:szCs w:val="24"/>
                  <w:lang w:bidi="en-US"/>
                </w:rPr>
                <w:t>ų mastas iš esmės nesikeis, nes vietoj vienos rūšies sutarties (pagal žinomą praktiką tokie gamintojai baterijų atliekų surinkimo iš platintojų ir sutvarkymo sutartį sudarydavo su atliekų tvarkytoju, kuris turi susitarimus su platintojais) pakeis kitos rūšies sutartis – pavedimo sutartis su baterijų atliekų tvarkymo organizavimo licenciją turinčia gamintojų organizacija; kaip ir iki šiol jie turės apskaityti, kiek ir kokių baterijų patiekė Lietuvos rinkai per atitinkamą ataskaitinį laikotarpį – šiuos duomenis pildys savo įmonėje ir teiks organizacijai, su kuria pasirašė pavedimo sutartį, jos informacinėje sistemoje.</w:t>
              </w:r>
            </w:p>
            <w:sdt>
              <w:sdtPr>
                <w:alias w:val="4 pp. 13 p."/>
                <w:tag w:val="part_8b0e855dcc934a87bf3475866ecf53a0"/>
                <w:lock w:val="sdtLocked"/>
                <w:richText/>
              </w:sdtPr>
              <w:sdtContent>
                <w:p>
                  <w:pPr>
                    <w:ind w:firstLine="567"/>
                    <w:jc w:val="both"/>
                    <w:rPr>
                      <w:rFonts w:eastAsia="Andale Sans UI"/>
                      <w:b/>
                      <w:bCs/>
                      <w:i/>
                      <w:iCs/>
                      <w:color w:val="000000"/>
                      <w:szCs w:val="24"/>
                      <w:lang w:bidi="en-US"/>
                    </w:rPr>
                  </w:pPr>
                  <w:sdt>
                    <w:sdtPr>
                      <w:alias w:val="Numeris"/>
                      <w:tag w:val="nr_8b0e855dcc934a87bf3475866ecf53a0"/>
                      <w:lock w:val="sdtLocked"/>
                      <w:richText/>
                    </w:sdtPr>
                    <w:sdtContent>
                      <w:r>
                        <w:rPr>
                          <w:rFonts w:eastAsia="Andale Sans UI"/>
                          <w:b/>
                          <w:bCs/>
                          <w:szCs w:val="24"/>
                          <w:lang w:bidi="en-US"/>
                        </w:rPr>
                        <w:t>13</w:t>
                      </w:r>
                    </w:sdtContent>
                  </w:sdt>
                  <w:r>
                    <w:rPr>
                      <w:rFonts w:eastAsia="Andale Sans UI"/>
                      <w:b/>
                      <w:bCs/>
                      <w:szCs w:val="24"/>
                      <w:lang w:bidi="en-US"/>
                    </w:rPr>
                    <w:t>. Konsultavimasis su visuomene</w:t>
                  </w:r>
                  <w:r>
                    <w:rPr>
                      <w:rFonts w:eastAsia="Andale Sans UI"/>
                      <w:b/>
                      <w:bCs/>
                      <w:szCs w:val="24"/>
                      <w:vertAlign w:val="superscript"/>
                      <w:lang w:bidi="en-US"/>
                    </w:rPr>
                    <w:footnoteReference w:id="10"/>
                  </w:r>
                  <w:r>
                    <w:rPr>
                      <w:rFonts w:eastAsia="Andale Sans UI"/>
                      <w:b/>
                      <w:bCs/>
                      <w:szCs w:val="24"/>
                      <w:lang w:bidi="en-US"/>
                    </w:rPr>
                    <w:t xml:space="preserve"> </w:t>
                  </w:r>
                  <w:r>
                    <w:rPr>
                      <w:rFonts w:eastAsia="Andale Sans UI"/>
                      <w:b/>
                      <w:bCs/>
                      <w:color w:val="000000"/>
                      <w:szCs w:val="24"/>
                      <w:lang w:bidi="en-US"/>
                    </w:rPr>
                    <w:t>interneto svetainėje epilietis.lrv.lt</w:t>
                  </w:r>
                  <w:r>
                    <w:rPr>
                      <w:rFonts w:eastAsia="Andale Sans UI"/>
                      <w:color w:val="000000"/>
                      <w:szCs w:val="24"/>
                      <w:lang w:bidi="en-US"/>
                    </w:rPr>
                    <w:t xml:space="preserve"> </w:t>
                  </w:r>
                  <w:r>
                    <w:rPr>
                      <w:szCs w:val="24"/>
                      <w:lang w:eastAsia="lt-LT" w:bidi="en-US"/>
                    </w:rPr>
                    <w:t>(pažymimas tinkamas variantas)</w:t>
                  </w:r>
                </w:p>
                <w:p>
                  <w:pPr>
                    <w:ind w:firstLine="567"/>
                    <w:jc w:val="both"/>
                    <w:rPr>
                      <w:i/>
                      <w:iCs/>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w:t>
                  </w:r>
                  <w:r>
                    <w:rPr>
                      <w:rFonts w:eastAsia="Andale Sans UI"/>
                      <w:color w:val="000000"/>
                      <w:szCs w:val="24"/>
                      <w:lang w:bidi="en-US"/>
                    </w:rPr>
                    <w:t>rojektai viešosioms konsultacijoms skelbtas interneto svetainėje epilietis.lrv.lt, kur pastabas ir pasiūlymus nuo 202.. m. ... ... d. iki 202.. m. ... ... d. galėjo teikti visi suinteresuoti asmenys (</w:t>
                  </w:r>
                  <w:r>
                    <w:rPr>
                      <w:rFonts w:eastAsia="Andale Sans UI"/>
                      <w:i/>
                      <w:iCs/>
                      <w:color w:val="000000"/>
                      <w:szCs w:val="24"/>
                      <w:lang w:bidi="en-US"/>
                    </w:rPr>
                    <w:t xml:space="preserve">nurodomas </w:t>
                  </w:r>
                  <w:r>
                    <w:rPr>
                      <w:rFonts w:eastAsia="Andale Sans UI"/>
                      <w:i/>
                      <w:iCs/>
                      <w:szCs w:val="24"/>
                      <w:lang w:bidi="en-US"/>
                    </w:rPr>
                    <w:t xml:space="preserve">konsultavimosi tikslas (tikslai), būdas (būdai), </w:t>
                  </w:r>
                  <w:r>
                    <w:rPr>
                      <w:i/>
                      <w:iCs/>
                      <w:color w:val="000000"/>
                      <w:szCs w:val="24"/>
                      <w:lang w:eastAsia="lt-LT" w:bidi="en-US"/>
                    </w:rPr>
                    <w:t>suinteresuoti asmenys, su kuriais konsultuotasi, konsultavimosi trukmė</w:t>
                  </w:r>
                  <w:r>
                    <w:rPr>
                      <w:rFonts w:eastAsia="Andale Sans UI"/>
                      <w:i/>
                      <w:iCs/>
                      <w:szCs w:val="24"/>
                      <w:lang w:bidi="en-US"/>
                    </w:rPr>
                    <w:t xml:space="preserve"> ir apibendrinti konsultavimosi rezultatai </w:t>
                  </w:r>
                  <w:r>
                    <w:rPr>
                      <w:rFonts w:eastAsia="Andale Sans UI"/>
                      <w:i/>
                      <w:iCs/>
                      <w:color w:val="000000"/>
                      <w:szCs w:val="24"/>
                      <w:lang w:bidi="en-US"/>
                    </w:rPr>
                    <w:t xml:space="preserve">– </w:t>
                  </w:r>
                  <w:r>
                    <w:rPr>
                      <w:rFonts w:eastAsia="Andale Sans UI"/>
                      <w:i/>
                      <w:iCs/>
                      <w:szCs w:val="24"/>
                      <w:lang w:bidi="en-US"/>
                    </w:rPr>
                    <w:t>pateikiamos bendros (agreguotos) viešųjų konsultacijų dalyvių nuomonių tendencijos, nurodoma, kaip į konsultavimosi su visuomene rezultatus atsižvelgta Projekte</w:t>
                  </w:r>
                  <w:r>
                    <w:rPr>
                      <w:rFonts w:eastAsia="Andale Sans UI"/>
                      <w:szCs w:val="24"/>
                      <w:lang w:bidi="en-US"/>
                    </w:rPr>
                    <w:t>)</w:t>
                  </w:r>
                  <w:r>
                    <w:rPr>
                      <w:rFonts w:eastAsia="Andale Sans UI"/>
                      <w:i/>
                      <w:iCs/>
                      <w:szCs w:val="24"/>
                      <w:lang w:bidi="en-US"/>
                    </w:rPr>
                    <w:t xml:space="preserve"> </w:t>
                  </w:r>
                  <w:r>
                    <w:rPr>
                      <w:rFonts w:eastAsia="Andale Sans UI"/>
                      <w:szCs w:val="24"/>
                      <w:lang w:bidi="en-US"/>
                    </w:rPr>
                    <w:t>(</w:t>
                  </w:r>
                  <w:r>
                    <w:rPr>
                      <w:rFonts w:eastAsia="Andale Sans UI"/>
                      <w:b/>
                      <w:bCs/>
                      <w:szCs w:val="24"/>
                      <w:lang w:bidi="en-US"/>
                    </w:rPr>
                    <w:t>arba</w:t>
                  </w:r>
                  <w:r>
                    <w:rPr>
                      <w:rFonts w:eastAsia="Andale Sans UI"/>
                      <w:szCs w:val="24"/>
                      <w:lang w:bidi="en-US"/>
                    </w:rPr>
                    <w:t xml:space="preserve"> P</w:t>
                  </w:r>
                  <w:r>
                    <w:rPr>
                      <w:rFonts w:eastAsia="Andale Sans UI"/>
                      <w:color w:val="000000"/>
                      <w:szCs w:val="24"/>
                      <w:lang w:bidi="en-US"/>
                    </w:rPr>
                    <w:t>rojektas viešosioms konsultacijoms paskelbtas (</w:t>
                  </w:r>
                  <w:r>
                    <w:rPr>
                      <w:rFonts w:eastAsia="Andale Sans UI"/>
                      <w:b/>
                      <w:bCs/>
                      <w:color w:val="000000"/>
                      <w:szCs w:val="24"/>
                      <w:lang w:bidi="en-US"/>
                    </w:rPr>
                    <w:t>arba</w:t>
                  </w:r>
                  <w:r>
                    <w:rPr>
                      <w:rFonts w:eastAsia="Andale Sans UI"/>
                      <w:color w:val="000000"/>
                      <w:szCs w:val="24"/>
                      <w:lang w:bidi="en-US"/>
                    </w:rPr>
                    <w:t xml:space="preserve"> bus skelbiamas) interneto svetainėje epilietis.lrv.lt, kur pastabas ir pasiūlymus gali teikti (</w:t>
                  </w:r>
                  <w:r>
                    <w:rPr>
                      <w:rFonts w:eastAsia="Andale Sans UI"/>
                      <w:b/>
                      <w:bCs/>
                      <w:color w:val="000000"/>
                      <w:szCs w:val="24"/>
                      <w:lang w:bidi="en-US"/>
                    </w:rPr>
                    <w:t>arba</w:t>
                  </w:r>
                  <w:r>
                    <w:rPr>
                      <w:rFonts w:eastAsia="Andale Sans UI"/>
                      <w:color w:val="000000"/>
                      <w:szCs w:val="24"/>
                      <w:lang w:bidi="en-US"/>
                    </w:rPr>
                    <w:t xml:space="preserve"> galės teikti) visi suinteresuoti asmenys (</w:t>
                  </w:r>
                  <w:r>
                    <w:rPr>
                      <w:i/>
                      <w:iCs/>
                      <w:color w:val="000000"/>
                      <w:szCs w:val="24"/>
                      <w:lang w:eastAsia="lt-LT" w:bidi="en-US"/>
                    </w:rPr>
                    <w:t>nurodomas konsultavimosi tikslas (tikslai), būdas (būdai), suinteresuoti asmenys ir konsultavimosi trukmė</w:t>
                  </w:r>
                  <w:r>
                    <w:rPr>
                      <w:color w:val="000000"/>
                      <w:szCs w:val="24"/>
                      <w:lang w:eastAsia="lt-LT" w:bidi="en-US"/>
                    </w:rPr>
                    <w:t>)</w:t>
                  </w:r>
                  <w:r>
                    <w:rPr>
                      <w:i/>
                      <w:iCs/>
                      <w:color w:val="000000"/>
                      <w:szCs w:val="24"/>
                      <w:lang w:eastAsia="lt-LT" w:bidi="en-US"/>
                    </w:rPr>
                    <w:t xml:space="preserve">. </w:t>
                  </w:r>
                </w:p>
                <w:p>
                  <w:pPr>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rFonts w:eastAsia="Andale Sans UI"/>
                      <w:color w:val="000000"/>
                      <w:szCs w:val="24"/>
                      <w:lang w:bidi="en-US"/>
                    </w:rPr>
                    <w:t xml:space="preserve">rojektų skelbti viešosioms konsultacijoms interneto svetainėje epilietis.lrv.lt </w:t>
                  </w:r>
                  <w:r>
                    <w:rPr>
                      <w:color w:val="000000"/>
                      <w:szCs w:val="24"/>
                      <w:lang w:eastAsia="lt-LT" w:bidi="en-US"/>
                    </w:rPr>
                    <w:t xml:space="preserve">neplanuojama. </w:t>
                  </w:r>
                </w:p>
              </w:sdtContent>
            </w:sdt>
            <w:sdt>
              <w:sdtPr>
                <w:alias w:val="4 pp. 14 p."/>
                <w:tag w:val="part_82a7e21675ff44c09761cce48c0d0ca3"/>
                <w:lock w:val="sdtLocked"/>
                <w:richText/>
              </w:sdtPr>
              <w:sdtContent>
                <w:p>
                  <w:pPr>
                    <w:ind w:firstLine="567"/>
                    <w:jc w:val="both"/>
                    <w:rPr>
                      <w:rFonts w:eastAsia="Andale Sans UI"/>
                      <w:b/>
                      <w:bCs/>
                      <w:color w:val="000000"/>
                      <w:szCs w:val="24"/>
                      <w:lang w:bidi="en-US"/>
                    </w:rPr>
                  </w:pPr>
                  <w:sdt>
                    <w:sdtPr>
                      <w:alias w:val="Numeris"/>
                      <w:tag w:val="nr_82a7e21675ff44c09761cce48c0d0ca3"/>
                      <w:lock w:val="sdtLocked"/>
                      <w:richText/>
                    </w:sdtPr>
                    <w:sdtContent>
                      <w:r>
                        <w:rPr>
                          <w:rFonts w:eastAsia="Andale Sans UI"/>
                          <w:b/>
                          <w:bCs/>
                          <w:szCs w:val="24"/>
                          <w:lang w:bidi="en-US"/>
                        </w:rPr>
                        <w:t>14</w:t>
                      </w:r>
                    </w:sdtContent>
                  </w:sdt>
                  <w:r>
                    <w:rPr>
                      <w:rFonts w:eastAsia="Andale Sans UI"/>
                      <w:b/>
                      <w:bCs/>
                      <w:szCs w:val="24"/>
                      <w:lang w:bidi="en-US"/>
                    </w:rPr>
                    <w:t>. Derinimas su suinteresuotomis institucijomis ir suinteresuotais asmenimis</w:t>
                  </w:r>
                </w:p>
                <w:p>
                  <w:pPr>
                    <w:ind w:firstLine="567"/>
                    <w:jc w:val="both"/>
                    <w:textAlignment w:val="baseline"/>
                    <w:rPr>
                      <w:szCs w:val="24"/>
                      <w:lang w:val="lt" w:bidi="en-US"/>
                    </w:rPr>
                  </w:pPr>
                  <w:r>
                    <w:rPr>
                      <w:rFonts w:eastAsia="Andale Sans UI"/>
                      <w:szCs w:val="24"/>
                      <w:lang w:bidi="en-US"/>
                    </w:rPr>
                    <w:t>Projektai pirmąkart derinti teikti per Lietuvos Respublikos Seimo kanceliarijos teisės aktų informacinę sistemą (TAIS) 2025 m. kovo 28 d. (reg. TAIS Nr. 25-5238, 25-5240, 25-5243, 25</w:t>
                    <w:noBreakHyphen/>
                    <w:t xml:space="preserve">5244, 25-5245) </w:t>
                  </w:r>
                  <w:r>
                    <w:rPr>
                      <w:szCs w:val="24"/>
                      <w:lang w:val="lt" w:bidi="en-US"/>
                    </w:rPr>
                    <w:t xml:space="preserve">Ekonomikos ir inovacijų ministerijai, Lietuvos Respublikos </w:t>
                  </w:r>
                  <w:r>
                    <w:rPr>
                      <w:szCs w:val="24"/>
                      <w:lang w:bidi="en-US"/>
                    </w:rPr>
                    <w:t xml:space="preserve">finansų ministerijai, </w:t>
                  </w:r>
                  <w:r>
                    <w:rPr>
                      <w:szCs w:val="24"/>
                      <w:lang w:val="lt" w:bidi="en-US"/>
                    </w:rPr>
                    <w:t>Lietuvos Respublikos teisingumo ministerijai,</w:t>
                  </w:r>
                  <w:r>
                    <w:rPr>
                      <w:color w:val="000000"/>
                      <w:szCs w:val="24"/>
                      <w:lang w:bidi="en-US"/>
                    </w:rPr>
                    <w:t xml:space="preserve"> Aplinkos apsaugos agentūrai, Aplinkos apsaugos departamentui, </w:t>
                  </w:r>
                  <w:r>
                    <w:rPr>
                      <w:szCs w:val="24"/>
                      <w:lang w:bidi="en-US"/>
                    </w:rPr>
                    <w:t xml:space="preserve">Aplinkosaugos koalicijai, asociacijai „Investors‘ forum“, Atliekų tvarkytojų ir turėtojų asociacijai, Autogamintojų ir importuotojų asociacijai, asociacijai „EEPA“, Eksploatuoti netinkamų transporto priemonių tvarkytojų asociacijai, Gamintojų ir importuotojų asociacijai, Lietuvos komunalininkų ir atliekų tvarkytojų asociacijai, Lietuvos pramonininkų konfederacijai, Lietuvos regioninių atliekų tvarkymo centrų asociacijai, Lietuvos savivaldybių asociacijai, Lietuvos savivaldybių komunalinių įmonių asociacijai, Lietuvos verslo konfederacijai, Pavojingųjų atliekų tvarkytojų asociacijai, UAB VAATC, VšĮ „Žiedinė ekonomika“, Valstybinei mokesčių inspekcijai prie Finansų ministerijos, </w:t>
                  </w:r>
                  <w:r>
                    <w:rPr>
                      <w:szCs w:val="24"/>
                      <w:lang w:val="lt" w:bidi="en-US"/>
                    </w:rPr>
                    <w:t xml:space="preserve">Vyriausybės atstovų įstaigai. Patikslinti Projektai toms pačioms suinteresuotoms institucijoms pakartotinai </w:t>
                  </w:r>
                  <w:r>
                    <w:rPr>
                      <w:rFonts w:eastAsia="Andale Sans UI"/>
                      <w:szCs w:val="24"/>
                      <w:lang w:bidi="en-US"/>
                    </w:rPr>
                    <w:t>pateikti derinti 2025 m. rugsėjo 25 d. (reg. TAIS Nr. 25-5238(2), 25-5240(2), 25-5243(2), 25-5244(2), 25-5245(2).</w:t>
                  </w:r>
                </w:p>
                <w:p>
                  <w:pPr>
                    <w:ind w:firstLine="567"/>
                    <w:jc w:val="both"/>
                    <w:textAlignment w:val="baseline"/>
                    <w:rPr>
                      <w:color w:val="000000"/>
                      <w:szCs w:val="24"/>
                      <w:lang w:eastAsia="lt-LT"/>
                    </w:rPr>
                  </w:pPr>
                  <w:r>
                    <w:rPr>
                      <w:rFonts w:eastAsia="StarSymbol"/>
                      <w:color w:val="000000"/>
                      <w:szCs w:val="24"/>
                      <w:lang w:eastAsia="lt-LT"/>
                    </w:rPr>
                    <w:t xml:space="preserve">Išvados gautos iš </w:t>
                  </w:r>
                  <w:r>
                    <w:rPr>
                      <w:szCs w:val="24"/>
                      <w:lang w:val="lt" w:eastAsia="lt-LT"/>
                    </w:rPr>
                    <w:t xml:space="preserve">Ekonomikos ir inovacijų ministerijos, Teisingumo ministerijos, </w:t>
                  </w:r>
                  <w:r>
                    <w:rPr>
                      <w:color w:val="000000"/>
                      <w:szCs w:val="24"/>
                      <w:lang w:eastAsia="lt-LT"/>
                    </w:rPr>
                    <w:t xml:space="preserve">Aplinkos apsaugos agentūros, Aplinkos apsaugos departamento, </w:t>
                  </w:r>
                  <w:r>
                    <w:rPr>
                      <w:szCs w:val="24"/>
                      <w:lang w:eastAsia="lt-LT"/>
                    </w:rPr>
                    <w:t>Autogamintojų ir importuotojų asociacijos, VšĮ Elektronikos gamintojų ir importuotojų organizacijos, Gamintojų ir importuotojų asociacijos, Lietuvos komunalininkų ir atliekų tvarkytojų asociacijos, Lietuvos prekybos įmonių asociacijos, Pavojingųjų atliekų tvarkytojų asociacijos, Valstybinės mokesčių inspekcijos prie Finansų ministerijos, Vilniaus miesto savivaldybės</w:t>
                  </w:r>
                  <w:r>
                    <w:rPr>
                      <w:rFonts w:eastAsia="StarSymbol"/>
                      <w:color w:val="000000"/>
                      <w:szCs w:val="24"/>
                      <w:lang w:eastAsia="lt-LT"/>
                    </w:rPr>
                    <w:t>.</w:t>
                  </w:r>
                </w:p>
                <w:p>
                  <w:pPr>
                    <w:ind w:firstLine="567"/>
                    <w:jc w:val="both"/>
                    <w:textAlignment w:val="baseline"/>
                    <w:rPr>
                      <w:color w:val="000000"/>
                      <w:szCs w:val="24"/>
                      <w:lang w:eastAsia="lt-LT"/>
                    </w:rPr>
                  </w:pPr>
                  <w:r>
                    <w:rPr>
                      <w:szCs w:val="24"/>
                      <w:lang w:val="lt" w:eastAsia="lt-LT"/>
                    </w:rPr>
                    <w:t xml:space="preserve">Ekonomikos ir inovacijų ministerija, Teisingumo ministerija, </w:t>
                  </w:r>
                  <w:r>
                    <w:rPr>
                      <w:color w:val="000000"/>
                      <w:szCs w:val="24"/>
                      <w:lang w:eastAsia="lt-LT"/>
                    </w:rPr>
                    <w:t xml:space="preserve">Aplinkos apsaugos agentūra, </w:t>
                  </w:r>
                  <w:r>
                    <w:rPr>
                      <w:szCs w:val="24"/>
                      <w:lang w:eastAsia="lt-LT"/>
                    </w:rPr>
                    <w:t>Autogamintojų ir importuotojų asociacija, Gamintojų ir importuotojų asociacija, VšĮ Elektronikos gamintojų ir importuotojų organizacija, Lietuvos komunalininkų ir atliekų tvarkytojų asociacija, Lietuvos prekybos įmonių asociacija, Pavojingųjų atliekų tvarkytojų asociacija, Valstybinė mokesčių inspekcija prie Finansų ministerijos, Vilniaus miesto savivaldybė</w:t>
                  </w:r>
                  <w:r>
                    <w:rPr>
                      <w:color w:val="000000"/>
                      <w:szCs w:val="24"/>
                      <w:lang w:eastAsia="lt-LT"/>
                    </w:rPr>
                    <w:t xml:space="preserve"> pateikė pastabų ir pasiūlymų.</w:t>
                  </w:r>
                </w:p>
                <w:p>
                  <w:pPr>
                    <w:ind w:firstLine="567"/>
                    <w:jc w:val="both"/>
                    <w:textAlignment w:val="baseline"/>
                    <w:rPr>
                      <w:color w:val="000000"/>
                      <w:szCs w:val="24"/>
                      <w:lang w:eastAsia="lt-LT"/>
                    </w:rPr>
                  </w:pPr>
                  <w:r>
                    <w:rPr>
                      <w:szCs w:val="24"/>
                      <w:lang w:eastAsia="lt-LT"/>
                    </w:rPr>
                    <w:t xml:space="preserve">Finansų ministerija, Aplinkosaugos koalicija, asociacija „Investors‘ forum“, asociacija „EEPA“, Atliekų tvarkytojų ir turėtojų asociacija, Lietuvos pramonininkų konfederacija, Lietuvos regioninių atliekų tvarkymo centrų asociacija, Lietuvos savivaldybių asociacija, Lietuvos savivaldybių komunalinių įmonių asociacija, Lietuvos verslo konfederacija, UAB VAATC, VšĮ „Žiedinė ekonomika“, </w:t>
                  </w:r>
                  <w:r>
                    <w:rPr>
                      <w:szCs w:val="24"/>
                      <w:lang w:val="lt" w:eastAsia="lt-LT"/>
                    </w:rPr>
                    <w:t>Vyriausybės atstovų įstaiga</w:t>
                  </w:r>
                  <w:r>
                    <w:rPr>
                      <w:rFonts w:eastAsia="StarSymbol"/>
                      <w:color w:val="000000"/>
                      <w:szCs w:val="24"/>
                      <w:lang w:eastAsia="lt-LT"/>
                    </w:rPr>
                    <w:t xml:space="preserve"> per nustatytą terminą nepateikė išvadų pakartotinai pateiktiems derinti Projektams.</w:t>
                  </w:r>
                </w:p>
                <w:p>
                  <w:pPr>
                    <w:ind w:firstLine="567"/>
                    <w:jc w:val="both"/>
                    <w:textAlignment w:val="baseline"/>
                    <w:rPr>
                      <w:color w:val="000000"/>
                      <w:szCs w:val="24"/>
                      <w:lang w:eastAsia="lt-LT"/>
                    </w:rPr>
                  </w:pPr>
                  <w:r>
                    <w:rPr>
                      <w:rFonts w:eastAsia="StarSymbol"/>
                      <w:color w:val="000000"/>
                      <w:szCs w:val="24"/>
                      <w:lang w:eastAsia="lt-LT"/>
                    </w:rPr>
                    <w:t xml:space="preserve">Į </w:t>
                  </w:r>
                  <w:r>
                    <w:rPr>
                      <w:szCs w:val="24"/>
                      <w:lang w:val="lt" w:eastAsia="lt-LT"/>
                    </w:rPr>
                    <w:t xml:space="preserve">Teisingumo ministerijos, </w:t>
                  </w:r>
                  <w:r>
                    <w:rPr>
                      <w:color w:val="000000"/>
                      <w:szCs w:val="24"/>
                      <w:lang w:eastAsia="lt-LT"/>
                    </w:rPr>
                    <w:t>Aplinkos apsaugos agentūros,</w:t>
                  </w:r>
                  <w:r>
                    <w:rPr>
                      <w:szCs w:val="24"/>
                      <w:lang w:val="lt" w:eastAsia="lt-LT"/>
                    </w:rPr>
                    <w:t xml:space="preserve"> daugumą Ekonomikos ir inovacijų ministerijos </w:t>
                  </w:r>
                  <w:r>
                    <w:rPr>
                      <w:rFonts w:eastAsia="StarSymbol"/>
                      <w:color w:val="000000"/>
                      <w:szCs w:val="24"/>
                      <w:lang w:eastAsia="lt-LT"/>
                    </w:rPr>
                    <w:t>pateiktų pastabų atsižvelgta.</w:t>
                  </w:r>
                </w:p>
                <w:p>
                  <w:pPr>
                    <w:ind w:firstLine="567"/>
                    <w:jc w:val="both"/>
                    <w:textAlignment w:val="baseline"/>
                    <w:rPr>
                      <w:color w:val="000000"/>
                      <w:szCs w:val="24"/>
                      <w:lang w:eastAsia="lt-LT"/>
                    </w:rPr>
                  </w:pPr>
                  <w:r>
                    <w:rPr>
                      <w:color w:val="000000"/>
                      <w:szCs w:val="24"/>
                      <w:lang w:eastAsia="lt-LT"/>
                    </w:rPr>
                    <w:t xml:space="preserve">Su </w:t>
                  </w:r>
                  <w:r>
                    <w:rPr>
                      <w:szCs w:val="24"/>
                      <w:lang w:val="lt" w:eastAsia="lt-LT"/>
                    </w:rPr>
                    <w:t>Ekonomikos ir inovacijų ministerija dauguma</w:t>
                  </w:r>
                  <w:r>
                    <w:rPr>
                      <w:color w:val="000000"/>
                      <w:szCs w:val="24"/>
                      <w:lang w:eastAsia="lt-LT"/>
                    </w:rPr>
                    <w:t xml:space="preserve"> pastabų suderinta darbo tvarka. Taip pat darbo tvarka suderinta su Aplinkos apsaugos agentūra dėl jos išvadoje pateiktos 6 pastabos.</w:t>
                  </w:r>
                </w:p>
                <w:p>
                  <w:pPr>
                    <w:ind w:firstLine="567"/>
                    <w:jc w:val="both"/>
                    <w:textAlignment w:val="baseline"/>
                    <w:rPr>
                      <w:rFonts w:eastAsia="StarSymbol"/>
                      <w:color w:val="000000"/>
                      <w:szCs w:val="24"/>
                      <w:lang w:eastAsia="lt-LT"/>
                    </w:rPr>
                  </w:pPr>
                  <w:r>
                    <w:rPr>
                      <w:rFonts w:eastAsia="StarSymbol"/>
                      <w:color w:val="000000"/>
                      <w:szCs w:val="24"/>
                      <w:lang w:eastAsia="lt-LT"/>
                    </w:rPr>
                    <w:t xml:space="preserve">Su </w:t>
                  </w:r>
                  <w:r>
                    <w:rPr>
                      <w:szCs w:val="24"/>
                      <w:lang w:eastAsia="lt-LT"/>
                    </w:rPr>
                    <w:t>Lietuvos komunalininkų ir atliekų tvarkytojų asociacija,</w:t>
                  </w:r>
                  <w:r>
                    <w:rPr>
                      <w:rFonts w:eastAsia="StarSymbol"/>
                      <w:color w:val="000000"/>
                      <w:szCs w:val="24"/>
                      <w:lang w:eastAsia="lt-LT"/>
                    </w:rPr>
                    <w:t xml:space="preserve"> </w:t>
                  </w:r>
                  <w:r>
                    <w:rPr>
                      <w:szCs w:val="24"/>
                      <w:lang w:eastAsia="lt-LT"/>
                    </w:rPr>
                    <w:t>Pavojingųjų atliekų tvarkytojų asociacija, Lietuvos regioninių atliekų tvarkymo centrų asociacija, Lietuvos savivaldybių komunalinių įmonių asociacija</w:t>
                  </w:r>
                  <w:r>
                    <w:rPr>
                      <w:rFonts w:eastAsia="StarSymbol"/>
                      <w:color w:val="000000"/>
                      <w:szCs w:val="24"/>
                      <w:lang w:eastAsia="lt-LT"/>
                    </w:rPr>
                    <w:t xml:space="preserve"> Seimo Aplinkos apsaugos komiteto kvietimu 2025 m. lapkričio 10 d. organizuotas pasitarimas. Įvertinus, kad Projektais įgyvendinami ES teisės aktai ir juos planuojama svarstyti šioje Seimo rudens sesijoje, komiteto pirmininko siūlymu nutarta, kad Aplinkos ministerija artimiausiu metu teiks Projektus Vyriausybei, o diskusijos dėl minėtų asociacijų keliamų klausimų bus pratęstos, kai Projektai bus svarstomi Seimo Aplinkos apsaugos komitete.</w:t>
                  </w:r>
                </w:p>
                <w:p>
                  <w:pPr>
                    <w:ind w:firstLine="567"/>
                    <w:jc w:val="both"/>
                    <w:textAlignment w:val="baseline"/>
                    <w:rPr>
                      <w:rFonts w:eastAsia="StarSymbol"/>
                      <w:szCs w:val="24"/>
                      <w:lang w:eastAsia="lt-LT"/>
                    </w:rPr>
                  </w:pPr>
                  <w:r>
                    <w:rPr>
                      <w:rFonts w:eastAsia="StarSymbol"/>
                      <w:color w:val="000000"/>
                      <w:szCs w:val="24"/>
                      <w:lang w:eastAsia="lt-LT"/>
                    </w:rPr>
                    <w:t xml:space="preserve">Argumentai, kodėl į </w:t>
                  </w:r>
                  <w:r>
                    <w:rPr>
                      <w:szCs w:val="24"/>
                      <w:lang w:eastAsia="lt-LT"/>
                    </w:rPr>
                    <w:t>Pavojingųjų atliekų tvarkytojų asociacijos, Autogamintojų ir importuotojų asociacijos, VšĮ Elektronikos gamintojų ir importuotojų organizacijos, Gamintojų ir importuotojų asociacijos, Lietuvos komunalininkų ir atliekų tvarkytojų asociacijos, Lietuvos prekybos įmonių asociacijos, Valstybinė mokesčių inspekcijos prie Finansų ministerijos, Vilniaus miesto savivaldybės</w:t>
                  </w:r>
                  <w:r>
                    <w:rPr>
                      <w:rFonts w:eastAsia="StarSymbol"/>
                      <w:color w:val="000000"/>
                      <w:szCs w:val="24"/>
                      <w:lang w:eastAsia="lt-LT"/>
                    </w:rPr>
                    <w:t xml:space="preserve"> pastabas neatsižvelgta arba atsižvelgta iš dalies, pateikti d</w:t>
                  </w:r>
                  <w:r>
                    <w:rPr>
                      <w:rFonts w:eastAsia="StarSymbol"/>
                      <w:szCs w:val="24"/>
                      <w:lang w:eastAsia="lt-LT"/>
                    </w:rPr>
                    <w:t>erinimo pažymoje (pridedama).</w:t>
                  </w:r>
                </w:p>
              </w:sdtContent>
            </w:sdt>
            <w:sdt>
              <w:sdtPr>
                <w:alias w:val="4 pp. 15 p."/>
                <w:tag w:val="part_672f8db48d7944ffb578b8d37e6e1ec6"/>
                <w:lock w:val="sdtLocked"/>
                <w:richText/>
              </w:sdtPr>
              <w:sdtContent>
                <w:p>
                  <w:pPr>
                    <w:ind w:firstLine="567"/>
                    <w:jc w:val="both"/>
                    <w:rPr>
                      <w:rFonts w:eastAsia="Andale Sans UI"/>
                      <w:szCs w:val="24"/>
                      <w:lang w:bidi="en-US"/>
                    </w:rPr>
                  </w:pPr>
                  <w:sdt>
                    <w:sdtPr>
                      <w:alias w:val="Numeris"/>
                      <w:tag w:val="nr_672f8db48d7944ffb578b8d37e6e1ec6"/>
                      <w:lock w:val="sdtLocked"/>
                      <w:richText/>
                    </w:sdtPr>
                    <w:sdtContent>
                      <w:r>
                        <w:rPr>
                          <w:rFonts w:eastAsia="Andale Sans UI"/>
                          <w:b/>
                          <w:bCs/>
                          <w:szCs w:val="24"/>
                          <w:lang w:bidi="en-US"/>
                        </w:rPr>
                        <w:t>15</w:t>
                      </w:r>
                    </w:sdtContent>
                  </w:sdt>
                  <w:r>
                    <w:rPr>
                      <w:rFonts w:eastAsia="Andale Sans UI"/>
                      <w:b/>
                      <w:bCs/>
                      <w:szCs w:val="24"/>
                      <w:lang w:bidi="en-US"/>
                    </w:rPr>
                    <w:t>. Projektų rengėjai</w:t>
                  </w:r>
                  <w:r>
                    <w:rPr>
                      <w:rFonts w:eastAsia="Andale Sans UI"/>
                      <w:szCs w:val="24"/>
                      <w:lang w:bidi="en-US"/>
                    </w:rPr>
                    <w:t xml:space="preserve"> </w:t>
                  </w:r>
                </w:p>
                <w:p>
                  <w:pPr>
                    <w:ind w:firstLine="567"/>
                    <w:jc w:val="both"/>
                    <w:rPr>
                      <w:szCs w:val="24"/>
                      <w:lang w:eastAsia="lt-LT"/>
                    </w:rPr>
                  </w:pPr>
                  <w:r>
                    <w:rPr>
                      <w:szCs w:val="24"/>
                      <w:lang w:eastAsia="lt-LT"/>
                    </w:rPr>
                    <w:t>Projektus parengė Aplinkos ministerijos Atliekų politikos grupės (vadovė – Vilma Slavinskienė, tel. +370 698 75 027, el. p. vilma. slavinskiene@am.lt) vyriausiasis patarėjas Mindaugas Kauzonas (tel. +370 695 26 717, el. p. mindaugas.kauzonas@am.lt), vyresnioji patarėja Neringa Paškauskaitė, tel. +370 696 63 217, el. p. neringa.paskauskaite@am.lt, vyriausioji specialistė Jurga Girdziušienė (tel. +370 695 49 899, el. p. jurga.girdziusiene@am.lt).</w:t>
                  </w:r>
                </w:p>
                <w:p>
                  <w:pPr>
                    <w:ind w:firstLine="567"/>
                    <w:jc w:val="both"/>
                    <w:rPr>
                      <w:rFonts w:eastAsia="Andale Sans UI"/>
                      <w:szCs w:val="24"/>
                      <w:lang w:bidi="en-US"/>
                    </w:rPr>
                  </w:pPr>
                  <w:r>
                    <w:rPr>
                      <w:rFonts w:eastAsia="Andale Sans UI"/>
                      <w:szCs w:val="24"/>
                      <w:lang w:bidi="en-US"/>
                    </w:rPr>
                    <w:t>PRIDEDAMA:</w:t>
                  </w:r>
                </w:p>
              </w:sdtContent>
            </w:sdt>
            <w:sdt>
              <w:sdtPr>
                <w:alias w:val="4 pp. 1 p."/>
                <w:tag w:val="part_d61cef4500144782b3df823675914cb1"/>
                <w:lock w:val="sdtLocked"/>
                <w:richText/>
              </w:sdtPr>
              <w:sdtContent>
                <w:p>
                  <w:pPr>
                    <w:ind w:firstLine="567"/>
                    <w:jc w:val="both"/>
                    <w:rPr>
                      <w:color w:val="000000"/>
                      <w:szCs w:val="24"/>
                      <w:lang w:eastAsia="lt-LT" w:bidi="en-US"/>
                    </w:rPr>
                  </w:pPr>
                  <w:sdt>
                    <w:sdtPr>
                      <w:alias w:val="Numeris"/>
                      <w:tag w:val="nr_d61cef4500144782b3df823675914cb1"/>
                      <w:lock w:val="sdtLocked"/>
                      <w:richText/>
                    </w:sdtPr>
                    <w:sdtContent>
                      <w:r>
                        <w:rPr>
                          <w:color w:val="000000"/>
                          <w:szCs w:val="24"/>
                          <w:lang w:eastAsia="lt-LT" w:bidi="en-US"/>
                        </w:rPr>
                        <w:t>1</w:t>
                      </w:r>
                    </w:sdtContent>
                  </w:sdt>
                  <w:r>
                    <w:rPr>
                      <w:color w:val="000000"/>
                      <w:szCs w:val="24"/>
                      <w:lang w:eastAsia="lt-LT" w:bidi="en-US"/>
                    </w:rPr>
                    <w:t xml:space="preserve">. </w:t>
                  </w:r>
                  <w:r>
                    <w:rPr>
                      <w:rFonts w:eastAsia="Andale Sans UI"/>
                      <w:szCs w:val="24"/>
                      <w:lang w:bidi="en-US"/>
                    </w:rPr>
                    <w:t>Baterijų įstatymo</w:t>
                  </w:r>
                  <w:r>
                    <w:rPr>
                      <w:color w:val="000000"/>
                      <w:szCs w:val="24"/>
                      <w:lang w:eastAsia="lt-LT" w:bidi="en-US"/>
                    </w:rPr>
                    <w:t xml:space="preserve"> projektas, 9 lapai.</w:t>
                  </w:r>
                </w:p>
              </w:sdtContent>
            </w:sdt>
            <w:sdt>
              <w:sdtPr>
                <w:alias w:val="4 pp. 2 p."/>
                <w:tag w:val="part_bfd1be0c069f4e8fa7faca8ff90a0dde"/>
                <w:lock w:val="sdtLocked"/>
                <w:richText/>
              </w:sdtPr>
              <w:sdtContent>
                <w:p>
                  <w:pPr>
                    <w:ind w:firstLine="567"/>
                    <w:jc w:val="both"/>
                    <w:rPr>
                      <w:color w:val="000000"/>
                      <w:szCs w:val="24"/>
                      <w:lang w:eastAsia="lt-LT" w:bidi="en-US"/>
                    </w:rPr>
                  </w:pPr>
                  <w:sdt>
                    <w:sdtPr>
                      <w:alias w:val="Numeris"/>
                      <w:tag w:val="nr_bfd1be0c069f4e8fa7faca8ff90a0dde"/>
                      <w:lock w:val="sdtLocked"/>
                      <w:richText/>
                    </w:sdtPr>
                    <w:sdtContent>
                      <w:r>
                        <w:rPr>
                          <w:color w:val="000000"/>
                          <w:szCs w:val="24"/>
                          <w:lang w:eastAsia="lt-LT" w:bidi="en-US"/>
                        </w:rPr>
                        <w:t>2</w:t>
                      </w:r>
                    </w:sdtContent>
                  </w:sdt>
                  <w:r>
                    <w:rPr>
                      <w:color w:val="000000"/>
                      <w:szCs w:val="24"/>
                      <w:lang w:eastAsia="lt-LT" w:bidi="en-US"/>
                    </w:rPr>
                    <w:t>. ATĮ projektas, 10 lapų.</w:t>
                  </w:r>
                </w:p>
              </w:sdtContent>
            </w:sdt>
            <w:sdt>
              <w:sdtPr>
                <w:alias w:val="4 pp. 3 p."/>
                <w:tag w:val="part_29fdbec678ad45ffa9f83fbaa80455d9"/>
                <w:lock w:val="sdtLocked"/>
                <w:richText/>
              </w:sdtPr>
              <w:sdtContent>
                <w:p>
                  <w:pPr>
                    <w:ind w:firstLine="567"/>
                    <w:jc w:val="both"/>
                    <w:rPr>
                      <w:color w:val="000000"/>
                      <w:szCs w:val="24"/>
                      <w:lang w:eastAsia="lt-LT" w:bidi="en-US"/>
                    </w:rPr>
                  </w:pPr>
                  <w:sdt>
                    <w:sdtPr>
                      <w:alias w:val="Numeris"/>
                      <w:tag w:val="nr_29fdbec678ad45ffa9f83fbaa80455d9"/>
                      <w:lock w:val="sdtLocked"/>
                      <w:richText/>
                    </w:sdtPr>
                    <w:sdtContent>
                      <w:r>
                        <w:rPr>
                          <w:color w:val="000000"/>
                          <w:szCs w:val="24"/>
                          <w:lang w:eastAsia="lt-LT" w:bidi="en-US"/>
                        </w:rPr>
                        <w:t>3</w:t>
                      </w:r>
                    </w:sdtContent>
                  </w:sdt>
                  <w:r>
                    <w:rPr>
                      <w:color w:val="000000"/>
                      <w:szCs w:val="24"/>
                      <w:lang w:eastAsia="lt-LT" w:bidi="en-US"/>
                    </w:rPr>
                    <w:t>. ATĮ projekto lyginamasis variantas, 15 lapų.</w:t>
                  </w:r>
                </w:p>
              </w:sdtContent>
            </w:sdt>
            <w:sdt>
              <w:sdtPr>
                <w:alias w:val="4 pp. 4 p."/>
                <w:tag w:val="part_38fb20e6c4544707b7ea944c78a01f80"/>
                <w:lock w:val="sdtLocked"/>
                <w:richText/>
              </w:sdtPr>
              <w:sdtContent>
                <w:p>
                  <w:pPr>
                    <w:ind w:firstLine="567"/>
                    <w:jc w:val="both"/>
                    <w:rPr>
                      <w:color w:val="000000"/>
                      <w:szCs w:val="24"/>
                      <w:lang w:eastAsia="lt-LT" w:bidi="en-US"/>
                    </w:rPr>
                  </w:pPr>
                  <w:sdt>
                    <w:sdtPr>
                      <w:alias w:val="Numeris"/>
                      <w:tag w:val="nr_38fb20e6c4544707b7ea944c78a01f80"/>
                      <w:lock w:val="sdtLocked"/>
                      <w:richText/>
                    </w:sdtPr>
                    <w:sdtContent>
                      <w:r>
                        <w:rPr>
                          <w:color w:val="000000"/>
                          <w:szCs w:val="24"/>
                          <w:lang w:eastAsia="lt-LT" w:bidi="en-US"/>
                        </w:rPr>
                        <w:t>4</w:t>
                      </w:r>
                    </w:sdtContent>
                  </w:sdt>
                  <w:r>
                    <w:rPr>
                      <w:color w:val="000000"/>
                      <w:szCs w:val="24"/>
                      <w:lang w:eastAsia="lt-LT" w:bidi="en-US"/>
                    </w:rPr>
                    <w:t>. MATĮ projektas, 1 lapas.</w:t>
                  </w:r>
                </w:p>
              </w:sdtContent>
            </w:sdt>
            <w:sdt>
              <w:sdtPr>
                <w:alias w:val="4 pp. 5 p."/>
                <w:tag w:val="part_b42d3936531e4512a39fae6aef4f4e28"/>
                <w:lock w:val="sdtLocked"/>
                <w:richText/>
              </w:sdtPr>
              <w:sdtContent>
                <w:p>
                  <w:pPr>
                    <w:ind w:firstLine="567"/>
                    <w:jc w:val="both"/>
                    <w:rPr>
                      <w:color w:val="000000"/>
                      <w:szCs w:val="24"/>
                      <w:lang w:eastAsia="lt-LT" w:bidi="en-US"/>
                    </w:rPr>
                  </w:pPr>
                  <w:sdt>
                    <w:sdtPr>
                      <w:alias w:val="Numeris"/>
                      <w:tag w:val="nr_b42d3936531e4512a39fae6aef4f4e28"/>
                      <w:lock w:val="sdtLocked"/>
                      <w:richText/>
                    </w:sdtPr>
                    <w:sdtContent>
                      <w:r>
                        <w:rPr>
                          <w:color w:val="000000"/>
                          <w:szCs w:val="24"/>
                          <w:lang w:eastAsia="lt-LT" w:bidi="en-US"/>
                        </w:rPr>
                        <w:t>5</w:t>
                      </w:r>
                    </w:sdtContent>
                  </w:sdt>
                  <w:r>
                    <w:rPr>
                      <w:color w:val="000000"/>
                      <w:szCs w:val="24"/>
                      <w:lang w:eastAsia="lt-LT" w:bidi="en-US"/>
                    </w:rPr>
                    <w:t>. MATĮ projekto lyginamasis variantas, 1 lapas.</w:t>
                  </w:r>
                </w:p>
              </w:sdtContent>
            </w:sdt>
            <w:sdt>
              <w:sdtPr>
                <w:alias w:val="4 pp. 6 p."/>
                <w:tag w:val="part_1242166c68d24fa7ac8c71edac5ad28c"/>
                <w:lock w:val="sdtLocked"/>
                <w:richText/>
              </w:sdtPr>
              <w:sdtContent>
                <w:p>
                  <w:pPr>
                    <w:ind w:firstLine="567"/>
                    <w:jc w:val="both"/>
                    <w:rPr>
                      <w:color w:val="000000"/>
                      <w:szCs w:val="24"/>
                      <w:lang w:eastAsia="lt-LT" w:bidi="en-US"/>
                    </w:rPr>
                  </w:pPr>
                  <w:sdt>
                    <w:sdtPr>
                      <w:alias w:val="Numeris"/>
                      <w:tag w:val="nr_1242166c68d24fa7ac8c71edac5ad28c"/>
                      <w:lock w:val="sdtLocked"/>
                      <w:richText/>
                    </w:sdtPr>
                    <w:sdtContent>
                      <w:r>
                        <w:rPr>
                          <w:color w:val="000000"/>
                          <w:szCs w:val="24"/>
                          <w:lang w:eastAsia="lt-LT" w:bidi="en-US"/>
                        </w:rPr>
                        <w:t>6</w:t>
                      </w:r>
                    </w:sdtContent>
                  </w:sdt>
                  <w:r>
                    <w:rPr>
                      <w:color w:val="000000"/>
                      <w:szCs w:val="24"/>
                      <w:lang w:eastAsia="lt-LT" w:bidi="en-US"/>
                    </w:rPr>
                    <w:t>. AAĮ projektas, 6 lapai.</w:t>
                  </w:r>
                </w:p>
              </w:sdtContent>
            </w:sdt>
            <w:sdt>
              <w:sdtPr>
                <w:alias w:val="4 pp. 7 p."/>
                <w:tag w:val="part_432afa075b4747f58bf0f367c13c736f"/>
                <w:lock w:val="sdtLocked"/>
                <w:richText/>
              </w:sdtPr>
              <w:sdtContent>
                <w:p>
                  <w:pPr>
                    <w:ind w:firstLine="567"/>
                    <w:jc w:val="both"/>
                    <w:rPr>
                      <w:color w:val="000000"/>
                      <w:szCs w:val="24"/>
                      <w:lang w:eastAsia="lt-LT" w:bidi="en-US"/>
                    </w:rPr>
                  </w:pPr>
                  <w:sdt>
                    <w:sdtPr>
                      <w:alias w:val="Numeris"/>
                      <w:tag w:val="nr_432afa075b4747f58bf0f367c13c736f"/>
                      <w:lock w:val="sdtLocked"/>
                      <w:richText/>
                    </w:sdtPr>
                    <w:sdtContent>
                      <w:r>
                        <w:rPr>
                          <w:color w:val="000000"/>
                          <w:szCs w:val="24"/>
                          <w:lang w:eastAsia="lt-LT" w:bidi="en-US"/>
                        </w:rPr>
                        <w:t>7</w:t>
                      </w:r>
                    </w:sdtContent>
                  </w:sdt>
                  <w:r>
                    <w:rPr>
                      <w:color w:val="000000"/>
                      <w:szCs w:val="24"/>
                      <w:lang w:eastAsia="lt-LT" w:bidi="en-US"/>
                    </w:rPr>
                    <w:t>. AAĮ projekto lyginamasis variantas, 7 lapai.</w:t>
                  </w:r>
                </w:p>
              </w:sdtContent>
            </w:sdt>
            <w:sdt>
              <w:sdtPr>
                <w:alias w:val="4 pp. 8 p."/>
                <w:tag w:val="part_3f9b2434197e4d7e897e426338d00496"/>
                <w:lock w:val="sdtLocked"/>
                <w:richText/>
              </w:sdtPr>
              <w:sdtContent>
                <w:p>
                  <w:pPr>
                    <w:ind w:firstLine="567"/>
                    <w:jc w:val="both"/>
                    <w:rPr>
                      <w:color w:val="000000"/>
                      <w:szCs w:val="24"/>
                      <w:lang w:eastAsia="lt-LT" w:bidi="en-US"/>
                    </w:rPr>
                  </w:pPr>
                  <w:sdt>
                    <w:sdtPr>
                      <w:alias w:val="Numeris"/>
                      <w:tag w:val="nr_3f9b2434197e4d7e897e426338d00496"/>
                      <w:lock w:val="sdtLocked"/>
                      <w:richText/>
                    </w:sdtPr>
                    <w:sdtContent>
                      <w:r>
                        <w:rPr>
                          <w:color w:val="000000"/>
                          <w:szCs w:val="24"/>
                          <w:lang w:eastAsia="lt-LT" w:bidi="en-US"/>
                        </w:rPr>
                        <w:t>8</w:t>
                      </w:r>
                    </w:sdtContent>
                  </w:sdt>
                  <w:r>
                    <w:rPr>
                      <w:color w:val="000000"/>
                      <w:szCs w:val="24"/>
                      <w:lang w:eastAsia="lt-LT" w:bidi="en-US"/>
                    </w:rPr>
                    <w:t>. ANK projektas, 4 lapai.</w:t>
                  </w:r>
                </w:p>
              </w:sdtContent>
            </w:sdt>
            <w:sdt>
              <w:sdtPr>
                <w:alias w:val="4 pp. 9 p."/>
                <w:tag w:val="part_3fe969251171463f85d63414af513cf1"/>
                <w:lock w:val="sdtLocked"/>
                <w:richText/>
              </w:sdtPr>
              <w:sdtContent>
                <w:p>
                  <w:pPr>
                    <w:ind w:firstLine="567"/>
                    <w:jc w:val="both"/>
                    <w:rPr>
                      <w:color w:val="000000"/>
                      <w:szCs w:val="24"/>
                      <w:lang w:eastAsia="lt-LT" w:bidi="en-US"/>
                    </w:rPr>
                  </w:pPr>
                  <w:sdt>
                    <w:sdtPr>
                      <w:alias w:val="Numeris"/>
                      <w:tag w:val="nr_3fe969251171463f85d63414af513cf1"/>
                      <w:lock w:val="sdtLocked"/>
                      <w:richText/>
                    </w:sdtPr>
                    <w:sdtContent>
                      <w:r>
                        <w:rPr>
                          <w:color w:val="000000"/>
                          <w:szCs w:val="24"/>
                          <w:lang w:eastAsia="lt-LT" w:bidi="en-US"/>
                        </w:rPr>
                        <w:t>9</w:t>
                      </w:r>
                    </w:sdtContent>
                  </w:sdt>
                  <w:r>
                    <w:rPr>
                      <w:color w:val="000000"/>
                      <w:szCs w:val="24"/>
                      <w:lang w:eastAsia="lt-LT" w:bidi="en-US"/>
                    </w:rPr>
                    <w:t>. ANK projekto lyginamasis variantas, 5 lapai.</w:t>
                  </w:r>
                </w:p>
              </w:sdtContent>
            </w:sdt>
            <w:sdt>
              <w:sdtPr>
                <w:alias w:val="4 pp. 10 p."/>
                <w:tag w:val="part_1101d60d8d294b748ba67c1f7c30fc5f"/>
                <w:lock w:val="sdtLocked"/>
                <w:richText/>
              </w:sdtPr>
              <w:sdtContent>
                <w:p>
                  <w:pPr>
                    <w:ind w:firstLine="567"/>
                    <w:jc w:val="both"/>
                    <w:rPr>
                      <w:rFonts w:eastAsia="Andale Sans UI"/>
                      <w:szCs w:val="24"/>
                      <w:lang w:bidi="en-US"/>
                    </w:rPr>
                  </w:pPr>
                  <w:sdt>
                    <w:sdtPr>
                      <w:alias w:val="Numeris"/>
                      <w:tag w:val="nr_1101d60d8d294b748ba67c1f7c30fc5f"/>
                      <w:lock w:val="sdtLocked"/>
                      <w:richText/>
                    </w:sdtPr>
                    <w:sdtContent>
                      <w:r>
                        <w:rPr>
                          <w:color w:val="000000"/>
                          <w:szCs w:val="24"/>
                          <w:lang w:eastAsia="lt-LT" w:bidi="en-US"/>
                        </w:rPr>
                        <w:t>10</w:t>
                      </w:r>
                    </w:sdtContent>
                  </w:sdt>
                  <w:r>
                    <w:rPr>
                      <w:color w:val="000000"/>
                      <w:szCs w:val="24"/>
                      <w:lang w:eastAsia="lt-LT" w:bidi="en-US"/>
                    </w:rPr>
                    <w:t xml:space="preserve">. </w:t>
                  </w:r>
                  <w:r>
                    <w:rPr>
                      <w:rFonts w:eastAsia="Andale Sans UI"/>
                      <w:szCs w:val="24"/>
                      <w:lang w:bidi="en-US"/>
                    </w:rPr>
                    <w:t>ATĮ Nr. XV-444 pakeitimo projektas, 1 lapas.</w:t>
                  </w:r>
                </w:p>
              </w:sdtContent>
            </w:sdt>
            <w:sdt>
              <w:sdtPr>
                <w:alias w:val="4 pp. 11 p."/>
                <w:tag w:val="part_2ce8192ed301476fb8820bda9521bec9"/>
                <w:lock w:val="sdtLocked"/>
                <w:richText/>
              </w:sdtPr>
              <w:sdtContent>
                <w:p>
                  <w:pPr>
                    <w:ind w:firstLine="567"/>
                    <w:jc w:val="both"/>
                    <w:rPr>
                      <w:rFonts w:eastAsia="Andale Sans UI"/>
                      <w:szCs w:val="24"/>
                      <w:lang w:bidi="en-US"/>
                    </w:rPr>
                  </w:pPr>
                  <w:sdt>
                    <w:sdtPr>
                      <w:alias w:val="Numeris"/>
                      <w:tag w:val="nr_2ce8192ed301476fb8820bda9521bec9"/>
                      <w:lock w:val="sdtLocked"/>
                      <w:richText/>
                    </w:sdtPr>
                    <w:sdtContent>
                      <w:r>
                        <w:rPr>
                          <w:rFonts w:eastAsia="Andale Sans UI"/>
                          <w:szCs w:val="24"/>
                          <w:lang w:bidi="en-US"/>
                        </w:rPr>
                        <w:t>11</w:t>
                      </w:r>
                    </w:sdtContent>
                  </w:sdt>
                  <w:r>
                    <w:rPr>
                      <w:rFonts w:eastAsia="Andale Sans UI"/>
                      <w:szCs w:val="24"/>
                      <w:lang w:bidi="en-US"/>
                    </w:rPr>
                    <w:t>. ATĮ Nr. XV-444 pakeitimo projekto lyginamasis variantas, 1 lapas.</w:t>
                  </w:r>
                </w:p>
              </w:sdtContent>
            </w:sdt>
            <w:sdt>
              <w:sdtPr>
                <w:alias w:val="4 pp. 12 p."/>
                <w:tag w:val="part_2d89a5b8738f4221878bb801929e4a55"/>
                <w:lock w:val="sdtLocked"/>
                <w:richText/>
              </w:sdtPr>
              <w:sdtContent>
                <w:p>
                  <w:pPr>
                    <w:ind w:firstLine="567"/>
                    <w:jc w:val="both"/>
                    <w:rPr>
                      <w:rFonts w:eastAsia="Andale Sans UI"/>
                      <w:szCs w:val="24"/>
                      <w:lang w:bidi="en-US"/>
                    </w:rPr>
                  </w:pPr>
                  <w:sdt>
                    <w:sdtPr>
                      <w:alias w:val="Numeris"/>
                      <w:tag w:val="nr_2d89a5b8738f4221878bb801929e4a55"/>
                      <w:lock w:val="sdtLocked"/>
                      <w:richText/>
                    </w:sdtPr>
                    <w:sdtContent>
                      <w:r>
                        <w:rPr>
                          <w:rFonts w:eastAsia="Andale Sans UI"/>
                          <w:szCs w:val="24"/>
                          <w:lang w:bidi="en-US"/>
                        </w:rPr>
                        <w:t>12</w:t>
                      </w:r>
                    </w:sdtContent>
                  </w:sdt>
                  <w:r>
                    <w:rPr>
                      <w:rFonts w:eastAsia="Andale Sans UI"/>
                      <w:szCs w:val="24"/>
                      <w:lang w:bidi="en-US"/>
                    </w:rPr>
                    <w:t>. MATĮ Nr. XV-446 pakeitimo projektas, 1 lapas.</w:t>
                  </w:r>
                </w:p>
              </w:sdtContent>
            </w:sdt>
            <w:sdt>
              <w:sdtPr>
                <w:alias w:val="4 pp. 13 p."/>
                <w:tag w:val="part_9d73b1f1a58c4074b7bab5b61dd1b089"/>
                <w:lock w:val="sdtLocked"/>
                <w:richText/>
              </w:sdtPr>
              <w:sdtContent>
                <w:p>
                  <w:pPr>
                    <w:ind w:firstLine="567"/>
                    <w:jc w:val="both"/>
                    <w:rPr>
                      <w:rFonts w:eastAsia="Andale Sans UI"/>
                      <w:szCs w:val="24"/>
                      <w:lang w:bidi="en-US"/>
                    </w:rPr>
                  </w:pPr>
                  <w:sdt>
                    <w:sdtPr>
                      <w:alias w:val="Numeris"/>
                      <w:tag w:val="nr_9d73b1f1a58c4074b7bab5b61dd1b089"/>
                      <w:lock w:val="sdtLocked"/>
                      <w:richText/>
                    </w:sdtPr>
                    <w:sdtContent>
                      <w:r>
                        <w:rPr>
                          <w:rFonts w:eastAsia="Andale Sans UI"/>
                          <w:szCs w:val="24"/>
                          <w:lang w:bidi="en-US"/>
                        </w:rPr>
                        <w:t>13</w:t>
                      </w:r>
                    </w:sdtContent>
                  </w:sdt>
                  <w:r>
                    <w:rPr>
                      <w:rFonts w:eastAsia="Andale Sans UI"/>
                      <w:szCs w:val="24"/>
                      <w:lang w:bidi="en-US"/>
                    </w:rPr>
                    <w:t>. MATĮ Nr. XV-446 pakeitimo projekto lyginamasis variantas, 2 lapai.</w:t>
                  </w:r>
                </w:p>
              </w:sdtContent>
            </w:sdt>
            <w:sdt>
              <w:sdtPr>
                <w:alias w:val="4 pp. 14 p."/>
                <w:tag w:val="part_3cf03b7436a14832811f5ca0cb12a239"/>
                <w:lock w:val="sdtLocked"/>
                <w:richText/>
              </w:sdtPr>
              <w:sdtContent>
                <w:p>
                  <w:pPr>
                    <w:ind w:firstLine="567"/>
                    <w:jc w:val="both"/>
                    <w:rPr>
                      <w:rFonts w:eastAsia="Andale Sans UI"/>
                      <w:szCs w:val="24"/>
                      <w:lang w:bidi="en-US"/>
                    </w:rPr>
                  </w:pPr>
                  <w:sdt>
                    <w:sdtPr>
                      <w:alias w:val="Numeris"/>
                      <w:tag w:val="nr_3cf03b7436a14832811f5ca0cb12a239"/>
                      <w:lock w:val="sdtLocked"/>
                      <w:richText/>
                    </w:sdtPr>
                    <w:sdtContent>
                      <w:r>
                        <w:rPr>
                          <w:rFonts w:eastAsia="Andale Sans UI"/>
                          <w:szCs w:val="24"/>
                          <w:lang w:bidi="en-US"/>
                        </w:rPr>
                        <w:t>14</w:t>
                      </w:r>
                    </w:sdtContent>
                  </w:sdt>
                  <w:r>
                    <w:rPr>
                      <w:rFonts w:eastAsia="Andale Sans UI"/>
                      <w:szCs w:val="24"/>
                      <w:lang w:bidi="en-US"/>
                    </w:rPr>
                    <w:t>. AAĮ Nr. XV-447 pakeitimo projektas, 2 lapai.</w:t>
                  </w:r>
                </w:p>
              </w:sdtContent>
            </w:sdt>
            <w:sdt>
              <w:sdtPr>
                <w:alias w:val="4 pp. 15 p."/>
                <w:tag w:val="part_716fef9183a24fbabef0873c8dd8110a"/>
                <w:lock w:val="sdtLocked"/>
                <w:richText/>
              </w:sdtPr>
              <w:sdtContent>
                <w:p>
                  <w:pPr>
                    <w:ind w:firstLine="567"/>
                    <w:jc w:val="both"/>
                    <w:rPr>
                      <w:color w:val="000000"/>
                      <w:szCs w:val="24"/>
                      <w:lang w:eastAsia="lt-LT" w:bidi="en-US"/>
                    </w:rPr>
                  </w:pPr>
                  <w:sdt>
                    <w:sdtPr>
                      <w:alias w:val="Numeris"/>
                      <w:tag w:val="nr_716fef9183a24fbabef0873c8dd8110a"/>
                      <w:lock w:val="sdtLocked"/>
                      <w:richText/>
                    </w:sdtPr>
                    <w:sdtContent>
                      <w:r>
                        <w:rPr>
                          <w:rFonts w:eastAsia="Andale Sans UI"/>
                          <w:szCs w:val="24"/>
                          <w:lang w:bidi="en-US"/>
                        </w:rPr>
                        <w:t>15</w:t>
                      </w:r>
                    </w:sdtContent>
                  </w:sdt>
                  <w:r>
                    <w:rPr>
                      <w:rFonts w:eastAsia="Andale Sans UI"/>
                      <w:szCs w:val="24"/>
                      <w:lang w:bidi="en-US"/>
                    </w:rPr>
                    <w:t>. AAĮ Nr. XV-447 pakeitimo projekto lyginamasis variantas, 2 lapai.</w:t>
                  </w:r>
                </w:p>
              </w:sdtContent>
            </w:sdt>
            <w:sdt>
              <w:sdtPr>
                <w:alias w:val="4 pp. 16 p."/>
                <w:tag w:val="part_1fedc6a77b7b403490f957dbee34d6ba"/>
                <w:lock w:val="sdtLocked"/>
                <w:richText/>
              </w:sdtPr>
              <w:sdtContent>
                <w:p>
                  <w:pPr>
                    <w:ind w:firstLine="567"/>
                    <w:jc w:val="both"/>
                    <w:rPr>
                      <w:color w:val="000000"/>
                      <w:szCs w:val="24"/>
                      <w:lang w:eastAsia="lt-LT" w:bidi="en-US"/>
                    </w:rPr>
                  </w:pPr>
                  <w:sdt>
                    <w:sdtPr>
                      <w:alias w:val="Numeris"/>
                      <w:tag w:val="nr_1fedc6a77b7b403490f957dbee34d6ba"/>
                      <w:lock w:val="sdtLocked"/>
                      <w:richText/>
                    </w:sdtPr>
                    <w:sdtContent>
                      <w:r>
                        <w:rPr>
                          <w:color w:val="000000"/>
                          <w:szCs w:val="24"/>
                          <w:lang w:eastAsia="lt-LT" w:bidi="en-US"/>
                        </w:rPr>
                        <w:t>16</w:t>
                      </w:r>
                    </w:sdtContent>
                  </w:sdt>
                  <w:r>
                    <w:rPr>
                      <w:color w:val="000000"/>
                      <w:szCs w:val="24"/>
                      <w:lang w:eastAsia="lt-LT" w:bidi="en-US"/>
                    </w:rPr>
                    <w:t>. Lietuvos Respublikos Vyriausybės nutarimo projektas, 2 lapai.</w:t>
                  </w:r>
                </w:p>
              </w:sdtContent>
            </w:sdt>
            <w:sdt>
              <w:sdtPr>
                <w:alias w:val="4 pp. 17 p."/>
                <w:tag w:val="part_b8456d34ac5e4834a51c08392ad82ea1"/>
                <w:lock w:val="sdtLocked"/>
                <w:richText/>
              </w:sdtPr>
              <w:sdtContent>
                <w:p>
                  <w:pPr>
                    <w:ind w:firstLine="567"/>
                    <w:jc w:val="both"/>
                    <w:rPr>
                      <w:color w:val="000000"/>
                      <w:szCs w:val="24"/>
                      <w:lang w:eastAsia="lt-LT" w:bidi="en-US"/>
                    </w:rPr>
                  </w:pPr>
                  <w:sdt>
                    <w:sdtPr>
                      <w:alias w:val="Numeris"/>
                      <w:tag w:val="nr_b8456d34ac5e4834a51c08392ad82ea1"/>
                      <w:lock w:val="sdtLocked"/>
                      <w:richText/>
                    </w:sdtPr>
                    <w:sdtContent>
                      <w:r>
                        <w:rPr>
                          <w:color w:val="000000"/>
                          <w:szCs w:val="24"/>
                          <w:lang w:eastAsia="lt-LT" w:bidi="en-US"/>
                        </w:rPr>
                        <w:t>17</w:t>
                      </w:r>
                    </w:sdtContent>
                  </w:sdt>
                  <w:r>
                    <w:rPr>
                      <w:color w:val="000000"/>
                      <w:szCs w:val="24"/>
                      <w:lang w:eastAsia="lt-LT" w:bidi="en-US"/>
                    </w:rPr>
                    <w:t>. Aiškinamasis raštas</w:t>
                  </w:r>
                  <w:r>
                    <w:rPr>
                      <w:color w:val="000000"/>
                      <w:szCs w:val="24"/>
                      <w:vertAlign w:val="superscript"/>
                      <w:lang w:eastAsia="lt-LT" w:bidi="en-US"/>
                    </w:rPr>
                    <w:footnoteReference w:id="11"/>
                  </w:r>
                  <w:r>
                    <w:rPr>
                      <w:color w:val="000000"/>
                      <w:szCs w:val="24"/>
                      <w:lang w:eastAsia="lt-LT" w:bidi="en-US"/>
                    </w:rPr>
                    <w:t>, 25 lapai.</w:t>
                  </w:r>
                </w:p>
              </w:sdtContent>
            </w:sdt>
            <w:sdt>
              <w:sdtPr>
                <w:alias w:val="4 pp. 18 p."/>
                <w:tag w:val="part_cb5d3bdb5bc64fe4983796c96f4e39e8"/>
                <w:lock w:val="sdtLocked"/>
                <w:richText/>
              </w:sdtPr>
              <w:sdtContent>
                <w:p>
                  <w:pPr>
                    <w:ind w:firstLine="567"/>
                    <w:jc w:val="both"/>
                    <w:rPr>
                      <w:rFonts w:eastAsia="Andale Sans UI"/>
                      <w:szCs w:val="24"/>
                      <w:lang w:bidi="en-US"/>
                    </w:rPr>
                  </w:pPr>
                  <w:sdt>
                    <w:sdtPr>
                      <w:alias w:val="Numeris"/>
                      <w:tag w:val="nr_cb5d3bdb5bc64fe4983796c96f4e39e8"/>
                      <w:lock w:val="sdtLocked"/>
                      <w:richText/>
                    </w:sdtPr>
                    <w:sdtContent>
                      <w:r>
                        <w:rPr>
                          <w:color w:val="000000"/>
                          <w:szCs w:val="24"/>
                          <w:lang w:eastAsia="lt-LT" w:bidi="en-US"/>
                        </w:rPr>
                        <w:t>18</w:t>
                      </w:r>
                    </w:sdtContent>
                  </w:sdt>
                  <w:r>
                    <w:rPr>
                      <w:color w:val="000000"/>
                      <w:szCs w:val="24"/>
                      <w:lang w:eastAsia="lt-LT" w:bidi="en-US"/>
                    </w:rPr>
                    <w:t>. Projektų derinimo pažyma, 23 lapai.</w:t>
                  </w:r>
                </w:p>
              </w:sdtContent>
            </w:sdt>
            <w:sdt>
              <w:sdtPr>
                <w:alias w:val="4 pp. 19 p."/>
                <w:tag w:val="part_4b6591bd1e6943d6ac67aa14ce30d8fc"/>
                <w:lock w:val="sdtLocked"/>
                <w:richText/>
              </w:sdtPr>
              <w:sdtContent>
                <w:p>
                  <w:pPr>
                    <w:ind w:firstLine="567"/>
                    <w:jc w:val="both"/>
                    <w:rPr>
                      <w:color w:val="000000"/>
                      <w:szCs w:val="24"/>
                      <w:lang w:eastAsia="lt-LT" w:bidi="en-US"/>
                    </w:rPr>
                  </w:pPr>
                  <w:sdt>
                    <w:sdtPr>
                      <w:alias w:val="Numeris"/>
                      <w:tag w:val="nr_4b6591bd1e6943d6ac67aa14ce30d8fc"/>
                      <w:lock w:val="sdtLocked"/>
                      <w:richText/>
                    </w:sdtPr>
                    <w:sdtContent>
                      <w:r>
                        <w:rPr>
                          <w:color w:val="000000"/>
                          <w:szCs w:val="24"/>
                          <w:lang w:eastAsia="lt-LT" w:bidi="en-US"/>
                        </w:rPr>
                        <w:t>19</w:t>
                      </w:r>
                    </w:sdtContent>
                  </w:sdt>
                  <w:r>
                    <w:rPr>
                      <w:color w:val="000000"/>
                      <w:szCs w:val="24"/>
                      <w:lang w:eastAsia="lt-LT" w:bidi="en-US"/>
                    </w:rPr>
                    <w:t xml:space="preserve">. </w:t>
                  </w:r>
                  <w:r>
                    <w:rPr>
                      <w:rFonts w:eastAsia="Andale Sans UI" w:cs="Tahoma"/>
                      <w:szCs w:val="24"/>
                      <w:lang w:bidi="en-US"/>
                    </w:rPr>
                    <w:t xml:space="preserve">Reglamento </w:t>
                  </w:r>
                  <w:fldSimple w:instr="HYPERLINK http://eur-lex.europa.eu/legal-content/LIT/TXT/?uri=CELEX:32023R1542&amp;locale=lt \t _blank">
                    <w:r>
                      <w:rPr>
                        <w:rFonts w:eastAsia="Andale Sans UI" w:cs="Tahoma"/>
                        <w:szCs w:val="24"/>
                        <w:lang w:bidi="en-US"/>
                        <w:u w:val="single"/>
                        <w:color w:val="0000FF" w:themeColor="hyperlink"/>
                      </w:rPr>
                      <w:t>(ES) 2023/1542</w:t>
                    </w:r>
                  </w:fldSimple>
                  <w:r>
                    <w:rPr>
                      <w:rFonts w:eastAsia="Andale Sans UI" w:cs="Tahoma"/>
                      <w:szCs w:val="24"/>
                      <w:lang w:bidi="en-US"/>
                    </w:rPr>
                    <w:t xml:space="preserve"> </w:t>
                  </w:r>
                  <w:r>
                    <w:rPr>
                      <w:color w:val="000000"/>
                      <w:szCs w:val="24"/>
                      <w:lang w:eastAsia="lt-LT" w:bidi="en-US"/>
                    </w:rPr>
                    <w:t>atitikties lentelė, 45 lapai.</w:t>
                  </w:r>
                </w:p>
              </w:sdtContent>
            </w:sdt>
            <w:sdt>
              <w:sdtPr>
                <w:alias w:val="4 pp. 20 p."/>
                <w:tag w:val="part_08dd6cf3a260467183182ffcd347d58f"/>
                <w:lock w:val="sdtLocked"/>
                <w:richText/>
              </w:sdtPr>
              <w:sdtContent>
                <w:p>
                  <w:pPr>
                    <w:ind w:firstLine="567"/>
                    <w:jc w:val="both"/>
                    <w:rPr>
                      <w:color w:val="000000"/>
                      <w:szCs w:val="24"/>
                      <w:lang w:eastAsia="lt-LT" w:bidi="en-US"/>
                    </w:rPr>
                  </w:pPr>
                  <w:sdt>
                    <w:sdtPr>
                      <w:alias w:val="Numeris"/>
                      <w:tag w:val="nr_08dd6cf3a260467183182ffcd347d58f"/>
                      <w:lock w:val="sdtLocked"/>
                      <w:richText/>
                    </w:sdtPr>
                    <w:sdtContent>
                      <w:r>
                        <w:rPr>
                          <w:color w:val="000000"/>
                          <w:szCs w:val="24"/>
                          <w:lang w:eastAsia="lt-LT" w:bidi="en-US"/>
                        </w:rPr>
                        <w:t>20</w:t>
                      </w:r>
                    </w:sdtContent>
                  </w:sdt>
                  <w:r>
                    <w:rPr>
                      <w:color w:val="000000"/>
                      <w:szCs w:val="24"/>
                      <w:lang w:eastAsia="lt-LT" w:bidi="en-US"/>
                    </w:rPr>
                    <w:t xml:space="preserve">. Reglamento </w:t>
                  </w:r>
                  <w:fldSimple w:instr="HYPERLINK http://eur-lex.europa.eu/legal-content/LIT/TXT/?uri=CELEX:32006R1013&amp;locale=lt \t _blank">
                    <w:r>
                      <w:rPr>
                        <w:color w:val="0000FF" w:themeColor="hyperlink"/>
                        <w:szCs w:val="24"/>
                        <w:lang w:eastAsia="lt-LT" w:bidi="en-US"/>
                        <w:u w:val="single"/>
                      </w:rPr>
                      <w:t>(EB) Nr. 1013/2006</w:t>
                    </w:r>
                  </w:fldSimple>
                  <w:r>
                    <w:rPr>
                      <w:color w:val="000000"/>
                      <w:szCs w:val="24"/>
                      <w:lang w:eastAsia="lt-LT" w:bidi="en-US"/>
                    </w:rPr>
                    <w:t xml:space="preserve"> atitikties lentelė, 4 lapai.</w:t>
                  </w:r>
                </w:p>
              </w:sdtContent>
            </w:sdt>
            <w:sdt>
              <w:sdtPr>
                <w:alias w:val="4 pp. 21 p."/>
                <w:tag w:val="part_f904465cbde34d7f9ae83a2a06ca3875"/>
                <w:lock w:val="sdtLocked"/>
                <w:richText/>
              </w:sdtPr>
              <w:sdtContent>
                <w:p>
                  <w:pPr>
                    <w:ind w:firstLine="567"/>
                    <w:jc w:val="both"/>
                    <w:rPr>
                      <w:color w:val="000000"/>
                      <w:szCs w:val="24"/>
                      <w:lang w:eastAsia="lt-LT" w:bidi="en-US"/>
                    </w:rPr>
                  </w:pPr>
                  <w:sdt>
                    <w:sdtPr>
                      <w:alias w:val="Numeris"/>
                      <w:tag w:val="nr_f904465cbde34d7f9ae83a2a06ca3875"/>
                      <w:lock w:val="sdtLocked"/>
                      <w:richText/>
                    </w:sdtPr>
                    <w:sdtContent>
                      <w:r>
                        <w:rPr>
                          <w:color w:val="000000"/>
                          <w:szCs w:val="24"/>
                          <w:lang w:val="pt-BR" w:eastAsia="lt-LT" w:bidi="en-US"/>
                        </w:rPr>
                        <w:t>21</w:t>
                      </w:r>
                    </w:sdtContent>
                  </w:sdt>
                  <w:r>
                    <w:rPr>
                      <w:color w:val="000000"/>
                      <w:szCs w:val="24"/>
                      <w:lang w:eastAsia="lt-LT" w:bidi="en-US"/>
                    </w:rPr>
                    <w:t xml:space="preserve">. Reglamento </w:t>
                  </w:r>
                  <w:fldSimple w:instr="HYPERLINK http://eur-lex.europa.eu/legal-content/LIT/TXT/?uri=CELEX:32024R1157&amp;locale=lt \t _blank">
                    <w:r>
                      <w:rPr>
                        <w:color w:val="0000FF" w:themeColor="hyperlink"/>
                        <w:szCs w:val="24"/>
                        <w:lang w:eastAsia="lt-LT" w:bidi="en-US"/>
                        <w:u w:val="single"/>
                      </w:rPr>
                      <w:t>(ES) 2024/1157</w:t>
                    </w:r>
                  </w:fldSimple>
                  <w:r>
                    <w:rPr>
                      <w:color w:val="000000"/>
                      <w:szCs w:val="24"/>
                      <w:lang w:eastAsia="lt-LT" w:bidi="en-US"/>
                    </w:rPr>
                    <w:t xml:space="preserve"> atitikties lentelė, 7 lapai.</w:t>
                  </w:r>
                </w:p>
              </w:sdtContent>
            </w:sdt>
            <w:sdt>
              <w:sdtPr>
                <w:alias w:val="4 pp. 22 p."/>
                <w:tag w:val="part_8f6ea4e56e3f4fb1aff51085fcfe4218"/>
                <w:lock w:val="sdtLocked"/>
                <w:richText/>
              </w:sdtPr>
              <w:sdtContent>
                <w:p>
                  <w:pPr>
                    <w:ind w:firstLine="567"/>
                    <w:jc w:val="both"/>
                    <w:rPr>
                      <w:color w:val="000000"/>
                      <w:szCs w:val="24"/>
                      <w:lang w:eastAsia="lt-LT" w:bidi="en-US"/>
                    </w:rPr>
                  </w:pPr>
                  <w:sdt>
                    <w:sdtPr>
                      <w:alias w:val="Numeris"/>
                      <w:tag w:val="nr_8f6ea4e56e3f4fb1aff51085fcfe4218"/>
                      <w:lock w:val="sdtLocked"/>
                      <w:richText/>
                    </w:sdtPr>
                    <w:sdtContent>
                      <w:r>
                        <w:rPr>
                          <w:color w:val="000000"/>
                          <w:szCs w:val="24"/>
                          <w:lang w:eastAsia="lt-LT" w:bidi="en-US"/>
                        </w:rPr>
                        <w:t>22</w:t>
                      </w:r>
                    </w:sdtContent>
                  </w:sdt>
                  <w:r>
                    <w:rPr>
                      <w:color w:val="000000"/>
                      <w:szCs w:val="24"/>
                      <w:lang w:eastAsia="lt-LT" w:bidi="en-US"/>
                    </w:rPr>
                    <w:t xml:space="preserve">. </w:t>
                  </w:r>
                  <w:r>
                    <w:rPr>
                      <w:rFonts w:eastAsia="Andale Sans UI"/>
                      <w:szCs w:val="24"/>
                      <w:lang w:bidi="en-US"/>
                    </w:rPr>
                    <w:t xml:space="preserve">Direktyvos </w:t>
                  </w:r>
                  <w:fldSimple w:instr="HYPERLINK http://eur-lex.europa.eu/legal-content/LIT/TXT/?uri=CELEX:32024L0884&amp;locale=lt \t _blank">
                    <w:r>
                      <w:rPr>
                        <w:rFonts w:eastAsia="Andale Sans UI"/>
                        <w:szCs w:val="24"/>
                        <w:lang w:bidi="en-US"/>
                        <w:u w:val="single"/>
                        <w:color w:val="0000FF" w:themeColor="hyperlink"/>
                      </w:rPr>
                      <w:t>(ES) 2024/884</w:t>
                    </w:r>
                  </w:fldSimple>
                  <w:r>
                    <w:rPr>
                      <w:color w:val="000000"/>
                      <w:szCs w:val="24"/>
                      <w:lang w:eastAsia="lt-LT" w:bidi="en-US"/>
                    </w:rPr>
                    <w:t xml:space="preserve"> atitikties lentelė, 3 lapai.</w:t>
                  </w:r>
                </w:p>
              </w:sdtContent>
            </w:sdt>
            <w:sdt>
              <w:sdtPr>
                <w:alias w:val="4 pp. 23 p."/>
                <w:tag w:val="part_8beb6c1390d94a5281a4f81aaf3442af"/>
                <w:lock w:val="sdtLocked"/>
                <w:richText/>
              </w:sdtPr>
              <w:sdtContent>
                <w:p>
                  <w:pPr>
                    <w:ind w:firstLine="567"/>
                    <w:jc w:val="both"/>
                    <w:rPr>
                      <w:color w:val="000000"/>
                      <w:szCs w:val="24"/>
                      <w:lang w:eastAsia="lt-LT" w:bidi="en-US"/>
                    </w:rPr>
                  </w:pPr>
                  <w:sdt>
                    <w:sdtPr>
                      <w:alias w:val="Numeris"/>
                      <w:tag w:val="nr_8beb6c1390d94a5281a4f81aaf3442af"/>
                      <w:lock w:val="sdtLocked"/>
                      <w:richText/>
                    </w:sdtPr>
                    <w:sdtContent>
                      <w:r>
                        <w:rPr>
                          <w:color w:val="000000"/>
                          <w:szCs w:val="24"/>
                          <w:lang w:eastAsia="lt-LT" w:bidi="en-US"/>
                        </w:rPr>
                        <w:t>23</w:t>
                      </w:r>
                    </w:sdtContent>
                  </w:sdt>
                  <w:r>
                    <w:rPr>
                      <w:color w:val="000000"/>
                      <w:szCs w:val="24"/>
                      <w:lang w:eastAsia="lt-LT" w:bidi="en-US"/>
                    </w:rPr>
                    <w:t xml:space="preserve">. </w:t>
                  </w:r>
                  <w:r>
                    <w:rPr>
                      <w:rFonts w:eastAsia="Andale Sans UI"/>
                      <w:szCs w:val="24"/>
                      <w:lang w:bidi="en-US"/>
                    </w:rPr>
                    <w:t xml:space="preserve">Direktyvos </w:t>
                  </w:r>
                  <w:fldSimple w:instr="HYPERLINK http://eur-lex.europa.eu/legal-content/LIT/TXT/?uri=CELEX:32008L0098&amp;locale=lt \t _blank">
                    <w:r>
                      <w:rPr>
                        <w:rFonts w:eastAsia="Andale Sans UI"/>
                        <w:szCs w:val="24"/>
                        <w:lang w:bidi="en-US"/>
                        <w:u w:val="single"/>
                        <w:color w:val="0000FF" w:themeColor="hyperlink"/>
                      </w:rPr>
                      <w:t>2008/98/EB</w:t>
                    </w:r>
                  </w:fldSimple>
                  <w:r>
                    <w:rPr>
                      <w:rFonts w:eastAsia="Andale Sans UI"/>
                      <w:szCs w:val="24"/>
                      <w:lang w:bidi="en-US"/>
                    </w:rPr>
                    <w:t xml:space="preserve"> atitikties lentelė, 1 lapas.</w:t>
                  </w:r>
                </w:p>
              </w:sdtContent>
            </w:sdt>
            <w:sdt>
              <w:sdtPr>
                <w:alias w:val="4 pp. 24 p."/>
                <w:tag w:val="part_948a229a2d5b4facb37470c0f793d563"/>
                <w:lock w:val="sdtLocked"/>
                <w:richText/>
              </w:sdtPr>
              <w:sdtContent>
                <w:p>
                  <w:pPr>
                    <w:ind w:firstLine="567"/>
                    <w:jc w:val="both"/>
                    <w:rPr>
                      <w:color w:val="000000"/>
                      <w:szCs w:val="24"/>
                      <w:lang w:eastAsia="lt-LT" w:bidi="en-US"/>
                    </w:rPr>
                  </w:pPr>
                  <w:sdt>
                    <w:sdtPr>
                      <w:alias w:val="Numeris"/>
                      <w:tag w:val="nr_948a229a2d5b4facb37470c0f793d563"/>
                      <w:lock w:val="sdtLocked"/>
                      <w:richText/>
                    </w:sdtPr>
                    <w:sdtContent>
                      <w:r>
                        <w:rPr>
                          <w:color w:val="000000"/>
                          <w:szCs w:val="24"/>
                          <w:lang w:eastAsia="lt-LT" w:bidi="en-US"/>
                        </w:rPr>
                        <w:t>24</w:t>
                      </w:r>
                    </w:sdtContent>
                  </w:sdt>
                  <w:r>
                    <w:rPr>
                      <w:color w:val="000000"/>
                      <w:szCs w:val="24"/>
                      <w:lang w:eastAsia="lt-LT" w:bidi="en-US"/>
                    </w:rPr>
                    <w:t>. ATĮ projekto antikorupcinio vertinimo pažyma, 6 lapai.</w:t>
                  </w:r>
                </w:p>
              </w:sdtContent>
            </w:sdt>
            <w:sdt>
              <w:sdtPr>
                <w:alias w:val="4 pp. 25 p."/>
                <w:tag w:val="part_17c5f46712af415db74534c10fae3411"/>
                <w:lock w:val="sdtLocked"/>
                <w:richText/>
              </w:sdtPr>
              <w:sdtContent>
                <w:p>
                  <w:pPr>
                    <w:ind w:firstLine="567"/>
                    <w:jc w:val="both"/>
                    <w:rPr>
                      <w:color w:val="000000"/>
                      <w:szCs w:val="24"/>
                      <w:lang w:eastAsia="lt-LT" w:bidi="en-US"/>
                    </w:rPr>
                  </w:pPr>
                  <w:sdt>
                    <w:sdtPr>
                      <w:alias w:val="Numeris"/>
                      <w:tag w:val="nr_17c5f46712af415db74534c10fae3411"/>
                      <w:lock w:val="sdtLocked"/>
                      <w:richText/>
                    </w:sdtPr>
                    <w:sdtContent>
                      <w:r>
                        <w:rPr>
                          <w:color w:val="000000"/>
                          <w:szCs w:val="24"/>
                          <w:lang w:eastAsia="lt-LT" w:bidi="en-US"/>
                        </w:rPr>
                        <w:t>25</w:t>
                      </w:r>
                    </w:sdtContent>
                  </w:sdt>
                  <w:r>
                    <w:rPr>
                      <w:color w:val="000000"/>
                      <w:szCs w:val="24"/>
                      <w:lang w:eastAsia="lt-LT" w:bidi="en-US"/>
                    </w:rPr>
                    <w:t>. Baterijų įstatymo projekto antikorupcinio vertinimo pažyma, 6 lapai.</w:t>
                  </w:r>
                </w:p>
              </w:sdtContent>
            </w:sdt>
            <w:sdt>
              <w:sdtPr>
                <w:alias w:val="4 pp. 26 p."/>
                <w:tag w:val="part_73999929d6124ea097889ec7cb3c81ee"/>
                <w:lock w:val="sdtLocked"/>
                <w:richText/>
              </w:sdtPr>
              <w:sdtContent>
                <w:p>
                  <w:pPr>
                    <w:ind w:firstLine="567"/>
                    <w:jc w:val="both"/>
                    <w:rPr>
                      <w:color w:val="000000"/>
                      <w:szCs w:val="24"/>
                      <w:lang w:eastAsia="lt-LT" w:bidi="en-US"/>
                    </w:rPr>
                  </w:pPr>
                  <w:sdt>
                    <w:sdtPr>
                      <w:alias w:val="Numeris"/>
                      <w:tag w:val="nr_73999929d6124ea097889ec7cb3c81ee"/>
                      <w:lock w:val="sdtLocked"/>
                      <w:richText/>
                    </w:sdtPr>
                    <w:sdtContent>
                      <w:r>
                        <w:rPr>
                          <w:color w:val="000000"/>
                          <w:szCs w:val="24"/>
                          <w:lang w:eastAsia="lt-LT" w:bidi="en-US"/>
                        </w:rPr>
                        <w:t>26</w:t>
                      </w:r>
                    </w:sdtContent>
                  </w:sdt>
                  <w:r>
                    <w:rPr>
                      <w:color w:val="000000"/>
                      <w:szCs w:val="24"/>
                      <w:lang w:eastAsia="lt-LT" w:bidi="en-US"/>
                    </w:rPr>
                    <w:t>. AAĮ projekto antikorupcinio vertinimo pažyma, 6 lapai.</w:t>
                  </w:r>
                </w:p>
              </w:sdtContent>
            </w:sdt>
            <w:sdt>
              <w:sdtPr>
                <w:alias w:val="4 pp. 27 p."/>
                <w:tag w:val="part_817f957dc472486aa589ac8fb613ab64"/>
                <w:lock w:val="sdtLocked"/>
                <w:richText/>
              </w:sdtPr>
              <w:sdtContent>
                <w:p>
                  <w:pPr>
                    <w:ind w:firstLine="567"/>
                    <w:jc w:val="both"/>
                    <w:rPr>
                      <w:color w:val="000000"/>
                      <w:szCs w:val="24"/>
                      <w:lang w:eastAsia="lt-LT" w:bidi="en-US"/>
                    </w:rPr>
                  </w:pPr>
                  <w:sdt>
                    <w:sdtPr>
                      <w:alias w:val="Numeris"/>
                      <w:tag w:val="nr_817f957dc472486aa589ac8fb613ab64"/>
                      <w:lock w:val="sdtLocked"/>
                      <w:richText/>
                    </w:sdtPr>
                    <w:sdtContent>
                      <w:r>
                        <w:rPr>
                          <w:color w:val="000000"/>
                          <w:szCs w:val="24"/>
                          <w:lang w:eastAsia="lt-LT" w:bidi="en-US"/>
                        </w:rPr>
                        <w:t>27</w:t>
                      </w:r>
                    </w:sdtContent>
                  </w:sdt>
                  <w:r>
                    <w:rPr>
                      <w:color w:val="000000"/>
                      <w:szCs w:val="24"/>
                      <w:lang w:eastAsia="lt-LT" w:bidi="en-US"/>
                    </w:rPr>
                    <w:t>. ANK projekto antikorupcinio vertinimo pažyma, 6 lapai.</w:t>
                  </w:r>
                </w:p>
              </w:sdtContent>
            </w:sdt>
            <w:sdt>
              <w:sdtPr>
                <w:alias w:val="4 pp. 28 p."/>
                <w:tag w:val="part_e86e406c5b6d438c8bb2bb9d04bb0ffd"/>
                <w:lock w:val="sdtLocked"/>
                <w:richText/>
              </w:sdtPr>
              <w:sdtContent>
                <w:p>
                  <w:pPr>
                    <w:ind w:firstLine="567"/>
                    <w:jc w:val="both"/>
                    <w:rPr>
                      <w:color w:val="000000"/>
                      <w:szCs w:val="24"/>
                      <w:lang w:eastAsia="lt-LT" w:bidi="en-US"/>
                    </w:rPr>
                  </w:pPr>
                  <w:sdt>
                    <w:sdtPr>
                      <w:alias w:val="Numeris"/>
                      <w:tag w:val="nr_e86e406c5b6d438c8bb2bb9d04bb0ffd"/>
                      <w:lock w:val="sdtLocked"/>
                      <w:richText/>
                    </w:sdtPr>
                    <w:sdtContent>
                      <w:r>
                        <w:rPr>
                          <w:color w:val="000000"/>
                          <w:szCs w:val="24"/>
                          <w:lang w:eastAsia="lt-LT" w:bidi="en-US"/>
                        </w:rPr>
                        <w:t>28</w:t>
                      </w:r>
                    </w:sdtContent>
                  </w:sdt>
                  <w:r>
                    <w:rPr>
                      <w:color w:val="000000"/>
                      <w:szCs w:val="24"/>
                      <w:lang w:eastAsia="lt-LT" w:bidi="en-US"/>
                    </w:rPr>
                    <w:t xml:space="preserve">. </w:t>
                  </w:r>
                  <w:r>
                    <w:rPr>
                      <w:rFonts w:eastAsia="Andale Sans UI"/>
                      <w:szCs w:val="24"/>
                      <w:lang w:bidi="en-US"/>
                    </w:rPr>
                    <w:t>ATĮ Nr. XV-444 pakeitimo projekto</w:t>
                  </w:r>
                  <w:r>
                    <w:rPr>
                      <w:color w:val="000000"/>
                      <w:szCs w:val="24"/>
                      <w:lang w:eastAsia="lt-LT" w:bidi="en-US"/>
                    </w:rPr>
                    <w:t xml:space="preserve"> antikorupcinio vertinimo pažyma, 6 lapai.</w:t>
                  </w:r>
                </w:p>
              </w:sdtContent>
            </w:sdt>
            <w:sdt>
              <w:sdtPr>
                <w:alias w:val="4 pp. 29 p."/>
                <w:tag w:val="part_56339ce40b5b4effbe4755b8e0c21bcd"/>
                <w:lock w:val="sdtLocked"/>
                <w:richText/>
              </w:sdtPr>
              <w:sdtContent>
                <w:p>
                  <w:pPr>
                    <w:ind w:firstLine="567"/>
                    <w:jc w:val="both"/>
                    <w:rPr>
                      <w:color w:val="000000"/>
                      <w:szCs w:val="24"/>
                      <w:lang w:eastAsia="lt-LT" w:bidi="en-US"/>
                    </w:rPr>
                  </w:pPr>
                  <w:sdt>
                    <w:sdtPr>
                      <w:alias w:val="Numeris"/>
                      <w:tag w:val="nr_56339ce40b5b4effbe4755b8e0c21bcd"/>
                      <w:lock w:val="sdtLocked"/>
                      <w:richText/>
                    </w:sdtPr>
                    <w:sdtContent>
                      <w:r>
                        <w:rPr>
                          <w:color w:val="000000"/>
                          <w:szCs w:val="24"/>
                          <w:lang w:eastAsia="lt-LT" w:bidi="en-US"/>
                        </w:rPr>
                        <w:t>29</w:t>
                      </w:r>
                    </w:sdtContent>
                  </w:sdt>
                  <w:r>
                    <w:rPr>
                      <w:color w:val="000000"/>
                      <w:szCs w:val="24"/>
                      <w:lang w:eastAsia="lt-LT" w:bidi="en-US"/>
                    </w:rPr>
                    <w:t xml:space="preserve">. </w:t>
                  </w:r>
                  <w:r>
                    <w:rPr>
                      <w:rFonts w:eastAsia="Andale Sans UI"/>
                      <w:szCs w:val="24"/>
                      <w:lang w:bidi="en-US"/>
                    </w:rPr>
                    <w:t>AAĮ Nr. XV-447 pakeitimo projekto</w:t>
                  </w:r>
                  <w:r>
                    <w:rPr>
                      <w:color w:val="000000"/>
                      <w:szCs w:val="24"/>
                      <w:lang w:eastAsia="lt-LT" w:bidi="en-US"/>
                    </w:rPr>
                    <w:t xml:space="preserve"> antikorupcinio vertinimo pažyma, 6 lapai.</w:t>
                  </w:r>
                </w:p>
                <w:p>
                  <w:pPr>
                    <w:suppressLineNumbers/>
                    <w:jc w:val="both"/>
                    <w:rPr>
                      <w:rFonts w:eastAsia="Andale Sans UI"/>
                      <w:bCs/>
                      <w:szCs w:val="24"/>
                      <w:lang w:bidi="en-US"/>
                    </w:rPr>
                  </w:pPr>
                </w:p>
                <w:p>
                  <w:pPr>
                    <w:suppressLineNumbers/>
                    <w:jc w:val="both"/>
                    <w:rPr>
                      <w:rFonts w:eastAsia="Andale Sans UI"/>
                      <w:bCs/>
                      <w:szCs w:val="24"/>
                      <w:lang w:bidi="en-US"/>
                    </w:rPr>
                  </w:pPr>
                </w:p>
                <w:p>
                  <w:pPr>
                    <w:suppressLineNumbers/>
                    <w:jc w:val="both"/>
                    <w:rPr>
                      <w:rFonts w:eastAsia="Andale Sans UI"/>
                      <w:bCs/>
                      <w:szCs w:val="24"/>
                      <w:lang w:bidi="en-US"/>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suppressLineNumbers/>
                          <w:jc w:val="both"/>
                          <w:rPr>
                            <w:rFonts w:eastAsia="Andale Sans UI"/>
                            <w:szCs w:val="24"/>
                            <w:lang w:bidi="en-US"/>
                          </w:rPr>
                        </w:pPr>
                        <w:r>
                          <w:rPr>
                            <w:rFonts w:eastAsia="Andale Sans UI"/>
                            <w:szCs w:val="24"/>
                            <w:lang w:bidi="en-US"/>
                          </w:rPr>
                          <w:t>Aplinkos ministras</w:t>
                        </w:r>
                      </w:p>
                    </w:tc>
                    <w:tc>
                      <w:tcPr>
                        <w:tcW w:w="4826" w:type="dxa"/>
                        <w:vAlign w:val="bottom"/>
                      </w:tcPr>
                      <w:p>
                        <w:pPr>
                          <w:ind w:right="34"/>
                          <w:jc w:val="right"/>
                          <w:rPr>
                            <w:rFonts w:eastAsia="Andale Sans UI"/>
                            <w:szCs w:val="24"/>
                            <w:lang w:bidi="en-US"/>
                          </w:rPr>
                        </w:pPr>
                        <w:r>
                          <w:rPr>
                            <w:rFonts w:eastAsia="Andale Sans UI"/>
                            <w:szCs w:val="24"/>
                            <w:lang w:bidi="en-US"/>
                          </w:rPr>
                          <w:t>Kastytis Žuromskas</w:t>
                        </w:r>
                      </w:p>
                    </w:tc>
                  </w:tr>
                  <w:tr>
                    <w:trPr>
                      <w:cantSplit/>
                      <w:trHeight w:val="340"/>
                    </w:trPr>
                    <w:tc>
                      <w:tcPr>
                        <w:tcW w:w="9643" w:type="dxa"/>
                        <w:gridSpan w:val="2"/>
                      </w:tcPr>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r>
                          <w:rPr>
                            <w:rFonts w:eastAsia="Andale Sans UI"/>
                            <w:szCs w:val="24"/>
                            <w:lang w:bidi="en-US"/>
                          </w:rPr>
                          <w:t>N. Paškauskaitė, tel. +370 696 63 217, el. p. neringa.paskauskaite</w:t>
                        </w:r>
                        <w:r>
                          <w:rPr>
                            <w:rFonts w:eastAsia="Andale Sans UI" w:cs="Tahoma"/>
                            <w:szCs w:val="24"/>
                            <w:lang w:bidi="en-US"/>
                          </w:rPr>
                          <w:t>@am.lt</w:t>
                        </w:r>
                      </w:p>
                      <w:p>
                        <w:pPr>
                          <w:suppressLineNumbers/>
                          <w:jc w:val="both"/>
                          <w:rPr>
                            <w:rFonts w:eastAsia="Andale Sans UI" w:cs="Tahoma"/>
                            <w:szCs w:val="24"/>
                            <w:lang w:bidi="en-US"/>
                          </w:rPr>
                        </w:pPr>
                        <w:r>
                          <w:rPr>
                            <w:rFonts w:eastAsia="Andale Sans UI" w:cs="Tahoma"/>
                            <w:szCs w:val="24"/>
                            <w:lang w:bidi="en-US"/>
                          </w:rPr>
                          <w:t>J. Girdziušienė tel. +370 695 49 899, el. p. jurga.girdziusiene@am.lt</w:t>
                        </w:r>
                      </w:p>
                      <w:p>
                        <w:pPr>
                          <w:suppressLineNumbers/>
                          <w:jc w:val="both"/>
                          <w:rPr>
                            <w:rFonts w:eastAsia="Andale Sans UI"/>
                            <w:szCs w:val="24"/>
                            <w:lang w:bidi="en-US"/>
                          </w:rPr>
                        </w:pPr>
                        <w:r>
                          <w:rPr>
                            <w:rFonts w:eastAsia="Andale Sans UI" w:cs="Tahoma"/>
                            <w:szCs w:val="24"/>
                            <w:lang w:bidi="en-US"/>
                          </w:rPr>
                          <w:t>M. Kauzonas, tel. +370 695 26 717, el. p. mindaugas.kauzonas@am.lt</w:t>
                        </w:r>
                      </w:p>
                    </w:tc>
                  </w:tr>
                </w:tbl>
                <w:p>
                  <w:pPr>
                    <w:ind w:firstLine="567"/>
                    <w:jc w:val="both"/>
                    <w:rPr>
                      <w:rFonts w:eastAsia="Andale Sans UI" w:cs="Tahoma"/>
                      <w:szCs w:val="24"/>
                      <w:lang w:bidi="en-US"/>
                    </w:rPr>
                  </w:pPr>
                </w:p>
              </w:sdtContent>
            </w:sdt>
          </w:sdtContent>
        </w:sdt>
      </w:sdtContent>
    </w:sdt>
    <w:sectPr>
      <w:headerReference w:type="even" r:id="rId11"/>
      <w:headerReference w:type="default" r:id="rId12"/>
      <w:footerReference w:type="even" r:id="rId13"/>
      <w:footerReference w:type="default" r:id="rId14"/>
      <w:headerReference w:type="first" r:id="rId15"/>
      <w:footerReference w:type="first" r:id="rId16"/>
      <w:footnotePr>
        <w:pos w:val="beneathText"/>
      </w:footnotePr>
      <w:endnotePr>
        <w:numFmt w:val="decimal"/>
      </w:endnotePr>
      <w:pgSz w:w="11905" w:h="16837"/>
      <w:pgMar w:top="1077" w:right="624" w:bottom="1077" w:left="1701" w:header="567" w:footer="232"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Calibri"/>
    <w:charset w:val="BA"/>
    <w:family w:val="swiss"/>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StarSymbol">
    <w:charset w:val="00"/>
    <w:family w:val="auto"/>
    <w:pitch w:val="variable"/>
    <w:sig w:usb0="00000003" w:usb1="10008000" w:usb2="00000000" w:usb3="00000000" w:csb0="00000001"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 w:type="continuationNotice" w:id="1">
    <w:p/>
  </w:footnote>
  <w:footnote w:id="2">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hyperlink r:id="rId1" w:history="1">
        <w:r>
          <w:rPr>
            <w:rFonts w:eastAsia="Andale Sans UI"/>
            <w:color w:val="000080"/>
            <w:sz w:val="20"/>
            <w:u w:val="single"/>
          </w:rPr>
          <w:t>Dvidešimtosios Lietuvos Respublikos Vyriausybės programa</w:t>
        </w:r>
      </w:hyperlink>
      <w:r>
        <w:rPr>
          <w:rFonts w:eastAsia="Andale Sans UI"/>
          <w:sz w:val="20"/>
        </w:rPr>
        <w:t>, kuriai pritarta Lietuvos Respublikos Seimo 2025 m. rugsėjo 25 d. nutarimu Nr. XV-439 „Dėl Dvidešimtosios Lietuvos Respublikos Vyriausybės programos“.</w:t>
      </w:r>
    </w:p>
  </w:footnote>
  <w:footnote w:id="3">
    <w:p>
      <w:pPr>
        <w:tabs>
          <w:tab w:val="left" w:pos="2127"/>
        </w:tabs>
        <w:jc w:val="both"/>
        <w:rPr>
          <w:color w:val="000000"/>
          <w:sz w:val="20"/>
          <w:lang w:eastAsia="lt-LT" w:bidi="en-US"/>
        </w:rPr>
      </w:pPr>
      <w:r>
        <w:rPr>
          <w:rFonts w:eastAsia="Andale Sans UI"/>
          <w:sz w:val="20"/>
          <w:vertAlign w:val="superscript"/>
          <w:lang w:bidi="en-US"/>
        </w:rPr>
        <w:footnoteRef/>
      </w:r>
      <w:r>
        <w:rPr>
          <w:rFonts w:eastAsia="Andale Sans UI"/>
          <w:sz w:val="20"/>
          <w:lang w:bidi="en-US"/>
        </w:rPr>
        <w:t xml:space="preserve"> </w:t>
      </w:r>
      <w:hyperlink r:id="rId2" w:history="1">
        <w:r>
          <w:rPr>
            <w:rFonts w:eastAsia="Andale Sans UI"/>
            <w:color w:val="000080"/>
            <w:sz w:val="20"/>
            <w:u w:val="single"/>
            <w:lang w:bidi="en-US"/>
          </w:rPr>
          <w:t>Europos Sąjungos reikalų koordinavimo taisyklių</w:t>
        </w:r>
      </w:hyperlink>
      <w:r>
        <w:rPr>
          <w:rFonts w:eastAsia="Andale Sans UI"/>
          <w:sz w:val="20"/>
          <w:lang w:bidi="en-US"/>
        </w:rPr>
        <w:t>, patvirtintų Lietuvos Respublikos Vyriausybės 2004 m. sausio 9 d. nutarimu Nr. 21 „Dėl Europos Sąjungos reikalų koordinavimo“, 7 priedas.</w:t>
      </w:r>
    </w:p>
  </w:footnote>
  <w:footnote w:id="4">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hyperlink r:id="rId3" w:history="1">
        <w:r>
          <w:rPr>
            <w:color w:val="000080"/>
            <w:sz w:val="20"/>
            <w:u w:val="single"/>
            <w:lang w:eastAsia="lt-LT"/>
          </w:rPr>
          <w:t>Informacijos apie techninius reglamentus ir atitikties įvertinimo procedūras teikimo taisyklės</w:t>
        </w:r>
      </w:hyperlink>
      <w:r>
        <w:rPr>
          <w:sz w:val="20"/>
          <w:lang w:eastAsia="lt-LT"/>
        </w:rPr>
        <w:t>, patvirtintos Lietuvos Respublikos Vyriausybės 1999 m. gegužės 20 d. nutarimu Nr. 617 „Dėl Informacijos apie techninius reglamentus ir atitikties įvertinimo procedūras teikimo taisyklių patvirtinimo“.</w:t>
      </w:r>
    </w:p>
  </w:footnote>
  <w:footnote w:id="5">
    <w:p>
      <w:pPr>
        <w:jc w:val="both"/>
        <w:rPr>
          <w:sz w:val="20"/>
          <w:lang w:eastAsia="lt-LT"/>
        </w:rPr>
      </w:pPr>
      <w:r>
        <w:rPr>
          <w:rFonts w:eastAsia="Andale Sans UI"/>
          <w:sz w:val="20"/>
          <w:vertAlign w:val="superscript"/>
        </w:rPr>
        <w:footnoteRef/>
        <w:t xml:space="preserve"> </w:t>
      </w:r>
      <w:hyperlink r:id="rId4">
        <w:r>
          <w:rPr>
            <w:color w:val="000080"/>
            <w:sz w:val="20"/>
            <w:u w:val="single"/>
            <w:lang w:eastAsia="lt-LT"/>
          </w:rPr>
          <w:t>Pranešimų ir informacijos apie nustatomus įsisteigimo arba nustatomus ar panaikinamus paslaugų teikimo laisvei taikomus reikalavimus teikimo tvarkos aprašas</w:t>
        </w:r>
      </w:hyperlink>
      <w:r>
        <w:rPr>
          <w:sz w:val="20"/>
          <w:lang w:eastAsia="lt-LT"/>
        </w:rPr>
        <w:t>, patvirtintas Lietuvos Respublikos Vyriausybės 2011 m. lapkričio 30 d. nutarimu Nr. 1389 „Dėl pranešimų ir informacijos apie nustatomus įsisteigimo arba nustatomus ar panaikinamus paslaugų teikimo laisvei taikomus reikalavimus teikimo“.</w:t>
      </w:r>
    </w:p>
  </w:footnote>
  <w:footnote w:id="6">
    <w:p>
      <w:pPr>
        <w:tabs>
          <w:tab w:val="left" w:pos="2127"/>
        </w:tabs>
        <w:jc w:val="both"/>
        <w:rPr>
          <w:rFonts w:eastAsia="Andale Sans UI"/>
          <w:sz w:val="20"/>
        </w:rPr>
      </w:pPr>
      <w:r>
        <w:rPr>
          <w:rFonts w:eastAsia="Andale Sans UI"/>
          <w:sz w:val="20"/>
          <w:vertAlign w:val="superscript"/>
        </w:rPr>
        <w:footnoteRef/>
      </w:r>
      <w:r>
        <w:rPr>
          <w:rFonts w:eastAsia="Andale Sans UI"/>
          <w:sz w:val="20"/>
        </w:rPr>
        <w:t xml:space="preserve"> </w:t>
      </w:r>
      <w:hyperlink r:id="rId5" w:history="1">
        <w:r>
          <w:rPr>
            <w:color w:val="000080"/>
            <w:sz w:val="20"/>
            <w:u w:val="single"/>
            <w:lang w:eastAsia="lt-LT"/>
          </w:rPr>
          <w:t>Numatomo teisinio reguliavimo poveikio vertinimo metodikos</w:t>
        </w:r>
      </w:hyperlink>
      <w:r>
        <w:rPr>
          <w:sz w:val="20"/>
          <w:lang w:eastAsia="lt-LT"/>
        </w:rPr>
        <w:t>, patvirtintos Lietuvos Respublikos Vyriausybės 2003 m. vasario 26 d. nutarimu Nr. 276 „Dėl Numatomo teisinio reguliavimo poveikio vertinimo metodikos patvirtinimo“, 4 punktas.</w:t>
      </w:r>
    </w:p>
  </w:footnote>
  <w:footnote w:id="7">
    <w:p>
      <w:pPr>
        <w:rPr>
          <w:rFonts w:eastAsia="Andale Sans UI"/>
          <w:sz w:val="20"/>
        </w:rPr>
      </w:pPr>
      <w:r>
        <w:rPr>
          <w:rFonts w:eastAsia="Andale Sans UI"/>
          <w:sz w:val="20"/>
          <w:vertAlign w:val="superscript"/>
        </w:rPr>
        <w:footnoteRef/>
      </w:r>
      <w:r>
        <w:rPr>
          <w:rFonts w:eastAsia="Andale Sans UI"/>
          <w:sz w:val="20"/>
        </w:rPr>
        <w:t xml:space="preserve"> </w:t>
      </w:r>
      <w:hyperlink r:id="rId6" w:history="1">
        <w:r>
          <w:rPr>
            <w:color w:val="000080"/>
            <w:sz w:val="20"/>
            <w:u w:val="single"/>
            <w:lang w:eastAsia="lt-LT"/>
          </w:rPr>
          <w:t>Numatomo teisinio reguliavimo poveikio vertinimo metodikos</w:t>
        </w:r>
      </w:hyperlink>
      <w:r>
        <w:rPr>
          <w:sz w:val="20"/>
          <w:lang w:eastAsia="lt-LT"/>
        </w:rPr>
        <w:t xml:space="preserve">, patvirtintos Lietuvos Respublikos Vyriausybės 2003 m. vasario 26 d. nutarimu Nr. 276 „Dėl Numatomo teisinio reguliavimo poveikio vertinimo metodikos patvirtinimo“, </w:t>
      </w:r>
      <w:r>
        <w:rPr>
          <w:rFonts w:eastAsia="Andale Sans UI"/>
          <w:sz w:val="20"/>
        </w:rPr>
        <w:t>17</w:t>
      </w:r>
      <w:r>
        <w:rPr>
          <w:rFonts w:eastAsia="Andale Sans UI"/>
          <w:sz w:val="20"/>
          <w:vertAlign w:val="superscript"/>
        </w:rPr>
        <w:t>1</w:t>
      </w:r>
      <w:r>
        <w:rPr>
          <w:rFonts w:eastAsia="Andale Sans UI"/>
          <w:sz w:val="20"/>
        </w:rPr>
        <w:t xml:space="preserve"> ir 35 punktai.</w:t>
      </w:r>
    </w:p>
  </w:footnote>
  <w:footnote w:id="8">
    <w:p>
      <w:pPr>
        <w:jc w:val="both"/>
        <w:rPr>
          <w:rFonts w:eastAsia="Andale Sans UI" w:cs="Tahoma"/>
          <w:sz w:val="20"/>
        </w:rPr>
      </w:pPr>
      <w:r>
        <w:rPr>
          <w:rFonts w:eastAsia="Andale Sans UI"/>
          <w:sz w:val="20"/>
          <w:vertAlign w:val="superscript"/>
        </w:rPr>
        <w:footnoteRef/>
      </w:r>
      <w:r>
        <w:rPr>
          <w:rFonts w:eastAsia="Andale Sans UI"/>
          <w:sz w:val="20"/>
        </w:rPr>
        <w:t xml:space="preserve"> </w:t>
      </w:r>
      <w:hyperlink r:id="rId7" w:history="1">
        <w:r>
          <w:rPr>
            <w:rFonts w:eastAsia="Andale Sans UI"/>
            <w:color w:val="000080"/>
            <w:sz w:val="20"/>
            <w:u w:val="single"/>
          </w:rPr>
          <w:t>Teisėkūros poveikio aplinkai ir klimato kaitai (</w:t>
        </w:r>
        <w:r>
          <w:rPr>
            <w:rFonts w:eastAsia="Andale Sans UI"/>
            <w:i/>
            <w:iCs/>
            <w:color w:val="000080"/>
            <w:sz w:val="20"/>
            <w:u w:val="single"/>
          </w:rPr>
          <w:t>ex ante</w:t>
        </w:r>
        <w:r>
          <w:rPr>
            <w:rFonts w:eastAsia="Andale Sans UI"/>
            <w:color w:val="000080"/>
            <w:sz w:val="20"/>
            <w:u w:val="single"/>
          </w:rPr>
          <w:t>) vertinimo tvarkos aprašas</w:t>
        </w:r>
      </w:hyperlink>
      <w:r>
        <w:rPr>
          <w:rFonts w:eastAsia="Andale Sans UI"/>
          <w:sz w:val="20"/>
        </w:rPr>
        <w:t>, patvirtintas Lietuvos Respublikos aplinkos ministro 2024 m. vasario 27 d. įsakymu Nr. D1-57 „Dėl Teisėkūros poveikio aplinkai ir klimato kaitai (</w:t>
      </w:r>
      <w:r>
        <w:rPr>
          <w:rFonts w:eastAsia="Andale Sans UI"/>
          <w:i/>
          <w:iCs/>
          <w:sz w:val="20"/>
        </w:rPr>
        <w:t>ex ante</w:t>
      </w:r>
      <w:r>
        <w:rPr>
          <w:rFonts w:eastAsia="Andale Sans UI"/>
          <w:sz w:val="20"/>
        </w:rPr>
        <w:t>) vertinimo tvarkos aprašo patvirtinimo“.</w:t>
      </w:r>
    </w:p>
  </w:footnote>
  <w:footnote w:id="9">
    <w:p>
      <w:pPr>
        <w:rPr>
          <w:rFonts w:eastAsia="Andale Sans UI"/>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rPr>
        <w:t>https://aaa.lrv.lt/lt/veiklos-sritys/teisekuros-poveikio-vertinimas/</w:t>
      </w:r>
    </w:p>
  </w:footnote>
  <w:footnote w:id="10">
    <w:p>
      <w:pPr>
        <w:rPr>
          <w:rFonts w:eastAsia="Andale Sans UI"/>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rPr>
        <w:t>https://epilietis.lrv.lt/lt/</w:t>
      </w:r>
      <w:r>
        <w:rPr>
          <w:rFonts w:eastAsia="Andale Sans UI"/>
          <w:sz w:val="20"/>
        </w:rPr>
        <w:t>.</w:t>
      </w:r>
    </w:p>
  </w:footnote>
  <w:footnote w:id="11">
    <w:p>
      <w:pPr>
        <w:jc w:val="both"/>
        <w:rPr>
          <w:rFonts w:eastAsia="Andale Sans UI"/>
          <w:sz w:val="20"/>
        </w:rPr>
      </w:pPr>
      <w:r>
        <w:rPr>
          <w:rFonts w:eastAsia="Andale Sans UI"/>
          <w:sz w:val="20"/>
          <w:vertAlign w:val="superscript"/>
        </w:rPr>
        <w:footnoteRef/>
      </w:r>
      <w:r>
        <w:rPr>
          <w:rFonts w:eastAsia="Andale Sans UI"/>
          <w:sz w:val="20"/>
        </w:rPr>
        <w:t xml:space="preserve"> </w:t>
      </w:r>
      <w:r>
        <w:rPr>
          <w:rFonts w:eastAsia="Andale Sans UI"/>
          <w:color w:val="000080"/>
          <w:sz w:val="20"/>
          <w:u w:val="single"/>
          <w:shd w:val="clear" w:color="auto" w:fill="FFFFFF"/>
          <w:lang w:bidi="en-US"/>
        </w:rPr>
        <w:t>Lietuvos Respublikos Seimo statuto</w:t>
      </w:r>
      <w:r>
        <w:rPr>
          <w:rFonts w:eastAsia="Andale Sans UI"/>
          <w:color w:val="000000"/>
          <w:sz w:val="20"/>
          <w:shd w:val="clear" w:color="auto" w:fill="FFFFFF"/>
          <w:lang w:bidi="en-US"/>
        </w:rPr>
        <w:t xml:space="preserve"> 135 straipsnio 3 dalis.</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2</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center"/>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PAGE   \* MERGEFORMAT</w:instrText>
    </w:r>
    <w:r>
      <w:rPr>
        <w:rFonts w:eastAsia="Andale Sans UI" w:cs="Tahoma"/>
        <w:szCs w:val="24"/>
        <w:lang w:bidi="en-US"/>
      </w:rPr>
      <w:fldChar w:fldCharType="separate"/>
    </w:r>
    <w:r>
      <w:rPr>
        <w:rFonts w:eastAsia="Andale Sans UI" w:cs="Tahoma"/>
        <w:szCs w:val="24"/>
        <w:lang w:val="en-GB" w:bidi="en-US"/>
      </w:rPr>
      <w:t>9</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footnote w:id="-1"/>
    <w:footnote w:id="0"/>
    <w:footnote w:id="1"/>
  </w:footnotePr>
  <w:endnotePr>
    <w:numFmt w:val="decimal"/>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7D58"/>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6F0F90C7-53AD-43E4-850B-5E53454828A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00828453">
      <w:bodyDiv w:val="1"/>
      <w:marLeft w:val="0"/>
      <w:marRight w:val="0"/>
      <w:marTop w:val="0"/>
      <w:marBottom w:val="0"/>
      <w:divBdr>
        <w:top w:val="none" w:sz="0" w:space="0" w:color="auto"/>
        <w:left w:val="none" w:sz="0" w:space="0" w:color="auto"/>
        <w:bottom w:val="none" w:sz="0" w:space="0" w:color="auto"/>
        <w:right w:val="none" w:sz="0" w:space="0" w:color="auto"/>
      </w:divBdr>
      <w:divsChild>
        <w:div w:id="1227574701">
          <w:marLeft w:val="0"/>
          <w:marRight w:val="0"/>
          <w:marTop w:val="0"/>
          <w:marBottom w:val="0"/>
          <w:divBdr>
            <w:top w:val="none" w:sz="0" w:space="0" w:color="auto"/>
            <w:left w:val="none" w:sz="0" w:space="0" w:color="auto"/>
            <w:bottom w:val="none" w:sz="0" w:space="0" w:color="auto"/>
            <w:right w:val="none" w:sz="0" w:space="0" w:color="auto"/>
          </w:divBdr>
        </w:div>
        <w:div w:id="1919435652">
          <w:marLeft w:val="0"/>
          <w:marRight w:val="0"/>
          <w:marTop w:val="0"/>
          <w:marBottom w:val="0"/>
          <w:divBdr>
            <w:top w:val="none" w:sz="0" w:space="0" w:color="auto"/>
            <w:left w:val="none" w:sz="0" w:space="0" w:color="auto"/>
            <w:bottom w:val="none" w:sz="0" w:space="0" w:color="auto"/>
            <w:right w:val="none" w:sz="0" w:space="0" w:color="auto"/>
          </w:divBdr>
        </w:div>
      </w:divsChild>
    </w:div>
    <w:div w:id="480274677">
      <w:bodyDiv w:val="1"/>
      <w:marLeft w:val="0"/>
      <w:marRight w:val="0"/>
      <w:marTop w:val="0"/>
      <w:marBottom w:val="0"/>
      <w:divBdr>
        <w:top w:val="none" w:sz="0" w:space="0" w:color="auto"/>
        <w:left w:val="none" w:sz="0" w:space="0" w:color="auto"/>
        <w:bottom w:val="none" w:sz="0" w:space="0" w:color="auto"/>
        <w:right w:val="none" w:sz="0" w:space="0" w:color="auto"/>
      </w:divBdr>
    </w:div>
    <w:div w:id="493882544">
      <w:bodyDiv w:val="1"/>
      <w:marLeft w:val="0"/>
      <w:marRight w:val="0"/>
      <w:marTop w:val="0"/>
      <w:marBottom w:val="0"/>
      <w:divBdr>
        <w:top w:val="none" w:sz="0" w:space="0" w:color="auto"/>
        <w:left w:val="none" w:sz="0" w:space="0" w:color="auto"/>
        <w:bottom w:val="none" w:sz="0" w:space="0" w:color="auto"/>
        <w:right w:val="none" w:sz="0" w:space="0" w:color="auto"/>
      </w:divBdr>
      <w:divsChild>
        <w:div w:id="598099785">
          <w:marLeft w:val="0"/>
          <w:marRight w:val="0"/>
          <w:marTop w:val="0"/>
          <w:marBottom w:val="0"/>
          <w:divBdr>
            <w:top w:val="none" w:sz="0" w:space="0" w:color="auto"/>
            <w:left w:val="none" w:sz="0" w:space="0" w:color="auto"/>
            <w:bottom w:val="none" w:sz="0" w:space="0" w:color="auto"/>
            <w:right w:val="none" w:sz="0" w:space="0" w:color="auto"/>
          </w:divBdr>
        </w:div>
        <w:div w:id="1297907655">
          <w:marLeft w:val="0"/>
          <w:marRight w:val="0"/>
          <w:marTop w:val="0"/>
          <w:marBottom w:val="0"/>
          <w:divBdr>
            <w:top w:val="none" w:sz="0" w:space="0" w:color="auto"/>
            <w:left w:val="none" w:sz="0" w:space="0" w:color="auto"/>
            <w:bottom w:val="none" w:sz="0" w:space="0" w:color="auto"/>
            <w:right w:val="none" w:sz="0" w:space="0" w:color="auto"/>
          </w:divBdr>
        </w:div>
      </w:divsChild>
    </w:div>
    <w:div w:id="761994316">
      <w:bodyDiv w:val="1"/>
      <w:marLeft w:val="0"/>
      <w:marRight w:val="0"/>
      <w:marTop w:val="0"/>
      <w:marBottom w:val="0"/>
      <w:divBdr>
        <w:top w:val="none" w:sz="0" w:space="0" w:color="auto"/>
        <w:left w:val="none" w:sz="0" w:space="0" w:color="auto"/>
        <w:bottom w:val="none" w:sz="0" w:space="0" w:color="auto"/>
        <w:right w:val="none" w:sz="0" w:space="0" w:color="auto"/>
      </w:divBdr>
      <w:divsChild>
        <w:div w:id="402801865">
          <w:marLeft w:val="0"/>
          <w:marRight w:val="0"/>
          <w:marTop w:val="0"/>
          <w:marBottom w:val="0"/>
          <w:divBdr>
            <w:top w:val="none" w:sz="0" w:space="0" w:color="auto"/>
            <w:left w:val="none" w:sz="0" w:space="0" w:color="auto"/>
            <w:bottom w:val="none" w:sz="0" w:space="0" w:color="auto"/>
            <w:right w:val="none" w:sz="0" w:space="0" w:color="auto"/>
          </w:divBdr>
        </w:div>
        <w:div w:id="1635793481">
          <w:marLeft w:val="0"/>
          <w:marRight w:val="0"/>
          <w:marTop w:val="0"/>
          <w:marBottom w:val="0"/>
          <w:divBdr>
            <w:top w:val="none" w:sz="0" w:space="0" w:color="auto"/>
            <w:left w:val="none" w:sz="0" w:space="0" w:color="auto"/>
            <w:bottom w:val="none" w:sz="0" w:space="0" w:color="auto"/>
            <w:right w:val="none" w:sz="0" w:space="0" w:color="auto"/>
          </w:divBdr>
        </w:div>
      </w:divsChild>
    </w:div>
    <w:div w:id="782111478">
      <w:bodyDiv w:val="1"/>
      <w:marLeft w:val="0"/>
      <w:marRight w:val="0"/>
      <w:marTop w:val="0"/>
      <w:marBottom w:val="0"/>
      <w:divBdr>
        <w:top w:val="none" w:sz="0" w:space="0" w:color="auto"/>
        <w:left w:val="none" w:sz="0" w:space="0" w:color="auto"/>
        <w:bottom w:val="none" w:sz="0" w:space="0" w:color="auto"/>
        <w:right w:val="none" w:sz="0" w:space="0" w:color="auto"/>
      </w:divBdr>
    </w:div>
    <w:div w:id="916746596">
      <w:bodyDiv w:val="1"/>
      <w:marLeft w:val="0"/>
      <w:marRight w:val="0"/>
      <w:marTop w:val="0"/>
      <w:marBottom w:val="0"/>
      <w:divBdr>
        <w:top w:val="none" w:sz="0" w:space="0" w:color="auto"/>
        <w:left w:val="none" w:sz="0" w:space="0" w:color="auto"/>
        <w:bottom w:val="none" w:sz="0" w:space="0" w:color="auto"/>
        <w:right w:val="none" w:sz="0" w:space="0" w:color="auto"/>
      </w:divBdr>
      <w:divsChild>
        <w:div w:id="822156668">
          <w:marLeft w:val="0"/>
          <w:marRight w:val="0"/>
          <w:marTop w:val="0"/>
          <w:marBottom w:val="0"/>
          <w:divBdr>
            <w:top w:val="none" w:sz="0" w:space="0" w:color="auto"/>
            <w:left w:val="none" w:sz="0" w:space="0" w:color="auto"/>
            <w:bottom w:val="none" w:sz="0" w:space="0" w:color="auto"/>
            <w:right w:val="none" w:sz="0" w:space="0" w:color="auto"/>
          </w:divBdr>
        </w:div>
        <w:div w:id="1060790193">
          <w:marLeft w:val="0"/>
          <w:marRight w:val="0"/>
          <w:marTop w:val="0"/>
          <w:marBottom w:val="0"/>
          <w:divBdr>
            <w:top w:val="none" w:sz="0" w:space="0" w:color="auto"/>
            <w:left w:val="none" w:sz="0" w:space="0" w:color="auto"/>
            <w:bottom w:val="none" w:sz="0" w:space="0" w:color="auto"/>
            <w:right w:val="none" w:sz="0" w:space="0" w:color="auto"/>
          </w:divBdr>
        </w:div>
        <w:div w:id="1093864504">
          <w:marLeft w:val="0"/>
          <w:marRight w:val="0"/>
          <w:marTop w:val="0"/>
          <w:marBottom w:val="0"/>
          <w:divBdr>
            <w:top w:val="none" w:sz="0" w:space="0" w:color="auto"/>
            <w:left w:val="none" w:sz="0" w:space="0" w:color="auto"/>
            <w:bottom w:val="none" w:sz="0" w:space="0" w:color="auto"/>
            <w:right w:val="none" w:sz="0" w:space="0" w:color="auto"/>
          </w:divBdr>
        </w:div>
      </w:divsChild>
    </w:div>
    <w:div w:id="1040327560">
      <w:bodyDiv w:val="1"/>
      <w:marLeft w:val="0"/>
      <w:marRight w:val="0"/>
      <w:marTop w:val="0"/>
      <w:marBottom w:val="0"/>
      <w:divBdr>
        <w:top w:val="none" w:sz="0" w:space="0" w:color="auto"/>
        <w:left w:val="none" w:sz="0" w:space="0" w:color="auto"/>
        <w:bottom w:val="none" w:sz="0" w:space="0" w:color="auto"/>
        <w:right w:val="none" w:sz="0" w:space="0" w:color="auto"/>
      </w:divBdr>
    </w:div>
    <w:div w:id="1184318278">
      <w:bodyDiv w:val="1"/>
      <w:marLeft w:val="0"/>
      <w:marRight w:val="0"/>
      <w:marTop w:val="0"/>
      <w:marBottom w:val="0"/>
      <w:divBdr>
        <w:top w:val="none" w:sz="0" w:space="0" w:color="auto"/>
        <w:left w:val="none" w:sz="0" w:space="0" w:color="auto"/>
        <w:bottom w:val="none" w:sz="0" w:space="0" w:color="auto"/>
        <w:right w:val="none" w:sz="0" w:space="0" w:color="auto"/>
      </w:divBdr>
      <w:divsChild>
        <w:div w:id="1058750904">
          <w:marLeft w:val="0"/>
          <w:marRight w:val="0"/>
          <w:marTop w:val="0"/>
          <w:marBottom w:val="0"/>
          <w:divBdr>
            <w:top w:val="none" w:sz="0" w:space="0" w:color="auto"/>
            <w:left w:val="none" w:sz="0" w:space="0" w:color="auto"/>
            <w:bottom w:val="none" w:sz="0" w:space="0" w:color="auto"/>
            <w:right w:val="none" w:sz="0" w:space="0" w:color="auto"/>
          </w:divBdr>
        </w:div>
        <w:div w:id="1167481611">
          <w:marLeft w:val="0"/>
          <w:marRight w:val="0"/>
          <w:marTop w:val="0"/>
          <w:marBottom w:val="0"/>
          <w:divBdr>
            <w:top w:val="none" w:sz="0" w:space="0" w:color="auto"/>
            <w:left w:val="none" w:sz="0" w:space="0" w:color="auto"/>
            <w:bottom w:val="none" w:sz="0" w:space="0" w:color="auto"/>
            <w:right w:val="none" w:sz="0" w:space="0" w:color="auto"/>
          </w:divBdr>
        </w:div>
        <w:div w:id="1336346376">
          <w:marLeft w:val="0"/>
          <w:marRight w:val="0"/>
          <w:marTop w:val="0"/>
          <w:marBottom w:val="0"/>
          <w:divBdr>
            <w:top w:val="none" w:sz="0" w:space="0" w:color="auto"/>
            <w:left w:val="none" w:sz="0" w:space="0" w:color="auto"/>
            <w:bottom w:val="none" w:sz="0" w:space="0" w:color="auto"/>
            <w:right w:val="none" w:sz="0" w:space="0" w:color="auto"/>
          </w:divBdr>
        </w:div>
      </w:divsChild>
    </w:div>
    <w:div w:id="1344625259">
      <w:bodyDiv w:val="1"/>
      <w:marLeft w:val="0"/>
      <w:marRight w:val="0"/>
      <w:marTop w:val="0"/>
      <w:marBottom w:val="0"/>
      <w:divBdr>
        <w:top w:val="none" w:sz="0" w:space="0" w:color="auto"/>
        <w:left w:val="none" w:sz="0" w:space="0" w:color="auto"/>
        <w:bottom w:val="none" w:sz="0" w:space="0" w:color="auto"/>
        <w:right w:val="none" w:sz="0" w:space="0" w:color="auto"/>
      </w:divBdr>
    </w:div>
    <w:div w:id="1670673518">
      <w:bodyDiv w:val="1"/>
      <w:marLeft w:val="0"/>
      <w:marRight w:val="0"/>
      <w:marTop w:val="0"/>
      <w:marBottom w:val="0"/>
      <w:divBdr>
        <w:top w:val="none" w:sz="0" w:space="0" w:color="auto"/>
        <w:left w:val="none" w:sz="0" w:space="0" w:color="auto"/>
        <w:bottom w:val="none" w:sz="0" w:space="0" w:color="auto"/>
        <w:right w:val="none" w:sz="0" w:space="0" w:color="auto"/>
      </w:divBdr>
    </w:div>
    <w:div w:id="1730104382">
      <w:bodyDiv w:val="1"/>
      <w:marLeft w:val="0"/>
      <w:marRight w:val="0"/>
      <w:marTop w:val="0"/>
      <w:marBottom w:val="0"/>
      <w:divBdr>
        <w:top w:val="none" w:sz="0" w:space="0" w:color="auto"/>
        <w:left w:val="none" w:sz="0" w:space="0" w:color="auto"/>
        <w:bottom w:val="none" w:sz="0" w:space="0" w:color="auto"/>
        <w:right w:val="none" w:sz="0" w:space="0" w:color="auto"/>
      </w:divBdr>
    </w:div>
    <w:div w:id="1890649733">
      <w:bodyDiv w:val="1"/>
      <w:marLeft w:val="0"/>
      <w:marRight w:val="0"/>
      <w:marTop w:val="0"/>
      <w:marBottom w:val="0"/>
      <w:divBdr>
        <w:top w:val="none" w:sz="0" w:space="0" w:color="auto"/>
        <w:left w:val="none" w:sz="0" w:space="0" w:color="auto"/>
        <w:bottom w:val="none" w:sz="0" w:space="0" w:color="auto"/>
        <w:right w:val="none" w:sz="0" w:space="0" w:color="auto"/>
      </w:divBdr>
      <w:divsChild>
        <w:div w:id="1033310272">
          <w:marLeft w:val="0"/>
          <w:marRight w:val="0"/>
          <w:marTop w:val="0"/>
          <w:marBottom w:val="0"/>
          <w:divBdr>
            <w:top w:val="none" w:sz="0" w:space="0" w:color="auto"/>
            <w:left w:val="none" w:sz="0" w:space="0" w:color="auto"/>
            <w:bottom w:val="none" w:sz="0" w:space="0" w:color="auto"/>
            <w:right w:val="none" w:sz="0" w:space="0" w:color="auto"/>
          </w:divBdr>
        </w:div>
        <w:div w:id="2033871494">
          <w:marLeft w:val="0"/>
          <w:marRight w:val="0"/>
          <w:marTop w:val="0"/>
          <w:marBottom w:val="0"/>
          <w:divBdr>
            <w:top w:val="none" w:sz="0" w:space="0" w:color="auto"/>
            <w:left w:val="none" w:sz="0" w:space="0" w:color="auto"/>
            <w:bottom w:val="none" w:sz="0" w:space="0" w:color="auto"/>
            <w:right w:val="none" w:sz="0" w:space="0" w:color="auto"/>
          </w:divBdr>
        </w:div>
      </w:divsChild>
    </w:div>
    <w:div w:id="2094542883">
      <w:bodyDiv w:val="1"/>
      <w:marLeft w:val="0"/>
      <w:marRight w:val="0"/>
      <w:marTop w:val="0"/>
      <w:marBottom w:val="0"/>
      <w:divBdr>
        <w:top w:val="none" w:sz="0" w:space="0" w:color="auto"/>
        <w:left w:val="none" w:sz="0" w:space="0" w:color="auto"/>
        <w:bottom w:val="none" w:sz="0" w:space="0" w:color="auto"/>
        <w:right w:val="none" w:sz="0" w:space="0" w:color="auto"/>
      </w:divBdr>
      <w:divsChild>
        <w:div w:id="756171405">
          <w:marLeft w:val="0"/>
          <w:marRight w:val="0"/>
          <w:marTop w:val="0"/>
          <w:marBottom w:val="0"/>
          <w:divBdr>
            <w:top w:val="none" w:sz="0" w:space="0" w:color="auto"/>
            <w:left w:val="none" w:sz="0" w:space="0" w:color="auto"/>
            <w:bottom w:val="none" w:sz="0" w:space="0" w:color="auto"/>
            <w:right w:val="none" w:sz="0" w:space="0" w:color="auto"/>
          </w:divBdr>
        </w:div>
        <w:div w:id="11815031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_rels/footnotes.xml.rels><?xml version="1.0" encoding="UTF-8"?>

<Relationships xmlns="http://schemas.openxmlformats.org/package/2006/relationships">
  <Relationship Id="rId1" Type="http://schemas.openxmlformats.org/officeDocument/2006/relationships/hyperlink" TargetMode="External" Target="https://www.e-tar.lt/portal/lt/legalAct/568b271299f611f0a8bbd1e98310677d"/>
  <Relationship Id="rId2" Type="http://schemas.openxmlformats.org/officeDocument/2006/relationships/hyperlink" TargetMode="External" Target="https://www.e-tar.lt/portal/lt/legalAct/TAR.DB68BCA9E3A0/asr"/>
  <Relationship Id="rId3" Type="http://schemas.openxmlformats.org/officeDocument/2006/relationships/hyperlink" TargetMode="External" Target="https://www.e-tar.lt/portal/lt/legalAct/TAR.EDD5FD371B32/asr"/>
  <Relationship Id="rId4" Type="http://schemas.openxmlformats.org/officeDocument/2006/relationships/hyperlink" TargetMode="External" Target="https://www.e-tar.lt/portal/lt/legalAct/TAR.DCD24028BD0E"/>
  <Relationship Id="rId5" Type="http://schemas.openxmlformats.org/officeDocument/2006/relationships/hyperlink" TargetMode="External" Target="https://www.e-tar.lt/portal/lt/legalAct/TAR.814F485EB18B/asr"/>
  <Relationship Id="rId6" Type="http://schemas.openxmlformats.org/officeDocument/2006/relationships/hyperlink" TargetMode="External" Target="https://www.e-tar.lt/portal/lt/legalAct/TAR.814F485EB18B/asr"/>
  <Relationship Id="rId7" Type="http://schemas.openxmlformats.org/officeDocument/2006/relationships/hyperlink" TargetMode="External" Target="https://www.e-tar.lt/portal/lt/legalAct/0635c170d54511eead77e967e399526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0379a545-9986-45d7-9e6d-3845025712a0">
      <UserInfo>
        <DisplayName>Jurgita Užkurnienė</DisplayName>
        <AccountId>118</AccountId>
        <AccountType/>
      </UserInfo>
    </SharedWithUsers>
    <TaxCatchAll xmlns="0379a545-9986-45d7-9e6d-3845025712a0" xsi:nil="true"/>
    <lcf76f155ced4ddcb4097134ff3c332f xmlns="47c1ea38-b788-4873-88f4-3b1f34597b9a">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50164633ED94994D9773E53D567FF5BF" ma:contentTypeVersion="14" ma:contentTypeDescription="Kurkite naują dokumentą." ma:contentTypeScope="" ma:versionID="0c1113a103ca724554d268c65386e108">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601ba028df923a18167b7700169b9414"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Vaizdų žymė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421f343bdc1943a48791bd418a8bcd27" PartId="b6c88a893ea14f3bb9feef6c7d8ac65c"/>
  <Part Type="pastraipa" DocPartId="89c1d874bf5a4b16b023fc5e1b882875" PartId="ebaf58841bdb41a4872332bdd1e89a5e">
    <Part Type="strPapunktis" Nr="1" Abbr="1 pp." DocPartId="c72fbca3cc9b4063a5779be761cb2a6c" PartId="230df60a909144df8c251018fd37ef90"/>
    <Part Type="strPapunktis" Nr="2" Abbr="2 pp." DocPartId="fed853ac561b4ee194530c3d188243da" PartId="fd7a0d38423f42e6b8546702eddc786e"/>
    <Part Type="strPapunktis" Nr="3" Abbr="3 pp." DocPartId="bc253a8b8f9741bda07aaae1c0e24afb" PartId="f016281eecae4dab923d570a73481a0b"/>
    <Part Type="strPapunktis" Nr="4" Abbr="4 pp." DocPartId="749a63c392b34b229edb0ed7f41683d9" PartId="e7abb84386df482fa2d401a712337b61"/>
    <Part Type="strPapunktis" Nr="5" Abbr="5 pp." DocPartId="5c4d019864d442ecbfb73c77d4f4ac4e" PartId="a733daab38164c4a93680f3167b8e684"/>
    <Part Type="strPapunktis" Nr="6" Abbr="6 pp." DocPartId="ee1e6ca3c76d4e6a875506c44c5332f8" PartId="12dd09a5cae54cc2aa4a154085f54d3e"/>
    <Part Type="strPapunktis" Nr="7" Abbr="7 pp." DocPartId="7746c381229a4f5492bb3e05e651415c" PartId="5f35c47db87149e78aa67e60a86349de"/>
    <Part Type="strPapunktis" Nr="8" Abbr="8 pp." DocPartId="a1f1ebaadd9b475685dd4a7d934550eb" PartId="053b97a6c256486cad48091e28960aea">
      <Part Type="punktas" Nr="1" Abbr="8 pp. 1 p." DocPartId="536f6764f44c46d486eb84c568738eec" PartId="3c42d42d28b14104b7cb85d7f310c29b"/>
    </Part>
    <Part Type="strPapunktis" Nr="1" Abbr="1 pp." DocPartId="3ae2894ee40d4335bcbbf362f8cb3092" PartId="32ac37daadc44cf98409942579ef5272"/>
    <Part Type="strPapunktis" Nr="2" Abbr="2 pp." DocPartId="e5409396cfd24313b6bd321b7a995533" PartId="5a1241b593fa46eb83582cf9c09ab6e0"/>
    <Part Type="strPapunktis" Nr="3" Abbr="3 pp." DocPartId="a1b3a8c104fe494ab904012ef51ed271" PartId="df4a9a220e5347ed95b406bbc7c8cd53"/>
    <Part Type="strPapunktis" Nr="1" Abbr="1 pp." DocPartId="aee3b3c2eb114b64838e6f25a3bcb2ec" PartId="c7f21c9387204ceb98704d13bd261f43"/>
    <Part Type="strPapunktis" Nr="2" Abbr="2 pp." DocPartId="1b8e7c939c104d158653152278085f53" PartId="814dc546f5ec4c70bab5831b7a15af2f"/>
    <Part Type="strPapunktis" Nr="3" Abbr="3 pp." DocPartId="e8fdb62448424a72b0a1221baf6eea5e" PartId="20d64b2ab0b94562bd862069dfa4c890"/>
    <Part Type="strPapunktis" Nr="4" Abbr="4 pp." DocPartId="6860564d49d048fe9ef62474d584b1d8" PartId="85a573f1cd0d4e7f869df55a92a1f3b5"/>
    <Part Type="strPapunktis" Nr="5" Abbr="5 pp." DocPartId="17f37253591b48bd9437db44dbdcb648" PartId="4dd50c7de12946c1b3c7ebea89253f70"/>
    <Part Type="strPapunktis" Nr="6" Abbr="6 pp." DocPartId="249a51d29630463b8d065ae751b67478" PartId="4ebcccbaf22148a0abc11f799a334079"/>
    <Part Type="strPapunktis" Nr="1" Abbr="1 pp." DocPartId="5d2cca05f60d442f87bc0fcc4b89dd5f" PartId="4064f5e5e6774b25818f4ffd5e289f5d"/>
    <Part Type="strPapunktis" Nr="2" Abbr="2 pp." DocPartId="9ec115d6d4214d08820e0190ab0f06cb" PartId="df3a1c0cea2c409d9bedcdd5dec6440e"/>
    <Part Type="strPapunktis" Nr="3" Abbr="3 pp." DocPartId="c32d3db7f1a342aaab6c1bdfd1a0e80c" PartId="975dff49102f4de68a7cb7b7f6db9355"/>
    <Part Type="strPapunktis" Nr="4" Abbr="4 pp." DocPartId="3b33be211e2843939d66cdc4374b4c61" PartId="de4467b70c834ba397f28d9e1d63d5f1"/>
    <Part Type="strPapunktis" Nr="5" Abbr="5 pp." DocPartId="8a29d2e05d7c40f08fe16a6584e38798" PartId="cf8ae10f67db473680c680b1ecafc550"/>
    <Part Type="strPapunktis" Nr="6" Abbr="6 pp." DocPartId="21e6622949424cefb57272bb8e382945" PartId="0c5f32b16e924deaab04a99815c937d0"/>
    <Part Type="strPapunktis" Nr="1" Abbr="1 pp." DocPartId="5bb44fb13e494d85b582d95322463747" PartId="923ff4f070ef4ddcb7b564f67c9c8231"/>
    <Part Type="strPapunktis" Nr="2" Abbr="2 pp." DocPartId="73de4d8bd838416bbb6799a0291e6edd" PartId="3b757b2bf2dc4d718218fa4be40253e2"/>
    <Part Type="strPapunktis" Nr="3" Abbr="3 pp." DocPartId="953b771506684c889d1c15bab2c6284f" PartId="38b6500f9896410e826b7cbaf5e99441"/>
    <Part Type="strPapunktis" Nr="4" Abbr="4 pp." DocPartId="d857a1d2e3a047959bd236c392840f2f" PartId="9855523b728a489a8ec519d8ea7d6fd1"/>
    <Part Type="strPapunktis" Nr="5" Abbr="5 pp." DocPartId="e0f0e44490664562a2acfcf1885fb387" PartId="cc15520606024e6a81a17e1f5cedfcde"/>
    <Part Type="strPapunktis" Nr="1" Abbr="1 pp." DocPartId="0a66f721cdbb44dd996aac1648743a3f" PartId="30208dc2de0146d6a3b634f4084a5b80"/>
    <Part Type="strPapunktis" Nr="2" Abbr="2 pp." DocPartId="96ea4ec0c2ef426f9b1b2edc18aa360d" PartId="ddc571d9c64b45f497a66b8db47cbd28"/>
    <Part Type="strPapunktis" Nr="3" Abbr="3 pp." DocPartId="a32b96beaadf44f8a12f8adf60c19996" PartId="cde05c5bf64a46919e76e23fcb27bab8"/>
    <Part Type="strPapunktis" Nr="4" Abbr="4 pp." DocPartId="73bf4ee2447847508a6f22b2471327ab" PartId="55fab7c7ea324e3d8556bc3097ad8294">
      <Part Type="punktas" Nr="13" Abbr="4 pp. 13 p." DocPartId="e95b7ba68ff04334ad2d2ce8a9f95f28" PartId="8b0e855dcc934a87bf3475866ecf53a0"/>
      <Part Type="punktas" Nr="14" Abbr="4 pp. 14 p." DocPartId="924b80991c89413bae2632935eb8d030" PartId="82a7e21675ff44c09761cce48c0d0ca3"/>
      <Part Type="punktas" Nr="15" Abbr="4 pp. 15 p." DocPartId="bf2f934c61044ab0b5acb7c09ebfdd12" PartId="672f8db48d7944ffb578b8d37e6e1ec6"/>
      <Part Type="punktas" Nr="1" Abbr="4 pp. 1 p." Notes="Numeris ne iš eilės. Trūksta dalių? [DocDalys]" DocPartId="52d41eda4ada40db8cf794ec99376725" PartId="d61cef4500144782b3df823675914cb1"/>
      <Part Type="punktas" Nr="2" Abbr="4 pp. 2 p." DocPartId="048333739c9b4cd3bb24bf3d391101da" PartId="bfd1be0c069f4e8fa7faca8ff90a0dde"/>
      <Part Type="punktas" Nr="3" Abbr="4 pp. 3 p." DocPartId="5642d1faf288450298ade46d3c4997a6" PartId="29fdbec678ad45ffa9f83fbaa80455d9"/>
      <Part Type="punktas" Nr="4" Abbr="4 pp. 4 p." DocPartId="3a2c18a7b024459cb23d08f7aefcc8fa" PartId="38fb20e6c4544707b7ea944c78a01f80"/>
      <Part Type="punktas" Nr="5" Abbr="4 pp. 5 p." DocPartId="b96467e4992645b8acbe79d6f4d70dc5" PartId="b42d3936531e4512a39fae6aef4f4e28"/>
      <Part Type="punktas" Nr="6" Abbr="4 pp. 6 p." DocPartId="0874fe2f6a0d43e6a6d594ac15aeac41" PartId="1242166c68d24fa7ac8c71edac5ad28c"/>
      <Part Type="punktas" Nr="7" Abbr="4 pp. 7 p." DocPartId="d717d94af62f4c179185802c848e1922" PartId="432afa075b4747f58bf0f367c13c736f"/>
      <Part Type="punktas" Nr="8" Abbr="4 pp. 8 p." DocPartId="08b523c5479544c8a453c47b75895997" PartId="3f9b2434197e4d7e897e426338d00496"/>
      <Part Type="punktas" Nr="9" Abbr="4 pp. 9 p." DocPartId="bd92b481971444598f097945d6f9b85f" PartId="3fe969251171463f85d63414af513cf1"/>
      <Part Type="punktas" Nr="10" Abbr="4 pp. 10 p." DocPartId="1c473702bbb046aaa858f1082796d8d4" PartId="1101d60d8d294b748ba67c1f7c30fc5f"/>
      <Part Type="punktas" Nr="11" Abbr="4 pp. 11 p." DocPartId="8530da2508dd46eaa6100162f5466073" PartId="2ce8192ed301476fb8820bda9521bec9"/>
      <Part Type="punktas" Nr="12" Abbr="4 pp. 12 p." DocPartId="db011e1a9244490da97a849738807ff0" PartId="2d89a5b8738f4221878bb801929e4a55"/>
      <Part Type="punktas" Nr="13" Abbr="4 pp. 13 p." DocPartId="8bbb87b8ff494f45a1dfcc7901fef619" PartId="9d73b1f1a58c4074b7bab5b61dd1b089"/>
      <Part Type="punktas" Nr="14" Abbr="4 pp. 14 p." DocPartId="a33778bbac6e4bcc8a63ebfce603195c" PartId="3cf03b7436a14832811f5ca0cb12a239"/>
      <Part Type="punktas" Nr="15" Abbr="4 pp. 15 p." DocPartId="db23b17846fb459eb83564a7d8a2b2ed" PartId="716fef9183a24fbabef0873c8dd8110a"/>
      <Part Type="punktas" Nr="16" Abbr="4 pp. 16 p." DocPartId="c5a60b035b524f3d90ae7c6779d798ed" PartId="1fedc6a77b7b403490f957dbee34d6ba"/>
      <Part Type="punktas" Nr="17" Abbr="4 pp. 17 p." DocPartId="7d5bde1f33304f3ab79506c2e183e087" PartId="b8456d34ac5e4834a51c08392ad82ea1"/>
      <Part Type="punktas" Nr="18" Abbr="4 pp. 18 p." DocPartId="6ba56a724e1a4ed99635554085424f38" PartId="cb5d3bdb5bc64fe4983796c96f4e39e8"/>
      <Part Type="punktas" Nr="19" Abbr="4 pp. 19 p." DocPartId="413e5d060303453394977e7a2bb6dd67" PartId="4b6591bd1e6943d6ac67aa14ce30d8fc"/>
      <Part Type="punktas" Nr="20" Abbr="4 pp. 20 p." DocPartId="1a481061313e423ab53b5f69b3671f1d" PartId="08dd6cf3a260467183182ffcd347d58f"/>
      <Part Type="punktas" Nr="21" Abbr="4 pp. 21 p." DocPartId="c7034ac1a9dc456983853924ec7b60f4" PartId="f904465cbde34d7f9ae83a2a06ca3875"/>
      <Part Type="punktas" Nr="22" Abbr="4 pp. 22 p." DocPartId="ab90ba0bce5749ef9309cb30ce5125f3" PartId="8f6ea4e56e3f4fb1aff51085fcfe4218"/>
      <Part Type="punktas" Nr="23" Abbr="4 pp. 23 p." DocPartId="17c9e98296bb4e69915eba18df91c218" PartId="8beb6c1390d94a5281a4f81aaf3442af"/>
      <Part Type="punktas" Nr="24" Abbr="4 pp. 24 p." DocPartId="48ea1c701c9343aab75b354b1b2fbc66" PartId="948a229a2d5b4facb37470c0f793d563"/>
      <Part Type="punktas" Nr="25" Abbr="4 pp. 25 p." DocPartId="9eed329fe5444de79577490e1dedefa3" PartId="17c5f46712af415db74534c10fae3411"/>
      <Part Type="punktas" Nr="26" Abbr="4 pp. 26 p." DocPartId="9943795ea63b430e833a0e9946f25b6d" PartId="73999929d6124ea097889ec7cb3c81ee"/>
      <Part Type="punktas" Nr="27" Abbr="4 pp. 27 p." DocPartId="18bdee93dbce4a368931bf0ed202eb58" PartId="817f957dc472486aa589ac8fb613ab64"/>
      <Part Type="punktas" Nr="28" Abbr="4 pp. 28 p." DocPartId="63c28aec26c84d72814f038bdf04ef51" PartId="e86e406c5b6d438c8bb2bb9d04bb0ffd"/>
      <Part Type="punktas" Nr="29" Abbr="4 pp. 29 p." DocPartId="a8a33b724a59442e89e787d45dd79156" PartId="56339ce40b5b4effbe4755b8e0c21bcd"/>
    </Part>
  </Part>
</Parts>
</file>

<file path=customXml/itemProps1.xml><?xml version="1.0" encoding="utf-8"?>
<ds:datastoreItem xmlns:ds="http://schemas.openxmlformats.org/officeDocument/2006/customXml" ds:itemID="{2ECC1323-9F72-4681-9895-5BB6B34E3FBB}">
  <ds:schemaRefs>
    <ds:schemaRef ds:uri="http://www.w3.org/XML/1998/namespace"/>
    <ds:schemaRef ds:uri="http://purl.org/dc/terms/"/>
    <ds:schemaRef ds:uri="http://schemas.microsoft.com/office/2006/metadata/properties"/>
    <ds:schemaRef ds:uri="0379a545-9986-45d7-9e6d-3845025712a0"/>
    <ds:schemaRef ds:uri="http://purl.org/dc/dcmitype/"/>
    <ds:schemaRef ds:uri="http://schemas.microsoft.com/office/2006/documentManagement/types"/>
    <ds:schemaRef ds:uri="http://purl.org/dc/elements/1.1/"/>
    <ds:schemaRef ds:uri="http://schemas.microsoft.com/office/infopath/2007/PartnerControls"/>
    <ds:schemaRef ds:uri="http://schemas.openxmlformats.org/package/2006/metadata/core-properties"/>
    <ds:schemaRef ds:uri="47c1ea38-b788-4873-88f4-3b1f34597b9a"/>
  </ds:schemaRefs>
</ds:datastoreItem>
</file>

<file path=customXml/itemProps2.xml><?xml version="1.0" encoding="utf-8"?>
<ds:datastoreItem xmlns:ds="http://schemas.openxmlformats.org/officeDocument/2006/customXml" ds:itemID="{F63874B7-6B15-401A-99DB-185408BEF51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DEE301B-E495-4750-B0E8-CBFC8E239BAA}">
  <ds:schemaRefs>
    <ds:schemaRef ds:uri="http://schemas.microsoft.com/sharepoint/v3/contenttype/forms"/>
  </ds:schemaRefs>
</ds:datastoreItem>
</file>

<file path=customXml/itemProps4.xml><?xml version="1.0" encoding="utf-8"?>
<ds:datastoreItem xmlns:ds="http://schemas.openxmlformats.org/officeDocument/2006/customXml" ds:itemID="{AEB62319-3611-4FCD-B5D5-080B5420C527}">
  <ds:schemaRefs>
    <ds:schemaRef ds:uri="http://schemas.openxmlformats.org/officeDocument/2006/bibliography"/>
  </ds:schemaRefs>
</ds:datastoreItem>
</file>

<file path=customXml/itemProps5.xml><?xml version="1.0" encoding="utf-8"?>
<ds:datastoreItem xmlns:ds="http://schemas.openxmlformats.org/officeDocument/2006/customXml" ds:itemID="{A6BA6CC5-4B20-4172-A665-7160A9FB097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5120</Words>
  <Characters>37533</Characters>
  <Application>Microsoft Office Word</Application>
  <DocSecurity>4</DocSecurity>
  <Lines>560</Lines>
  <Paragraphs>171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42482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2025-11-28T14:09:00Z</dcterms:created>
  <dc:creator>Neringa Paškauskaitė</dc:creator>
  <lastModifiedBy>adlibuser</lastModifiedBy>
  <dcterms:modified xsi:type="dcterms:W3CDTF">2025-11-28T14:09:00Z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