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96b30ed56494e53be757e6b0c1cdee9"/>
        <w:lock w:val="sdtLocked"/>
        <w:richText/>
      </w:sdtPr>
      <w:sdtContent>
        <w:tbl>
          <w:tblPr>
            <w:tblW w:w="14854" w:type="dxa"/>
            <w:tblLook w:val="04A0" w:firstRow="1" w:lastRow="0" w:firstColumn="1" w:lastColumn="0" w:noHBand="0" w:noVBand="1"/>
          </w:tblPr>
          <w:tblGrid>
            <w:gridCol w:w="6150"/>
            <w:gridCol w:w="6233"/>
            <w:gridCol w:w="2333"/>
            <w:gridCol w:w="138"/>
          </w:tblGrid>
          <w:tr>
            <w:trPr>
              <w:gridAfter w:val="1"/>
              <w:wAfter w:w="138" w:type="dxa"/>
              <w:trHeight w:val="711"/>
            </w:trPr>
            <w:tc>
              <w:tcPr>
                <w:tcW w:w="14716" w:type="dxa"/>
                <w:gridSpan w:val="3"/>
              </w:tcPr>
              <w:tbl>
                <w:tblPr>
                  <w:tblW w:w="0" w:type="auto"/>
                  <w:tblLook w:val="06A0" w:firstRow="1" w:lastRow="0" w:firstColumn="1" w:lastColumn="0" w:noHBand="1" w:noVBand="1"/>
                </w:tblPr>
                <w:tblGrid>
                  <w:gridCol w:w="4950"/>
                  <w:gridCol w:w="4950"/>
                  <w:gridCol w:w="4950"/>
                </w:tblGrid>
                <w:tr>
                  <w:trPr>
                    <w:trHeight w:val="300"/>
                  </w:trPr>
                  <w:tc>
                    <w:tcPr>
                      <w:tcW w:w="4950" w:type="dxa"/>
                    </w:tcPr>
                    <w:p>
                      <w:pPr>
                        <w:tabs>
                          <w:tab w:val="center" w:pos="4819"/>
                          <w:tab w:val="right" w:pos="9638"/>
                        </w:tabs>
                        <w:ind w:left="-115"/>
                        <w:rPr>
                          <w:sz w:val="22"/>
                          <w:szCs w:val="22"/>
                        </w:rPr>
                      </w:pPr>
                    </w:p>
                  </w:tc>
                  <w:tc>
                    <w:tcPr>
                      <w:tcW w:w="4950" w:type="dxa"/>
                    </w:tcPr>
                    <w:p>
                      <w:pPr>
                        <w:tabs>
                          <w:tab w:val="center" w:pos="4819"/>
                          <w:tab w:val="right" w:pos="9638"/>
                        </w:tabs>
                        <w:jc w:val="center"/>
                        <w:rPr>
                          <w:sz w:val="22"/>
                          <w:szCs w:val="22"/>
                        </w:rPr>
                      </w:pPr>
                    </w:p>
                  </w:tc>
                  <w:tc>
                    <w:tcPr>
                      <w:tcW w:w="4950" w:type="dxa"/>
                    </w:tcPr>
                    <w:p>
                      <w:pPr>
                        <w:tabs>
                          <w:tab w:val="center" w:pos="4819"/>
                          <w:tab w:val="right" w:pos="9638"/>
                        </w:tabs>
                        <w:ind w:right="-115"/>
                        <w:jc w:val="right"/>
                        <w:rPr>
                          <w:sz w:val="22"/>
                          <w:szCs w:val="22"/>
                        </w:rPr>
                      </w:pPr>
                    </w:p>
                  </w:tc>
                </w:tr>
              </w:tbl>
              <w:p>
                <w:pPr>
                  <w:tabs>
                    <w:tab w:val="center" w:pos="4819"/>
                    <w:tab w:val="right" w:pos="9638"/>
                  </w:tabs>
                  <w:rPr>
                    <w:sz w:val="20"/>
                    <w:lang w:eastAsia="lt-LT"/>
                  </w:rPr>
                </w:pPr>
              </w:p>
              <w:p>
                <w:pPr>
                  <w:rPr>
                    <w:sz w:val="20"/>
                    <w:lang w:eastAsia="lt-LT"/>
                  </w:rPr>
                </w:pPr>
              </w:p>
              <w:p>
                <w:pPr>
                  <w:jc w:val="center"/>
                  <w:rPr>
                    <w:b/>
                    <w:bCs/>
                    <w:szCs w:val="24"/>
                    <w:lang w:eastAsia="ar-SA"/>
                  </w:rPr>
                </w:pPr>
                <w:r>
                  <w:rPr>
                    <w:b/>
                    <w:bCs/>
                    <w:szCs w:val="24"/>
                    <w:lang w:eastAsia="ar-SA"/>
                  </w:rPr>
                  <w:t xml:space="preserve">DIREKTYVOS 1999/105/EB IR </w:t>
                </w:r>
                <w:r>
                  <w:rPr>
                    <w:rFonts w:eastAsia="Andale Sans UI" w:cs="Tahoma"/>
                    <w:b/>
                    <w:bCs/>
                    <w:szCs w:val="24"/>
                    <w:lang w:bidi="en-US"/>
                  </w:rPr>
                  <w:t xml:space="preserve">LIETUVOS RESPUBLIKOS MIŠKŲ ĮSTATYMO PAKEITIMO ĮSTATYMO </w:t>
                </w:r>
                <w:r>
                  <w:rPr>
                    <w:b/>
                    <w:bCs/>
                    <w:szCs w:val="24"/>
                    <w:lang w:eastAsia="ar-SA"/>
                  </w:rPr>
                  <w:t>PROJEKTO ATITIKTIES LENTELĖ</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10"/>
            </w:trPr>
            <w:tc>
              <w:tcPr>
                <w:tcW w:w="6150" w:type="dxa"/>
                <w:tcBorders>
                  <w:top w:val="single" w:sz="4" w:space="0" w:color="auto"/>
                  <w:left w:val="single" w:sz="4" w:space="0" w:color="auto"/>
                  <w:bottom w:val="single" w:sz="4" w:space="0" w:color="auto"/>
                  <w:right w:val="single" w:sz="4" w:space="0" w:color="auto"/>
                </w:tcBorders>
              </w:tcPr>
              <w:p>
                <w:pPr>
                  <w:tabs>
                    <w:tab w:val="left" w:pos="567"/>
                  </w:tabs>
                  <w:suppressAutoHyphens/>
                  <w:jc w:val="center"/>
                  <w:rPr>
                    <w:b/>
                    <w:bCs/>
                    <w:szCs w:val="24"/>
                    <w:lang w:eastAsia="ar-SA"/>
                  </w:rPr>
                </w:pPr>
              </w:p>
              <w:p>
                <w:pPr>
                  <w:rPr>
                    <w:sz w:val="20"/>
                  </w:rPr>
                </w:pPr>
              </w:p>
              <w:p>
                <w:pPr>
                  <w:tabs>
                    <w:tab w:val="left" w:pos="567"/>
                  </w:tabs>
                  <w:suppressAutoHyphens/>
                  <w:jc w:val="center"/>
                  <w:rPr>
                    <w:b/>
                    <w:bCs/>
                    <w:szCs w:val="24"/>
                    <w:lang w:eastAsia="ar-SA"/>
                  </w:rPr>
                </w:pPr>
                <w:r>
                  <w:rPr>
                    <w:b/>
                    <w:bCs/>
                    <w:szCs w:val="24"/>
                    <w:lang w:eastAsia="ar-SA"/>
                  </w:rPr>
                  <w:t xml:space="preserve">1999 m. gruodžio 22 d. Europos Tarybos direktyva </w:t>
                </w:r>
                <w:fldSimple w:instr="HYPERLINK http://eur-lex.europa.eu/legal-content/LIT/TXT/?uri=CELEX:31999L0105&amp;locale=lt \t _blank">
                  <w:r>
                    <w:rPr>
                      <w:b/>
                      <w:bCs/>
                      <w:szCs w:val="24"/>
                      <w:lang w:eastAsia="ar-SA"/>
                      <w:u w:val="single"/>
                      <w:color w:val="0000FF" w:themeColor="hyperlink"/>
                    </w:rPr>
                    <w:t>1999/105/EB</w:t>
                  </w:r>
                </w:fldSimple>
                <w:r>
                  <w:rPr>
                    <w:b/>
                    <w:bCs/>
                    <w:szCs w:val="24"/>
                    <w:lang w:eastAsia="ar-SA"/>
                  </w:rPr>
                  <w:t xml:space="preserve"> dėl prekybos miško dauginamąja medžiaga (toliau – Direktyva) </w:t>
                </w:r>
              </w:p>
            </w:tc>
            <w:tc>
              <w:tcPr>
                <w:tcW w:w="6233" w:type="dxa"/>
                <w:tcBorders>
                  <w:top w:val="single" w:sz="4" w:space="0" w:color="auto"/>
                  <w:left w:val="single" w:sz="4" w:space="0" w:color="auto"/>
                  <w:bottom w:val="single" w:sz="4" w:space="0" w:color="auto"/>
                  <w:right w:val="single" w:sz="4" w:space="0" w:color="auto"/>
                </w:tcBorders>
              </w:tcPr>
              <w:p>
                <w:pPr>
                  <w:jc w:val="both"/>
                  <w:rPr>
                    <w:b/>
                    <w:bCs/>
                    <w:szCs w:val="24"/>
                    <w:lang w:eastAsia="ar-SA"/>
                  </w:rPr>
                </w:pPr>
                <w:r>
                  <w:rPr>
                    <w:b/>
                    <w:bCs/>
                    <w:szCs w:val="24"/>
                    <w:lang w:eastAsia="ar-SA"/>
                  </w:rPr>
                  <w:t>1. Lietuvos Respublikos miškų įstatymo pakeitimo įstatymo projektas (toliau – Įstatymo projektas)</w:t>
                </w:r>
              </w:p>
              <w:p>
                <w:pPr>
                  <w:suppressAutoHyphens/>
                  <w:jc w:val="both"/>
                  <w:rPr>
                    <w:szCs w:val="24"/>
                    <w:lang w:eastAsia="ar-SA"/>
                  </w:rPr>
                </w:pPr>
                <w:r>
                  <w:rPr>
                    <w:szCs w:val="24"/>
                    <w:lang w:eastAsia="ar-SA"/>
                  </w:rPr>
                  <w:t>2. Lietuvos Respublikos aplinkos ministro 2003 m. spalio 29 d. įsakymas Nr. 521 „Dėl Miško dauginamosios medžiagos nuostatų patvirtinimo” (toliau - Įsakymas)</w:t>
                </w:r>
              </w:p>
            </w:tc>
            <w:tc>
              <w:tcPr>
                <w:tcW w:w="2471" w:type="dxa"/>
                <w:gridSpan w:val="2"/>
                <w:tcBorders>
                  <w:top w:val="single" w:sz="4" w:space="0" w:color="auto"/>
                  <w:left w:val="single" w:sz="4" w:space="0" w:color="auto"/>
                  <w:bottom w:val="single" w:sz="4" w:space="0" w:color="auto"/>
                  <w:right w:val="single" w:sz="4" w:space="0" w:color="auto"/>
                </w:tcBorders>
              </w:tcPr>
              <w:p>
                <w:pPr>
                  <w:tabs>
                    <w:tab w:val="left" w:pos="567"/>
                  </w:tabs>
                  <w:suppressAutoHyphens/>
                  <w:jc w:val="center"/>
                  <w:rPr>
                    <w:b/>
                    <w:szCs w:val="24"/>
                    <w:lang w:eastAsia="lt-LT"/>
                  </w:rPr>
                </w:pPr>
              </w:p>
              <w:p>
                <w:pPr>
                  <w:rPr>
                    <w:sz w:val="20"/>
                  </w:rPr>
                </w:pPr>
              </w:p>
              <w:p>
                <w:pPr>
                  <w:tabs>
                    <w:tab w:val="left" w:pos="567"/>
                  </w:tabs>
                  <w:suppressAutoHyphens/>
                  <w:jc w:val="center"/>
                  <w:rPr>
                    <w:b/>
                    <w:bCs/>
                    <w:szCs w:val="24"/>
                    <w:lang w:eastAsia="ar-SA"/>
                  </w:rPr>
                </w:pPr>
                <w:r>
                  <w:rPr>
                    <w:b/>
                    <w:szCs w:val="24"/>
                    <w:lang w:eastAsia="lt-LT"/>
                  </w:rPr>
                  <w:t xml:space="preserve">Direktyvos perkėlimo (įgyvendinimo) lygis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6150"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r>
                  <w:rPr>
                    <w:b/>
                    <w:bCs/>
                    <w:szCs w:val="24"/>
                    <w:lang w:eastAsia="lt-LT"/>
                  </w:rPr>
                  <w:t>2 straipsnio b punktas:</w:t>
                </w:r>
              </w:p>
              <w:p>
                <w:pPr>
                  <w:jc w:val="both"/>
                  <w:rPr>
                    <w:szCs w:val="24"/>
                    <w:lang w:eastAsia="lt-LT"/>
                  </w:rPr>
                </w:pPr>
                <w:r>
                  <w:rPr>
                    <w:szCs w:val="24"/>
                    <w:lang w:eastAsia="lt-LT"/>
                  </w:rPr>
                  <w:t xml:space="preserve">b) dauginamoji medžiaga – tai bet kuris iš toliau išvardytų dalykų: </w:t>
                </w:r>
              </w:p>
              <w:p>
                <w:pPr>
                  <w:ind w:firstLine="360"/>
                  <w:jc w:val="both"/>
                  <w:rPr>
                    <w:szCs w:val="24"/>
                    <w:lang w:eastAsia="lt-LT"/>
                  </w:rPr>
                </w:pPr>
                <w:r>
                  <w:rPr>
                    <w:szCs w:val="24"/>
                    <w:lang w:eastAsia="lt-LT"/>
                  </w:rPr>
                  <w:t>i)</w:t>
                  <w:tab/>
                  <w:t xml:space="preserve">sėklos: sodmenims gauti skirti kankorėžiai, sudėtiniai vaisiai, vaisiai ir sėklos; </w:t>
                </w:r>
              </w:p>
              <w:p>
                <w:pPr>
                  <w:ind w:left="360"/>
                  <w:jc w:val="both"/>
                  <w:rPr>
                    <w:szCs w:val="24"/>
                    <w:lang w:eastAsia="lt-LT"/>
                  </w:rPr>
                </w:pPr>
              </w:p>
              <w:p>
                <w:pPr>
                  <w:ind w:firstLine="360"/>
                  <w:jc w:val="both"/>
                  <w:rPr>
                    <w:szCs w:val="24"/>
                    <w:lang w:eastAsia="lt-LT"/>
                  </w:rPr>
                </w:pPr>
                <w:r>
                  <w:rPr>
                    <w:szCs w:val="24"/>
                    <w:lang w:eastAsia="lt-LT"/>
                  </w:rPr>
                  <w:t>ii)</w:t>
                  <w:tab/>
                  <w:t>augalų dalys: sodmenims gauti skirti stiebo ūgeliai, lapų atkarpos ir šaknų gabaliukai, audinių dalys arba gemalai mikrodauginimui, pumpurai, atlankos, šaknys, įskiepyti skirti ūgeliai, ūglių atkarpos ir bet kokios sodmenims gauti augalų dalys;</w:t>
                </w:r>
              </w:p>
              <w:p>
                <w:pPr>
                  <w:jc w:val="both"/>
                  <w:rPr>
                    <w:szCs w:val="24"/>
                    <w:lang w:eastAsia="lt-LT"/>
                  </w:rPr>
                </w:pPr>
              </w:p>
              <w:p>
                <w:pPr>
                  <w:ind w:firstLine="360"/>
                  <w:jc w:val="both"/>
                  <w:rPr>
                    <w:szCs w:val="24"/>
                    <w:lang w:eastAsia="lt-LT"/>
                  </w:rPr>
                </w:pPr>
                <w:r>
                  <w:rPr>
                    <w:szCs w:val="24"/>
                    <w:lang w:eastAsia="lt-LT"/>
                  </w:rPr>
                  <w:t>iii)</w:t>
                  <w:tab/>
                  <w:t>sodmenys: iš sėklų augalų dalių arba iš savaime atželiančių augalų išauginti augalai;</w:t>
                </w:r>
              </w:p>
              <w:p>
                <w:pPr>
                  <w:jc w:val="both"/>
                  <w:rPr>
                    <w:b/>
                    <w:bCs/>
                    <w:szCs w:val="24"/>
                    <w:lang w:eastAsia="lt-LT"/>
                  </w:rPr>
                </w:pPr>
              </w:p>
            </w:tc>
            <w:tc>
              <w:tcPr>
                <w:tcW w:w="6233"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Įstatymo projekto 2 straipsnio 16 dalis:</w:t>
                </w:r>
              </w:p>
              <w:p>
                <w:pPr>
                  <w:jc w:val="both"/>
                  <w:rPr>
                    <w:b/>
                    <w:bCs/>
                    <w:szCs w:val="24"/>
                    <w:lang w:eastAsia="lt-LT"/>
                  </w:rPr>
                </w:pPr>
                <w:r>
                  <w:rPr>
                    <w:b/>
                    <w:bCs/>
                    <w:szCs w:val="24"/>
                    <w:lang w:eastAsia="lt-LT"/>
                  </w:rPr>
                  <w:t>„16. Miško dauginamoji medžiaga – sodmeninės augalų dalys, sėklinė medžiaga, iš jų išauginti sodmenys (sėjinukai ir sodinukai) arba savaiminukai, naudojami miškams įveisti ar atkurti.“</w:t>
                </w:r>
              </w:p>
              <w:p>
                <w:pPr>
                  <w:jc w:val="both"/>
                  <w:rPr>
                    <w:b/>
                    <w:bCs/>
                    <w:szCs w:val="24"/>
                    <w:lang w:eastAsia="lt-LT"/>
                  </w:rPr>
                </w:pPr>
              </w:p>
              <w:p>
                <w:pPr>
                  <w:jc w:val="both"/>
                  <w:rPr>
                    <w:szCs w:val="24"/>
                    <w:lang w:eastAsia="lt-LT"/>
                  </w:rPr>
                </w:pPr>
                <w:r>
                  <w:rPr>
                    <w:szCs w:val="24"/>
                    <w:lang w:eastAsia="lt-LT"/>
                  </w:rPr>
                  <w:t>Įsakymo 5.14, 5.23 5.34 papunkčiai:</w:t>
                </w:r>
              </w:p>
              <w:p>
                <w:pPr>
                  <w:ind w:firstLine="62"/>
                  <w:jc w:val="both"/>
                  <w:rPr>
                    <w:szCs w:val="24"/>
                    <w:lang w:eastAsia="lt-LT"/>
                  </w:rPr>
                </w:pPr>
              </w:p>
              <w:p>
                <w:pPr>
                  <w:jc w:val="both"/>
                  <w:rPr>
                    <w:szCs w:val="24"/>
                    <w:lang w:val="lt" w:eastAsia="lt-LT"/>
                  </w:rPr>
                </w:pPr>
                <w:r>
                  <w:rPr>
                    <w:color w:val="000000"/>
                    <w:szCs w:val="24"/>
                    <w:lang w:val="lt" w:eastAsia="lt-LT"/>
                  </w:rPr>
                  <w:t xml:space="preserve">5.14. </w:t>
                </w:r>
                <w:r>
                  <w:rPr>
                    <w:b/>
                    <w:bCs/>
                    <w:color w:val="000000"/>
                    <w:szCs w:val="24"/>
                    <w:lang w:val="lt" w:eastAsia="lt-LT"/>
                  </w:rPr>
                  <w:t>miško sodmenys</w:t>
                </w:r>
                <w:r>
                  <w:rPr>
                    <w:color w:val="000000"/>
                    <w:szCs w:val="24"/>
                    <w:lang w:val="lt" w:eastAsia="lt-LT"/>
                  </w:rPr>
                  <w:t xml:space="preserve"> – iš sėklinės medžiagos, sodmeninių augalų dalių arba savaiminukų išauginti sumedėję augalai, skirti miškui želdinti;</w:t>
                </w:r>
              </w:p>
              <w:p>
                <w:pPr>
                  <w:jc w:val="both"/>
                  <w:rPr>
                    <w:color w:val="000000"/>
                    <w:szCs w:val="24"/>
                    <w:lang w:val="lt" w:eastAsia="lt-LT"/>
                  </w:rPr>
                </w:pPr>
              </w:p>
              <w:p>
                <w:pPr>
                  <w:jc w:val="both"/>
                  <w:rPr>
                    <w:szCs w:val="24"/>
                    <w:lang w:val="lt" w:eastAsia="lt-LT"/>
                  </w:rPr>
                </w:pPr>
                <w:r>
                  <w:rPr>
                    <w:color w:val="000000"/>
                    <w:szCs w:val="24"/>
                    <w:lang w:val="lt" w:eastAsia="lt-LT"/>
                  </w:rPr>
                  <w:t>5.23.</w:t>
                </w:r>
                <w:r>
                  <w:rPr>
                    <w:b/>
                    <w:bCs/>
                    <w:color w:val="000000"/>
                    <w:szCs w:val="24"/>
                    <w:lang w:val="lt" w:eastAsia="lt-LT"/>
                  </w:rPr>
                  <w:t xml:space="preserve"> sėklinė miško medžiaga </w:t>
                </w:r>
                <w:r>
                  <w:rPr>
                    <w:color w:val="000000"/>
                    <w:szCs w:val="24"/>
                    <w:lang w:val="lt" w:eastAsia="lt-LT"/>
                  </w:rPr>
                  <w:t>– kankorėžiai, vaisiai, vaisynai ir sėklos, iš kurių auginami miško sodmenys;</w:t>
                </w:r>
              </w:p>
              <w:p>
                <w:pPr>
                  <w:jc w:val="both"/>
                  <w:rPr>
                    <w:szCs w:val="24"/>
                    <w:lang w:val="lt" w:eastAsia="lt-LT"/>
                  </w:rPr>
                </w:pPr>
                <w:r>
                  <w:rPr>
                    <w:color w:val="000000"/>
                    <w:szCs w:val="24"/>
                    <w:lang w:val="lt" w:eastAsia="lt-LT"/>
                  </w:rPr>
                  <w:t>„5.34.</w:t>
                </w:r>
                <w:r>
                  <w:rPr>
                    <w:b/>
                    <w:bCs/>
                    <w:color w:val="000000"/>
                    <w:szCs w:val="24"/>
                    <w:lang w:val="lt" w:eastAsia="lt-LT"/>
                  </w:rPr>
                  <w:t xml:space="preserve"> sodmeninės augalų dalys </w:t>
                </w:r>
                <w:r>
                  <w:rPr>
                    <w:color w:val="000000"/>
                    <w:szCs w:val="24"/>
                    <w:lang w:val="lt" w:eastAsia="lt-LT"/>
                  </w:rPr>
                  <w:t>– stiebo ūglių, lapų ir šaknų atkarpos, pumpurai, atlankos, šaknys, skiepijimui skirti ūgliai, mikrodauginimui skirtos audinių dalys arba gemalai ir bet kokios augalų dalys, iš kurių auginami miško sodmenys;”</w:t>
                </w:r>
              </w:p>
            </w:tc>
            <w:tc>
              <w:tcPr>
                <w:tcW w:w="2471" w:type="dxa"/>
                <w:gridSpan w:val="2"/>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Visiškas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6150"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r>
                  <w:rPr>
                    <w:b/>
                    <w:bCs/>
                    <w:szCs w:val="24"/>
                    <w:lang w:eastAsia="lt-LT"/>
                  </w:rPr>
                  <w:t>2 straipsnio c punktas:</w:t>
                </w:r>
              </w:p>
              <w:p>
                <w:pPr>
                  <w:jc w:val="both"/>
                  <w:rPr>
                    <w:color w:val="000000"/>
                    <w:szCs w:val="24"/>
                    <w:lang w:eastAsia="lt-LT"/>
                  </w:rPr>
                </w:pPr>
                <w:r>
                  <w:rPr>
                    <w:szCs w:val="24"/>
                    <w:lang w:eastAsia="lt-LT"/>
                  </w:rPr>
                  <w:t xml:space="preserve">c) </w:t>
                </w:r>
                <w:r>
                  <w:rPr>
                    <w:color w:val="000000"/>
                    <w:szCs w:val="24"/>
                    <w:lang w:eastAsia="lt-LT"/>
                  </w:rPr>
                  <w:t>sėklinė bazė – tai bet kuris iš toliau išvardytų dalykų:</w:t>
                </w:r>
              </w:p>
              <w:p>
                <w:pPr>
                  <w:jc w:val="both"/>
                  <w:rPr>
                    <w:color w:val="000000"/>
                    <w:szCs w:val="24"/>
                    <w:lang w:eastAsia="lt-LT"/>
                  </w:rPr>
                </w:pPr>
              </w:p>
              <w:p>
                <w:pPr>
                  <w:jc w:val="both"/>
                  <w:rPr>
                    <w:color w:val="000000"/>
                    <w:szCs w:val="24"/>
                    <w:lang w:val="en-GB" w:eastAsia="lt-LT"/>
                  </w:rPr>
                </w:pPr>
                <w:r>
                  <w:rPr>
                    <w:color w:val="000000"/>
                    <w:szCs w:val="24"/>
                    <w:lang w:eastAsia="lt-LT"/>
                  </w:rPr>
                  <w:t>i) sėklų šaltinis: sėklų rinkimo rajone augantys medžiai;</w:t>
                </w:r>
                <w:r>
                  <w:rPr>
                    <w:color w:val="000000"/>
                    <w:szCs w:val="24"/>
                    <w:lang w:val="en-GB" w:eastAsia="lt-LT"/>
                  </w:rPr>
                  <w:t xml:space="preserve"> </w:t>
                </w:r>
              </w:p>
              <w:p>
                <w:pPr>
                  <w:jc w:val="both"/>
                  <w:rPr>
                    <w:color w:val="000000"/>
                    <w:szCs w:val="24"/>
                    <w:lang w:val="en-GB" w:eastAsia="lt-LT"/>
                  </w:rPr>
                </w:pPr>
              </w:p>
              <w:p>
                <w:pPr>
                  <w:jc w:val="both"/>
                  <w:rPr>
                    <w:color w:val="000000"/>
                    <w:szCs w:val="24"/>
                    <w:lang w:val="en-GB" w:eastAsia="lt-LT"/>
                  </w:rPr>
                </w:pPr>
                <w:r>
                  <w:rPr>
                    <w:color w:val="000000"/>
                    <w:szCs w:val="24"/>
                    <w:lang w:val="en-GB" w:eastAsia="lt-LT"/>
                  </w:rPr>
                  <w:t>ii) medynas: nustatytose ribose auganti medžių populiacija, pakankamai vienoda pagal sudėtį;</w:t>
                </w:r>
              </w:p>
              <w:p>
                <w:pPr>
                  <w:jc w:val="both"/>
                  <w:rPr>
                    <w:color w:val="000000"/>
                    <w:szCs w:val="24"/>
                    <w:lang w:val="en-GB" w:eastAsia="lt-LT"/>
                  </w:rPr>
                </w:pPr>
              </w:p>
              <w:p>
                <w:pPr>
                  <w:jc w:val="both"/>
                  <w:rPr>
                    <w:color w:val="000000"/>
                    <w:szCs w:val="24"/>
                    <w:lang w:val="en-GB" w:eastAsia="lt-LT"/>
                  </w:rPr>
                </w:pPr>
                <w:r>
                  <w:rPr>
                    <w:color w:val="000000"/>
                    <w:szCs w:val="24"/>
                    <w:lang w:val="en-GB" w:eastAsia="lt-LT"/>
                  </w:rPr>
                  <w:t>iii) sėklinė plantacija: atrinktų klonų arba šeimų plantacija, atskirta arba tvarkoma taip, kad nebūtų apdulkinama iš kitų šaltinių, ir galinti dažnai duoti gausų bei lengvai surenkamą sėklų derlių;</w:t>
                </w:r>
              </w:p>
              <w:p>
                <w:pPr>
                  <w:jc w:val="both"/>
                  <w:rPr>
                    <w:color w:val="000000"/>
                    <w:szCs w:val="24"/>
                    <w:lang w:val="en-GB" w:eastAsia="lt-LT"/>
                  </w:rPr>
                </w:pPr>
              </w:p>
              <w:p>
                <w:pPr>
                  <w:jc w:val="both"/>
                  <w:rPr>
                    <w:color w:val="000000"/>
                    <w:szCs w:val="24"/>
                    <w:lang w:val="en-GB" w:eastAsia="lt-LT"/>
                  </w:rPr>
                </w:pPr>
                <w:r>
                  <w:rPr>
                    <w:color w:val="000000"/>
                    <w:szCs w:val="24"/>
                    <w:lang w:val="en-GB" w:eastAsia="lt-LT"/>
                  </w:rPr>
                  <w:t>iv) šeimų tėvai: palikuonims gauti naudojami medžiai, kai identifikuotas motininis medis dirbtinai apdulkinamas arba kai jis laisvai apsidulkina vieno tėvo žiedadulkėmis (tikrasis sibas) arba keleto identifikuotų ar neidentifikuotų tėvų žiedadulkėmis (pusiau sibas);</w:t>
                </w:r>
              </w:p>
              <w:p>
                <w:pPr>
                  <w:jc w:val="both"/>
                  <w:rPr>
                    <w:color w:val="000000"/>
                    <w:szCs w:val="24"/>
                    <w:lang w:val="en-GB" w:eastAsia="lt-LT"/>
                  </w:rPr>
                </w:pPr>
              </w:p>
              <w:p>
                <w:pPr>
                  <w:jc w:val="both"/>
                  <w:rPr>
                    <w:color w:val="000000"/>
                    <w:szCs w:val="24"/>
                    <w:lang w:val="en-GB" w:eastAsia="lt-LT"/>
                  </w:rPr>
                </w:pPr>
                <w:r>
                  <w:rPr>
                    <w:color w:val="000000"/>
                    <w:szCs w:val="24"/>
                    <w:lang w:val="en-GB" w:eastAsia="lt-LT"/>
                  </w:rPr>
                  <w:t>v) klonas: individų grupė (atskirų klonų), vegetatyvinėmis dauginimo priemonėmis išvesta iš vieno motininio medžio, pavyzdžiui, ūgeliais įšaknydinti, mikrodauginimu, skiepijimu, atlankomis arba augalo padalinimo būdu;</w:t>
                </w:r>
              </w:p>
              <w:p>
                <w:pPr>
                  <w:jc w:val="both"/>
                  <w:rPr>
                    <w:color w:val="000000"/>
                    <w:szCs w:val="24"/>
                    <w:lang w:val="en-GB" w:eastAsia="lt-LT"/>
                  </w:rPr>
                </w:pPr>
              </w:p>
              <w:p>
                <w:pPr>
                  <w:jc w:val="both"/>
                  <w:rPr>
                    <w:szCs w:val="24"/>
                    <w:lang w:eastAsia="lt-LT"/>
                  </w:rPr>
                </w:pPr>
                <w:r>
                  <w:rPr>
                    <w:color w:val="000000"/>
                    <w:szCs w:val="24"/>
                    <w:lang w:val="en-GB" w:eastAsia="lt-LT"/>
                  </w:rPr>
                  <w:t>vi) klonų mišinys: apibrėžtų proporcijų identifikuotų klonų mišinys;</w:t>
                </w:r>
              </w:p>
              <w:p>
                <w:pPr>
                  <w:jc w:val="both"/>
                  <w:rPr>
                    <w:szCs w:val="24"/>
                    <w:lang w:eastAsia="lt-LT"/>
                  </w:rPr>
                </w:pPr>
              </w:p>
            </w:tc>
            <w:tc>
              <w:tcPr>
                <w:tcW w:w="623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Įstatymo projekto 2 straipsnio 51 dalis:</w:t>
                </w:r>
              </w:p>
              <w:p>
                <w:pPr>
                  <w:jc w:val="both"/>
                  <w:rPr>
                    <w:b/>
                    <w:bCs/>
                    <w:szCs w:val="24"/>
                    <w:lang w:eastAsia="lt-LT"/>
                  </w:rPr>
                </w:pPr>
                <w:r>
                  <w:rPr>
                    <w:b/>
                    <w:bCs/>
                    <w:szCs w:val="24"/>
                    <w:lang w:eastAsia="lt-LT"/>
                  </w:rPr>
                  <w:t>„51. Sėklinė miško bazė – sėkliniai ir genetiniai medynai, sėklinės miško medžių plantacijos, miško medžių klonų rinkiniai, bandomieji miško medžių želdiniai, miško medžių genetiniai draustiniai, rinktiniai ir elitiniai medžiai, kiti įvertinti medynai, medžių grupės ir pavieniai medžiai, iš kurių gaunama miško dauginamoji medžiaga.“</w:t>
                </w:r>
              </w:p>
              <w:p>
                <w:pPr>
                  <w:jc w:val="both"/>
                  <w:rPr>
                    <w:szCs w:val="24"/>
                    <w:lang w:eastAsia="lt-LT"/>
                  </w:rPr>
                </w:pPr>
              </w:p>
              <w:p>
                <w:pPr>
                  <w:jc w:val="both"/>
                  <w:rPr>
                    <w:szCs w:val="24"/>
                    <w:lang w:eastAsia="lt-LT"/>
                  </w:rPr>
                </w:pPr>
                <w:r>
                  <w:rPr>
                    <w:szCs w:val="24"/>
                    <w:lang w:eastAsia="lt-LT"/>
                  </w:rPr>
                  <w:t>Įsakymo 5.2, 5.4, 5.5, 5.11, 5.13, 5.24, 5.25, 5.38 papunkčiai:</w:t>
                </w:r>
              </w:p>
              <w:p>
                <w:pPr>
                  <w:jc w:val="both"/>
                  <w:rPr>
                    <w:b/>
                    <w:bCs/>
                    <w:szCs w:val="24"/>
                    <w:lang w:eastAsia="lt-LT"/>
                  </w:rPr>
                </w:pPr>
              </w:p>
              <w:p>
                <w:pPr>
                  <w:jc w:val="both"/>
                  <w:rPr>
                    <w:szCs w:val="24"/>
                    <w:lang w:eastAsia="lt-LT"/>
                  </w:rPr>
                </w:pPr>
                <w:r>
                  <w:rPr>
                    <w:color w:val="000000"/>
                    <w:szCs w:val="24"/>
                    <w:lang w:val="lt" w:eastAsia="lt-LT"/>
                  </w:rPr>
                  <w:t xml:space="preserve">„5.2. </w:t>
                </w:r>
                <w:r>
                  <w:rPr>
                    <w:b/>
                    <w:bCs/>
                    <w:color w:val="000000"/>
                    <w:szCs w:val="24"/>
                    <w:lang w:val="lt" w:eastAsia="lt-LT"/>
                  </w:rPr>
                  <w:t xml:space="preserve">genetinis medynas </w:t>
                </w:r>
                <w:r>
                  <w:rPr>
                    <w:color w:val="000000"/>
                    <w:szCs w:val="24"/>
                    <w:lang w:val="lt" w:eastAsia="lt-LT"/>
                  </w:rPr>
                  <w:t>– vertingai miško medžių populiacijai ar jos daliai saugoti ilgą laiką skirtas plotas valstybiniame, savivaldybės, valstybinio parko draustinyje arba biosferos stebėsenos (monitoringo) teritorijoje esančiame draustinyje;</w:t>
                </w:r>
              </w:p>
              <w:p>
                <w:pPr>
                  <w:jc w:val="both"/>
                  <w:rPr>
                    <w:szCs w:val="24"/>
                    <w:lang w:val="lt" w:eastAsia="lt-LT"/>
                  </w:rPr>
                </w:pPr>
                <w:r>
                  <w:rPr>
                    <w:color w:val="000000"/>
                    <w:szCs w:val="24"/>
                    <w:lang w:val="lt" w:eastAsia="lt-LT"/>
                  </w:rPr>
                  <w:t>5.4.</w:t>
                </w:r>
                <w:r>
                  <w:rPr>
                    <w:b/>
                    <w:bCs/>
                    <w:color w:val="000000"/>
                    <w:szCs w:val="24"/>
                    <w:lang w:val="lt" w:eastAsia="lt-LT"/>
                  </w:rPr>
                  <w:t xml:space="preserve"> klonų rinkinys</w:t>
                </w:r>
                <w:r>
                  <w:rPr>
                    <w:color w:val="000000"/>
                    <w:szCs w:val="24"/>
                    <w:lang w:val="lt" w:eastAsia="lt-LT"/>
                  </w:rPr>
                  <w:t xml:space="preserve"> – nustatytų proporcijų skirtingų žinomos kilmės klonų mišinys;</w:t>
                </w:r>
              </w:p>
              <w:p>
                <w:pPr>
                  <w:jc w:val="both"/>
                  <w:rPr>
                    <w:szCs w:val="24"/>
                    <w:lang w:val="lt" w:eastAsia="lt-LT"/>
                  </w:rPr>
                </w:pPr>
                <w:r>
                  <w:rPr>
                    <w:color w:val="000000"/>
                    <w:szCs w:val="24"/>
                    <w:lang w:val="lt" w:eastAsia="lt-LT"/>
                  </w:rPr>
                  <w:t xml:space="preserve">5.5. </w:t>
                </w:r>
                <w:r>
                  <w:rPr>
                    <w:b/>
                    <w:bCs/>
                    <w:color w:val="000000"/>
                    <w:szCs w:val="24"/>
                    <w:lang w:val="lt" w:eastAsia="lt-LT"/>
                  </w:rPr>
                  <w:t>medžio klonas</w:t>
                </w:r>
                <w:r>
                  <w:rPr>
                    <w:color w:val="000000"/>
                    <w:szCs w:val="24"/>
                    <w:lang w:val="lt" w:eastAsia="lt-LT"/>
                  </w:rPr>
                  <w:t xml:space="preserve"> – vegetatyvinių medžio palikuonių visuma;</w:t>
                </w:r>
              </w:p>
              <w:p>
                <w:pPr>
                  <w:jc w:val="both"/>
                  <w:rPr>
                    <w:sz w:val="20"/>
                    <w:lang w:eastAsia="lt-LT"/>
                  </w:rPr>
                </w:pPr>
                <w:r>
                  <w:rPr>
                    <w:szCs w:val="24"/>
                    <w:lang w:val="lt" w:eastAsia="lt-LT"/>
                  </w:rPr>
                  <w:t>5.11.</w:t>
                </w:r>
                <w:r>
                  <w:rPr>
                    <w:b/>
                    <w:bCs/>
                    <w:szCs w:val="24"/>
                    <w:lang w:val="lt" w:eastAsia="lt-LT"/>
                  </w:rPr>
                  <w:t xml:space="preserve"> miško medžių genetinis draustinis</w:t>
                </w:r>
                <w:r>
                  <w:rPr>
                    <w:szCs w:val="24"/>
                    <w:lang w:val="lt" w:eastAsia="lt-LT"/>
                  </w:rPr>
                  <w:t xml:space="preserve"> – teritorija, skirta genetiškai vertingoms miško medžių populiacijoms ar jų dalims saugoti ilgą laiką;</w:t>
                </w:r>
              </w:p>
              <w:p>
                <w:pPr>
                  <w:jc w:val="both"/>
                  <w:rPr>
                    <w:sz w:val="20"/>
                    <w:lang w:eastAsia="lt-LT"/>
                  </w:rPr>
                </w:pPr>
                <w:r>
                  <w:rPr>
                    <w:color w:val="000000"/>
                    <w:szCs w:val="24"/>
                    <w:lang w:val="lt" w:eastAsia="lt-LT"/>
                  </w:rPr>
                  <w:t>5.13.</w:t>
                </w:r>
                <w:r>
                  <w:rPr>
                    <w:b/>
                    <w:bCs/>
                    <w:color w:val="000000"/>
                    <w:szCs w:val="24"/>
                    <w:lang w:val="lt" w:eastAsia="lt-LT"/>
                  </w:rPr>
                  <w:t xml:space="preserve"> miško sėklų šaltinis </w:t>
                </w:r>
                <w:r>
                  <w:rPr>
                    <w:color w:val="000000"/>
                    <w:szCs w:val="24"/>
                    <w:lang w:val="lt" w:eastAsia="lt-LT"/>
                  </w:rPr>
                  <w:t>– įvertinti medžiai ir medžių grupės, iš kurių ruošiama sėklinė miško medžiaga;</w:t>
                </w:r>
              </w:p>
              <w:p>
                <w:pPr>
                  <w:jc w:val="both"/>
                  <w:rPr>
                    <w:szCs w:val="24"/>
                    <w:lang w:val="lt" w:eastAsia="lt-LT"/>
                  </w:rPr>
                </w:pPr>
                <w:r>
                  <w:rPr>
                    <w:color w:val="000000"/>
                    <w:szCs w:val="24"/>
                    <w:lang w:val="lt" w:eastAsia="lt-LT"/>
                  </w:rPr>
                  <w:t>5.24.</w:t>
                </w:r>
                <w:r>
                  <w:rPr>
                    <w:b/>
                    <w:bCs/>
                    <w:color w:val="000000"/>
                    <w:szCs w:val="24"/>
                    <w:lang w:val="lt" w:eastAsia="lt-LT"/>
                  </w:rPr>
                  <w:t xml:space="preserve"> sėklinė miško medžių plantacija </w:t>
                </w:r>
                <w:r>
                  <w:rPr>
                    <w:color w:val="000000"/>
                    <w:szCs w:val="24"/>
                    <w:lang w:val="lt" w:eastAsia="lt-LT"/>
                  </w:rPr>
                  <w:t>– miško žemės sklypas, kuriame auga atrinkti medžių klonai arba sėkliniai palikuonys ir kuris tvarkomas taip, kad jame augantys medžių klonai arba sėkliniai palikuonys lengvai kryžmintųsi, nebūtų apdulkinami už jo ribų augančių medžių, dažnai ir gausiai derėtų ir būtų galima lengvai surinkti sėklinę medžiagą;</w:t>
                </w:r>
              </w:p>
              <w:p>
                <w:pPr>
                  <w:jc w:val="both"/>
                  <w:rPr>
                    <w:szCs w:val="24"/>
                    <w:lang w:eastAsia="lt-LT"/>
                  </w:rPr>
                </w:pPr>
                <w:r>
                  <w:rPr>
                    <w:color w:val="000000"/>
                    <w:szCs w:val="24"/>
                    <w:lang w:val="lt" w:eastAsia="lt-LT"/>
                  </w:rPr>
                  <w:t xml:space="preserve">5.25. </w:t>
                </w:r>
                <w:r>
                  <w:rPr>
                    <w:b/>
                    <w:bCs/>
                    <w:color w:val="000000"/>
                    <w:szCs w:val="24"/>
                    <w:lang w:val="lt" w:eastAsia="lt-LT"/>
                  </w:rPr>
                  <w:t>sėklinis medynas</w:t>
                </w:r>
                <w:r>
                  <w:rPr>
                    <w:color w:val="000000"/>
                    <w:szCs w:val="24"/>
                    <w:lang w:val="lt" w:eastAsia="lt-LT"/>
                  </w:rPr>
                  <w:t xml:space="preserve"> – produktyvus ir geros kokybės medynas, skirtas sėklai ruošti;</w:t>
                </w:r>
              </w:p>
              <w:p>
                <w:pPr>
                  <w:jc w:val="both"/>
                  <w:rPr>
                    <w:color w:val="000000"/>
                    <w:szCs w:val="24"/>
                    <w:lang w:val="lt" w:eastAsia="lt-LT"/>
                  </w:rPr>
                </w:pPr>
                <w:r>
                  <w:rPr>
                    <w:color w:val="000000"/>
                    <w:szCs w:val="24"/>
                    <w:lang w:val="lt" w:eastAsia="lt-LT"/>
                  </w:rPr>
                  <w:t xml:space="preserve">5.38. </w:t>
                </w:r>
                <w:r>
                  <w:rPr>
                    <w:b/>
                    <w:bCs/>
                    <w:color w:val="000000"/>
                    <w:szCs w:val="24"/>
                    <w:lang w:val="lt" w:eastAsia="lt-LT"/>
                  </w:rPr>
                  <w:t>šeimos tėvai</w:t>
                </w:r>
                <w:r>
                  <w:rPr>
                    <w:color w:val="000000"/>
                    <w:szCs w:val="24"/>
                    <w:lang w:val="lt" w:eastAsia="lt-LT"/>
                  </w:rPr>
                  <w:t xml:space="preserve"> – palikuonims gauti naudojami medžiai, kai tas pats motininis medis dirbtinai apdulkinamas arba kai jis laisvai apsidulkina vieno tėvinio medžio žiedadulkėmis (tikrasis sibas) arba keleto nustatytos ar nenustatytos tapatybės tėvinių medžių žiedadulkėmis (pussibis);”</w:t>
                </w:r>
              </w:p>
            </w:tc>
            <w:tc>
              <w:tcPr>
                <w:tcW w:w="2471" w:type="dxa"/>
                <w:gridSpan w:val="2"/>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Visiškas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150" w:type="dxa"/>
                <w:tcBorders>
                  <w:top w:val="single" w:sz="4" w:space="0" w:color="auto"/>
                  <w:left w:val="single" w:sz="4" w:space="0" w:color="auto"/>
                  <w:bottom w:val="single" w:sz="4" w:space="0" w:color="auto"/>
                  <w:right w:val="single" w:sz="4" w:space="0" w:color="auto"/>
                </w:tcBorders>
              </w:tcPr>
              <w:p>
                <w:pPr>
                  <w:jc w:val="both"/>
                  <w:rPr>
                    <w:b/>
                    <w:szCs w:val="24"/>
                    <w:lang w:eastAsia="lt-LT"/>
                  </w:rPr>
                </w:pPr>
                <w:r>
                  <w:rPr>
                    <w:b/>
                    <w:szCs w:val="24"/>
                    <w:lang w:eastAsia="lt-LT"/>
                  </w:rPr>
                  <w:t>2 straipsnio g punktas:</w:t>
                </w:r>
              </w:p>
              <w:p>
                <w:pPr>
                  <w:tabs>
                    <w:tab w:val="left" w:pos="2048"/>
                  </w:tabs>
                  <w:jc w:val="both"/>
                  <w:rPr>
                    <w:b/>
                    <w:bCs/>
                    <w:color w:val="000000"/>
                    <w:szCs w:val="24"/>
                    <w:lang w:eastAsia="ar-SA"/>
                  </w:rPr>
                </w:pPr>
                <w:r>
                  <w:rPr>
                    <w:szCs w:val="24"/>
                    <w:lang w:eastAsia="lt-LT"/>
                  </w:rPr>
                  <w:t xml:space="preserve">g) provenencijos regionas: rūšių arba porūšių provenencijos regionas  – tai vietovė arba vietovių grupė, kuriose susiklosto beveik vienodos ekologinės sąlygos ir kuriose randami panašių fenotipinių arba genetinių požymių medynai arba sėklų šaltiniai, jeigu reikia, atsižvelgiant į aukštį virš jūros lygio;</w:t>
                </w:r>
              </w:p>
            </w:tc>
            <w:tc>
              <w:tcPr>
                <w:tcW w:w="6233"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r>
                  <w:rPr>
                    <w:kern w:val="22"/>
                    <w:szCs w:val="24"/>
                    <w:lang w:eastAsia="lt-LT"/>
                  </w:rPr>
                  <w:t>Įstatymo projekto 2 straipsnio 14 dalis:</w:t>
                </w:r>
              </w:p>
              <w:p>
                <w:pPr>
                  <w:jc w:val="both"/>
                  <w:rPr>
                    <w:szCs w:val="24"/>
                    <w:lang w:eastAsia="lt-LT"/>
                  </w:rPr>
                </w:pPr>
              </w:p>
              <w:p>
                <w:pPr>
                  <w:ind w:firstLine="62"/>
                  <w:jc w:val="both"/>
                  <w:rPr>
                    <w:b/>
                    <w:bCs/>
                    <w:kern w:val="22"/>
                    <w:szCs w:val="24"/>
                    <w:lang w:eastAsia="lt-LT"/>
                  </w:rPr>
                </w:pPr>
                <w:r>
                  <w:rPr>
                    <w:b/>
                    <w:bCs/>
                    <w:kern w:val="22"/>
                    <w:szCs w:val="24"/>
                    <w:lang w:eastAsia="lt-LT"/>
                  </w:rPr>
                  <w:t>„14. Medžių rūšies kilmės rajonas – teritorija (arba keli plotai), kurioje susidaro beveik vienodos ekologinės sąlygos ir kurioje randami panašių fenotipinių arba genetinių požymių medynai (sėklų šaltiniai), jeigu reikia, atsižvelgiant į aukštį virš jūros lygio.“</w:t>
                </w:r>
              </w:p>
              <w:p>
                <w:pPr>
                  <w:ind w:firstLine="720"/>
                  <w:rPr>
                    <w:b/>
                    <w:bCs/>
                    <w:kern w:val="22"/>
                    <w:szCs w:val="24"/>
                    <w:lang w:eastAsia="lt-LT"/>
                  </w:rPr>
                </w:pPr>
              </w:p>
            </w:tc>
            <w:tc>
              <w:tcPr>
                <w:tcW w:w="2471" w:type="dxa"/>
                <w:gridSpan w:val="2"/>
                <w:tcBorders>
                  <w:top w:val="single" w:sz="4" w:space="0" w:color="auto"/>
                  <w:left w:val="single" w:sz="4" w:space="0" w:color="auto"/>
                  <w:bottom w:val="single" w:sz="4" w:space="0" w:color="auto"/>
                  <w:right w:val="single" w:sz="4" w:space="0" w:color="auto"/>
                </w:tcBorders>
              </w:tcPr>
              <w:p>
                <w:pPr>
                  <w:tabs>
                    <w:tab w:val="left" w:pos="567"/>
                  </w:tabs>
                  <w:suppressAutoHyphens/>
                  <w:jc w:val="center"/>
                  <w:rPr>
                    <w:bCs/>
                    <w:szCs w:val="24"/>
                    <w:lang w:eastAsia="ar-SA"/>
                  </w:rPr>
                </w:pPr>
                <w:r>
                  <w:rPr>
                    <w:bCs/>
                    <w:szCs w:val="24"/>
                    <w:lang w:eastAsia="ar-SA"/>
                  </w:rPr>
                  <w:t>Visiškas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150" w:type="dxa"/>
                <w:tcBorders>
                  <w:top w:val="single" w:sz="4" w:space="0" w:color="auto"/>
                  <w:left w:val="single" w:sz="4" w:space="0" w:color="auto"/>
                  <w:bottom w:val="single" w:sz="4" w:space="0" w:color="auto"/>
                  <w:right w:val="single" w:sz="4" w:space="0" w:color="auto"/>
                </w:tcBorders>
              </w:tcPr>
              <w:p>
                <w:pPr>
                  <w:tabs>
                    <w:tab w:val="left" w:pos="567"/>
                  </w:tabs>
                  <w:jc w:val="both"/>
                  <w:rPr>
                    <w:b/>
                    <w:bCs/>
                    <w:color w:val="000000"/>
                    <w:szCs w:val="24"/>
                    <w:lang w:eastAsia="ar-SA"/>
                  </w:rPr>
                </w:pPr>
                <w:r>
                  <w:rPr>
                    <w:b/>
                    <w:bCs/>
                    <w:color w:val="000000"/>
                    <w:szCs w:val="24"/>
                    <w:lang w:eastAsia="ar-SA"/>
                  </w:rPr>
                  <w:t>2 straipsnio i punktas:</w:t>
                </w:r>
              </w:p>
              <w:p>
                <w:pPr>
                  <w:tabs>
                    <w:tab w:val="left" w:pos="2048"/>
                  </w:tabs>
                  <w:ind w:right="527"/>
                  <w:jc w:val="both"/>
                  <w:rPr>
                    <w:b/>
                    <w:bCs/>
                    <w:color w:val="000000"/>
                    <w:szCs w:val="24"/>
                    <w:lang w:eastAsia="ar-SA"/>
                  </w:rPr>
                </w:pPr>
                <w:r>
                  <w:rPr>
                    <w:szCs w:val="24"/>
                    <w:lang w:eastAsia="lt-LT"/>
                  </w:rPr>
                  <w:t>i) prekyba: pateikimas prekybai, siūlymas parduoti, pardavimas arba pristatymas kitam asmeniui, įskaitant pristatymą pagal paslaugų sutartį;</w:t>
                </w:r>
              </w:p>
            </w:tc>
            <w:tc>
              <w:tcPr>
                <w:tcW w:w="623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Įstatymo projekto 2 straipsnio 47 dalis:</w:t>
                </w:r>
              </w:p>
              <w:p>
                <w:pPr>
                  <w:jc w:val="both"/>
                  <w:rPr>
                    <w:b/>
                    <w:bCs/>
                    <w:kern w:val="22"/>
                    <w:szCs w:val="24"/>
                    <w:lang w:eastAsia="lt-LT"/>
                  </w:rPr>
                </w:pPr>
                <w:r>
                  <w:rPr>
                    <w:b/>
                    <w:bCs/>
                    <w:szCs w:val="24"/>
                    <w:lang w:eastAsia="lt-LT"/>
                  </w:rPr>
                  <w:t>„47. Prekyba miško dauginamąja medžiaga – miško dauginamosios medžiagos pateikimas prekybai, siūlymas parduoti, pardavimas arba pristatymas kitam asmeniui.“</w:t>
                </w:r>
              </w:p>
            </w:tc>
            <w:tc>
              <w:tcPr>
                <w:tcW w:w="2471" w:type="dxa"/>
                <w:gridSpan w:val="2"/>
                <w:tcBorders>
                  <w:top w:val="single" w:sz="4" w:space="0" w:color="auto"/>
                  <w:left w:val="single" w:sz="4" w:space="0" w:color="auto"/>
                  <w:bottom w:val="single" w:sz="4" w:space="0" w:color="auto"/>
                  <w:right w:val="single" w:sz="4" w:space="0" w:color="auto"/>
                </w:tcBorders>
              </w:tcPr>
              <w:p>
                <w:pPr>
                  <w:tabs>
                    <w:tab w:val="left" w:pos="567"/>
                  </w:tabs>
                  <w:spacing w:line="276" w:lineRule="auto"/>
                  <w:jc w:val="center"/>
                  <w:rPr>
                    <w:szCs w:val="24"/>
                    <w:lang w:eastAsia="lt-LT"/>
                  </w:rPr>
                </w:pPr>
                <w:r>
                  <w:rPr>
                    <w:szCs w:val="24"/>
                    <w:lang w:eastAsia="lt-LT"/>
                  </w:rPr>
                  <w:t>Visiškas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9"/>
            </w:trPr>
            <w:tc>
              <w:tcPr>
                <w:tcW w:w="6150" w:type="dxa"/>
                <w:tcBorders>
                  <w:top w:val="single" w:sz="4" w:space="0" w:color="auto"/>
                  <w:left w:val="single" w:sz="4" w:space="0" w:color="auto"/>
                  <w:bottom w:val="single" w:sz="4" w:space="0" w:color="auto"/>
                  <w:right w:val="single" w:sz="4" w:space="0" w:color="auto"/>
                </w:tcBorders>
              </w:tcPr>
              <w:p>
                <w:pPr>
                  <w:tabs>
                    <w:tab w:val="left" w:pos="567"/>
                  </w:tabs>
                  <w:suppressAutoHyphens/>
                  <w:snapToGrid w:val="0"/>
                  <w:jc w:val="both"/>
                  <w:rPr>
                    <w:b/>
                    <w:bCs/>
                    <w:color w:val="000000"/>
                    <w:szCs w:val="24"/>
                    <w:lang w:eastAsia="ar-SA"/>
                  </w:rPr>
                </w:pPr>
                <w:r>
                  <w:rPr>
                    <w:b/>
                    <w:bCs/>
                    <w:color w:val="000000"/>
                    <w:szCs w:val="24"/>
                    <w:lang w:eastAsia="ar-SA"/>
                  </w:rPr>
                  <w:t>2 straipsnio j punktas:</w:t>
                </w:r>
              </w:p>
              <w:p>
                <w:pPr>
                  <w:tabs>
                    <w:tab w:val="left" w:pos="2048"/>
                  </w:tabs>
                  <w:ind w:right="527"/>
                  <w:jc w:val="both"/>
                  <w:rPr>
                    <w:b/>
                    <w:color w:val="000000"/>
                    <w:szCs w:val="24"/>
                    <w:lang w:eastAsia="ar-SA"/>
                  </w:rPr>
                </w:pPr>
                <w:r>
                  <w:rPr>
                    <w:szCs w:val="24"/>
                    <w:lang w:eastAsia="lt-LT"/>
                  </w:rPr>
                  <w:t>j) tiekėjas: kiekvienas miško dauginamosios medžiagos prekyba arba importu profesionaliai besiverčiantis fizinis ar juridinis asmuo;</w:t>
                </w:r>
              </w:p>
            </w:tc>
            <w:tc>
              <w:tcPr>
                <w:tcW w:w="6233" w:type="dxa"/>
                <w:tcBorders>
                  <w:top w:val="single" w:sz="4" w:space="0" w:color="auto"/>
                  <w:left w:val="single" w:sz="4" w:space="0" w:color="auto"/>
                  <w:bottom w:val="single" w:sz="4" w:space="0" w:color="auto"/>
                  <w:right w:val="single" w:sz="4" w:space="0" w:color="auto"/>
                </w:tcBorders>
              </w:tcPr>
              <w:p>
                <w:pPr>
                  <w:rPr>
                    <w:kern w:val="22"/>
                    <w:szCs w:val="24"/>
                    <w:lang w:eastAsia="lt-LT"/>
                  </w:rPr>
                </w:pPr>
                <w:r>
                  <w:rPr>
                    <w:kern w:val="22"/>
                    <w:szCs w:val="24"/>
                    <w:lang w:eastAsia="lt-LT"/>
                  </w:rPr>
                  <w:t>Įstatymo projekto 2 straipsnio 17 dalis:</w:t>
                </w:r>
              </w:p>
              <w:p>
                <w:pPr>
                  <w:jc w:val="both"/>
                  <w:rPr>
                    <w:b/>
                    <w:bCs/>
                    <w:kern w:val="22"/>
                    <w:szCs w:val="24"/>
                    <w:lang w:eastAsia="lt-LT"/>
                  </w:rPr>
                </w:pPr>
                <w:r>
                  <w:rPr>
                    <w:b/>
                    <w:bCs/>
                    <w:kern w:val="22"/>
                    <w:szCs w:val="24"/>
                    <w:lang w:eastAsia="lt-LT"/>
                  </w:rPr>
                  <w:t xml:space="preserve">„17. </w:t>
                </w:r>
                <w:r>
                  <w:rPr>
                    <w:b/>
                    <w:bCs/>
                    <w:kern w:val="22"/>
                    <w:szCs w:val="24"/>
                  </w:rPr>
                  <w:t>Miško dauginamosios medžiagos tiekėjas – miško dauginamosios medžiagos prekyba ir (ar) importu besiverčiantis fizinis arba juridinis asmuo, kita organizacija, neturinti juridinio asmens statuso, ar jų padalinys.“</w:t>
                </w:r>
              </w:p>
            </w:tc>
            <w:tc>
              <w:tcPr>
                <w:tcW w:w="2471" w:type="dxa"/>
                <w:gridSpan w:val="2"/>
                <w:tcBorders>
                  <w:top w:val="single" w:sz="4" w:space="0" w:color="auto"/>
                  <w:left w:val="single" w:sz="4" w:space="0" w:color="auto"/>
                  <w:bottom w:val="single" w:sz="4" w:space="0" w:color="auto"/>
                  <w:right w:val="single" w:sz="4" w:space="0" w:color="auto"/>
                </w:tcBorders>
              </w:tcPr>
              <w:p>
                <w:pPr>
                  <w:tabs>
                    <w:tab w:val="left" w:pos="567"/>
                  </w:tabs>
                  <w:suppressAutoHyphens/>
                  <w:jc w:val="center"/>
                  <w:rPr>
                    <w:bCs/>
                    <w:szCs w:val="24"/>
                    <w:lang w:eastAsia="ar-SA"/>
                  </w:rPr>
                </w:pPr>
                <w:r>
                  <w:rPr>
                    <w:bCs/>
                    <w:szCs w:val="24"/>
                    <w:lang w:eastAsia="ar-SA"/>
                  </w:rPr>
                  <w:t>Visiškas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150" w:type="dxa"/>
                <w:tcBorders>
                  <w:top w:val="single" w:sz="4" w:space="0" w:color="auto"/>
                  <w:left w:val="single" w:sz="4" w:space="0" w:color="auto"/>
                  <w:bottom w:val="single" w:sz="4" w:space="0" w:color="auto"/>
                  <w:right w:val="single" w:sz="4" w:space="0" w:color="auto"/>
                </w:tcBorders>
              </w:tcPr>
              <w:p>
                <w:pPr>
                  <w:jc w:val="both"/>
                  <w:rPr>
                    <w:b/>
                    <w:color w:val="000000"/>
                    <w:szCs w:val="24"/>
                    <w:lang w:eastAsia="en-GB"/>
                  </w:rPr>
                </w:pPr>
                <w:r>
                  <w:rPr>
                    <w:b/>
                    <w:color w:val="000000"/>
                    <w:szCs w:val="24"/>
                    <w:lang w:eastAsia="en-GB"/>
                  </w:rPr>
                  <w:t>2 straipsnio k punktas:</w:t>
                </w:r>
              </w:p>
              <w:p>
                <w:pPr>
                  <w:jc w:val="both"/>
                  <w:rPr>
                    <w:color w:val="000000"/>
                    <w:szCs w:val="24"/>
                    <w:lang w:eastAsia="en-GB"/>
                  </w:rPr>
                </w:pPr>
                <w:r>
                  <w:rPr>
                    <w:color w:val="000000"/>
                    <w:szCs w:val="24"/>
                    <w:lang w:eastAsia="en-GB"/>
                  </w:rPr>
                  <w:t xml:space="preserve">k) oficiali įstaiga: </w:t>
                </w:r>
              </w:p>
              <w:p>
                <w:pPr>
                  <w:jc w:val="both"/>
                  <w:rPr>
                    <w:color w:val="000000"/>
                    <w:szCs w:val="24"/>
                    <w:lang w:eastAsia="en-GB"/>
                  </w:rPr>
                </w:pPr>
                <w:r>
                  <w:rPr>
                    <w:color w:val="000000"/>
                    <w:szCs w:val="24"/>
                    <w:lang w:eastAsia="en-GB"/>
                  </w:rPr>
                  <w:t>i) prižiūrint nacionalinei vyriausybei valstybės narės įkurta arba paskirta institucija, atsakinga už prekybos miško dauginamąja medžiaga kontrolę ir (arba) šios medžiagos kokybę bei kitus su tuo susijusius dalykus;</w:t>
                </w:r>
              </w:p>
              <w:p>
                <w:pPr>
                  <w:jc w:val="both"/>
                  <w:rPr>
                    <w:color w:val="000000"/>
                    <w:szCs w:val="24"/>
                    <w:lang w:val="en-GB" w:eastAsia="en-GB"/>
                  </w:rPr>
                </w:pPr>
                <w:r>
                  <w:rPr>
                    <w:color w:val="000000"/>
                    <w:szCs w:val="24"/>
                    <w:lang w:eastAsia="en-GB"/>
                  </w:rPr>
                  <w:t>ii) kiekviena valstybinės valdžios institucija, įkurta:</w:t>
                </w:r>
              </w:p>
              <w:p>
                <w:pPr>
                  <w:tabs>
                    <w:tab w:val="right" w:pos="4748"/>
                  </w:tabs>
                  <w:jc w:val="both"/>
                  <w:rPr>
                    <w:color w:val="000000"/>
                    <w:szCs w:val="24"/>
                    <w:lang w:eastAsia="en-GB"/>
                  </w:rPr>
                </w:pPr>
                <w:r>
                  <w:rPr>
                    <w:color w:val="000000"/>
                    <w:szCs w:val="24"/>
                    <w:lang w:eastAsia="en-GB"/>
                  </w:rPr>
                  <w:t>- nacionaliniu lygmeniu, arba</w:t>
                  <w:tab/>
                </w:r>
              </w:p>
              <w:p>
                <w:pPr>
                  <w:jc w:val="both"/>
                  <w:rPr>
                    <w:color w:val="000000"/>
                    <w:szCs w:val="24"/>
                    <w:lang w:eastAsia="en-GB"/>
                  </w:rPr>
                </w:pPr>
                <w:r>
                  <w:rPr>
                    <w:color w:val="000000"/>
                    <w:szCs w:val="24"/>
                    <w:lang w:eastAsia="en-GB"/>
                  </w:rPr>
                  <w:t>- regiono lygmeniu, prižiūrint nacionalinėms institucijoms ir laikantis apribojimų, nustatytų atitinkamos valstybės narės konstitucijos.</w:t>
                </w:r>
              </w:p>
              <w:p>
                <w:pPr>
                  <w:jc w:val="both"/>
                  <w:rPr>
                    <w:color w:val="000000"/>
                    <w:szCs w:val="24"/>
                    <w:lang w:eastAsia="en-GB"/>
                  </w:rPr>
                </w:pPr>
                <w:r>
                  <w:rPr>
                    <w:color w:val="000000"/>
                    <w:szCs w:val="24"/>
                    <w:lang w:eastAsia="en-GB"/>
                  </w:rPr>
                  <w:t>Laikydamosi savo nacionalinių teisės aktų, pirmiau minėtos įstaigos gali pavesti šioje direktyvoje numatytus uždavinius atlikti jų vadovaujamam ir prižiūrimam bet kokiam juridiniam asmeniui, reglamentuojamam viešosios arba privatinės teisės ir kuriam pagal oficialiai patvirtintus jo įstatus suteiktos tam tikros išimtinai viešosios funkcijos, jeigu toks juridinis asmuo ir jo veikloje dalyvaujantys asmenys nėra asmeniškai suinteresuoti priemonių, kurias jie taiko, rezultatais.</w:t>
                </w:r>
              </w:p>
              <w:p>
                <w:pPr>
                  <w:jc w:val="both"/>
                  <w:rPr>
                    <w:color w:val="000000"/>
                    <w:szCs w:val="24"/>
                    <w:lang w:eastAsia="en-GB"/>
                  </w:rPr>
                </w:pPr>
                <w:r>
                  <w:rPr>
                    <w:color w:val="000000"/>
                    <w:szCs w:val="24"/>
                    <w:lang w:eastAsia="en-GB"/>
                  </w:rPr>
                  <w:t>Be to, laikantis 26 straipsnio 2 dalyje nustatytos tvarkos, taip pat galima patvirtinti i papunktyje nurodytos įstaigos vardu įsteigtus kitus juridinius asmenis, pavaldžius minėtai įstaigai, kuri juos prižiūri, jeigu toks juridinis asmuo nesuinteresuotas priemonių, kurias jis taiko, rezultatais.</w:t>
                </w:r>
              </w:p>
              <w:p>
                <w:pPr>
                  <w:tabs>
                    <w:tab w:val="left" w:pos="3236"/>
                  </w:tabs>
                  <w:suppressAutoHyphens/>
                  <w:jc w:val="both"/>
                  <w:rPr>
                    <w:b/>
                    <w:szCs w:val="24"/>
                    <w:lang w:eastAsia="ar-SA"/>
                  </w:rPr>
                </w:pPr>
                <w:r>
                  <w:rPr>
                    <w:color w:val="000000"/>
                    <w:szCs w:val="24"/>
                    <w:lang w:eastAsia="en-GB"/>
                  </w:rPr>
                  <w:t>Valstybės narės praneša Komisijai apie savo atsakingas oficialias įstaigas. Komisija šią informaciją perduoda kitoms valstybėms narėms;</w:t>
                </w:r>
              </w:p>
            </w:tc>
            <w:tc>
              <w:tcPr>
                <w:tcW w:w="6233" w:type="dxa"/>
                <w:tcBorders>
                  <w:top w:val="single" w:sz="4" w:space="0" w:color="auto"/>
                  <w:left w:val="single" w:sz="4" w:space="0" w:color="auto"/>
                  <w:bottom w:val="single" w:sz="4" w:space="0" w:color="auto"/>
                  <w:right w:val="single" w:sz="4" w:space="0" w:color="auto"/>
                </w:tcBorders>
              </w:tcPr>
              <w:p>
                <w:pPr>
                  <w:rPr>
                    <w:kern w:val="22"/>
                    <w:szCs w:val="24"/>
                    <w:lang w:eastAsia="lt-LT"/>
                  </w:rPr>
                </w:pPr>
                <w:r>
                  <w:rPr>
                    <w:kern w:val="22"/>
                    <w:szCs w:val="24"/>
                    <w:lang w:eastAsia="lt-LT"/>
                  </w:rPr>
                  <w:t>Įstatymo projekto 3 straipsnio 5 dalies 7 ir 8 punktai:</w:t>
                </w:r>
              </w:p>
              <w:p>
                <w:pPr>
                  <w:spacing w:line="276" w:lineRule="auto"/>
                  <w:jc w:val="both"/>
                  <w:rPr>
                    <w:b/>
                    <w:bCs/>
                    <w:color w:val="000000"/>
                    <w:szCs w:val="24"/>
                    <w:lang w:eastAsia="lt-LT"/>
                  </w:rPr>
                </w:pPr>
                <w:r>
                  <w:rPr>
                    <w:b/>
                    <w:bCs/>
                    <w:color w:val="000000"/>
                    <w:szCs w:val="24"/>
                    <w:lang w:eastAsia="lt-LT"/>
                  </w:rPr>
                  <w:t xml:space="preserve">„5. Valstybinė miškų tarnyba, įgyvendindama valstybės politiką aplinkos ministrui pavestoje gamtos išteklių dalies – miškų – valdymo srityje, atlieka šias pagrindines funkcijas: </w:t>
                </w:r>
              </w:p>
              <w:p>
                <w:pPr>
                  <w:spacing w:line="276" w:lineRule="auto"/>
                  <w:jc w:val="both"/>
                  <w:rPr>
                    <w:b/>
                    <w:bCs/>
                    <w:color w:val="000000"/>
                    <w:szCs w:val="24"/>
                    <w:lang w:eastAsia="lt-LT"/>
                  </w:rPr>
                </w:pPr>
                <w:r>
                  <w:rPr>
                    <w:b/>
                    <w:bCs/>
                    <w:color w:val="000000"/>
                    <w:szCs w:val="24"/>
                    <w:lang w:eastAsia="lt-LT"/>
                  </w:rPr>
                  <w:t>7) koordinuoja genetinių miško medžių išteklių išsaugojimą ir selekciją;</w:t>
                </w:r>
              </w:p>
              <w:p>
                <w:pPr>
                  <w:spacing w:line="276" w:lineRule="auto"/>
                  <w:jc w:val="both"/>
                  <w:rPr>
                    <w:b/>
                    <w:bCs/>
                    <w:color w:val="000000"/>
                    <w:szCs w:val="24"/>
                    <w:lang w:eastAsia="lt-LT"/>
                  </w:rPr>
                </w:pPr>
                <w:r>
                  <w:rPr>
                    <w:b/>
                    <w:bCs/>
                    <w:color w:val="000000"/>
                    <w:szCs w:val="24"/>
                    <w:lang w:eastAsia="lt-LT"/>
                  </w:rPr>
                  <w:t>8) vykdo sėklinės miško bazės, miško dauginamosios medžiagos kilmės, kokybės ir prekybos ja priežiūrą, išduoda miško dauginamosios medžiagos kilmę ir kokybę patvirtinančius dokumentus, registruoja miško dauginamosios medžiagos tiekėjus;”</w:t>
                </w:r>
              </w:p>
              <w:p>
                <w:pPr>
                  <w:spacing w:line="276" w:lineRule="auto"/>
                  <w:jc w:val="both"/>
                  <w:rPr>
                    <w:szCs w:val="24"/>
                    <w:lang w:eastAsia="lt-LT"/>
                  </w:rPr>
                </w:pPr>
              </w:p>
              <w:p>
                <w:pPr>
                  <w:ind w:firstLine="720"/>
                  <w:rPr>
                    <w:kern w:val="22"/>
                    <w:szCs w:val="24"/>
                    <w:lang w:eastAsia="lt-LT"/>
                  </w:rPr>
                </w:pPr>
              </w:p>
            </w:tc>
            <w:tc>
              <w:tcPr>
                <w:tcW w:w="2471" w:type="dxa"/>
                <w:gridSpan w:val="2"/>
                <w:tcBorders>
                  <w:top w:val="single" w:sz="4" w:space="0" w:color="auto"/>
                  <w:left w:val="single" w:sz="4" w:space="0" w:color="auto"/>
                  <w:bottom w:val="single" w:sz="4" w:space="0" w:color="auto"/>
                  <w:right w:val="single" w:sz="4" w:space="0" w:color="auto"/>
                </w:tcBorders>
              </w:tcPr>
              <w:p>
                <w:pPr>
                  <w:tabs>
                    <w:tab w:val="left" w:pos="567"/>
                  </w:tabs>
                  <w:suppressAutoHyphens/>
                  <w:jc w:val="center"/>
                  <w:rPr>
                    <w:szCs w:val="24"/>
                    <w:lang w:eastAsia="ar-SA"/>
                  </w:rPr>
                </w:pPr>
                <w:r>
                  <w:rPr>
                    <w:szCs w:val="24"/>
                    <w:lang w:eastAsia="ar-SA"/>
                  </w:rPr>
                  <w:t>Visiškas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150" w:type="dxa"/>
                <w:tcBorders>
                  <w:top w:val="single" w:sz="4" w:space="0" w:color="auto"/>
                  <w:left w:val="single" w:sz="4" w:space="0" w:color="auto"/>
                  <w:bottom w:val="single" w:sz="4" w:space="0" w:color="auto"/>
                  <w:right w:val="single" w:sz="4" w:space="0" w:color="auto"/>
                </w:tcBorders>
              </w:tcPr>
              <w:p>
                <w:pPr>
                  <w:tabs>
                    <w:tab w:val="left" w:pos="2048"/>
                  </w:tabs>
                  <w:ind w:right="527"/>
                  <w:jc w:val="both"/>
                  <w:rPr>
                    <w:rFonts w:ascii="Arial Unicode MS" w:hAnsi="Arial Unicode MS"/>
                    <w:szCs w:val="24"/>
                    <w:lang w:eastAsia="lt-LT"/>
                  </w:rPr>
                </w:pPr>
                <w:r>
                  <w:rPr>
                    <w:b/>
                    <w:bCs/>
                    <w:color w:val="000000"/>
                    <w:szCs w:val="24"/>
                    <w:lang w:eastAsia="ar-SA"/>
                  </w:rPr>
                  <w:t>6 straipsnio 4 dalis:</w:t>
                </w:r>
              </w:p>
              <w:p>
                <w:pPr>
                  <w:tabs>
                    <w:tab w:val="left" w:pos="2048"/>
                  </w:tabs>
                  <w:ind w:right="527"/>
                  <w:jc w:val="both"/>
                  <w:rPr>
                    <w:rFonts w:ascii="Arial Unicode MS" w:hAnsi="Arial Unicode MS"/>
                    <w:szCs w:val="24"/>
                    <w:lang w:eastAsia="lt-LT"/>
                  </w:rPr>
                </w:pPr>
                <w:r>
                  <w:rPr>
                    <w:color w:val="000000"/>
                    <w:szCs w:val="24"/>
                    <w:lang w:eastAsia="ar-SA"/>
                  </w:rPr>
                  <w:t xml:space="preserve">Valstybės narės nustato, kad miško dauginamosios medžiagos tiekėjas būtų oficialiai registruotas. Atsakinga oficiali įstaiga gali laikyti tiekėjus, kurie jau įregistruoti pagal Direktyvą </w:t>
                </w:r>
                <w:fldSimple w:instr="HYPERLINK http://eur-lex.europa.eu/legal-content/LIT/TXT/?uri=CELEX:31977L0093&amp;locale=lt \t _blank">
                  <w:r>
                    <w:rPr>
                      <w:color w:val="0000FF" w:themeColor="hyperlink"/>
                      <w:szCs w:val="24"/>
                      <w:lang w:eastAsia="ar-SA"/>
                      <w:u w:val="single"/>
                    </w:rPr>
                    <w:t>77/93/EEB</w:t>
                  </w:r>
                </w:fldSimple>
                <w:r>
                  <w:rPr>
                    <w:color w:val="000000"/>
                    <w:szCs w:val="24"/>
                    <w:lang w:eastAsia="ar-SA"/>
                  </w:rPr>
                  <w:t>, registruotais taikant šią direktyvą. Tokie tiekėjai vis tiek turi laikytis šios direktyvos reikalavimų.</w:t>
                </w:r>
              </w:p>
              <w:p>
                <w:pPr>
                  <w:tabs>
                    <w:tab w:val="left" w:pos="567"/>
                  </w:tabs>
                  <w:suppressAutoHyphens/>
                  <w:jc w:val="center"/>
                  <w:rPr>
                    <w:b/>
                    <w:bCs/>
                    <w:szCs w:val="24"/>
                    <w:lang w:eastAsia="ar-SA"/>
                  </w:rPr>
                </w:pPr>
              </w:p>
            </w:tc>
            <w:tc>
              <w:tcPr>
                <w:tcW w:w="6233" w:type="dxa"/>
                <w:tcBorders>
                  <w:top w:val="single" w:sz="4" w:space="0" w:color="auto"/>
                  <w:left w:val="single" w:sz="4" w:space="0" w:color="auto"/>
                  <w:bottom w:val="single" w:sz="4" w:space="0" w:color="auto"/>
                  <w:right w:val="single" w:sz="4" w:space="0" w:color="auto"/>
                </w:tcBorders>
              </w:tcPr>
              <w:p>
                <w:pPr>
                  <w:spacing w:line="276" w:lineRule="auto"/>
                  <w:rPr>
                    <w:color w:val="000000"/>
                    <w:szCs w:val="24"/>
                    <w:lang w:eastAsia="lt-LT"/>
                  </w:rPr>
                </w:pPr>
                <w:r>
                  <w:rPr>
                    <w:color w:val="000000"/>
                    <w:szCs w:val="24"/>
                    <w:lang w:eastAsia="lt-LT"/>
                  </w:rPr>
                  <w:t>Įstatymo projekto 16 straipsnio 1, 2 ir 3 dalys:</w:t>
                </w:r>
              </w:p>
              <w:p>
                <w:pPr>
                  <w:spacing w:line="276" w:lineRule="auto"/>
                  <w:rPr>
                    <w:color w:val="000000"/>
                    <w:szCs w:val="24"/>
                    <w:lang w:eastAsia="lt-LT"/>
                  </w:rPr>
                </w:pPr>
                <w:r>
                  <w:rPr>
                    <w:b/>
                    <w:bCs/>
                    <w:color w:val="000000"/>
                    <w:szCs w:val="24"/>
                    <w:lang w:eastAsia="lt-LT"/>
                  </w:rPr>
                  <w:t>„16 straipsnis. Miško dauginamosios medžiagos tiekėjai ir jų veiklos reglamentavimas</w:t>
                </w:r>
              </w:p>
              <w:p>
                <w:pPr>
                  <w:spacing w:line="276" w:lineRule="auto"/>
                  <w:jc w:val="both"/>
                  <w:rPr>
                    <w:b/>
                    <w:bCs/>
                    <w:color w:val="000000"/>
                    <w:szCs w:val="24"/>
                    <w:lang w:eastAsia="lt-LT"/>
                  </w:rPr>
                </w:pPr>
                <w:r>
                  <w:rPr>
                    <w:b/>
                    <w:bCs/>
                    <w:color w:val="000000"/>
                    <w:szCs w:val="24"/>
                    <w:lang w:eastAsia="lt-LT"/>
                  </w:rPr>
                  <w:t xml:space="preserve">1. Fizinis ar juridinis asmuo, įskaitant užsienio valstybių juridinius asmenis ir kitas organizacijas arba jų padalinius, įgyja teisę verstis miško dauginamosios medžiagos prekyba ir (ar) importu, kai jo duomenys  įrašomi į Licencijų informacinę sistemą. Šis reikalavimas netaikomas kitos Europos Sąjungos valstybės narės subjektui, oficialiai registruotam miško dauginamosios medžiagos tiekėju kitoje valstybėje narėje. Duomenys apie miško dauginamosios medžiagos tiekėjus Licencijų informacinėje sistemoje skelbiami viešai siekiant nustatyti jų tapatybę ir užtikrinti teisingos ir išsamios informacijos apie jų veiklą teikimą, vykdant prekybą miško dauginamąja medžiaga ir įgyvendinant Miško dauginamosios medžiagos nuostatų reikalavimus. </w:t>
                </w:r>
              </w:p>
              <w:p>
                <w:pPr>
                  <w:spacing w:line="276" w:lineRule="auto"/>
                  <w:jc w:val="both"/>
                  <w:rPr>
                    <w:b/>
                    <w:bCs/>
                    <w:color w:val="000000"/>
                    <w:szCs w:val="24"/>
                    <w:lang w:eastAsia="lt-LT"/>
                  </w:rPr>
                </w:pPr>
                <w:r>
                  <w:rPr>
                    <w:b/>
                    <w:bCs/>
                    <w:color w:val="000000"/>
                    <w:szCs w:val="24"/>
                    <w:lang w:eastAsia="lt-LT"/>
                  </w:rPr>
                  <w:t xml:space="preserve">2. Informaciją apie miško dauginamosios medžiagos tiekėją (toliau – tiekėjas) į Licencijų informacinę sistemą įrašo, ją tikslina, keičia arba panaikina Valstybinė miškų tarnyba Vyriausybės nustatyta tvarka.  Tiekėjo asmens duomenys tvarkomi vadovaujantis 2016 m. balandžio 27 d. Europos parlamento ir Tarybos Reglamentu </w:t>
                </w:r>
                <w:fldSimple w:instr="HYPERLINK http://eur-lex.europa.eu/legal-content/LIT/TXT/?uri=CELEX:3679R2016&amp;locale=lt \t _blank">
                  <w:r>
                    <w:rPr>
                      <w:b/>
                      <w:bCs/>
                      <w:color w:val="0000FF" w:themeColor="hyperlink"/>
                      <w:szCs w:val="24"/>
                      <w:lang w:eastAsia="lt-LT"/>
                      <w:u w:val="single"/>
                    </w:rPr>
                    <w:t>(ES) 2016/679</w:t>
                  </w:r>
                </w:fldSimple>
                <w:r>
                  <w:rPr>
                    <w:b/>
                    <w:bCs/>
                    <w:color w:val="000000"/>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
                      <w:bCs/>
                      <w:color w:val="0000FF" w:themeColor="hyperlink"/>
                      <w:szCs w:val="24"/>
                      <w:lang w:eastAsia="lt-LT"/>
                      <w:u w:val="single"/>
                    </w:rPr>
                    <w:t>95/46/EB</w:t>
                  </w:r>
                </w:fldSimple>
                <w:r>
                  <w:rPr>
                    <w:b/>
                    <w:bCs/>
                    <w:color w:val="000000"/>
                    <w:szCs w:val="24"/>
                    <w:lang w:eastAsia="lt-LT"/>
                  </w:rPr>
                  <w:t xml:space="preserve"> (Bendrasis duomenų apsaugos reglamentas) ir kitais teisės aktais, reglamentuojančiais asmens duomenų apsaugą. </w:t>
                </w:r>
              </w:p>
              <w:p>
                <w:pPr>
                  <w:spacing w:line="276" w:lineRule="auto"/>
                  <w:jc w:val="both"/>
                  <w:rPr>
                    <w:b/>
                    <w:bCs/>
                    <w:color w:val="000000"/>
                    <w:szCs w:val="24"/>
                    <w:lang w:eastAsia="lt-LT"/>
                  </w:rPr>
                </w:pPr>
                <w:r>
                  <w:rPr>
                    <w:b/>
                    <w:bCs/>
                    <w:color w:val="000000"/>
                    <w:szCs w:val="24"/>
                    <w:lang w:eastAsia="lt-LT"/>
                  </w:rPr>
                  <w:t>3. Tiekėjas į Licencijų informacinę sistemą įrašomas, kai įvykdomos šios sąlygos:</w:t>
                </w:r>
              </w:p>
              <w:p>
                <w:pPr>
                  <w:spacing w:line="276" w:lineRule="auto"/>
                  <w:jc w:val="both"/>
                  <w:rPr>
                    <w:b/>
                    <w:bCs/>
                    <w:color w:val="000000"/>
                    <w:szCs w:val="24"/>
                    <w:lang w:eastAsia="lt-LT"/>
                  </w:rPr>
                </w:pPr>
                <w:r>
                  <w:rPr>
                    <w:b/>
                    <w:bCs/>
                    <w:color w:val="000000"/>
                    <w:szCs w:val="24"/>
                    <w:lang w:eastAsia="lt-LT"/>
                  </w:rPr>
                  <w:t>1) pateikia Miško dauginamosios medžiagos nuostatuose nurodytos formos prašymą Valstybinei miškų tarnybai;</w:t>
                </w:r>
              </w:p>
              <w:p>
                <w:pPr>
                  <w:spacing w:line="276" w:lineRule="auto"/>
                  <w:jc w:val="both"/>
                  <w:rPr>
                    <w:b/>
                    <w:bCs/>
                    <w:color w:val="000000"/>
                    <w:szCs w:val="24"/>
                    <w:lang w:eastAsia="lt-LT"/>
                  </w:rPr>
                </w:pPr>
                <w:r>
                  <w:rPr>
                    <w:b/>
                    <w:bCs/>
                    <w:color w:val="000000"/>
                    <w:szCs w:val="24"/>
                    <w:lang w:eastAsia="lt-LT"/>
                  </w:rPr>
                  <w:t xml:space="preserve">2) yra registruotas Lietuvos Respublikos fitosanitariniame registre, jeigu jis yra tiekėjas miško dauginamosios medžiagos, kurios fitosanitarinė kontrolė būtina pagal 2019 m. lapkričio 28 d. Komisijos įgyvendinimo reglamento </w:t>
                </w:r>
                <w:fldSimple w:instr="HYPERLINK http://eur-lex.europa.eu/legal-content/LIT/TXT/?uri=CELEX:32072R2019&amp;locale=lt \t _blank">
                  <w:r>
                    <w:rPr>
                      <w:b/>
                      <w:bCs/>
                      <w:color w:val="0000FF" w:themeColor="hyperlink"/>
                      <w:szCs w:val="24"/>
                      <w:lang w:eastAsia="lt-LT"/>
                      <w:u w:val="single"/>
                    </w:rPr>
                    <w:t>(ES) 2019/2072</w:t>
                  </w:r>
                </w:fldSimple>
                <w:r>
                  <w:rPr>
                    <w:b/>
                    <w:bCs/>
                    <w:color w:val="000000"/>
                    <w:szCs w:val="24"/>
                    <w:lang w:eastAsia="lt-LT"/>
                  </w:rPr>
                  <w:t xml:space="preserve">, kuriuo nustatomos vienodos Europos Parlamento ir Tarybos reglamento </w:t>
                </w:r>
                <w:fldSimple w:instr="HYPERLINK http://eur-lex.europa.eu/legal-content/LIT/TXT/?uri=CELEX:32031R2016&amp;locale=lt \t _blank">
                  <w:r>
                    <w:rPr>
                      <w:b/>
                      <w:bCs/>
                      <w:color w:val="0000FF" w:themeColor="hyperlink"/>
                      <w:szCs w:val="24"/>
                      <w:lang w:eastAsia="lt-LT"/>
                      <w:u w:val="single"/>
                    </w:rPr>
                    <w:t>(ES) 2016/2031</w:t>
                  </w:r>
                </w:fldSimple>
                <w:r>
                  <w:rPr>
                    <w:b/>
                    <w:bCs/>
                    <w:color w:val="000000"/>
                    <w:szCs w:val="24"/>
                    <w:lang w:eastAsia="lt-LT"/>
                  </w:rPr>
                  <w:t xml:space="preserve"> dėl apsaugos priemonių nuo augalų kenkėjų įgyvendinimo sąlygos, panaikinamas Komisijos reglamentas </w:t>
                </w:r>
                <w:fldSimple w:instr="HYPERLINK http://eur-lex.europa.eu/legal-content/LIT/TXT/?uri=CELEX:32008R0690&amp;locale=lt \t _blank">
                  <w:r>
                    <w:rPr>
                      <w:b/>
                      <w:bCs/>
                      <w:color w:val="0000FF" w:themeColor="hyperlink"/>
                      <w:szCs w:val="24"/>
                      <w:lang w:eastAsia="lt-LT"/>
                      <w:u w:val="single"/>
                    </w:rPr>
                    <w:t>(EB) Nr. 690/2008</w:t>
                  </w:r>
                </w:fldSimple>
                <w:r>
                  <w:rPr>
                    <w:b/>
                    <w:bCs/>
                    <w:color w:val="000000"/>
                    <w:szCs w:val="24"/>
                    <w:lang w:eastAsia="lt-LT"/>
                  </w:rPr>
                  <w:t xml:space="preserve"> ir iš dalies keičiamas Komisijos įgyvendinimo reglamentas </w:t>
                </w:r>
                <w:fldSimple w:instr="HYPERLINK http://eur-lex.europa.eu/legal-content/LIT/TXT/?uri=CELEX:32019R2018&amp;locale=lt \t _blank">
                  <w:r>
                    <w:rPr>
                      <w:b/>
                      <w:bCs/>
                      <w:color w:val="0000FF" w:themeColor="hyperlink"/>
                      <w:szCs w:val="24"/>
                      <w:lang w:eastAsia="lt-LT"/>
                      <w:u w:val="single"/>
                    </w:rPr>
                    <w:t>(ES) 2018/2019</w:t>
                  </w:r>
                </w:fldSimple>
                <w:r>
                  <w:rPr>
                    <w:b/>
                    <w:bCs/>
                    <w:color w:val="000000"/>
                    <w:szCs w:val="24"/>
                    <w:lang w:eastAsia="lt-LT"/>
                  </w:rPr>
                  <w:t>, su visais pakeitimais, reikalavimus.“</w:t>
                </w:r>
              </w:p>
            </w:tc>
            <w:tc>
              <w:tcPr>
                <w:tcW w:w="2471" w:type="dxa"/>
                <w:gridSpan w:val="2"/>
                <w:tcBorders>
                  <w:top w:val="single" w:sz="4" w:space="0" w:color="auto"/>
                  <w:left w:val="single" w:sz="4" w:space="0" w:color="auto"/>
                  <w:bottom w:val="single" w:sz="4" w:space="0" w:color="auto"/>
                  <w:right w:val="single" w:sz="4" w:space="0" w:color="auto"/>
                </w:tcBorders>
              </w:tcPr>
              <w:p>
                <w:pPr>
                  <w:tabs>
                    <w:tab w:val="left" w:pos="567"/>
                  </w:tabs>
                  <w:suppressAutoHyphens/>
                  <w:jc w:val="center"/>
                  <w:rPr>
                    <w:bCs/>
                    <w:szCs w:val="24"/>
                    <w:lang w:eastAsia="ar-SA"/>
                  </w:rPr>
                </w:pPr>
                <w:r>
                  <w:rPr>
                    <w:bCs/>
                    <w:szCs w:val="24"/>
                    <w:lang w:eastAsia="ar-SA"/>
                  </w:rPr>
                  <w:t>Visiškas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150" w:type="dxa"/>
                <w:tcBorders>
                  <w:top w:val="single" w:sz="4" w:space="0" w:color="auto"/>
                  <w:left w:val="single" w:sz="4" w:space="0" w:color="auto"/>
                  <w:bottom w:val="single" w:sz="4" w:space="0" w:color="auto"/>
                  <w:right w:val="single" w:sz="4" w:space="0" w:color="auto"/>
                </w:tcBorders>
              </w:tcPr>
              <w:p>
                <w:pPr>
                  <w:rPr>
                    <w:sz w:val="14"/>
                    <w:szCs w:val="14"/>
                  </w:rPr>
                </w:pPr>
              </w:p>
              <w:p>
                <w:pPr>
                  <w:rPr>
                    <w:color w:val="000000"/>
                    <w:szCs w:val="24"/>
                    <w:lang w:eastAsia="ar-SA"/>
                  </w:rPr>
                </w:pPr>
                <w:r>
                  <w:rPr>
                    <w:b/>
                    <w:color w:val="000000"/>
                    <w:szCs w:val="24"/>
                    <w:lang w:eastAsia="ar-SA"/>
                  </w:rPr>
                  <w:t>16 straipsnio 3 dalis</w:t>
                </w:r>
                <w:r>
                  <w:rPr>
                    <w:color w:val="000000"/>
                    <w:szCs w:val="24"/>
                    <w:lang w:eastAsia="ar-SA"/>
                  </w:rPr>
                  <w:t>:</w:t>
                </w:r>
              </w:p>
              <w:p>
                <w:pPr>
                  <w:rPr>
                    <w:sz w:val="14"/>
                    <w:szCs w:val="14"/>
                  </w:rPr>
                </w:pPr>
              </w:p>
              <w:p>
                <w:pPr>
                  <w:tabs>
                    <w:tab w:val="left" w:pos="2048"/>
                  </w:tabs>
                  <w:ind w:right="527"/>
                  <w:jc w:val="both"/>
                  <w:rPr>
                    <w:b/>
                    <w:color w:val="000000"/>
                    <w:szCs w:val="24"/>
                    <w:lang w:eastAsia="ar-SA"/>
                  </w:rPr>
                </w:pPr>
                <w:r>
                  <w:rPr>
                    <w:color w:val="000000"/>
                    <w:szCs w:val="24"/>
                    <w:lang w:eastAsia="ar-SA"/>
                  </w:rPr>
                  <w:t>3. Tiekėjai oficialioms įstaigoms pateikia dokumentus, kuriuose nurodomi duomenys apie visas parduotas ir sulaikytas siuntas.</w:t>
                </w:r>
              </w:p>
            </w:tc>
            <w:tc>
              <w:tcPr>
                <w:tcW w:w="6233" w:type="dxa"/>
                <w:tcBorders>
                  <w:top w:val="single" w:sz="4" w:space="0" w:color="auto"/>
                  <w:left w:val="single" w:sz="4" w:space="0" w:color="auto"/>
                  <w:bottom w:val="single" w:sz="4" w:space="0" w:color="auto"/>
                  <w:right w:val="single" w:sz="4" w:space="0" w:color="auto"/>
                </w:tcBorders>
              </w:tcPr>
              <w:p>
                <w:pPr>
                  <w:rPr>
                    <w:kern w:val="22"/>
                    <w:szCs w:val="24"/>
                    <w:lang w:eastAsia="lt-LT"/>
                  </w:rPr>
                </w:pPr>
                <w:r>
                  <w:rPr>
                    <w:kern w:val="22"/>
                    <w:szCs w:val="24"/>
                    <w:lang w:eastAsia="lt-LT"/>
                  </w:rPr>
                  <w:t>Įstatymo projekto 16 straipsnio 5 dalies 3 punktas:</w:t>
                </w:r>
              </w:p>
              <w:p>
                <w:pPr>
                  <w:spacing w:line="276" w:lineRule="auto"/>
                  <w:jc w:val="both"/>
                  <w:rPr>
                    <w:b/>
                    <w:bCs/>
                    <w:color w:val="000000"/>
                    <w:szCs w:val="24"/>
                    <w:lang w:eastAsia="lt-LT"/>
                  </w:rPr>
                </w:pPr>
                <w:r>
                  <w:rPr>
                    <w:b/>
                    <w:bCs/>
                    <w:color w:val="000000"/>
                    <w:szCs w:val="24"/>
                    <w:lang w:eastAsia="lt-LT"/>
                  </w:rPr>
                  <w:t xml:space="preserve">5. Tiekėjas privalo: </w:t>
                </w:r>
              </w:p>
              <w:p>
                <w:pPr>
                  <w:spacing w:line="276" w:lineRule="auto"/>
                  <w:jc w:val="both"/>
                  <w:rPr>
                    <w:b/>
                    <w:bCs/>
                    <w:color w:val="000000"/>
                    <w:kern w:val="22"/>
                    <w:szCs w:val="24"/>
                    <w:lang w:eastAsia="lt-LT"/>
                  </w:rPr>
                </w:pPr>
                <w:r>
                  <w:rPr>
                    <w:b/>
                    <w:bCs/>
                    <w:color w:val="000000"/>
                    <w:szCs w:val="24"/>
                    <w:lang w:eastAsia="lt-LT"/>
                  </w:rPr>
                  <w:t>3) Valstybinei miškų tarnybai teikti duomenis apie visas parduotas ir turimas siuntas pagal Miško dauginamosios medžiagos nuostatus;”</w:t>
                </w:r>
              </w:p>
            </w:tc>
            <w:tc>
              <w:tcPr>
                <w:tcW w:w="2471" w:type="dxa"/>
                <w:gridSpan w:val="2"/>
                <w:tcBorders>
                  <w:top w:val="single" w:sz="4" w:space="0" w:color="auto"/>
                  <w:left w:val="single" w:sz="4" w:space="0" w:color="auto"/>
                  <w:bottom w:val="single" w:sz="4" w:space="0" w:color="auto"/>
                  <w:right w:val="single" w:sz="4" w:space="0" w:color="auto"/>
                </w:tcBorders>
              </w:tcPr>
              <w:p>
                <w:pPr>
                  <w:tabs>
                    <w:tab w:val="left" w:pos="567"/>
                  </w:tabs>
                  <w:suppressAutoHyphens/>
                  <w:jc w:val="center"/>
                  <w:rPr>
                    <w:bCs/>
                    <w:szCs w:val="24"/>
                    <w:lang w:eastAsia="ar-SA"/>
                  </w:rPr>
                </w:pPr>
                <w:r>
                  <w:rPr>
                    <w:bCs/>
                    <w:szCs w:val="24"/>
                    <w:lang w:eastAsia="ar-SA"/>
                  </w:rPr>
                  <w:t>Visiškas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6150"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r>
                  <w:rPr>
                    <w:b/>
                    <w:bCs/>
                    <w:color w:val="000000"/>
                    <w:szCs w:val="24"/>
                    <w:lang w:eastAsia="ar-SA"/>
                  </w:rPr>
                  <w:t>17 straipsnio 2 dalis</w:t>
                </w:r>
                <w:r>
                  <w:rPr>
                    <w:b/>
                    <w:bCs/>
                    <w:color w:val="000000"/>
                    <w:szCs w:val="24"/>
                    <w:lang w:eastAsia="lt-LT"/>
                  </w:rPr>
                  <w:t>:</w:t>
                </w:r>
                <w:r>
                  <w:rPr>
                    <w:sz w:val="20"/>
                    <w:lang w:eastAsia="lt-LT"/>
                  </w:rPr>
                  <w:tab/>
                </w:r>
              </w:p>
              <w:p>
                <w:pPr>
                  <w:jc w:val="both"/>
                  <w:rPr>
                    <w:sz w:val="20"/>
                    <w:lang w:eastAsia="lt-LT"/>
                  </w:rPr>
                </w:pPr>
                <w:r>
                  <w:rPr>
                    <w:color w:val="000000"/>
                    <w:szCs w:val="24"/>
                    <w:lang w:eastAsia="lt-LT"/>
                  </w:rPr>
                  <w:t>2. Taikant šią direktyvą, valstybei narei gali būti leista laikantis 26 straipsnio 3 dalyje nustatytos tvarkos visoje savo teritorijoje arba jos dalyje uždrausti parduoti galutiniam vartotojui tam tikrą dauginamąją medžiagą, skirtą sėti arba sodinti.</w:t>
                </w:r>
              </w:p>
              <w:p>
                <w:pPr>
                  <w:jc w:val="both"/>
                  <w:rPr>
                    <w:sz w:val="20"/>
                    <w:lang w:eastAsia="lt-LT"/>
                  </w:rPr>
                </w:pPr>
                <w:r>
                  <w:rPr>
                    <w:color w:val="000000"/>
                    <w:szCs w:val="24"/>
                    <w:lang w:eastAsia="lt-LT"/>
                  </w:rPr>
                  <w:t>Tai leidžiama tik tuo atveju, kai yra pagrįstų priežasčių manyti:</w:t>
                </w:r>
              </w:p>
              <w:p>
                <w:pPr>
                  <w:jc w:val="both"/>
                  <w:rPr>
                    <w:sz w:val="20"/>
                    <w:lang w:eastAsia="lt-LT"/>
                  </w:rPr>
                </w:pPr>
                <w:r>
                  <w:rPr>
                    <w:color w:val="000000"/>
                    <w:szCs w:val="24"/>
                    <w:lang w:eastAsia="lt-LT"/>
                  </w:rPr>
                  <w:t>a) kad naudojant minėtą dauginamąją medžiagą dėl jos fenotipinių ir genetinių savybių būtų daromas neigiamas poveikis miškų ūkiui, aplinkai, genetiniams ištekliams arba biologinei įvairovei visoje valstybėje narėje arba jos dalyje, remiantis šiais dalykais:</w:t>
                </w:r>
              </w:p>
              <w:p>
                <w:pPr>
                  <w:jc w:val="both"/>
                  <w:rPr>
                    <w:sz w:val="20"/>
                    <w:lang w:eastAsia="lt-LT"/>
                  </w:rPr>
                </w:pPr>
                <w:r>
                  <w:rPr>
                    <w:color w:val="000000"/>
                    <w:szCs w:val="24"/>
                    <w:lang w:val="en-GB" w:eastAsia="lt-LT"/>
                  </w:rPr>
                  <w:t>- įrodymais, susijusiais su medžiagos provenencijos regionu arba jos kilme, arba</w:t>
                </w:r>
              </w:p>
              <w:p>
                <w:pPr>
                  <w:jc w:val="both"/>
                  <w:rPr>
                    <w:sz w:val="20"/>
                    <w:lang w:eastAsia="lt-LT"/>
                  </w:rPr>
                </w:pPr>
                <w:r>
                  <w:rPr>
                    <w:color w:val="000000"/>
                    <w:szCs w:val="24"/>
                    <w:lang w:val="en-GB" w:eastAsia="lt-LT"/>
                  </w:rPr>
                  <w:t>- bandymų arba mokslinių tyrimų, atliktų atitinkamose vietose Bendrijoje arba už jos ribų, rezultatais;</w:t>
                </w:r>
              </w:p>
              <w:p>
                <w:pPr>
                  <w:jc w:val="both"/>
                  <w:rPr>
                    <w:szCs w:val="24"/>
                    <w:lang w:eastAsia="lt-LT"/>
                  </w:rPr>
                </w:pPr>
                <w:r>
                  <w:rPr>
                    <w:color w:val="000000"/>
                    <w:szCs w:val="24"/>
                    <w:lang w:val="en-GB" w:eastAsia="lt-LT"/>
                  </w:rPr>
                  <w:t>b) remiantis žinomais bandymų ir mokslinių tyrimų rezultatais arba sodmenų prigijimo ir augimo, susijusio su jų morfologinėmis ir fiziologinėmis savybėmis, rezultatais, gautais taikant miškų ūkio praktiką, yra priežasčių manyti, kad dėl minėtos dauginamosios medžiagos savybių jos panaudojimas darytų neigiamą poveikį miškų ūkiui, aplinkai, genetiniams ištekliams arba biologinei įvairovei visoje valstybėje narėje arba jos dalyje..</w:t>
                </w:r>
              </w:p>
            </w:tc>
            <w:tc>
              <w:tcPr>
                <w:tcW w:w="6233" w:type="dxa"/>
                <w:tcBorders>
                  <w:top w:val="single" w:sz="4" w:space="0" w:color="auto"/>
                  <w:left w:val="single" w:sz="4" w:space="0" w:color="auto"/>
                  <w:bottom w:val="single" w:sz="4" w:space="0" w:color="auto"/>
                  <w:right w:val="single" w:sz="4" w:space="0" w:color="auto"/>
                </w:tcBorders>
              </w:tcPr>
              <w:p>
                <w:pPr>
                  <w:tabs>
                    <w:tab w:val="left" w:pos="426"/>
                  </w:tabs>
                  <w:spacing w:line="276" w:lineRule="auto"/>
                  <w:jc w:val="both"/>
                  <w:rPr>
                    <w:color w:val="000000"/>
                    <w:szCs w:val="24"/>
                    <w:lang w:eastAsia="lt-LT"/>
                  </w:rPr>
                </w:pPr>
                <w:r>
                  <w:rPr>
                    <w:color w:val="000000"/>
                    <w:szCs w:val="24"/>
                    <w:lang w:eastAsia="lt-LT"/>
                  </w:rPr>
                  <w:t>Įstatymo projekto 15 straipsnio 4 dalis:</w:t>
                </w:r>
              </w:p>
              <w:p>
                <w:pPr>
                  <w:tabs>
                    <w:tab w:val="left" w:pos="426"/>
                  </w:tabs>
                  <w:spacing w:line="276" w:lineRule="auto"/>
                  <w:jc w:val="both"/>
                  <w:rPr>
                    <w:b/>
                    <w:bCs/>
                    <w:szCs w:val="24"/>
                    <w:lang w:eastAsia="lt-LT"/>
                  </w:rPr>
                </w:pPr>
                <w:r>
                  <w:rPr>
                    <w:b/>
                    <w:bCs/>
                    <w:color w:val="000000"/>
                    <w:szCs w:val="24"/>
                    <w:lang w:eastAsia="lt-LT"/>
                  </w:rPr>
                  <w:t xml:space="preserve">„4. Miško dauginamoji medžiaga auginama, laikoma, naudojama ir ja prekiaujama laikantis aplinkos ministro tvirtinamų Miško dauginamosios medžiagos nuostatų. Draudžiama želdinti mišką miško dauginamąja medžiaga, kurios kilmė ir kokybė neatitinka Miško dauginamosios medžiagos  nuostatų reikalavimų. Valstybinė miškų tarnyba gali uždrausti parduoti tam tikrą miško dauginamąją medžiagą galutiniam vartotojui visoje arba dalyje šalies teritorijos vadovaudamasi 2002 m. rugsėjo 9 d. Europos Komisijos reglamentu </w:t>
                </w:r>
                <w:fldSimple w:instr="HYPERLINK http://eur-lex.europa.eu/legal-content/LIT/TXT/?uri=CELEX:32002R1602&amp;locale=lt \t _blank">
                  <w:r>
                    <w:rPr>
                      <w:b/>
                      <w:bCs/>
                      <w:color w:val="0000FF" w:themeColor="hyperlink"/>
                      <w:szCs w:val="24"/>
                      <w:lang w:eastAsia="lt-LT"/>
                      <w:u w:val="single"/>
                    </w:rPr>
                    <w:t>(EB) Nr.1602/2002</w:t>
                  </w:r>
                </w:fldSimple>
                <w:r>
                  <w:rPr>
                    <w:b/>
                    <w:bCs/>
                    <w:color w:val="000000"/>
                    <w:szCs w:val="24"/>
                    <w:lang w:eastAsia="lt-LT"/>
                  </w:rPr>
                  <w:t xml:space="preserve">, nustatančiu išsamias Tarybos Direktyvos </w:t>
                </w:r>
                <w:fldSimple w:instr="HYPERLINK http://eur-lex.europa.eu/legal-content/LIT/TXT/?uri=CELEX:31999L0105&amp;locale=lt \t _blank">
                  <w:r>
                    <w:rPr>
                      <w:b/>
                      <w:bCs/>
                      <w:color w:val="0000FF" w:themeColor="hyperlink"/>
                      <w:szCs w:val="24"/>
                      <w:lang w:eastAsia="lt-LT"/>
                      <w:u w:val="single"/>
                    </w:rPr>
                    <w:t>1999/105/EB</w:t>
                  </w:r>
                </w:fldSimple>
                <w:r>
                  <w:rPr>
                    <w:b/>
                    <w:bCs/>
                    <w:color w:val="000000"/>
                    <w:szCs w:val="24"/>
                    <w:lang w:eastAsia="lt-LT"/>
                  </w:rPr>
                  <w:t xml:space="preserve"> taikymo taisykles dėl leidimo valstybėms narėms uždrausti tam tikros miško dauginamosios medžiagos pardavimą galutiniam vartotojui.”</w:t>
                </w:r>
              </w:p>
            </w:tc>
            <w:tc>
              <w:tcPr>
                <w:tcW w:w="2471" w:type="dxa"/>
                <w:gridSpan w:val="2"/>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Visiškas</w:t>
                </w:r>
              </w:p>
            </w:tc>
          </w:tr>
        </w:tbl>
        <w:p>
          <w:pPr>
            <w:tabs>
              <w:tab w:val="left" w:pos="567"/>
            </w:tabs>
            <w:suppressAutoHyphens/>
            <w:jc w:val="center"/>
            <w:rPr>
              <w:bCs/>
              <w:szCs w:val="24"/>
              <w:lang w:eastAsia="ar-SA"/>
            </w:rPr>
          </w:pPr>
        </w:p>
        <w:p>
          <w:pPr>
            <w:rPr>
              <w:sz w:val="20"/>
            </w:rPr>
          </w:pPr>
        </w:p>
        <w:sdt>
          <w:sdtPr>
            <w:alias w:val="pabaiga"/>
            <w:tag w:val="part_0b86baf6770641a8b0d9d57ca3eb249f"/>
            <w:lock w:val="sdtLocked"/>
            <w:richText/>
          </w:sdtPr>
          <w:sdtContent>
            <w:p>
              <w:pPr>
                <w:tabs>
                  <w:tab w:val="left" w:pos="567"/>
                </w:tabs>
                <w:jc w:val="center"/>
                <w:rPr>
                  <w:sz w:val="22"/>
                  <w:szCs w:val="22"/>
                </w:rPr>
              </w:pPr>
              <w:r>
                <w:rPr>
                  <w:szCs w:val="24"/>
                  <w:lang w:eastAsia="ar-SA"/>
                </w:rPr>
                <w:t>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851" w:right="737" w:bottom="851" w:left="1247"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950"/>
      <w:gridCol w:w="4950"/>
      <w:gridCol w:w="4950"/>
    </w:tblGrid>
    <w:tr>
      <w:trPr>
        <w:trHeight w:val="300"/>
      </w:trPr>
      <w:tc>
        <w:tcPr>
          <w:tcW w:w="4950" w:type="dxa"/>
        </w:tcPr>
        <w:p>
          <w:pPr>
            <w:tabs>
              <w:tab w:val="center" w:pos="4819"/>
              <w:tab w:val="right" w:pos="9638"/>
            </w:tabs>
            <w:ind w:left="-115"/>
            <w:rPr>
              <w:sz w:val="22"/>
              <w:szCs w:val="22"/>
            </w:rPr>
          </w:pPr>
        </w:p>
      </w:tc>
      <w:tc>
        <w:tcPr>
          <w:tcW w:w="4950" w:type="dxa"/>
        </w:tcPr>
        <w:p>
          <w:pPr>
            <w:tabs>
              <w:tab w:val="center" w:pos="4819"/>
              <w:tab w:val="right" w:pos="9638"/>
            </w:tabs>
            <w:jc w:val="center"/>
            <w:rPr>
              <w:sz w:val="22"/>
              <w:szCs w:val="22"/>
            </w:rPr>
          </w:pPr>
        </w:p>
      </w:tc>
      <w:tc>
        <w:tcPr>
          <w:tcW w:w="4950" w:type="dxa"/>
        </w:tcPr>
        <w:p>
          <w:pPr>
            <w:tabs>
              <w:tab w:val="center" w:pos="4819"/>
              <w:tab w:val="right" w:pos="9638"/>
            </w:tabs>
            <w:ind w:right="-115"/>
            <w:jc w:val="right"/>
            <w:rPr>
              <w:sz w:val="22"/>
              <w:szCs w:val="22"/>
            </w:rPr>
          </w:pPr>
        </w:p>
      </w:tc>
    </w:tr>
  </w:tbl>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950"/>
      <w:gridCol w:w="4950"/>
      <w:gridCol w:w="4950"/>
    </w:tblGrid>
    <w:tr>
      <w:trPr>
        <w:trHeight w:val="300"/>
      </w:trPr>
      <w:tc>
        <w:tcPr>
          <w:tcW w:w="4950" w:type="dxa"/>
        </w:tcPr>
        <w:p>
          <w:pPr>
            <w:tabs>
              <w:tab w:val="center" w:pos="4819"/>
              <w:tab w:val="right" w:pos="9638"/>
            </w:tabs>
            <w:ind w:left="-115"/>
            <w:rPr>
              <w:sz w:val="22"/>
              <w:szCs w:val="22"/>
            </w:rPr>
          </w:pPr>
        </w:p>
      </w:tc>
      <w:tc>
        <w:tcPr>
          <w:tcW w:w="4950" w:type="dxa"/>
        </w:tcPr>
        <w:p>
          <w:pPr>
            <w:tabs>
              <w:tab w:val="center" w:pos="4819"/>
              <w:tab w:val="right" w:pos="9638"/>
            </w:tabs>
            <w:jc w:val="center"/>
            <w:rPr>
              <w:sz w:val="22"/>
              <w:szCs w:val="22"/>
            </w:rPr>
          </w:pPr>
        </w:p>
      </w:tc>
      <w:tc>
        <w:tcPr>
          <w:tcW w:w="4950" w:type="dxa"/>
        </w:tcPr>
        <w:p>
          <w:pPr>
            <w:tabs>
              <w:tab w:val="center" w:pos="4819"/>
              <w:tab w:val="right" w:pos="9638"/>
            </w:tabs>
            <w:ind w:right="-115"/>
            <w:jc w:val="right"/>
            <w:rPr>
              <w:sz w:val="22"/>
              <w:szCs w:val="22"/>
            </w:rPr>
          </w:pPr>
        </w:p>
      </w:tc>
    </w:tr>
  </w:tbl>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B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8213E3-E973-4B5D-A50A-ADDA3765748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857251">
      <w:bodyDiv w:val="1"/>
      <w:marLeft w:val="0"/>
      <w:marRight w:val="0"/>
      <w:marTop w:val="0"/>
      <w:marBottom w:val="0"/>
      <w:divBdr>
        <w:top w:val="none" w:sz="0" w:space="0" w:color="auto"/>
        <w:left w:val="none" w:sz="0" w:space="0" w:color="auto"/>
        <w:bottom w:val="none" w:sz="0" w:space="0" w:color="auto"/>
        <w:right w:val="none" w:sz="0" w:space="0" w:color="auto"/>
      </w:divBdr>
    </w:div>
    <w:div w:id="668364107">
      <w:bodyDiv w:val="1"/>
      <w:marLeft w:val="0"/>
      <w:marRight w:val="0"/>
      <w:marTop w:val="0"/>
      <w:marBottom w:val="0"/>
      <w:divBdr>
        <w:top w:val="none" w:sz="0" w:space="0" w:color="auto"/>
        <w:left w:val="none" w:sz="0" w:space="0" w:color="auto"/>
        <w:bottom w:val="none" w:sz="0" w:space="0" w:color="auto"/>
        <w:right w:val="none" w:sz="0" w:space="0" w:color="auto"/>
      </w:divBdr>
    </w:div>
    <w:div w:id="1564871128">
      <w:bodyDiv w:val="1"/>
      <w:marLeft w:val="0"/>
      <w:marRight w:val="0"/>
      <w:marTop w:val="0"/>
      <w:marBottom w:val="0"/>
      <w:divBdr>
        <w:top w:val="none" w:sz="0" w:space="0" w:color="auto"/>
        <w:left w:val="none" w:sz="0" w:space="0" w:color="auto"/>
        <w:bottom w:val="none" w:sz="0" w:space="0" w:color="auto"/>
        <w:right w:val="none" w:sz="0" w:space="0" w:color="auto"/>
      </w:divBdr>
    </w:div>
    <w:div w:id="2057586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0439da285dc74020beb701c77db45010" PartId="f96b30ed56494e53be757e6b0c1cdee9">
    <Part Type="pabaiga" DocPartId="917c93bc20494a8e9ed1836a3e1957ab" PartId="0b86baf6770641a8b0d9d57ca3eb249f"/>
  </Part>
</Parts>
</file>

<file path=customXml/itemProps1.xml><?xml version="1.0" encoding="utf-8"?>
<ds:datastoreItem xmlns:ds="http://schemas.openxmlformats.org/officeDocument/2006/customXml" ds:itemID="{CD99B88F-6079-4212-A9BC-19DDEEA741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1627</Words>
  <Characters>11309</Characters>
  <Application>Microsoft Office Word</Application>
  <DocSecurity>4</DocSecurity>
  <Lines>305</Lines>
  <Paragraphs>106</Paragraphs>
  <ScaleCrop>false</ScaleCrop>
  <Company/>
  <LinksUpToDate>false</LinksUpToDate>
  <CharactersWithSpaces>12830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2023-10-20T13:24:00Z</dcterms:created>
  <dc:creator>Zita Bitvinskaitė</dc:creator>
  <lastModifiedBy>adlibuser</lastModifiedBy>
  <dcterms:modified xsi:type="dcterms:W3CDTF">2023-10-20T13:24:00Z</dcterms:modified>
  <revision>2</revision>
</coreProperties>
</file>