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d80c57f1693409aad3e20e39c72d55b"/>
        <w:lock w:val="sdtLocked"/>
        <w:richText/>
      </w:sdtPr>
      <w:sdtContent>
        <w:p w14:paraId="43F067E8" w14:textId="77777777">
          <w:pPr>
            <w:widowControl w:val="0"/>
            <w:suppressAutoHyphens/>
            <w:jc w:val="center"/>
            <w:rPr>
              <w:rFonts w:eastAsia="Lucida Sans Unicode"/>
              <w:b/>
              <w:szCs w:val="24"/>
              <w:lang w:eastAsia="ar-SA"/>
            </w:rPr>
          </w:pPr>
          <w:r>
            <w:rPr>
              <w:rFonts w:eastAsia="Lucida Sans Unicode"/>
              <w:b/>
              <w:szCs w:val="24"/>
              <w:lang w:eastAsia="ar-SA"/>
            </w:rPr>
            <w:t>ŠIAULIŲ MIESTO SAVIVALDYBĖS ADMINISTRACIJOS</w:t>
          </w:r>
        </w:p>
        <w:sdt>
          <w:sdtPr>
            <w:alias w:val="skyrius"/>
            <w:tag w:val="part_ed673305e6394cbf986e025f096474ae"/>
            <w:lock w:val="sdtLocked"/>
            <w:richText/>
          </w:sdtPr>
          <w:sdtContent>
            <w:p w14:paraId="32475428" w14:textId="32E2D53F">
              <w:pPr>
                <w:widowControl w:val="0"/>
                <w:suppressAutoHyphens/>
                <w:jc w:val="center"/>
                <w:rPr>
                  <w:rFonts w:eastAsia="Lucida Sans Unicode"/>
                  <w:b/>
                  <w:szCs w:val="24"/>
                  <w:lang w:eastAsia="ar-SA"/>
                </w:rPr>
              </w:pPr>
              <w:r>
                <w:rPr>
                  <w:rFonts w:eastAsia="HG Mincho Light J"/>
                  <w:b/>
                  <w:bCs/>
                  <w:color w:val="000000"/>
                  <w:szCs w:val="24"/>
                  <w:lang w:eastAsia="ar-SA"/>
                </w:rPr>
                <w:t>MIESTO PLĖTROS IR PAVELDOSAUGOS SKYRIUS</w:t>
              </w:r>
            </w:p>
            <w:p w14:paraId="32475429" w14:textId="77777777">
              <w:pPr>
                <w:widowControl w:val="0"/>
                <w:tabs>
                  <w:tab w:val="left" w:pos="2612"/>
                </w:tabs>
                <w:suppressAutoHyphens/>
                <w:jc w:val="center"/>
                <w:rPr>
                  <w:rFonts w:eastAsia="Lucida Sans Unicode"/>
                  <w:szCs w:val="24"/>
                  <w:lang w:eastAsia="ar-SA"/>
                </w:rPr>
              </w:pPr>
            </w:p>
            <w:p w14:paraId="3247542A" w14:textId="62381CF8">
              <w:pPr>
                <w:widowControl w:val="0"/>
                <w:suppressAutoHyphens/>
                <w:spacing w:line="276" w:lineRule="auto"/>
                <w:ind w:firstLine="851"/>
                <w:jc w:val="center"/>
                <w:rPr>
                  <w:rFonts w:eastAsia="Lucida Sans Unicode"/>
                  <w:b/>
                  <w:szCs w:val="24"/>
                  <w:lang w:eastAsia="ar-SA"/>
                </w:rPr>
              </w:pPr>
              <w:sdt>
                <w:sdtPr>
                  <w:alias w:val="Pavadinimas"/>
                  <w:tag w:val="title_ed673305e6394cbf986e025f096474ae"/>
                  <w:lock w:val="sdtLocked"/>
                  <w:richText/>
                </w:sdtPr>
                <w:sdtContent>
                  <w:r>
                    <w:rPr>
                      <w:rFonts w:eastAsia="Lucida Sans Unicode"/>
                      <w:b/>
                      <w:bCs/>
                      <w:szCs w:val="24"/>
                      <w:lang w:eastAsia="ar-SA"/>
                    </w:rPr>
                    <w:t xml:space="preserve">SPRENDIMO „DĖL </w:t>
                  </w:r>
                  <w:r>
                    <w:rPr>
                      <w:rFonts w:eastAsia="Lucida Sans Unicode"/>
                      <w:b/>
                      <w:szCs w:val="24"/>
                      <w:lang w:eastAsia="ar-SA"/>
                    </w:rPr>
                    <w:t>ŠIAULIŲ MIESTO SAVIVALDYBĖS TARYBOS 2006 M. BIRŽELIO 29 D. SPRENDIMO NR. T-243 „DĖL PAMINKLO STATYBOS PRISIKĖLIMO AIKŠTĖJE“ PRIPAŽINIMO NETEKUSIU GALIOS</w:t>
                  </w:r>
                  <w:r>
                    <w:rPr>
                      <w:rFonts w:eastAsia="Lucida Sans Unicode"/>
                      <w:b/>
                      <w:bCs/>
                      <w:szCs w:val="24"/>
                      <w:lang w:eastAsia="ar-SA"/>
                    </w:rPr>
                    <w:t>“ PROJEKTO</w:t>
                  </w:r>
                </w:sdtContent>
              </w:sdt>
            </w:p>
            <w:p w14:paraId="3247542B" w14:textId="77777777">
              <w:pPr>
                <w:widowControl w:val="0"/>
                <w:tabs>
                  <w:tab w:val="left" w:pos="2504"/>
                </w:tabs>
                <w:suppressAutoHyphens/>
                <w:jc w:val="center"/>
                <w:rPr>
                  <w:rFonts w:eastAsia="Lucida Sans Unicode"/>
                  <w:szCs w:val="24"/>
                  <w:lang w:eastAsia="ar-SA"/>
                </w:rPr>
              </w:pPr>
            </w:p>
            <w:sdt>
              <w:sdtPr>
                <w:alias w:val="poskyris"/>
                <w:tag w:val="part_7024a8b3bd01481fbbce0fb8d471f98e"/>
                <w:lock w:val="sdtLocked"/>
                <w:richText/>
              </w:sdtPr>
              <w:sdtContent>
                <w:p w14:paraId="3247542C" w14:textId="77777777">
                  <w:pPr>
                    <w:widowControl w:val="0"/>
                    <w:tabs>
                      <w:tab w:val="left" w:pos="2504"/>
                    </w:tabs>
                    <w:suppressAutoHyphens/>
                    <w:jc w:val="center"/>
                    <w:rPr>
                      <w:rFonts w:eastAsia="Lucida Sans Unicode"/>
                      <w:b/>
                      <w:bCs/>
                      <w:szCs w:val="24"/>
                      <w:lang w:eastAsia="ar-SA"/>
                    </w:rPr>
                  </w:pPr>
                  <w:sdt>
                    <w:sdtPr>
                      <w:alias w:val="Pavadinimas"/>
                      <w:tag w:val="title_7024a8b3bd01481fbbce0fb8d471f98e"/>
                      <w:lock w:val="sdtLocked"/>
                      <w:richText/>
                    </w:sdtPr>
                    <w:sdtContent>
                      <w:r>
                        <w:rPr>
                          <w:rFonts w:eastAsia="Lucida Sans Unicode"/>
                          <w:b/>
                          <w:bCs/>
                          <w:szCs w:val="24"/>
                          <w:lang w:eastAsia="ar-SA"/>
                        </w:rPr>
                        <w:t>AIŠKINAMASIS RAŠTAS</w:t>
                      </w:r>
                    </w:sdtContent>
                  </w:sdt>
                </w:p>
                <w:p w14:paraId="6AA21E80" w14:textId="77777777">
                  <w:pPr>
                    <w:widowControl w:val="0"/>
                    <w:suppressAutoHyphens/>
                    <w:jc w:val="center"/>
                    <w:rPr>
                      <w:rFonts w:eastAsia="Lucida Sans Unicode"/>
                      <w:szCs w:val="24"/>
                      <w:lang w:eastAsia="ar-SA"/>
                    </w:rPr>
                  </w:pPr>
                </w:p>
                <w:p w14:paraId="3247542D" w14:textId="76A26C94">
                  <w:pPr>
                    <w:widowControl w:val="0"/>
                    <w:suppressAutoHyphens/>
                    <w:jc w:val="center"/>
                    <w:rPr>
                      <w:rFonts w:eastAsia="Lucida Sans Unicode"/>
                      <w:szCs w:val="24"/>
                      <w:lang w:eastAsia="ar-SA"/>
                    </w:rPr>
                  </w:pPr>
                  <w:r>
                    <w:rPr>
                      <w:rFonts w:eastAsia="Lucida Sans Unicode"/>
                      <w:szCs w:val="24"/>
                      <w:lang w:eastAsia="ar-SA"/>
                    </w:rPr>
                    <w:t>2025-04-</w:t>
                  </w:r>
                  <w:r>
                    <w:rPr>
                      <w:rFonts w:eastAsia="Lucida Sans Unicode"/>
                      <w:szCs w:val="24"/>
                      <w:lang w:val="en-US" w:eastAsia="ar-SA"/>
                    </w:rPr>
                    <w:t>29</w:t>
                  </w:r>
                </w:p>
                <w:p w14:paraId="3247542E" w14:textId="77777777">
                  <w:pPr>
                    <w:widowControl w:val="0"/>
                    <w:suppressAutoHyphens/>
                    <w:jc w:val="center"/>
                    <w:rPr>
                      <w:rFonts w:eastAsia="Lucida Sans Unicode"/>
                      <w:szCs w:val="24"/>
                      <w:lang w:eastAsia="ar-SA"/>
                    </w:rPr>
                  </w:pPr>
                  <w:r>
                    <w:rPr>
                      <w:rFonts w:eastAsia="Lucida Sans Unicode"/>
                      <w:szCs w:val="24"/>
                      <w:lang w:eastAsia="ar-SA"/>
                    </w:rPr>
                    <w:t>Šiauliai</w:t>
                  </w:r>
                </w:p>
                <w:p w14:paraId="3247542F" w14:textId="2701812D">
                  <w:pPr>
                    <w:widowControl w:val="0"/>
                    <w:suppressAutoHyphens/>
                    <w:jc w:val="center"/>
                    <w:rPr>
                      <w:rFonts w:eastAsia="Lucida Sans Unicode"/>
                      <w:szCs w:val="24"/>
                      <w:lang w:eastAsia="ar-SA"/>
                    </w:rPr>
                  </w:pPr>
                </w:p>
              </w:sdtContent>
            </w:sdt>
            <w:sdt>
              <w:sdtPr>
                <w:alias w:val="poskyris"/>
                <w:tag w:val="part_82baddc2b81c49908745be9b6d0598b7"/>
                <w:lock w:val="sdtLocked"/>
                <w:richText/>
              </w:sdtPr>
              <w:sdtContent>
                <w:p w14:paraId="76225852" w14:textId="3BF0E044">
                  <w:pPr>
                    <w:widowControl w:val="0"/>
                    <w:suppressAutoHyphens/>
                    <w:spacing w:line="276" w:lineRule="auto"/>
                    <w:ind w:firstLine="731"/>
                    <w:jc w:val="both"/>
                    <w:rPr>
                      <w:rFonts w:eastAsia="Calibri"/>
                      <w:b/>
                      <w:bCs/>
                      <w:szCs w:val="24"/>
                      <w:lang w:eastAsia="lt-LT"/>
                    </w:rPr>
                  </w:pPr>
                  <w:sdt>
                    <w:sdtPr>
                      <w:alias w:val="Pavadinimas"/>
                      <w:tag w:val="title_82baddc2b81c49908745be9b6d0598b7"/>
                      <w:lock w:val="sdtLocked"/>
                      <w:richText/>
                    </w:sdtPr>
                    <w:sdtContent>
                      <w:r>
                        <w:rPr>
                          <w:rFonts w:eastAsia="Calibri"/>
                          <w:b/>
                          <w:bCs/>
                          <w:szCs w:val="24"/>
                          <w:lang w:eastAsia="lt-LT"/>
                        </w:rPr>
                        <w:t>Parengto sprendimo projekto tikslai ir uždaviniai:</w:t>
                      </w:r>
                    </w:sdtContent>
                  </w:sdt>
                </w:p>
                <w:p w14:paraId="33B48F23" w14:textId="6BCBFA81">
                  <w:pPr>
                    <w:widowControl w:val="0"/>
                    <w:suppressAutoHyphens/>
                    <w:spacing w:line="276" w:lineRule="auto"/>
                    <w:ind w:firstLine="731"/>
                    <w:jc w:val="both"/>
                    <w:rPr>
                      <w:rFonts w:eastAsia="Lucida Sans Unicode"/>
                      <w:szCs w:val="24"/>
                      <w:lang w:eastAsia="ar-SA"/>
                    </w:rPr>
                  </w:pPr>
                  <w:r>
                    <w:rPr>
                      <w:rFonts w:eastAsia="Calibri"/>
                      <w:szCs w:val="24"/>
                      <w:lang w:eastAsia="lt-LT"/>
                    </w:rPr>
                    <w:t xml:space="preserve">Panaikinti Šiaulių miesto savivaldybės tarybos (toliau – Taryba) </w:t>
                  </w:r>
                  <w:r>
                    <w:rPr>
                      <w:rFonts w:eastAsia="Lucida Sans Unicode"/>
                      <w:szCs w:val="24"/>
                      <w:lang w:eastAsia="ar-SA"/>
                    </w:rPr>
                    <w:t>2006 m. birželio 29 d. priimtą sprendimą Nr. T-243 „Dėl paminklo statybos Prisikėlimo aikštėje“.</w:t>
                  </w:r>
                </w:p>
              </w:sdtContent>
            </w:sdt>
            <w:sdt>
              <w:sdtPr>
                <w:alias w:val="poskyris"/>
                <w:tag w:val="part_151346c661354707a7ae327198f9610a"/>
                <w:lock w:val="sdtLocked"/>
                <w:richText/>
              </w:sdtPr>
              <w:sdtContent>
                <w:p w14:paraId="6E780D23" w14:textId="00F67C10">
                  <w:pPr>
                    <w:widowControl w:val="0"/>
                    <w:suppressAutoHyphens/>
                    <w:spacing w:line="276" w:lineRule="auto"/>
                    <w:ind w:firstLine="709"/>
                    <w:jc w:val="both"/>
                    <w:rPr>
                      <w:rFonts w:eastAsia="Lucida Sans Unicode" w:cs="Tahoma"/>
                      <w:b/>
                      <w:bCs/>
                      <w:szCs w:val="24"/>
                      <w:lang w:eastAsia="ar-SA"/>
                    </w:rPr>
                  </w:pPr>
                  <w:sdt>
                    <w:sdtPr>
                      <w:alias w:val="Pavadinimas"/>
                      <w:tag w:val="title_151346c661354707a7ae327198f9610a"/>
                      <w:lock w:val="sdtLocked"/>
                      <w:richText/>
                    </w:sdtPr>
                    <w:sdtContent>
                      <w:r>
                        <w:rPr>
                          <w:rFonts w:eastAsia="Lucida Sans Unicode" w:cs="Tahoma"/>
                          <w:b/>
                          <w:bCs/>
                          <w:szCs w:val="24"/>
                          <w:lang w:eastAsia="ar-SA"/>
                        </w:rPr>
                        <w:t>Dabartinis sprendimo projekte aptariamų klausimų reguliavimas.</w:t>
                      </w:r>
                    </w:sdtContent>
                  </w:sdt>
                </w:p>
                <w:p w14:paraId="4182B140" w14:textId="3C99C2E0">
                  <w:pPr>
                    <w:widowControl w:val="0"/>
                    <w:suppressAutoHyphens/>
                    <w:spacing w:line="276" w:lineRule="auto"/>
                    <w:ind w:firstLine="731"/>
                    <w:jc w:val="both"/>
                    <w:rPr>
                      <w:rFonts w:eastAsia="Calibri"/>
                      <w:szCs w:val="24"/>
                      <w:lang w:eastAsia="lt-LT"/>
                    </w:rPr>
                  </w:pPr>
                  <w:r>
                    <w:rPr>
                      <w:rFonts w:eastAsia="Calibri"/>
                      <w:szCs w:val="24"/>
                      <w:lang w:eastAsia="lt-LT"/>
                    </w:rPr>
                    <w:t>2006 m. birželio 29 d. Taryba priėmė sprendimą pastatyti paminklą „Tautos Laisvei“ Prisikėlimo aikštėje. 2019 m. įvykdytas I-asis paminklo „Tautos Laisvei“ Prisikėlimo aikštėje idėjos sukūrimo konkursas, kuriame idėjų nebuvo pateikta. 2020 - 2021 m. vykdytas II – asis paminklo „Tautos Laisvei“ Prisikėlimo aikštėje idėjos sukūrimo konkursas, kurio metu išrinkta paminklo idėja ir pasirašyta techninio projekto parengimo sutartis, kuri laiku nebuvo įvykdyta, t.y. laiku nebuvo parengtas išrinktos idėjos techninis projektas, todėl sudaryta sutartis buvo nutraukta. 2022 m. įgyvendintas III – sis idėjos konkursas. Konkurso metu išrinkta nauja paminklo „Tautos Laisvei“ Prisikėlimo aikštėje idėja, pasirašyta techninio projekto parengimo sutartis ir laiku parengtas idėjos įgyvendinimo techninis projektas. Pagal parengtą idėjos techninį projektą 5 kartus buvo skelbti rangos darbų pirkimai, tačiau neatsirado nei vienas dalyvis, kuris apsiimtų pastatyti paminklą „Tautos Laisvei“ pagal parengtą techninį projektą. Po 5 neįvykusių rangos darbų pirkimų buvo atlikta rinkos konsultacija, kurios metu paaiškėjo, kad projektui Savivaldybės biudžete numatytos sumos (190 000 Eur) neužtenka pastatyti norimą paminklą. Buvo nustatyta, kad reikalinga suma paminklo pastatymui yra 380 000 Eur. Paaiškėjus kokia suma reikalinga paminklo pastatymui, 2024 m. spalio mėn. buvo kreipiamasi į visuomenę dėl nuomonės išsakymo dėl paminklo „Tautos Laisvei“ reikalingumo bei paskelbta informacija, kad</w:t>
                  </w:r>
                  <w:r>
                    <w:rPr>
                      <w:rFonts w:eastAsia="Lucida Sans Unicode"/>
                      <w:szCs w:val="24"/>
                      <w:lang w:eastAsia="ar-SA"/>
                    </w:rPr>
                    <w:t xml:space="preserve"> visuomenės nariai bei verslas gali išsakyti savo nuomonę prisidėdami prie paminklo įgyvendinimo skiriant paramą. Praėjus pusmečiui iš visuomenės narių bei verslo buvo surinkta </w:t>
                  </w:r>
                  <w:r>
                    <w:rPr>
                      <w:rFonts w:eastAsia="Lucida Sans Unicode"/>
                      <w:szCs w:val="24"/>
                      <w:lang w:val="en-US" w:eastAsia="ar-SA"/>
                    </w:rPr>
                    <w:t xml:space="preserve">3 279,77 Eur. </w:t>
                  </w:r>
                  <w:r>
                    <w:rPr>
                      <w:rFonts w:eastAsia="Lucida Sans Unicode"/>
                      <w:szCs w:val="24"/>
                      <w:lang w:eastAsia="ar-SA"/>
                    </w:rPr>
                    <w:t xml:space="preserve">Atsižvelgiant į surinktą sumą buvo nuspręsta paminklo „Tautos Laisvei“ nestatyti. Dėl šios priežasties inicijuotas </w:t>
                  </w:r>
                  <w:r>
                    <w:rPr>
                      <w:rFonts w:eastAsia="Calibri"/>
                      <w:szCs w:val="24"/>
                      <w:lang w:eastAsia="lt-LT"/>
                    </w:rPr>
                    <w:t xml:space="preserve">2006 m. birželio 29 d. </w:t>
                  </w:r>
                  <w:r>
                    <w:rPr>
                      <w:rFonts w:eastAsia="Lucida Sans Unicode"/>
                      <w:szCs w:val="24"/>
                      <w:lang w:eastAsia="ar-SA"/>
                    </w:rPr>
                    <w:t xml:space="preserve">Tarybos sprendimo Nr. T-243 „Dėl paminklo statybos Prisikėlimo aikštėje“ panaikinimas. </w:t>
                  </w:r>
                </w:p>
                <w:p w14:paraId="784B1854" w14:textId="3DB7714F">
                  <w:pPr>
                    <w:widowControl w:val="0"/>
                    <w:suppressAutoHyphens/>
                    <w:ind w:firstLine="709"/>
                    <w:jc w:val="both"/>
                    <w:rPr>
                      <w:szCs w:val="24"/>
                      <w:lang w:eastAsia="ar-SA"/>
                    </w:rPr>
                  </w:pPr>
                  <w:r>
                    <w:rPr>
                      <w:b/>
                      <w:szCs w:val="24"/>
                      <w:lang w:eastAsia="ar-SA"/>
                    </w:rPr>
                    <w:t>Numatomos naujo teisinio reglamentavimo nuostatos</w:t>
                  </w:r>
                  <w:r>
                    <w:rPr>
                      <w:szCs w:val="24"/>
                      <w:lang w:eastAsia="ar-SA"/>
                    </w:rPr>
                    <w:t xml:space="preserve">. </w:t>
                  </w:r>
                </w:p>
                <w:p w14:paraId="66A54609" w14:textId="4F560C7B">
                  <w:pPr>
                    <w:widowControl w:val="0"/>
                    <w:suppressAutoHyphens/>
                    <w:ind w:firstLine="709"/>
                    <w:jc w:val="both"/>
                    <w:rPr>
                      <w:szCs w:val="24"/>
                      <w:lang w:eastAsia="ar-SA"/>
                    </w:rPr>
                  </w:pPr>
                  <w:r>
                    <w:rPr>
                      <w:szCs w:val="24"/>
                      <w:lang w:eastAsia="ar-SA"/>
                    </w:rPr>
                    <w:t>Naujos teisinio reguliavimo nuostatos nenumatomos.</w:t>
                  </w:r>
                </w:p>
                <w:p w14:paraId="0CD9F67E" w14:textId="4DD6BE03">
                  <w:pPr>
                    <w:suppressAutoHyphens/>
                    <w:ind w:firstLine="709"/>
                    <w:jc w:val="both"/>
                    <w:rPr>
                      <w:szCs w:val="24"/>
                      <w:lang w:eastAsia="ar-SA"/>
                    </w:rPr>
                  </w:pPr>
                  <w:r>
                    <w:rPr>
                      <w:b/>
                      <w:bCs/>
                      <w:szCs w:val="24"/>
                      <w:lang w:eastAsia="ar-SA"/>
                    </w:rPr>
                    <w:t>Priėmus sprendimą, galimos pasekmės</w:t>
                  </w:r>
                  <w:r>
                    <w:rPr>
                      <w:szCs w:val="24"/>
                      <w:lang w:eastAsia="ar-SA"/>
                    </w:rPr>
                    <w:t xml:space="preserve"> (tiek teigiamos, tiek neigiamos).</w:t>
                  </w:r>
                </w:p>
                <w:p w14:paraId="60148EAE" w14:textId="024DF28D">
                  <w:pPr>
                    <w:suppressAutoHyphens/>
                    <w:ind w:firstLine="709"/>
                    <w:jc w:val="both"/>
                    <w:rPr>
                      <w:rFonts w:eastAsia="Lucida Sans Unicode"/>
                      <w:szCs w:val="24"/>
                      <w:lang w:eastAsia="ar-SA"/>
                    </w:rPr>
                  </w:pPr>
                  <w:r>
                    <w:rPr>
                      <w:rFonts w:eastAsia="Lucida Sans Unicode"/>
                      <w:szCs w:val="24"/>
                      <w:lang w:eastAsia="ar-SA"/>
                    </w:rPr>
                    <w:t xml:space="preserve">Panaikinus </w:t>
                  </w:r>
                  <w:r>
                    <w:rPr>
                      <w:rFonts w:eastAsia="Calibri"/>
                      <w:szCs w:val="24"/>
                      <w:lang w:eastAsia="lt-LT"/>
                    </w:rPr>
                    <w:t xml:space="preserve">2006 m. birželio 29 d. priimtą </w:t>
                  </w:r>
                  <w:r>
                    <w:rPr>
                      <w:rFonts w:eastAsia="Lucida Sans Unicode"/>
                      <w:szCs w:val="24"/>
                      <w:lang w:eastAsia="ar-SA"/>
                    </w:rPr>
                    <w:t xml:space="preserve">Tarybos sprendimą Nr. T-243 „Dėl paminklo statybos Prisikėlimo aikštėje“ tikėtinas stiprus visuomenės nepasitenkinimas priimtu sprendimu.  </w:t>
                  </w:r>
                </w:p>
              </w:sdtContent>
            </w:sdt>
            <w:sdt>
              <w:sdtPr>
                <w:alias w:val="poskyris"/>
                <w:tag w:val="part_e6b1b76d981a4193ab31f50bf9186f53"/>
                <w:lock w:val="sdtLocked"/>
                <w:richText/>
              </w:sdtPr>
              <w:sdtContent>
                <w:p w14:paraId="172DDF2E" w14:textId="62B1F518">
                  <w:pPr>
                    <w:suppressAutoHyphens/>
                    <w:ind w:firstLine="709"/>
                    <w:jc w:val="both"/>
                    <w:rPr>
                      <w:szCs w:val="24"/>
                      <w:lang w:eastAsia="ar-SA"/>
                    </w:rPr>
                  </w:pPr>
                  <w:sdt>
                    <w:sdtPr>
                      <w:alias w:val="Pavadinimas"/>
                      <w:tag w:val="title_e6b1b76d981a4193ab31f50bf9186f53"/>
                      <w:lock w:val="sdtLocked"/>
                      <w:richText/>
                    </w:sdtPr>
                    <w:sdtContent>
                      <w:r>
                        <w:rPr>
                          <w:b/>
                          <w:szCs w:val="24"/>
                          <w:lang w:eastAsia="ar-SA"/>
                        </w:rPr>
                        <w:t>Priėmus sprendimą, keičiami ar pripažįstami negaliojančiais teisės aktai.</w:t>
                      </w:r>
                    </w:sdtContent>
                  </w:sdt>
                </w:p>
                <w:p w14:paraId="11C7A936" w14:textId="733296C4">
                  <w:pPr>
                    <w:suppressAutoHyphens/>
                    <w:ind w:firstLine="709"/>
                    <w:jc w:val="both"/>
                    <w:rPr>
                      <w:szCs w:val="24"/>
                      <w:lang w:eastAsia="ar-SA"/>
                    </w:rPr>
                  </w:pPr>
                  <w:r>
                    <w:rPr>
                      <w:szCs w:val="24"/>
                      <w:lang w:eastAsia="ar-SA"/>
                    </w:rPr>
                    <w:t>Priėmus sprendimą, teisės aktai nekeičiami ir nepripažįstami negaliojančiais.</w:t>
                  </w:r>
                </w:p>
              </w:sdtContent>
            </w:sdt>
            <w:sdt>
              <w:sdtPr>
                <w:alias w:val="poskyris"/>
                <w:tag w:val="part_180096233c1f42508fc0ba6893a3aa1c"/>
                <w:lock w:val="sdtLocked"/>
                <w:richText/>
              </w:sdtPr>
              <w:sdtContent>
                <w:p w14:paraId="1BC5ABA6" w14:textId="618C1351">
                  <w:pPr>
                    <w:suppressAutoHyphens/>
                    <w:ind w:firstLine="709"/>
                    <w:jc w:val="both"/>
                    <w:rPr>
                      <w:b/>
                      <w:bCs/>
                      <w:szCs w:val="24"/>
                      <w:lang w:eastAsia="ar-SA"/>
                    </w:rPr>
                  </w:pPr>
                  <w:sdt>
                    <w:sdtPr>
                      <w:alias w:val="Pavadinimas"/>
                      <w:tag w:val="title_180096233c1f42508fc0ba6893a3aa1c"/>
                      <w:lock w:val="sdtLocked"/>
                      <w:richText/>
                    </w:sdtPr>
                    <w:sdtContent>
                      <w:r>
                        <w:rPr>
                          <w:b/>
                          <w:bCs/>
                          <w:szCs w:val="24"/>
                          <w:lang w:eastAsia="ar-SA"/>
                        </w:rPr>
                        <w:t>Sprendimui įgyvendinti reikalingi priimti papildomi teisės aktai.</w:t>
                      </w:r>
                    </w:sdtContent>
                  </w:sdt>
                </w:p>
                <w:p w14:paraId="55CDFA98" w14:textId="16DF53E9">
                  <w:pPr>
                    <w:suppressAutoHyphens/>
                    <w:ind w:firstLine="709"/>
                    <w:jc w:val="both"/>
                    <w:rPr>
                      <w:szCs w:val="24"/>
                      <w:lang w:eastAsia="ar-SA"/>
                    </w:rPr>
                  </w:pPr>
                  <w:r>
                    <w:rPr>
                      <w:szCs w:val="24"/>
                      <w:lang w:eastAsia="ar-SA"/>
                    </w:rPr>
                    <w:t>Sprendimo įgyvendinimui reikalingų priimti papildomų teisės aktų nenumatoma.</w:t>
                  </w:r>
                </w:p>
              </w:sdtContent>
            </w:sdt>
            <w:sdt>
              <w:sdtPr>
                <w:alias w:val="poskyris"/>
                <w:tag w:val="part_cb7082b3b3ae418e8f9c90e15972b979"/>
                <w:lock w:val="sdtLocked"/>
                <w:richText/>
              </w:sdtPr>
              <w:sdtContent>
                <w:p w14:paraId="4E6FC846" w14:textId="77777777">
                  <w:pPr>
                    <w:widowControl w:val="0"/>
                    <w:suppressAutoHyphens/>
                    <w:ind w:firstLine="709"/>
                    <w:jc w:val="both"/>
                    <w:rPr>
                      <w:b/>
                      <w:szCs w:val="24"/>
                      <w:lang w:eastAsia="ar-SA"/>
                    </w:rPr>
                  </w:pPr>
                  <w:sdt>
                    <w:sdtPr>
                      <w:alias w:val="Pavadinimas"/>
                      <w:tag w:val="title_cb7082b3b3ae418e8f9c90e15972b979"/>
                      <w:lock w:val="sdtLocked"/>
                      <w:richText/>
                    </w:sdtPr>
                    <w:sdtContent>
                      <w:r>
                        <w:rPr>
                          <w:b/>
                          <w:szCs w:val="24"/>
                          <w:lang w:eastAsia="ar-SA"/>
                        </w:rPr>
                        <w:t>Kiek biudžeto lėšų pareikalaus ar leis sutaupyti sprendimo įgyvendinimas.</w:t>
                      </w:r>
                    </w:sdtContent>
                  </w:sdt>
                </w:p>
                <w:p w14:paraId="31631274" w14:textId="77777777">
                  <w:pPr>
                    <w:widowControl w:val="0"/>
                    <w:suppressAutoHyphens/>
                    <w:ind w:firstLine="709"/>
                    <w:jc w:val="both"/>
                    <w:rPr>
                      <w:b/>
                      <w:szCs w:val="24"/>
                      <w:lang w:eastAsia="ar-SA"/>
                    </w:rPr>
                  </w:pPr>
                  <w:r>
                    <w:rPr>
                      <w:szCs w:val="24"/>
                      <w:lang w:eastAsia="ar-SA"/>
                    </w:rPr>
                    <w:t>Savivaldybės biudžeto lėšų sprendimo įgyvendinimui nereikės</w:t>
                  </w:r>
                  <w:r>
                    <w:rPr>
                      <w:bCs/>
                      <w:szCs w:val="24"/>
                      <w:lang w:eastAsia="ar-SA"/>
                    </w:rPr>
                    <w:t>.</w:t>
                  </w:r>
                </w:p>
              </w:sdtContent>
            </w:sdt>
            <w:sdt>
              <w:sdtPr>
                <w:alias w:val="poskyris"/>
                <w:tag w:val="part_180c0fe77a0a4e2aa6c0f97ab6ded0a4"/>
                <w:lock w:val="sdtLocked"/>
                <w:richText/>
              </w:sdtPr>
              <w:sdtContent>
                <w:p w14:paraId="40C7AAA2" w14:textId="77777777">
                  <w:pPr>
                    <w:widowControl w:val="0"/>
                    <w:suppressAutoHyphens/>
                    <w:ind w:firstLine="709"/>
                    <w:jc w:val="both"/>
                    <w:rPr>
                      <w:b/>
                      <w:szCs w:val="24"/>
                      <w:lang w:eastAsia="ar-SA"/>
                    </w:rPr>
                  </w:pPr>
                  <w:sdt>
                    <w:sdtPr>
                      <w:alias w:val="Pavadinimas"/>
                      <w:tag w:val="title_180c0fe77a0a4e2aa6c0f97ab6ded0a4"/>
                      <w:lock w:val="sdtLocked"/>
                      <w:richText/>
                    </w:sdtPr>
                    <w:sdtContent>
                      <w:r>
                        <w:rPr>
                          <w:b/>
                          <w:szCs w:val="24"/>
                          <w:lang w:eastAsia="ar-SA"/>
                        </w:rPr>
                        <w:t>Sprendimo projekto rengėjas ar rengėjų grupė, sprendimo projekto iniciatoriai.</w:t>
                      </w:r>
                    </w:sdtContent>
                  </w:sdt>
                </w:p>
                <w:p w14:paraId="46E9CF0F" w14:textId="5344F489">
                  <w:pPr>
                    <w:widowControl w:val="0"/>
                    <w:suppressAutoHyphens/>
                    <w:spacing w:line="280" w:lineRule="exact"/>
                    <w:ind w:firstLine="709"/>
                    <w:jc w:val="both"/>
                    <w:rPr>
                      <w:szCs w:val="24"/>
                      <w:lang w:eastAsia="ar-SA"/>
                    </w:rPr>
                  </w:pPr>
                  <w:r>
                    <w:rPr>
                      <w:rFonts w:eastAsia="HG Mincho Light J"/>
                      <w:szCs w:val="24"/>
                      <w:lang w:eastAsia="ar-SA"/>
                    </w:rPr>
                    <w:t xml:space="preserve">Sprendimą inicijuoja Šiaulių miesto savivaldybės meras. </w:t>
                  </w:r>
                  <w:r>
                    <w:rPr>
                      <w:szCs w:val="24"/>
                      <w:lang w:eastAsia="ar-SA"/>
                    </w:rPr>
                    <w:t>Sprendimo projektą parengė Šiaulių miesto savivaldybės administracijos Miesto plėtros ir paveldosaugos skyrius. Tiesioginis rengėjas – Miesto plėtros ir paveldosaugos skyriaus vyr. specialistė Kamilė Baltrušienė-Baltrušaitienė, tel. 8 41 596 247.</w:t>
                  </w:r>
                </w:p>
              </w:sdtContent>
            </w:sdt>
            <w:sdt>
              <w:sdtPr>
                <w:alias w:val="poskyris"/>
                <w:tag w:val="part_eb0c0717b751477fae420e15d5087c89"/>
                <w:lock w:val="sdtLocked"/>
                <w:richText/>
              </w:sdtPr>
              <w:sdtContent>
                <w:p w14:paraId="12B953DC" w14:textId="77777777">
                  <w:pPr>
                    <w:widowControl w:val="0"/>
                    <w:suppressAutoHyphens/>
                    <w:ind w:firstLine="709"/>
                    <w:jc w:val="both"/>
                    <w:rPr>
                      <w:b/>
                      <w:szCs w:val="24"/>
                      <w:lang w:eastAsia="ar-SA"/>
                    </w:rPr>
                  </w:pPr>
                  <w:sdt>
                    <w:sdtPr>
                      <w:alias w:val="Pavadinimas"/>
                      <w:tag w:val="title_eb0c0717b751477fae420e15d5087c89"/>
                      <w:lock w:val="sdtLocked"/>
                      <w:richText/>
                    </w:sdtPr>
                    <w:sdtContent>
                      <w:r>
                        <w:rPr>
                          <w:b/>
                          <w:szCs w:val="24"/>
                          <w:lang w:eastAsia="ar-SA"/>
                        </w:rPr>
                        <w:t>Numatomo teisinio reguliavimo poveikio vertinimo rezultatai.</w:t>
                      </w:r>
                    </w:sdtContent>
                  </w:sdt>
                </w:p>
                <w:p w14:paraId="6AD2D77E" w14:textId="77777777">
                  <w:pPr>
                    <w:widowControl w:val="0"/>
                    <w:suppressAutoHyphens/>
                    <w:ind w:firstLine="709"/>
                    <w:jc w:val="both"/>
                    <w:rPr>
                      <w:szCs w:val="24"/>
                      <w:lang w:eastAsia="ar-SA"/>
                    </w:rPr>
                  </w:pPr>
                  <w:r>
                    <w:rPr>
                      <w:szCs w:val="24"/>
                      <w:lang w:eastAsia="ar-SA"/>
                    </w:rPr>
                    <w:t>Numatomo teisinio reguliavimo poveikio vertinimas neatliekamas, nes sprendimo projektu nėra numatoma reglamentuoti iki tol nereglamentuotus santykius ar iš esmės keisti teisinį reguliavimą</w:t>
                  </w:r>
                  <w:r>
                    <w:rPr>
                      <w:rFonts w:eastAsia="Lucida Sans Unicode"/>
                      <w:szCs w:val="24"/>
                      <w:lang w:eastAsia="ar-SA"/>
                    </w:rPr>
                    <w:t>.</w:t>
                  </w:r>
                </w:p>
                <w:p w14:paraId="623A3BE7" w14:textId="77777777">
                  <w:pPr>
                    <w:widowControl w:val="0"/>
                    <w:suppressAutoHyphens/>
                    <w:rPr>
                      <w:szCs w:val="24"/>
                      <w:lang w:eastAsia="ar-SA"/>
                    </w:rPr>
                  </w:pPr>
                </w:p>
                <w:p w14:paraId="2DAF003B" w14:textId="77777777">
                  <w:pPr>
                    <w:widowControl w:val="0"/>
                    <w:suppressAutoHyphens/>
                    <w:rPr>
                      <w:szCs w:val="24"/>
                      <w:lang w:eastAsia="ar-SA"/>
                    </w:rPr>
                  </w:pPr>
                </w:p>
                <w:p w14:paraId="38E83BA8" w14:textId="77777777">
                  <w:pPr>
                    <w:widowControl w:val="0"/>
                    <w:suppressAutoHyphens/>
                    <w:rPr>
                      <w:szCs w:val="24"/>
                      <w:lang w:eastAsia="ar-SA"/>
                    </w:rPr>
                  </w:pPr>
                </w:p>
              </w:sdtContent>
            </w:sdt>
          </w:sdtContent>
        </w:sdt>
        <w:sdt>
          <w:sdtPr>
            <w:alias w:val="signatura"/>
            <w:tag w:val="part_e0aa1e00189a4896970848146373fc22"/>
            <w:lock w:val="sdtLocked"/>
            <w:richText/>
          </w:sdtPr>
          <w:sdtContent>
            <w:p w14:paraId="7E8BA617" w14:textId="02DFE91C">
              <w:pPr>
                <w:widowControl w:val="0"/>
                <w:suppressAutoHyphens/>
                <w:rPr>
                  <w:szCs w:val="24"/>
                  <w:lang w:eastAsia="ar-SA"/>
                </w:rPr>
              </w:pPr>
              <w:r>
                <w:rPr>
                  <w:szCs w:val="24"/>
                  <w:lang w:eastAsia="ar-SA"/>
                </w:rPr>
                <w:t xml:space="preserve">Skyriaus vedėjas </w:t>
                <w:tab/>
                <w:tab/>
                <w:tab/>
                <w:tab/>
                <w:tab/>
                <w:tab/>
                <w:tab/>
                <w:tab/>
                <w:t xml:space="preserve">   Valdas Markevičius</w:t>
                <w:tab/>
                <w:tab/>
                <w:tab/>
                <w:tab/>
                <w:tab/>
                <w:tab/>
                <w:tab/>
                <w:t xml:space="preserve"> </w:t>
              </w:r>
            </w:p>
          </w:sdtContent>
        </w:sdt>
      </w:sdtContent>
    </w:sdt>
    <w:sectPr>
      <w:pgSz w:w="11906" w:h="16838"/>
      <w:pgMar w:top="1134" w:right="567" w:bottom="851"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HG Mincho Light J">
    <w:altName w:val="Times New Roman"/>
    <w:charset w:val="00"/>
    <w:family w:val="auto"/>
    <w:pitch w:val="variable"/>
  </w:font>
  <w:font w:name="Calibri">
    <w:panose1 w:val="020F0502020204030204"/>
    <w:charset w:val="BA"/>
    <w:family w:val="swiss"/>
    <w:pitch w:val="variable"/>
    <w:sig w:usb0="E0002EFF" w:usb1="C0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A00002EF" w:usb1="4000207B" w:usb2="00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09"/>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6F5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32475423"/>
  <w15:chartTrackingRefBased/>
  <w15:docId w15:val="{430A6DF7-7A63-4FC7-BF46-4AFE562CE39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798454628">
      <w:bodyDiv w:val="1"/>
      <w:marLeft w:val="0"/>
      <w:marRight w:val="0"/>
      <w:marTop w:val="0"/>
      <w:marBottom w:val="0"/>
      <w:divBdr>
        <w:top w:val="none" w:sz="0" w:space="0" w:color="auto"/>
        <w:left w:val="none" w:sz="0" w:space="0" w:color="auto"/>
        <w:bottom w:val="none" w:sz="0" w:space="0" w:color="auto"/>
        <w:right w:val="none" w:sz="0" w:space="0" w:color="auto"/>
      </w:divBdr>
    </w:div>
    <w:div w:id="1026104413">
      <w:bodyDiv w:val="1"/>
      <w:marLeft w:val="0"/>
      <w:marRight w:val="0"/>
      <w:marTop w:val="0"/>
      <w:marBottom w:val="0"/>
      <w:divBdr>
        <w:top w:val="none" w:sz="0" w:space="0" w:color="auto"/>
        <w:left w:val="none" w:sz="0" w:space="0" w:color="auto"/>
        <w:bottom w:val="none" w:sz="0" w:space="0" w:color="auto"/>
        <w:right w:val="none" w:sz="0" w:space="0" w:color="auto"/>
      </w:divBdr>
    </w:div>
    <w:div w:id="16754994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90a002c24a1141cba80b76b663714550" PartId="bd80c57f1693409aad3e20e39c72d55b">
    <Part Type="skyrius" Nr="999" Title="SPRENDIMO „DĖL ŠIAULIŲ MIESTO SAVIVALDYBĖS TARYBOS 2006 M. BIRŽELIO 29 D. SPRENDIMO NR. T-243 „DĖL PAMINKLO STATYBOS PRISIKĖLIMO AIKŠTĖJE“ PRIPAŽINIMO NETEKUSIU GALIOS“ PROJEKTO" DocPartId="3e15cb2901a54e3f93dd03faf1019e61" PartId="ed673305e6394cbf986e025f096474ae">
      <Part Type="poskyris" Title="AIŠKINAMASIS RAŠTAS" DocPartId="d01b2271e9e143689cc8aa416f52207d" PartId="7024a8b3bd01481fbbce0fb8d471f98e"/>
      <Part Type="poskyris" Title="Parengto sprendimo projekto tikslai ir uždaviniai:" DocPartId="588b15d3d8774c54a0b37c2ce7faab95" PartId="82baddc2b81c49908745be9b6d0598b7"/>
      <Part Type="poskyris" Title="Dabartinis sprendimo projekte aptariamų klausimų reguliavimas." DocPartId="86b13044a80d4714b92abd159cbdf691" PartId="151346c661354707a7ae327198f9610a"/>
      <Part Type="poskyris" Title="Priėmus sprendimą, keičiami ar pripažįstami negaliojančiais teisės aktai." DocPartId="d46389f3ac9e44cfb3c776b697a3c604" PartId="e6b1b76d981a4193ab31f50bf9186f53"/>
      <Part Type="poskyris" Title="Sprendimui įgyvendinti reikalingi priimti papildomi teisės aktai." DocPartId="432841cae78b4b6dba3cb75afef8d39d" PartId="180096233c1f42508fc0ba6893a3aa1c"/>
      <Part Type="poskyris" Title="Kiek biudžeto lėšų pareikalaus ar leis sutaupyti sprendimo įgyvendinimas." DocPartId="44f583155dae4a6eb98d9d9c355c7c89" PartId="cb7082b3b3ae418e8f9c90e15972b979"/>
      <Part Type="poskyris" Title="Sprendimo projekto rengėjas ar rengėjų grupė, sprendimo projekto iniciatoriai." DocPartId="de388e9c54404e6d999724ba41157b77" PartId="180c0fe77a0a4e2aa6c0f97ab6ded0a4"/>
      <Part Type="poskyris" Title="Numatomo teisinio reguliavimo poveikio vertinimo rezultatai." DocPartId="8d69030f4c4b4ae892f4dbd3f74ffea0" PartId="eb0c0717b751477fae420e15d5087c89"/>
    </Part>
    <Part Type="signatura" DocPartId="4b2d42edd5c84a959d55e0ffcf10473f" PartId="e0aa1e00189a4896970848146373fc22"/>
  </Part>
</Parts>
</file>

<file path=customXml/itemProps1.xml><?xml version="1.0" encoding="utf-8"?>
<ds:datastoreItem xmlns:ds="http://schemas.openxmlformats.org/officeDocument/2006/customXml" ds:itemID="{1A3EDCF1-458D-4F11-969C-7DECB4DA8527}">
  <ds:schemaRefs>
    <ds:schemaRef ds:uri="http://schemas.openxmlformats.org/officeDocument/2006/bibliography"/>
  </ds:schemaRefs>
</ds:datastoreItem>
</file>

<file path=customXml/itemProps2.xml><?xml version="1.0" encoding="utf-8"?>
<ds:datastoreItem xmlns:ds="http://schemas.openxmlformats.org/officeDocument/2006/customXml" ds:itemID="{F15211E4-88ED-45B3-8F78-F3887564E52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481</Words>
  <Characters>3476</Characters>
  <Application>Microsoft Office Word</Application>
  <DocSecurity>4</DocSecurity>
  <Lines>62</Lines>
  <Paragraphs>28</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3929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2025-05-07T10:46:00Z</dcterms:created>
  <dc:creator>a.rinkeviciene</dc:creator>
  <lastModifiedBy>adlibuser</lastModifiedBy>
  <lastPrinted>2023-06-20T07:53:00Z</lastPrinted>
  <dcterms:modified xsi:type="dcterms:W3CDTF">2025-05-07T10:46:00Z</dcterms:modified>
  <revision>2</revision>
</coreProperties>
</file>