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986"/>
          <w:tab w:val="right" w:pos="9972"/>
        </w:tabs>
      </w:pPr>
    </w:p>
    <w:p>
      <w:pPr>
        <w:ind w:left="5102"/>
        <w:rPr>
          <w:rFonts w:eastAsia="Calibri"/>
          <w:szCs w:val="24"/>
          <w:lang w:eastAsia="lt-LT"/>
        </w:rPr>
      </w:pPr>
      <w:r>
        <w:rPr>
          <w:rFonts w:eastAsia="Calibri"/>
          <w:szCs w:val="24"/>
          <w:lang w:eastAsia="lt-LT"/>
        </w:rPr>
        <w:t>Prienų rajono savivaldybės turto valdymo,</w:t>
      </w:r>
    </w:p>
    <w:p>
      <w:pPr>
        <w:ind w:left="5102"/>
        <w:rPr>
          <w:rFonts w:ascii="Arial" w:hAnsi="Arial" w:cs="Arial"/>
          <w:sz w:val="20"/>
          <w:szCs w:val="24"/>
          <w:lang w:eastAsia="lt-LT"/>
        </w:rPr>
      </w:pPr>
      <w:r>
        <w:rPr>
          <w:rFonts w:eastAsia="Calibri"/>
          <w:szCs w:val="24"/>
          <w:lang w:eastAsia="lt-LT"/>
        </w:rPr>
        <w:t>naudojimo ir disponavimo juo tvarkos aprašo</w:t>
      </w:r>
    </w:p>
    <w:p>
      <w:pPr>
        <w:ind w:left="5102"/>
        <w:rPr>
          <w:rFonts w:eastAsia="Calibri"/>
          <w:szCs w:val="24"/>
          <w:lang w:eastAsia="lt-LT"/>
        </w:rPr>
      </w:pPr>
      <w:r>
        <w:rPr>
          <w:rFonts w:eastAsia="Calibri"/>
          <w:szCs w:val="24"/>
          <w:lang w:eastAsia="lt-LT"/>
        </w:rPr>
        <w:t>4</w:t>
      </w:r>
      <w:r>
        <w:rPr>
          <w:rFonts w:eastAsia="Calibri"/>
          <w:szCs w:val="24"/>
          <w:lang w:eastAsia="lt-LT"/>
        </w:rPr>
        <w:t xml:space="preserve"> priedas</w:t>
      </w:r>
    </w:p>
    <w:p>
      <w:pPr>
        <w:rPr>
          <w:szCs w:val="24"/>
        </w:rPr>
      </w:pPr>
    </w:p>
    <w:p>
      <w:pPr>
        <w:rPr>
          <w:szCs w:val="24"/>
        </w:rPr>
      </w:pPr>
    </w:p>
    <w:p>
      <w:pPr>
        <w:jc w:val="center"/>
        <w:rPr>
          <w:b/>
          <w:bCs/>
          <w:szCs w:val="24"/>
        </w:rPr>
      </w:pPr>
      <w:r>
        <w:rPr>
          <w:b/>
          <w:bCs/>
          <w:szCs w:val="24"/>
        </w:rPr>
        <w:t xml:space="preserve">POVEIKIO KONKURENCIJAI IR ATITIKTIES VALSTYBĖS PAGALBOS REIKALAVIMAMS VERTINIMO </w:t>
      </w:r>
    </w:p>
    <w:p>
      <w:pPr>
        <w:jc w:val="center"/>
        <w:rPr>
          <w:b/>
          <w:bCs/>
          <w:szCs w:val="24"/>
        </w:rPr>
      </w:pPr>
      <w:r>
        <w:rPr>
          <w:b/>
          <w:bCs/>
          <w:szCs w:val="24"/>
        </w:rPr>
        <w:t>KLAUSIMYNAS</w:t>
      </w:r>
    </w:p>
    <w:p>
      <w:pPr>
        <w:jc w:val="center"/>
        <w:rPr>
          <w:szCs w:val="24"/>
        </w:rPr>
      </w:pPr>
    </w:p>
    <w:p>
      <w:pPr>
        <w:jc w:val="center"/>
        <w:rPr>
          <w:szCs w:val="24"/>
        </w:rPr>
      </w:pPr>
      <w:r>
        <w:rPr>
          <w:szCs w:val="24"/>
        </w:rPr>
        <w:t xml:space="preserve">2022-05-18  Nr. (15.39Mr)AR4-1037</w:t>
      </w:r>
    </w:p>
    <w:p>
      <w:pPr>
        <w:ind w:firstLine="3922"/>
        <w:rPr>
          <w:szCs w:val="24"/>
        </w:rPr>
      </w:pPr>
      <w:r>
        <w:rPr>
          <w:sz w:val="20"/>
        </w:rPr>
        <w:t>(data)</w:t>
      </w:r>
    </w:p>
    <w:p>
      <w:pPr>
        <w:jc w:val="center"/>
        <w:rPr>
          <w:rFonts w:eastAsia="Malgun Gothic"/>
          <w:szCs w:val="24"/>
        </w:rPr>
      </w:pP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103"/>
      </w:tblGrid>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Turto valdytojas</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Prienų rajono savivaldybė, į. k. 111107225</w:t>
            </w:r>
          </w:p>
        </w:tc>
      </w:tr>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Cs/>
                <w:i/>
                <w:iCs/>
                <w:szCs w:val="24"/>
              </w:rPr>
            </w:pPr>
            <w:r>
              <w:rPr>
                <w:b/>
                <w:szCs w:val="24"/>
              </w:rPr>
              <w:t xml:space="preserve">Perduodamas turtas </w:t>
            </w:r>
          </w:p>
        </w:tc>
        <w:tc>
          <w:tcPr>
            <w:tcW w:w="7103" w:type="dxa"/>
            <w:tcBorders>
              <w:top w:val="single" w:sz="4" w:space="0" w:color="auto"/>
              <w:left w:val="single" w:sz="4" w:space="0" w:color="auto"/>
              <w:bottom w:val="single" w:sz="4" w:space="0" w:color="auto"/>
              <w:right w:val="single" w:sz="4" w:space="0" w:color="auto"/>
            </w:tcBorders>
            <w:hideMark/>
          </w:tcPr>
          <w:p>
            <w:pPr>
              <w:tabs>
                <w:tab w:val="left" w:pos="1276"/>
                <w:tab w:val="left" w:pos="1560"/>
              </w:tabs>
              <w:jc w:val="both"/>
              <w:rPr>
                <w:rFonts w:eastAsia="Malgun Gothic"/>
                <w:i/>
                <w:sz w:val="20"/>
                <w:lang w:eastAsia="lt-LT"/>
              </w:rPr>
            </w:pPr>
            <w:r>
              <w:rPr>
                <w:rFonts w:eastAsia="Malgun Gothic"/>
                <w:i/>
                <w:sz w:val="20"/>
                <w:lang w:eastAsia="lt-LT"/>
              </w:rPr>
              <w:t>Turto sąrašas pridedamas.</w:t>
            </w:r>
          </w:p>
        </w:tc>
      </w:tr>
      <w:t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Panaudos subjektas </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rFonts w:eastAsia="Malgun Gothic"/>
                <w:i/>
                <w:sz w:val="20"/>
              </w:rPr>
              <w:t xml:space="preserve">Prienų aeroklubas, į. k. </w:t>
            </w:r>
            <w:r>
              <w:rPr>
                <w:i/>
                <w:sz w:val="20"/>
              </w:rPr>
              <w:t xml:space="preserve"> 305766671</w:t>
            </w:r>
          </w:p>
        </w:tc>
      </w:tr>
      <w:tr>
        <w:trPr>
          <w:trHeight w:val="60"/>
        </w:trPr>
        <w:tc>
          <w:tcPr>
            <w:tcW w:w="3085" w:type="dxa"/>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Turto perdavimo tikslas </w:t>
            </w:r>
          </w:p>
        </w:tc>
        <w:tc>
          <w:tcPr>
            <w:tcW w:w="7103" w:type="dxa"/>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rFonts w:eastAsia="Malgun Gothic"/>
                <w:i/>
                <w:sz w:val="20"/>
              </w:rPr>
              <w:t>Nekilnojamasis turtas perduodamas asociacijos veiklai vykdyti (išskyrus komercinę veiklą)</w:t>
            </w:r>
          </w:p>
        </w:tc>
      </w:tr>
    </w:tbl>
    <w:p>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769"/>
        <w:gridCol w:w="2289"/>
        <w:gridCol w:w="2610"/>
      </w:tblGrid>
      <w:tr>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pPr>
              <w:ind w:left="720"/>
              <w:rPr>
                <w:rFonts w:eastAsia="Malgun Gothic"/>
                <w:b/>
                <w:szCs w:val="24"/>
              </w:rPr>
            </w:pPr>
            <w:r>
              <w:rPr>
                <w:rFonts w:eastAsia="Malgun Gothic"/>
                <w:b/>
                <w:szCs w:val="24"/>
              </w:rPr>
              <w:t xml:space="preserve">I dalis. Perduodamo turto panaudojimo ūkinei veiklai vykdyti požymių nustatymas </w:t>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1.</w:t>
              <w:tab/>
            </w:r>
          </w:p>
        </w:tc>
        <w:tc>
          <w:tcPr>
            <w:tcW w:w="2288" w:type="pct"/>
            <w:tcBorders>
              <w:top w:val="single" w:sz="4" w:space="0" w:color="auto"/>
              <w:left w:val="single" w:sz="4" w:space="0" w:color="auto"/>
              <w:bottom w:val="single" w:sz="4" w:space="0" w:color="auto"/>
              <w:right w:val="single" w:sz="4" w:space="0" w:color="auto"/>
            </w:tcBorders>
            <w:hideMark/>
          </w:tcPr>
          <w:p>
            <w:pPr>
              <w:rPr>
                <w:color w:val="000000"/>
                <w:szCs w:val="24"/>
              </w:rPr>
            </w:pPr>
            <w:r>
              <w:rPr>
                <w:b/>
                <w:szCs w:val="24"/>
              </w:rPr>
              <w:t>Ar panaudos subjektas teikia paslaugas, kurias teikia ir privat</w:t>
            </w:r>
            <w:r>
              <w:rPr>
                <w:b/>
                <w:szCs w:val="24"/>
                <w:lang w:eastAsia="ko-KR"/>
              </w:rPr>
              <w:t>ū</w:t>
            </w:r>
            <w:r>
              <w:rPr>
                <w:b/>
                <w:szCs w:val="24"/>
              </w:rPr>
              <w:t>s subjektai</w:t>
            </w:r>
          </w:p>
          <w:p>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rFonts w:eastAsia="Malgun Gothic"/>
                <w:szCs w:val="24"/>
              </w:rPr>
              <w:t>Ne</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ind w:left="720" w:hanging="360"/>
              <w:rPr>
                <w:rFonts w:eastAsia="Malgun Gothic"/>
                <w:b/>
                <w:i/>
                <w:sz w:val="20"/>
              </w:rPr>
            </w:pPr>
            <w:r>
              <w:rPr>
                <w:rFonts w:eastAsia="Malgun Gothic"/>
                <w:b/>
                <w:i/>
                <w:sz w:val="20"/>
              </w:rPr>
              <w:t>1.</w:t>
              <w:tab/>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2.</w:t>
              <w:tab/>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parduoda prekes</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tc>
          <w:tcPr>
            <w:tcW w:w="362" w:type="pct"/>
            <w:tcBorders>
              <w:top w:val="single" w:sz="4" w:space="0" w:color="auto"/>
              <w:left w:val="single" w:sz="4" w:space="0" w:color="auto"/>
              <w:bottom w:val="single" w:sz="4" w:space="0" w:color="auto"/>
              <w:right w:val="single" w:sz="4" w:space="0" w:color="auto"/>
            </w:tcBorders>
          </w:tcPr>
          <w:p>
            <w:pPr>
              <w:ind w:left="360" w:hanging="360"/>
              <w:rPr>
                <w:b/>
                <w:szCs w:val="24"/>
              </w:rPr>
            </w:pPr>
            <w:r>
              <w:rPr>
                <w:rFonts w:eastAsia="Malgun Gothic"/>
                <w:b/>
                <w:szCs w:val="24"/>
              </w:rPr>
              <w:t>3.</w:t>
              <w:tab/>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r>
              <w:rPr>
                <w:rFonts w:eastAsia="Malgun Gothic"/>
                <w:szCs w:val="24"/>
              </w:rPr>
              <w:t>Taip</w:t>
            </w: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Atsakymo pagrindimas</w:t>
            </w:r>
          </w:p>
          <w:p>
            <w:pPr>
              <w:jc w:val="both"/>
              <w:rPr>
                <w:rFonts w:eastAsia="Malgun Gothic"/>
                <w:szCs w:val="24"/>
              </w:rPr>
            </w:pPr>
            <w:r>
              <w:rPr>
                <w:rFonts w:eastAsia="Malgun Gothic"/>
                <w:i/>
                <w:sz w:val="20"/>
              </w:rPr>
              <w:t xml:space="preserve">Lietuvos Respublikos Vyriausybė 2021 m. balandžio 7 d. nutarimu Nr. 222 „Dėl nekilnojamojo ir ilgalaikio materialiojo turto perdavimo Prienų rajono savivaldybės nuosavybėn“ Prienų rajono savivaldybės nuosavybės perdavė Pociūnų aerodromo turtą. Nutarime išvardytu turtu daug metų (tuo metu būdami Kauno apskrities aviacijos sporto klubo nariais) naudojosi ir Prienų aeroklubo nariai, kurie šiuo metu prašo perduoti turtą, kurį naudojo iki šiol, kad galėtų užtikrinti naujai sukurto (2021 m.) klubo veiklą. Pažymėtina, kad tie patys klubo nariai yra ir Kauno apskrities aviacijos sporto klubo nariai. </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p>
        </w:tc>
      </w:tr>
      <w:tr>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pPr>
              <w:tabs>
                <w:tab w:val="left" w:pos="567"/>
              </w:tabs>
              <w:jc w:val="center"/>
              <w:rPr>
                <w:rFonts w:eastAsia="Malgun Gothic"/>
                <w:b/>
                <w:szCs w:val="24"/>
                <w:lang w:val="en-US"/>
              </w:rPr>
            </w:pPr>
            <w:r>
              <w:rPr>
                <w:b/>
                <w:szCs w:val="24"/>
              </w:rPr>
              <w:t>II dalis. Poveikio konkurencijai ir atitikties valstybės pagalbos reikalavimams vertinimas</w:t>
            </w: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1.</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konkuruoja su kitais subjektais konkrečiame regione ar visoje Lietuvoje</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rFonts w:eastAsia="Malgun Gothic"/>
                <w:szCs w:val="24"/>
              </w:rPr>
              <w:t>Ne</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2.</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szCs w:val="24"/>
              </w:rPr>
            </w:pPr>
            <w:r>
              <w:rPr>
                <w:b/>
                <w:szCs w:val="24"/>
              </w:rPr>
              <w:t>Ar panaudos subjektas konkuruoja su kitais subjektais, veikiančiais užsienyje</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b/>
                <w:bCs/>
                <w:szCs w:val="24"/>
              </w:rPr>
            </w:pPr>
            <w:r>
              <w:rPr>
                <w:b/>
                <w:bCs/>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tc>
          <w:tcPr>
            <w:tcW w:w="362" w:type="pct"/>
            <w:tcBorders>
              <w:top w:val="single" w:sz="4" w:space="0" w:color="auto"/>
              <w:left w:val="single" w:sz="4" w:space="0" w:color="auto"/>
              <w:bottom w:val="single" w:sz="4" w:space="0" w:color="auto"/>
              <w:right w:val="single" w:sz="4" w:space="0" w:color="auto"/>
            </w:tcBorders>
            <w:hideMark/>
          </w:tcPr>
          <w:p>
            <w:pPr>
              <w:ind w:left="357"/>
              <w:rPr>
                <w:rFonts w:eastAsia="Malgun Gothic"/>
                <w:b/>
                <w:bCs/>
                <w:szCs w:val="24"/>
              </w:rPr>
            </w:pPr>
            <w:r>
              <w:rPr>
                <w:b/>
                <w:bCs/>
                <w:szCs w:val="24"/>
              </w:rPr>
              <w:t>3.</w:t>
            </w:r>
          </w:p>
        </w:tc>
        <w:tc>
          <w:tcPr>
            <w:tcW w:w="2288" w:type="pct"/>
            <w:tcBorders>
              <w:top w:val="single" w:sz="4" w:space="0" w:color="auto"/>
              <w:left w:val="single" w:sz="4" w:space="0" w:color="auto"/>
              <w:bottom w:val="single" w:sz="4" w:space="0" w:color="auto"/>
              <w:right w:val="single" w:sz="4" w:space="0" w:color="auto"/>
            </w:tcBorders>
            <w:hideMark/>
          </w:tcPr>
          <w:p>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e minimis</w:t>
            </w:r>
            <w:r>
              <w:rPr>
                <w:b/>
                <w:bCs/>
                <w:szCs w:val="24"/>
              </w:rPr>
              <w:t xml:space="preserve"> pagalbos reglamentų</w:t>
            </w:r>
          </w:p>
        </w:tc>
        <w:tc>
          <w:tcPr>
            <w:tcW w:w="1098" w:type="pct"/>
            <w:tcBorders>
              <w:top w:val="single" w:sz="4" w:space="0" w:color="auto"/>
              <w:left w:val="single" w:sz="4" w:space="0" w:color="auto"/>
              <w:bottom w:val="single" w:sz="4" w:space="0" w:color="auto"/>
              <w:right w:val="single" w:sz="4" w:space="0" w:color="auto"/>
            </w:tcBorders>
            <w:hideMark/>
          </w:tcPr>
          <w:p>
            <w:pPr>
              <w:rPr>
                <w:rFonts w:eastAsia="Malgun Gothic"/>
                <w:szCs w:val="24"/>
              </w:rPr>
            </w:pPr>
          </w:p>
        </w:tc>
        <w:tc>
          <w:tcPr>
            <w:tcW w:w="1252" w:type="pct"/>
            <w:tcBorders>
              <w:top w:val="single" w:sz="4" w:space="0" w:color="auto"/>
              <w:left w:val="single" w:sz="4" w:space="0" w:color="auto"/>
              <w:bottom w:val="single" w:sz="4" w:space="0" w:color="auto"/>
              <w:right w:val="single" w:sz="4" w:space="0" w:color="auto"/>
            </w:tcBorders>
          </w:tcPr>
          <w:p>
            <w:pPr>
              <w:rPr>
                <w:rFonts w:eastAsia="Malgun Gothic"/>
                <w:szCs w:val="24"/>
              </w:rPr>
            </w:pPr>
            <w:r>
              <w:rPr>
                <w:szCs w:val="24"/>
              </w:rPr>
              <w:fldChar w:fldCharType="begin" w:fldLock="1">
                <w:ffData>
                  <w:name w:val="Check2"/>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b/>
                <w:bCs/>
                <w:szCs w:val="24"/>
              </w:rPr>
              <w:t>Ne</w:t>
            </w:r>
          </w:p>
          <w:p>
            <w:pPr>
              <w:rPr>
                <w:rFonts w:eastAsia="Malgun Gothic"/>
                <w:szCs w:val="24"/>
              </w:rPr>
            </w:pP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center"/>
              <w:rPr>
                <w:rFonts w:eastAsia="Malgun Gothic"/>
                <w:szCs w:val="24"/>
              </w:rPr>
            </w:pPr>
            <w:r>
              <w:rPr>
                <w:b/>
                <w:szCs w:val="24"/>
              </w:rPr>
              <w:t>Atsakymo pagrindimas</w:t>
            </w:r>
          </w:p>
        </w:tc>
      </w:tr>
      <w:tr>
        <w:tc>
          <w:tcPr>
            <w:tcW w:w="5000" w:type="pct"/>
            <w:gridSpan w:val="4"/>
            <w:tcBorders>
              <w:top w:val="single" w:sz="4" w:space="0" w:color="auto"/>
              <w:left w:val="single" w:sz="4" w:space="0" w:color="auto"/>
              <w:bottom w:val="single" w:sz="4" w:space="0" w:color="auto"/>
              <w:right w:val="single" w:sz="4" w:space="0" w:color="auto"/>
            </w:tcBorders>
            <w:hideMark/>
          </w:tcPr>
          <w:p>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pPr>
        <w:ind w:firstLine="567"/>
        <w:jc w:val="both"/>
        <w:rPr>
          <w:rFonts w:eastAsia="Malgun Gothic"/>
          <w:szCs w:val="24"/>
        </w:rPr>
      </w:pPr>
      <w:r>
        <w:rPr>
          <w:szCs w:val="24"/>
        </w:rPr>
        <w:t>Pastabos:</w:t>
      </w:r>
    </w:p>
    <w:p>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pPr>
        <w:ind w:firstLine="567"/>
        <w:jc w:val="both"/>
        <w:rPr>
          <w:szCs w:val="24"/>
        </w:rPr>
      </w:pPr>
      <w:r>
        <w:rPr>
          <w:bCs/>
          <w:szCs w:val="24"/>
        </w:rPr>
        <w:t xml:space="preserve">Europos Komisijos patvirtintų </w:t>
      </w:r>
      <w:r>
        <w:rPr>
          <w:bCs/>
          <w:i/>
          <w:iCs/>
          <w:szCs w:val="24"/>
        </w:rPr>
        <w:t>de minimis</w:t>
      </w:r>
      <w:r>
        <w:rPr>
          <w:bCs/>
          <w:szCs w:val="24"/>
        </w:rPr>
        <w:t xml:space="preserve"> pagalbos reglamentų sąrašą galima rasti:</w:t>
      </w:r>
    </w:p>
    <w:p>
      <w:pPr>
        <w:ind w:firstLine="567"/>
        <w:jc w:val="both"/>
        <w:rPr>
          <w:szCs w:val="24"/>
        </w:rPr>
      </w:pPr>
      <w:r>
        <w:rPr>
          <w:bCs/>
          <w:szCs w:val="24"/>
        </w:rPr>
        <w:t>http://kt.gov.lt/lt/veiklos-sritys/valstybes-pagalba/susijusi-informacija-2/bendrosios-isimties-reglamentai.</w:t>
      </w:r>
    </w:p>
    <w:p>
      <w:pPr>
        <w:jc w:val="both"/>
        <w:rPr>
          <w:szCs w:val="24"/>
        </w:rPr>
      </w:pPr>
    </w:p>
    <w:p>
      <w:pPr>
        <w:jc w:val="both"/>
        <w:rPr>
          <w:szCs w:val="24"/>
        </w:rPr>
      </w:pPr>
    </w:p>
    <w:p>
      <w:pPr>
        <w:jc w:val="both"/>
        <w:rPr>
          <w:sz w:val="20"/>
        </w:rPr>
      </w:pPr>
      <w:r>
        <w:rPr>
          <w:sz w:val="20"/>
        </w:rPr>
        <w:t>Prienų rajono savivaldybės administracijos</w:t>
      </w:r>
    </w:p>
    <w:p>
      <w:pPr>
        <w:jc w:val="both"/>
        <w:rPr>
          <w:sz w:val="20"/>
        </w:rPr>
      </w:pPr>
      <w:r>
        <w:rPr>
          <w:sz w:val="20"/>
        </w:rPr>
        <w:t>Statybos ir ekonominės plėtros skyriaus vyriausioji specialistė,</w:t>
      </w:r>
    </w:p>
    <w:p>
      <w:pPr>
        <w:jc w:val="both"/>
        <w:rPr>
          <w:sz w:val="20"/>
        </w:rPr>
      </w:pPr>
      <w:r>
        <w:rPr>
          <w:sz w:val="20"/>
        </w:rPr>
        <w:t>pavaduojanti skyriaus vedėją</w:t>
        <w:tab/>
        <w:tab/>
        <w:tab/>
        <w:tab/>
        <w:t>Ilona Ramanauskienė</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sectPr>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134"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C1622-23F0-43FC-A36B-3E07227D49F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3124</Characters>
  <Application>Microsoft Office Word</Application>
  <DocSecurity>4</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2022-05-19T12:10:00Z</dcterms:created>
  <dc:creator>User</dc:creator>
  <lastModifiedBy>adlibuser</lastModifiedBy>
  <lastPrinted>2021-08-19T09:49:00Z</lastPrinted>
  <dcterms:modified xsi:type="dcterms:W3CDTF">2022-05-19T12:10:00Z</dcterms:modified>
  <revision>2</revision>
</coreProperties>
</file>