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bf8e198c770430696f3e0bb2ca73a66"/>
        <w:lock w:val="sdtLocked"/>
        <w:richText/>
      </w:sdtPr>
      <w:sdtContent>
        <w:p>
          <w:pPr>
            <w:spacing w:line="259" w:lineRule="auto"/>
            <w:jc w:val="center"/>
            <w:rPr>
              <w:b/>
              <w:bCs/>
              <w:kern w:val="2"/>
              <w:szCs w:val="22"/>
            </w:rPr>
          </w:pPr>
          <w:r>
            <w:rPr>
              <w:b/>
              <w:bCs/>
              <w:kern w:val="2"/>
              <w:szCs w:val="22"/>
            </w:rPr>
            <w:t xml:space="preserve">STATYBOS TECHNINIO REGLAMENTO STR 1.04.04:2017 „STATINIŲ IR PATALPŲ KLASIFIKAVIMAS“ KEITIMO PROJEKTO DERINIMO PAŽYMA </w:t>
          </w:r>
        </w:p>
        <w:p>
          <w:pPr>
            <w:rPr>
              <w:sz w:val="14"/>
              <w:szCs w:val="14"/>
            </w:rPr>
          </w:pPr>
        </w:p>
        <w:p>
          <w:pPr>
            <w:spacing w:line="259" w:lineRule="auto"/>
            <w:jc w:val="center"/>
            <w:rPr>
              <w:b/>
              <w:bCs/>
              <w:kern w:val="2"/>
              <w:szCs w:val="22"/>
            </w:rPr>
          </w:pPr>
          <w:r>
            <w:rPr>
              <w:b/>
              <w:bCs/>
              <w:kern w:val="2"/>
              <w:szCs w:val="22"/>
            </w:rPr>
            <w:t>(PASIŪLYMAI GAUTI IKI PROJEKTO DERINIMO TAIS)</w:t>
          </w:r>
        </w:p>
        <w:p>
          <w:pPr>
            <w:rPr>
              <w:sz w:val="14"/>
              <w:szCs w:val="14"/>
            </w:rPr>
          </w:pPr>
        </w:p>
        <w:p>
          <w:pPr>
            <w:spacing w:line="259" w:lineRule="auto"/>
            <w:jc w:val="center"/>
            <w:rPr>
              <w:b/>
              <w:bCs/>
              <w:kern w:val="2"/>
              <w:szCs w:val="22"/>
            </w:rPr>
          </w:pPr>
        </w:p>
        <w:p>
          <w:pPr>
            <w:rPr>
              <w:sz w:val="14"/>
              <w:szCs w:val="14"/>
            </w:rPr>
          </w:pPr>
        </w:p>
        <w:tbl>
          <w:tblPr>
            <w:tblW w:w="14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4627"/>
            <w:gridCol w:w="6330"/>
          </w:tblGrid>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Suinteresuotos institucijos ir suinteresuoti asmenys, į kurių pastabas ir pasiūlymus neatsižvelgta arba atsižvelgta iš dalies</w:t>
                </w:r>
              </w:p>
              <w:p>
                <w:pPr>
                  <w:jc w:val="center"/>
                  <w:rPr>
                    <w:rFonts w:eastAsia="Calibri"/>
                    <w:b/>
                    <w:bCs/>
                    <w:kern w:val="2"/>
                    <w:szCs w:val="24"/>
                    <w:lang w:eastAsia="lt-LT"/>
                  </w:rPr>
                </w:pP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szCs w:val="24"/>
                    <w:lang w:eastAsia="lt-LT"/>
                  </w:rPr>
                </w:pPr>
                <w:r>
                  <w:rPr>
                    <w:rFonts w:eastAsia="Calibri"/>
                    <w:b/>
                    <w:bCs/>
                    <w:kern w:val="2"/>
                    <w:szCs w:val="24"/>
                    <w:lang w:eastAsia="lt-LT"/>
                  </w:rPr>
                  <w:t>Suinteresuotų institucijų ir suinteresuotų asmenų pateiktos pastabos ir pasiūlymai, į kuriuos neatsižvelgta arba atsižvelgta iš dalies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 xml:space="preserve">Argumentai, kodėl neatsižvelgta arba tik iš dalies atsižvelgta į suinteresuotų institucijų  ir suinteresuotų asmenų pateiktas pastabas ir pasiūlymus</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ind w:left="413" w:hanging="360"/>
                  <w:rPr>
                    <w:rFonts w:ascii="Calibri" w:eastAsia="Calibri" w:hAnsi="Calibri"/>
                    <w:sz w:val="20"/>
                    <w:szCs w:val="24"/>
                    <w:lang w:eastAsia="lt-LT"/>
                  </w:rPr>
                </w:pPr>
                <w:r>
                  <w:rPr>
                    <w:rFonts w:eastAsia="Calibri"/>
                    <w:szCs w:val="24"/>
                    <w:lang w:eastAsia="lt-LT"/>
                  </w:rPr>
                  <w:t>1.</w:t>
                  <w:tab/>
                </w:r>
                <w:r>
                  <w:rPr>
                    <w:rFonts w:ascii="Calibri" w:eastAsia="Calibri" w:hAnsi="Calibri"/>
                    <w:sz w:val="20"/>
                    <w:szCs w:val="24"/>
                    <w:lang w:eastAsia="lt-LT"/>
                  </w:rPr>
                  <w:t>Lietuvos projektavimo įmonių asociacija</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III Dėl transporto statinių</w:t>
                </w:r>
              </w:p>
              <w:p>
                <w:pPr>
                  <w:rPr>
                    <w:rFonts w:eastAsia="Calibri"/>
                    <w:szCs w:val="24"/>
                    <w:lang w:eastAsia="lt-LT"/>
                  </w:rPr>
                </w:pPr>
                <w:r>
                  <w:rPr>
                    <w:rFonts w:eastAsia="Calibri"/>
                    <w:szCs w:val="24"/>
                    <w:lang w:eastAsia="lt-LT"/>
                  </w:rPr>
                  <w:t xml:space="preserve">Po 2024 m. lapkričio 1 d. patikslintame STR 1.01.03:2017 „Statinių ir patalpų </w:t>
                </w:r>
              </w:p>
              <w:p>
                <w:pPr>
                  <w:rPr>
                    <w:rFonts w:eastAsia="Calibri"/>
                    <w:szCs w:val="24"/>
                    <w:lang w:eastAsia="lt-LT"/>
                  </w:rPr>
                </w:pPr>
                <w:r>
                  <w:rPr>
                    <w:rFonts w:eastAsia="Calibri"/>
                    <w:szCs w:val="24"/>
                    <w:lang w:eastAsia="lt-LT"/>
                  </w:rPr>
                  <w:t xml:space="preserve">klasifikavimas“ pasikeitė inžinerinių statinių skirstymas į grupes ir pogrupius (paskirtis). </w:t>
                </w:r>
              </w:p>
              <w:p>
                <w:pPr>
                  <w:rPr>
                    <w:rFonts w:eastAsia="Calibri"/>
                    <w:szCs w:val="24"/>
                    <w:lang w:eastAsia="lt-LT"/>
                  </w:rPr>
                </w:pPr>
                <w:r>
                  <w:rPr>
                    <w:rFonts w:eastAsia="Calibri"/>
                    <w:szCs w:val="24"/>
                    <w:lang w:eastAsia="lt-LT"/>
                  </w:rPr>
                  <w:t xml:space="preserve">Reglamento 3 priede pateiktas Inžinerinių statinių klasifikavimas. Sukurtas naujas pogrupis 4.2 „Kitų transporto statinių“, kurie priskirti prie grupės 4. „Kiti inžineriniai statiniai“. </w:t>
                </w:r>
              </w:p>
              <w:p>
                <w:pPr>
                  <w:rPr>
                    <w:rFonts w:eastAsia="Calibri"/>
                    <w:szCs w:val="24"/>
                    <w:lang w:eastAsia="lt-LT"/>
                  </w:rPr>
                </w:pPr>
                <w:r>
                  <w:rPr>
                    <w:rFonts w:eastAsia="Calibri"/>
                    <w:szCs w:val="24"/>
                    <w:lang w:eastAsia="lt-LT"/>
                  </w:rPr>
                  <w:t xml:space="preserve">Sutinkame, kad buvo sukurtas naujas statinių pogrupis „Kitų transporto statinių“. Tačiau </w:t>
                </w:r>
              </w:p>
              <w:p>
                <w:pPr>
                  <w:rPr>
                    <w:rFonts w:eastAsia="Calibri"/>
                    <w:szCs w:val="24"/>
                    <w:lang w:eastAsia="lt-LT"/>
                  </w:rPr>
                </w:pPr>
                <w:r>
                  <w:rPr>
                    <w:rFonts w:eastAsia="Calibri"/>
                    <w:szCs w:val="24"/>
                    <w:lang w:eastAsia="lt-LT"/>
                  </w:rPr>
                  <w:t xml:space="preserve">nėra aišku, kodėl tas pogrupis yra iškeltas į statinių grupę „Kiti inžineriniai statiniai“, kai </w:t>
                </w:r>
              </w:p>
              <w:p>
                <w:pPr>
                  <w:rPr>
                    <w:rFonts w:eastAsia="Calibri"/>
                    <w:szCs w:val="24"/>
                    <w:lang w:eastAsia="lt-LT"/>
                  </w:rPr>
                </w:pPr>
                <w:r>
                  <w:rPr>
                    <w:rFonts w:eastAsia="Calibri"/>
                    <w:szCs w:val="24"/>
                    <w:lang w:eastAsia="lt-LT"/>
                  </w:rPr>
                  <w:t xml:space="preserve">Reglamente rašoma, kad tai inžinerinis statinys skirtas transporto priemonių ir pėsčiųjų eismui. </w:t>
                </w:r>
              </w:p>
              <w:p>
                <w:pPr>
                  <w:rPr>
                    <w:rFonts w:eastAsia="Calibri"/>
                    <w:szCs w:val="24"/>
                    <w:lang w:eastAsia="lt-LT"/>
                  </w:rPr>
                </w:pPr>
                <w:r>
                  <w:rPr>
                    <w:rFonts w:eastAsia="Calibri"/>
                    <w:szCs w:val="24"/>
                    <w:lang w:eastAsia="lt-LT"/>
                  </w:rPr>
                  <w:t xml:space="preserve">Manome, kad teisingiausia būtų statinių pogrupį „Kitų transporto statinių“ priskirti prie statinių grupės 1. „Susiekimo komunikacijų statiniai“, nes šie statiniai susiję su transporto priemonių ir </w:t>
                </w:r>
              </w:p>
              <w:p>
                <w:pPr>
                  <w:rPr>
                    <w:rFonts w:eastAsia="Calibri"/>
                    <w:szCs w:val="24"/>
                    <w:lang w:eastAsia="lt-LT"/>
                  </w:rPr>
                </w:pPr>
                <w:r>
                  <w:rPr>
                    <w:rFonts w:eastAsia="Calibri"/>
                    <w:szCs w:val="24"/>
                    <w:lang w:eastAsia="lt-LT"/>
                  </w:rPr>
                  <w:t xml:space="preserve">pėsčiųjų eismu, pagal savo paskirtį iki Reglamento pasikeitimo buvo susisiekimo komunikacijų statinių priklausiniai. Vykdant esamų statinių rekonstrukcijos darbus, kyla daug neaiškumų dėl naujai įvestų transporto statinių pogrupio, nes prieš tai tas statinys buvo susisiekimo komunikacijų priklausinys, o dabar tampa kitu inžineriniu statiniu, jau nebe susisiekimo komunikacijų statiniu. </w:t>
                </w:r>
              </w:p>
              <w:p>
                <w:pPr>
                  <w:rPr>
                    <w:rFonts w:eastAsia="Calibri"/>
                    <w:szCs w:val="24"/>
                    <w:lang w:eastAsia="lt-LT"/>
                  </w:rPr>
                </w:pPr>
                <w:r>
                  <w:rPr>
                    <w:rFonts w:eastAsia="Calibri"/>
                    <w:szCs w:val="24"/>
                    <w:lang w:eastAsia="lt-LT"/>
                  </w:rPr>
                  <w:t>Taip pat statinių klasifikavimas yra susijęs su SPV ir SPDV kvalifikacijos atestatų išdavimu. Tiek susisiekimo komunikacijų statinių, tiek transporto statinių studijos rengiamos pagal tas pačias studijų programas, o vėliau pagal tas pačias programas yra atestuojami specialistai. Atestatų išdavimo tvarkos griežtėjo, atestatuose keitėsi įrašai apie statinius, bet visada transporto statiniai buvo priskiriami prie susisiekimo komunikacijų statinių. Pagal patikslintą Reglamentą gali kilti vėliau daug klausimų ir neaiškumų, ar išduoti atestatai yra tinkami transporto statinių projektavimui/statybai/ekspertizei, kai šie statiniai yra kitų inžinerinių statinių pogrupyje, kaip bus elgiamasi su išduotais atestatais, kai juos reikės pratęsti.</w:t>
                </w:r>
              </w:p>
              <w:p>
                <w:pPr>
                  <w:rPr>
                    <w:rFonts w:eastAsia="Calibri"/>
                    <w:szCs w:val="24"/>
                    <w:lang w:eastAsia="lt-LT"/>
                  </w:rPr>
                </w:pPr>
                <w:r>
                  <w:rPr>
                    <w:rFonts w:eastAsia="Calibri"/>
                    <w:szCs w:val="24"/>
                    <w:lang w:eastAsia="lt-LT"/>
                  </w:rPr>
                  <w:t xml:space="preserve">Atsižvelgiant į aukščiau išdėstytą, prašome 3 priede prie statinių grupės 1. „Susiekimo </w:t>
                </w:r>
              </w:p>
              <w:p>
                <w:pPr>
                  <w:rPr>
                    <w:rFonts w:eastAsia="Calibri"/>
                    <w:szCs w:val="24"/>
                    <w:lang w:eastAsia="lt-LT"/>
                  </w:rPr>
                </w:pPr>
                <w:r>
                  <w:rPr>
                    <w:rFonts w:eastAsia="Calibri"/>
                    <w:szCs w:val="24"/>
                    <w:lang w:eastAsia="lt-LT"/>
                  </w:rPr>
                  <w:t>komunikacijų statiniai“ priskirti statinių pogrupį „Transporto statiniai“, kurio eilės numeris 3 priede būtų 1.6. Atitinkamai iš 3 priedo 4.2. pozicijos turėtų būti išbrauktas statinių pogrupis, įrašant „neteko galios nuo x dienos“.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Neatsižvelgta, tobulinant teisės aktus numatoma keisti teisės aktus, reglamentuojančius Atestatų išdavimo tvarką;</w:t>
                  <w:br/>
                </w:r>
              </w:p>
            </w:tc>
          </w:tr>
          <w:tr>
            <w:trPr>
              <w:trHeight w:val="498"/>
            </w:trPr>
            <w:tc>
              <w:tcPr>
                <w:tcW w:w="3964" w:type="dxa"/>
                <w:tcBorders>
                  <w:top w:val="single" w:sz="4" w:space="0" w:color="000000" w:themeColor="text1"/>
                  <w:left w:val="single" w:sz="4" w:space="0" w:color="000000" w:themeColor="text1"/>
                  <w:bottom w:val="single" w:sz="12" w:space="0" w:color="000000" w:themeColor="text1"/>
                  <w:right w:val="single" w:sz="4" w:space="0" w:color="000000" w:themeColor="text1"/>
                </w:tcBorders>
              </w:tcPr>
              <w:p>
                <w:pPr>
                  <w:ind w:left="413" w:hanging="360"/>
                  <w:rPr>
                    <w:rFonts w:ascii="Calibri" w:eastAsia="Calibri" w:hAnsi="Calibri"/>
                    <w:sz w:val="20"/>
                    <w:szCs w:val="24"/>
                    <w:lang w:eastAsia="lt-LT"/>
                  </w:rPr>
                </w:pPr>
                <w:r>
                  <w:rPr>
                    <w:rFonts w:eastAsia="Calibri"/>
                    <w:szCs w:val="24"/>
                    <w:lang w:eastAsia="lt-LT"/>
                  </w:rPr>
                  <w:t>2.</w:t>
                  <w:tab/>
                </w:r>
                <w:r>
                  <w:rPr>
                    <w:rFonts w:ascii="Calibri" w:eastAsia="Calibri" w:hAnsi="Calibri"/>
                    <w:sz w:val="20"/>
                    <w:szCs w:val="24"/>
                    <w:lang w:eastAsia="lt-LT"/>
                  </w:rPr>
                  <w:t xml:space="preserve">Lietuvos Architektų rūmai ir kt. </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Apibrėžti kas yra asmeninio ir kas rekreacinio poilsio pastatai</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Dalinai atsižvelgta, formuluotės patikslintos</w:t>
                </w:r>
              </w:p>
            </w:tc>
          </w:tr>
          <w:tr>
            <w:trPr>
              <w:trHeight w:val="498"/>
            </w:trPr>
            <w:tc>
              <w:tcPr>
                <w:tcW w:w="3964"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tcPr>
              <w:p>
                <w:pPr>
                  <w:ind w:left="413" w:hanging="360"/>
                  <w:rPr>
                    <w:rFonts w:ascii="Calibri" w:eastAsia="Calibri" w:hAnsi="Calibri"/>
                    <w:sz w:val="20"/>
                    <w:szCs w:val="24"/>
                    <w:lang w:eastAsia="lt-LT"/>
                  </w:rPr>
                </w:pPr>
                <w:r>
                  <w:rPr>
                    <w:rFonts w:eastAsia="Calibri"/>
                    <w:szCs w:val="24"/>
                    <w:lang w:eastAsia="lt-LT"/>
                  </w:rPr>
                  <w:t>3.</w:t>
                  <w:tab/>
                </w:r>
              </w:p>
              <w:p>
                <w:pPr>
                  <w:rPr>
                    <w:rFonts w:ascii="Calibri" w:eastAsia="Calibri" w:hAnsi="Calibri"/>
                    <w:sz w:val="20"/>
                    <w:szCs w:val="24"/>
                    <w:lang w:eastAsia="lt-LT"/>
                  </w:rPr>
                </w:pPr>
              </w:p>
              <w:p>
                <w:pPr>
                  <w:rPr>
                    <w:rFonts w:ascii="Calibri" w:eastAsia="Calibri" w:hAnsi="Calibri"/>
                    <w:sz w:val="20"/>
                    <w:szCs w:val="24"/>
                    <w:lang w:eastAsia="lt-LT"/>
                  </w:rPr>
                </w:pPr>
              </w:p>
              <w:p>
                <w:pPr>
                  <w:rPr>
                    <w:rFonts w:ascii="Calibri" w:eastAsia="Calibri" w:hAnsi="Calibri"/>
                    <w:sz w:val="20"/>
                    <w:szCs w:val="24"/>
                    <w:lang w:eastAsia="lt-LT"/>
                  </w:rPr>
                </w:pPr>
              </w:p>
              <w:p>
                <w:pPr>
                  <w:rPr>
                    <w:rFonts w:eastAsia="Calibri"/>
                    <w:szCs w:val="24"/>
                    <w:lang w:eastAsia="lt-LT"/>
                  </w:rPr>
                </w:pPr>
                <w:r>
                  <w:rPr>
                    <w:rFonts w:eastAsia="Calibri"/>
                    <w:szCs w:val="24"/>
                    <w:lang w:eastAsia="lt-LT"/>
                  </w:rPr>
                  <w:t>4.</w:t>
                </w:r>
              </w:p>
            </w:tc>
            <w:tc>
              <w:tcPr>
                <w:tcW w:w="4627"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Reikalinga sistemiškai nustatyti kad daugiabučiuose pastatuose galimos ir kitos patalpos iki 20 proc.</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Dalinai atsižvelgta, formuluotė patikslinta</w:t>
                </w:r>
              </w:p>
            </w:tc>
          </w:tr>
          <w:tr>
            <w:trPr>
              <w:trHeight w:val="498"/>
            </w:trPr>
            <w:tc>
              <w:tcPr>
                <w:tcW w:w="3964"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tcPr>
              <w:p>
                <w:pPr>
                  <w:rPr>
                    <w:rFonts w:ascii="Calibri" w:eastAsia="Calibri" w:hAnsi="Calibri"/>
                    <w:sz w:val="20"/>
                    <w:szCs w:val="24"/>
                    <w:lang w:eastAsia="lt-LT"/>
                  </w:rPr>
                </w:pPr>
                <w:r>
                  <w:rPr>
                    <w:rFonts w:eastAsia="Calibri"/>
                    <w:szCs w:val="24"/>
                    <w:lang w:eastAsia="lt-LT"/>
                  </w:rPr>
                  <w:t>1.</w:t>
                  <w:tab/>
                </w:r>
              </w:p>
            </w:tc>
            <w:tc>
              <w:tcPr>
                <w:tcW w:w="4627"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20.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w:t>
                </w:r>
                <w:r>
                  <w:rPr>
                    <w:rFonts w:eastAsia="Calibri"/>
                    <w:strike/>
                    <w:szCs w:val="24"/>
                    <w:lang w:eastAsia="lt-LT"/>
                  </w:rPr>
                  <w:t>galimos paskirtys</w:t>
                </w:r>
                <w:r>
                  <w:rPr>
                    <w:rFonts w:eastAsia="Calibri"/>
                    <w:szCs w:val="24"/>
                    <w:lang w:eastAsia="lt-LT"/>
                  </w:rPr>
                  <w:t>).</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Neatsižvelgta. </w:t>
                </w:r>
              </w:p>
              <w:p>
                <w:pPr>
                  <w:rPr>
                    <w:rFonts w:eastAsia="Calibri"/>
                    <w:szCs w:val="24"/>
                    <w:lang w:val="en-GB" w:eastAsia="lt-LT"/>
                  </w:rPr>
                </w:pPr>
                <w:r>
                  <w:rPr>
                    <w:rFonts w:eastAsia="Calibri"/>
                    <w:szCs w:val="24"/>
                    <w:lang w:eastAsia="lt-LT"/>
                  </w:rPr>
                  <w:t>Galimas paskirtis pastatuose apsprendžia žemės sklypui, teritorijai nustatyti galimi žemės naudojimo būdai. To pasekmė paskirčių galimybių pastatuose ribojimas.</w:t>
                </w:r>
              </w:p>
            </w:tc>
          </w:tr>
          <w:tr>
            <w:trPr>
              <w:trHeight w:val="498"/>
            </w:trPr>
            <w:tc>
              <w:tcPr>
                <w:tcW w:w="3964" w:type="dxa"/>
                <w:tcBorders>
                  <w:top w:val="single" w:sz="12"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5.  ESO, LITGRID ir kt.</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Papildyti elektros kaupikliais (akumuliatoriais)</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Neatsižvelgta. </w:t>
                </w:r>
              </w:p>
              <w:p>
                <w:pPr>
                  <w:rPr>
                    <w:rFonts w:ascii="Calibri" w:eastAsia="Calibri" w:hAnsi="Calibri"/>
                    <w:sz w:val="20"/>
                    <w:szCs w:val="24"/>
                    <w:lang w:eastAsia="lt-LT"/>
                  </w:rPr>
                </w:pPr>
                <w:r>
                  <w:rPr>
                    <w:rFonts w:eastAsia="Calibri"/>
                    <w:szCs w:val="24"/>
                    <w:lang w:eastAsia="lt-LT"/>
                  </w:rPr>
                  <w:t>Pagal Elektros energetikos įstatymą kaupikliai – įrenginiai, ne statiniai</w:t>
                </w:r>
                <w:r>
                  <w:rPr>
                    <w:rFonts w:ascii="Calibri" w:eastAsia="Calibri" w:hAnsi="Calibri"/>
                    <w:sz w:val="20"/>
                    <w:szCs w:val="24"/>
                    <w:lang w:eastAsia="lt-LT"/>
                  </w:rPr>
                  <w:t>.</w:t>
                </w:r>
              </w:p>
            </w:tc>
          </w:tr>
          <w:tr>
            <w:trPr>
              <w:trHeight w:val="498"/>
            </w:trPr>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6.  Lietuvos verslo konfederacija</w:t>
                </w:r>
              </w:p>
            </w:tc>
            <w:tc>
              <w:tcPr>
                <w:tcW w:w="4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“Pakeisti statybos techninį reglamentą STR 1.01.03:2017 „Statinių ir patalpų klasifikavimas“, patvirtintą Lietuvos Respublikos aplinkos ministro 2016 m. spalio 27 d. įsakymu Nr. D1-713, papildant jį nuostatomis, kurios leistų savininkų prašymu be papildomų sąnaudų perregistruoti poilsio paskirties NT objektus, kurie po 2024 m. lapkričio 1 d. nepagrįstai automatiškai buvo perregistruoti viešojo poilsio paskirties pastatais ir patalpomis. Konkrečiai siūlome papildyti STR 1.01.03:2017 6 priedo 1 ir 2 skyrių (lentelių) pastabas.” </w:t>
                </w:r>
              </w:p>
              <w:p>
                <w:pPr>
                  <w:rPr>
                    <w:rFonts w:eastAsia="Calibri"/>
                    <w:szCs w:val="24"/>
                    <w:lang w:eastAsia="lt-LT"/>
                  </w:rPr>
                </w:pPr>
                <w:r>
                  <w:rPr>
                    <w:rFonts w:eastAsia="Calibri"/>
                    <w:szCs w:val="24"/>
                    <w:lang w:eastAsia="lt-LT"/>
                  </w:rPr>
                  <w:t xml:space="preserve">„Pastabose: 1. (-) Esamame klasifikatoriuje atitikmens nėra. Visi įrašai keičiami pagal esamus atitikmenis; .  </w:t>
                </w:r>
              </w:p>
              <w:p>
                <w:pPr>
                  <w:rPr>
                    <w:rFonts w:eastAsia="Calibri"/>
                    <w:szCs w:val="24"/>
                    <w:lang w:eastAsia="lt-LT"/>
                  </w:rPr>
                </w:pPr>
              </w:p>
              <w:p>
                <w:pPr>
                  <w:rPr>
                    <w:rFonts w:ascii="Calibri" w:eastAsia="Calibri" w:hAnsi="Calibri"/>
                    <w:sz w:val="20"/>
                    <w:szCs w:val="24"/>
                    <w:lang w:eastAsia="lt-LT"/>
                  </w:rPr>
                </w:pPr>
                <w:r>
                  <w:rPr>
                    <w:rFonts w:eastAsia="Calibri"/>
                    <w:szCs w:val="24"/>
                    <w:lang w:eastAsia="lt-LT"/>
                  </w:rPr>
                  <w:t xml:space="preserve">2. Patalpų savininkų (valdytojų) prašymu viešosios rekreacijos patalpų paskirties grupės ir viešojo poilsio patalpų paskirties patalpų, kurios atitinka Reglamento 2 priedo „Patalpų, suformuotų atskirais Nekilnojamojo turto kadastro objektais, klasifikavimas pagal naudojimo paskirtį“ 10 punkte nurodytą asmeninės rekreacijos patalpų paskirties grupės ir asmeninio poilsio paskirties patalpų apibrėžimą ir kurios buvo pradėtos projektuoti, pradėtos statyti arba buvo pastatytos (užbaigtos) iki 2024 m. lapkričio 1 d., patalpų paskirties grupė keičiama į asmeninės rekreacijos, o patalpų paskirtis keičiama į asmeninio poilsio nerengiant (neatnaujinant) patalpų kadastro bylos.“  </w:t>
                </w:r>
              </w:p>
            </w:tc>
            <w:tc>
              <w:tcPr>
                <w:tcW w:w="6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rFonts w:eastAsia="Calibri"/>
                    <w:szCs w:val="24"/>
                    <w:lang w:eastAsia="lt-LT"/>
                  </w:rPr>
                </w:pPr>
                <w:r>
                  <w:rPr>
                    <w:rFonts w:eastAsia="Calibri"/>
                    <w:szCs w:val="24"/>
                    <w:lang w:eastAsia="lt-LT"/>
                  </w:rPr>
                  <w:t xml:space="preserve">Neatsižvelgta. </w:t>
                </w:r>
              </w:p>
              <w:p>
                <w:pPr>
                  <w:rPr>
                    <w:rFonts w:ascii="Calibri" w:eastAsia="Calibri" w:hAnsi="Calibri"/>
                    <w:sz w:val="20"/>
                    <w:lang w:eastAsia="lt-LT"/>
                  </w:rPr>
                </w:pPr>
                <w:r>
                  <w:rPr>
                    <w:rFonts w:eastAsia="Calibri"/>
                    <w:szCs w:val="24"/>
                    <w:lang w:eastAsia="lt-LT"/>
                  </w:rPr>
                  <w:t>Poilsio paskirties pastatai ir iki klasifikatoriaus pasikeitimo buvo laikomi „viešais“ – t. y. statiniai turėjo būti pritaikyti asmenims su negalia, pastatų statybos užbaigimo procedūra vykdavo dalyvaujant statybos užbaigimo komisijai, o rekreacinės teritorijos, kuriose galima poilsio pastatų statyba formuojamos kaip skirtos viešajai rekreacijai ir poilsiui.</w:t>
                </w:r>
              </w:p>
            </w:tc>
          </w:tr>
        </w:tbl>
        <w:p/>
      </w:sdtContent>
    </w:sdt>
    <w:sectPr>
      <w:headerReference w:type="default" r:id="rId10"/>
      <w:footerReference w:type="default" r:id="rId11"/>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2"/>
        </w:rPr>
      </w:pPr>
      <w:r>
        <w:rPr>
          <w:kern w:val="2"/>
          <w:szCs w:val="22"/>
        </w:rPr>
        <w:separator/>
      </w:r>
    </w:p>
  </w:endnote>
  <w:endnote w:type="continuationSeparator" w:id="0">
    <w:p>
      <w:pPr>
        <w:rPr>
          <w:kern w:val="2"/>
          <w:szCs w:val="22"/>
        </w:rPr>
      </w:pPr>
      <w:r>
        <w:rPr>
          <w:kern w:val="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65"/>
      <w:gridCol w:w="4665"/>
      <w:gridCol w:w="4665"/>
    </w:tblGrid>
    <w:tr>
      <w:trPr>
        <w:trHeight w:val="300"/>
      </w:trPr>
      <w:tc>
        <w:tcPr>
          <w:tcW w:w="4665" w:type="dxa"/>
        </w:tcPr>
        <w:p>
          <w:pPr>
            <w:tabs>
              <w:tab w:val="center" w:pos="4680"/>
              <w:tab w:val="right" w:pos="9360"/>
            </w:tabs>
            <w:ind w:left="-115"/>
            <w:rPr>
              <w:kern w:val="2"/>
              <w:szCs w:val="22"/>
            </w:rPr>
          </w:pPr>
        </w:p>
      </w:tc>
      <w:tc>
        <w:tcPr>
          <w:tcW w:w="4665" w:type="dxa"/>
        </w:tcPr>
        <w:p>
          <w:pPr>
            <w:tabs>
              <w:tab w:val="center" w:pos="4680"/>
              <w:tab w:val="right" w:pos="9360"/>
            </w:tabs>
            <w:jc w:val="center"/>
            <w:rPr>
              <w:kern w:val="2"/>
              <w:szCs w:val="22"/>
            </w:rPr>
          </w:pPr>
        </w:p>
      </w:tc>
      <w:tc>
        <w:tcPr>
          <w:tcW w:w="4665" w:type="dxa"/>
        </w:tcPr>
        <w:p>
          <w:pPr>
            <w:tabs>
              <w:tab w:val="center" w:pos="4680"/>
              <w:tab w:val="right" w:pos="9360"/>
            </w:tabs>
            <w:ind w:right="-115"/>
            <w:jc w:val="right"/>
            <w:rPr>
              <w:kern w:val="2"/>
              <w:szCs w:val="22"/>
            </w:rPr>
          </w:pPr>
        </w:p>
      </w:tc>
    </w:tr>
  </w:tbl>
  <w:p>
    <w:pPr>
      <w:tabs>
        <w:tab w:val="center" w:pos="4680"/>
        <w:tab w:val="right" w:pos="9360"/>
      </w:tabs>
      <w:rPr>
        <w:kern w:val="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2"/>
        </w:rPr>
      </w:pPr>
      <w:r>
        <w:rPr>
          <w:kern w:val="2"/>
          <w:szCs w:val="22"/>
        </w:rPr>
        <w:separator/>
      </w:r>
    </w:p>
  </w:footnote>
  <w:footnote w:type="continuationSeparator" w:id="0">
    <w:p>
      <w:pPr>
        <w:rPr>
          <w:kern w:val="2"/>
          <w:szCs w:val="22"/>
        </w:rPr>
      </w:pPr>
      <w:r>
        <w:rPr>
          <w:kern w:val="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65"/>
      <w:gridCol w:w="4665"/>
      <w:gridCol w:w="4665"/>
    </w:tblGrid>
    <w:tr>
      <w:trPr>
        <w:trHeight w:val="300"/>
      </w:trPr>
      <w:tc>
        <w:tcPr>
          <w:tcW w:w="4665" w:type="dxa"/>
        </w:tcPr>
        <w:p>
          <w:pPr>
            <w:tabs>
              <w:tab w:val="center" w:pos="4680"/>
              <w:tab w:val="right" w:pos="9360"/>
            </w:tabs>
            <w:ind w:left="-115"/>
            <w:rPr>
              <w:kern w:val="2"/>
              <w:szCs w:val="22"/>
            </w:rPr>
          </w:pPr>
        </w:p>
      </w:tc>
      <w:tc>
        <w:tcPr>
          <w:tcW w:w="4665" w:type="dxa"/>
        </w:tcPr>
        <w:p>
          <w:pPr>
            <w:tabs>
              <w:tab w:val="center" w:pos="4680"/>
              <w:tab w:val="right" w:pos="9360"/>
            </w:tabs>
            <w:jc w:val="center"/>
            <w:rPr>
              <w:kern w:val="2"/>
              <w:szCs w:val="22"/>
            </w:rPr>
          </w:pPr>
        </w:p>
      </w:tc>
      <w:tc>
        <w:tcPr>
          <w:tcW w:w="4665" w:type="dxa"/>
        </w:tcPr>
        <w:p>
          <w:pPr>
            <w:tabs>
              <w:tab w:val="center" w:pos="4680"/>
              <w:tab w:val="right" w:pos="9360"/>
            </w:tabs>
            <w:ind w:right="-115"/>
            <w:jc w:val="right"/>
            <w:rPr>
              <w:kern w:val="2"/>
              <w:szCs w:val="22"/>
            </w:rPr>
          </w:pPr>
        </w:p>
      </w:tc>
    </w:tr>
  </w:tbl>
  <w:p>
    <w:pPr>
      <w:tabs>
        <w:tab w:val="center" w:pos="4680"/>
        <w:tab w:val="right" w:pos="9360"/>
      </w:tabs>
      <w:rPr>
        <w:kern w:val="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8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8BDA1A-1217-40ED-B18B-94318E3221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764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44e385fcc5543adb01335e72231fc0f" PartId="ebf8e198c770430696f3e0bb2ca73a66"/>
</Parts>
</file>

<file path=customXml/itemProps1.xml><?xml version="1.0" encoding="utf-8"?>
<ds:datastoreItem xmlns:ds="http://schemas.openxmlformats.org/officeDocument/2006/customXml" ds:itemID="{C6CB6AB7-2459-47A8-AEA1-2213B02CDD22}">
  <ds:schemaRefs>
    <ds:schemaRef ds:uri="http://schemas.microsoft.com/office/2006/metadata/properties"/>
    <ds:schemaRef ds:uri="http://schemas.microsoft.com/office/infopath/2007/PartnerControls"/>
    <ds:schemaRef ds:uri="58c6f6df-7e1f-4a2e-8979-e3f4c92e56f2"/>
    <ds:schemaRef ds:uri="2ad30025-d0d5-4532-b26e-26983efa1e1c"/>
    <ds:schemaRef ds:uri="47c1ea38-b788-4873-88f4-3b1f34597b9a"/>
    <ds:schemaRef ds:uri="0379a545-9986-45d7-9e6d-3845025712a0"/>
    <ds:schemaRef ds:uri="98e39fff-b62d-4eb1-bc98-8dcc0a02489a"/>
    <ds:schemaRef ds:uri="6e11662f-ad44-46fe-952e-eb5b925c791a"/>
  </ds:schemaRefs>
</ds:datastoreItem>
</file>

<file path=customXml/itemProps2.xml><?xml version="1.0" encoding="utf-8"?>
<ds:datastoreItem xmlns:ds="http://schemas.openxmlformats.org/officeDocument/2006/customXml" ds:itemID="{DAD763B3-C4F9-4C86-92BC-47F37A82A1EB}">
  <ds:schemaRefs>
    <ds:schemaRef ds:uri="http://schemas.microsoft.com/sharepoint/v3/contenttype/forms"/>
  </ds:schemaRefs>
</ds:datastoreItem>
</file>

<file path=customXml/itemProps3.xml><?xml version="1.0" encoding="utf-8"?>
<ds:datastoreItem xmlns:ds="http://schemas.openxmlformats.org/officeDocument/2006/customXml" ds:itemID="{395FBAE9-5F9C-4A91-AFC9-8DAFC2E81C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E6CEC7-AAE8-4801-9181-40A953E85315}">
  <ds:schemaRefs>
    <ds:schemaRef ds:uri="http://schemas.openxmlformats.org/officeDocument/2006/bibliography"/>
  </ds:schemaRefs>
</ds:datastoreItem>
</file>

<file path=customXml/itemProps5.xml><?xml version="1.0" encoding="utf-8"?>
<ds:datastoreItem xmlns:ds="http://schemas.openxmlformats.org/officeDocument/2006/customXml" ds:itemID="{A1EE3677-E0A6-40CC-8180-245DD12285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705</Words>
  <Characters>5047</Characters>
  <Application>Microsoft Office Word</Application>
  <DocSecurity>4</DocSecurity>
  <Lines>152</Lines>
  <Paragraphs>45</Paragraphs>
  <ScaleCrop>false</ScaleCrop>
  <Company/>
  <LinksUpToDate>false</LinksUpToDate>
  <CharactersWithSpaces>5707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2025-04-18T07:42:00Z</dcterms:created>
  <dc:creator>Jurgita Užkurnienė</dc:creator>
  <lastModifiedBy>adlibuser</lastModifiedBy>
  <dcterms:modified xsi:type="dcterms:W3CDTF">2025-04-18T07:42:00Z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