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042eb4ffab41209565cf6f0810233a"/>
        <w:lock w:val="sdtLocked"/>
        <w:richText/>
      </w:sdtPr>
      <w:sdtContent>
        <w:p w14:paraId="3031B02F" w14:textId="77777777">
          <w:pPr>
            <w:widowControl w:val="0"/>
            <w:tabs>
              <w:tab w:val="center" w:pos="4153"/>
              <w:tab w:val="right" w:pos="8306"/>
            </w:tabs>
            <w:suppressAutoHyphens/>
            <w:rPr>
              <w:rFonts w:eastAsia="Lucida Sans Unicode"/>
              <w:color w:val="000000"/>
              <w:szCs w:val="24"/>
              <w:lang w:eastAsia="lt-LT"/>
            </w:rPr>
          </w:pPr>
        </w:p>
        <w:p w14:paraId="03D1E7F8" w14:textId="77777777">
          <w:pPr>
            <w:jc w:val="center"/>
            <w:rPr>
              <w:b/>
              <w:bCs/>
              <w:iCs/>
              <w:color w:val="000000"/>
              <w:szCs w:val="24"/>
              <w:lang w:eastAsia="lt-LT"/>
            </w:rPr>
          </w:pPr>
          <w:r>
            <w:rPr>
              <w:b/>
              <w:bCs/>
              <w:iCs/>
              <w:color w:val="000000"/>
              <w:szCs w:val="24"/>
              <w:lang w:eastAsia="lt-LT"/>
            </w:rPr>
            <w:t>ŠIAULIŲ MIESTO SAVIVALDYBĖS ADMINISTRACIJOS</w:t>
          </w:r>
        </w:p>
        <w:sdt>
          <w:sdtPr>
            <w:alias w:val="skyrius"/>
            <w:tag w:val="part_ac48da6471244d1091ea1bf17d8a0ce0"/>
            <w:lock w:val="sdtLocked"/>
            <w:richText/>
          </w:sdtPr>
          <w:sdtContent>
            <w:p w14:paraId="26BCC952" w14:textId="77777777">
              <w:pPr>
                <w:jc w:val="center"/>
                <w:rPr>
                  <w:b/>
                  <w:bCs/>
                  <w:iCs/>
                  <w:color w:val="000000"/>
                  <w:szCs w:val="24"/>
                  <w:lang w:eastAsia="lt-LT"/>
                </w:rPr>
              </w:pPr>
              <w:r>
                <w:rPr>
                  <w:b/>
                  <w:bCs/>
                  <w:iCs/>
                  <w:color w:val="000000"/>
                  <w:szCs w:val="24"/>
                  <w:lang w:eastAsia="lt-LT"/>
                </w:rPr>
                <w:t>EKONOMIKOS IR INVESTICIJŲ SKYRIUS</w:t>
              </w:r>
            </w:p>
            <w:p w14:paraId="227A4C55" w14:textId="77777777">
              <w:pPr>
                <w:widowControl w:val="0"/>
                <w:suppressAutoHyphens/>
                <w:jc w:val="center"/>
                <w:rPr>
                  <w:rFonts w:eastAsia="Lucida Sans Unicode"/>
                  <w:b/>
                  <w:bCs/>
                  <w:color w:val="000000"/>
                  <w:szCs w:val="24"/>
                  <w:lang w:eastAsia="lt-LT"/>
                </w:rPr>
              </w:pPr>
            </w:p>
            <w:sdt>
              <w:sdtPr>
                <w:alias w:val="Pavadinimas"/>
                <w:tag w:val="title_ac48da6471244d1091ea1bf17d8a0ce0"/>
                <w:lock w:val="sdtLocked"/>
                <w:richText/>
              </w:sdtPr>
              <w:sdtContent>
                <w:p w14:paraId="41A0CF90" w14:textId="140FC872">
                  <w:pPr>
                    <w:widowControl w:val="0"/>
                    <w:suppressAutoHyphens/>
                    <w:jc w:val="center"/>
                    <w:rPr>
                      <w:rFonts w:eastAsia="Lucida Sans Unicode"/>
                      <w:b/>
                      <w:color w:val="000000"/>
                      <w:szCs w:val="24"/>
                      <w:lang w:eastAsia="lt-LT"/>
                    </w:rPr>
                  </w:pPr>
                  <w:r>
                    <w:rPr>
                      <w:rFonts w:eastAsia="Lucida Sans Unicode"/>
                      <w:b/>
                      <w:bCs/>
                      <w:color w:val="000000"/>
                      <w:szCs w:val="24"/>
                      <w:lang w:eastAsia="lt-LT"/>
                    </w:rPr>
                    <w:t>SPRENDIMO „</w:t>
                  </w:r>
                  <w:r>
                    <w:rPr>
                      <w:rFonts w:eastAsia="Lucida Sans Unicode"/>
                      <w:b/>
                      <w:color w:val="000000"/>
                      <w:szCs w:val="24"/>
                      <w:lang w:eastAsia="lt-LT"/>
                    </w:rPr>
                    <w:t xml:space="preserve">DĖL SUTIKIMO / NESUTIKIMO UAB „AMBER GAMING“ ATIDARYTŲ AR STEIGTŲ LOŠIMŲ ORGANIZAVIMO VIETĄ“ </w:t>
                  </w:r>
                  <w:r>
                    <w:rPr>
                      <w:rFonts w:eastAsia="Lucida Sans Unicode"/>
                      <w:b/>
                      <w:bCs/>
                      <w:color w:val="000000"/>
                      <w:szCs w:val="24"/>
                      <w:lang w:eastAsia="lt-LT"/>
                    </w:rPr>
                    <w:t>PROJEKTO</w:t>
                  </w:r>
                </w:p>
                <w:p w14:paraId="15854634" w14:textId="51479B45">
                  <w:pPr>
                    <w:keepNext/>
                    <w:widowControl w:val="0"/>
                    <w:numPr>
                      <w:ilvl w:val="1"/>
                      <w:numId w:val="0"/>
                    </w:numPr>
                    <w:tabs>
                      <w:tab w:val="left" w:pos="0"/>
                    </w:tabs>
                    <w:suppressAutoHyphens/>
                    <w:jc w:val="center"/>
                    <w:outlineLvl w:val="1"/>
                    <w:rPr>
                      <w:rFonts w:eastAsia="HG Mincho Light J"/>
                      <w:b/>
                      <w:color w:val="000000"/>
                      <w:szCs w:val="24"/>
                      <w:lang w:eastAsia="lt-LT"/>
                    </w:rPr>
                  </w:pPr>
                  <w:r>
                    <w:rPr>
                      <w:rFonts w:eastAsia="Lucida Sans Unicode"/>
                      <w:b/>
                      <w:bCs/>
                      <w:color w:val="000000"/>
                      <w:szCs w:val="24"/>
                      <w:lang w:eastAsia="lt-LT"/>
                    </w:rPr>
                    <w:t xml:space="preserve">AIŠKINAMASIS  RAŠTAS       </w:t>
                  </w:r>
                </w:p>
              </w:sdtContent>
            </w:sdt>
            <w:p w14:paraId="591D40BC" w14:textId="77777777">
              <w:pPr>
                <w:widowControl w:val="0"/>
                <w:suppressAutoHyphens/>
                <w:ind w:firstLine="15"/>
                <w:jc w:val="center"/>
                <w:rPr>
                  <w:rFonts w:eastAsia="Lucida Sans Unicode"/>
                  <w:color w:val="000000"/>
                  <w:szCs w:val="24"/>
                  <w:lang w:eastAsia="lt-LT"/>
                </w:rPr>
              </w:pPr>
            </w:p>
            <w:p w14:paraId="15854636" w14:textId="0874A7B4">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2023 m. birželio 16 d.</w:t>
              </w:r>
            </w:p>
            <w:p w14:paraId="15854637"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15854638" w14:textId="77777777">
              <w:pPr>
                <w:widowControl w:val="0"/>
                <w:suppressAutoHyphens/>
                <w:ind w:firstLine="15"/>
                <w:jc w:val="center"/>
                <w:rPr>
                  <w:rFonts w:eastAsia="Lucida Sans Unicode"/>
                  <w:color w:val="000000"/>
                  <w:szCs w:val="24"/>
                  <w:lang w:eastAsia="lt-LT"/>
                </w:rPr>
              </w:pPr>
            </w:p>
            <w:sdt>
              <w:sdtPr>
                <w:alias w:val="poskyris"/>
                <w:tag w:val="part_1fcaf70a405140c8a118cb8049563e05"/>
                <w:lock w:val="sdtLocked"/>
                <w:richText/>
              </w:sdtPr>
              <w:sdtContent>
                <w:p w14:paraId="58EC3541" w14:textId="659C1C88">
                  <w:pPr>
                    <w:widowControl w:val="0"/>
                    <w:suppressAutoHyphens/>
                    <w:spacing w:line="100" w:lineRule="atLeast"/>
                    <w:ind w:firstLine="720"/>
                    <w:jc w:val="both"/>
                    <w:rPr>
                      <w:rFonts w:eastAsia="Lucida Sans Unicode"/>
                      <w:b/>
                      <w:bCs/>
                      <w:color w:val="000000"/>
                      <w:szCs w:val="24"/>
                      <w:lang w:eastAsia="lt-LT"/>
                    </w:rPr>
                  </w:pPr>
                  <w:sdt>
                    <w:sdtPr>
                      <w:alias w:val="Pavadinimas"/>
                      <w:tag w:val="title_1fcaf70a405140c8a118cb8049563e05"/>
                      <w:lock w:val="sdtLocked"/>
                      <w:richText/>
                    </w:sdtPr>
                    <w:sdtContent>
                      <w:r>
                        <w:rPr>
                          <w:rFonts w:eastAsia="Lucida Sans Unicode"/>
                          <w:b/>
                          <w:bCs/>
                          <w:color w:val="000000"/>
                          <w:szCs w:val="24"/>
                          <w:lang w:eastAsia="lt-LT"/>
                        </w:rPr>
                        <w:t>Parengto sprendimo projekto tikslai ir uždaviniai.</w:t>
                      </w:r>
                    </w:sdtContent>
                  </w:sdt>
                </w:p>
                <w:p w14:paraId="3A5D36EC" w14:textId="2379649F">
                  <w:pPr>
                    <w:widowControl w:val="0"/>
                    <w:suppressAutoHyphens/>
                    <w:spacing w:line="100" w:lineRule="atLeast"/>
                    <w:ind w:firstLine="720"/>
                    <w:jc w:val="both"/>
                    <w:rPr>
                      <w:rFonts w:eastAsia="Lucida Sans Unicode"/>
                      <w:bCs/>
                      <w:color w:val="000000"/>
                      <w:szCs w:val="24"/>
                      <w:lang w:eastAsia="lt-LT"/>
                    </w:rPr>
                  </w:pPr>
                  <w:r>
                    <w:rPr>
                      <w:rFonts w:eastAsia="Lucida Sans Unicode"/>
                      <w:bCs/>
                      <w:color w:val="000000"/>
                      <w:szCs w:val="24"/>
                      <w:lang w:eastAsia="lt-LT"/>
                    </w:rPr>
                    <w:t xml:space="preserve">Sprendimo projekto tikslas – </w:t>
                  </w:r>
                  <w:r>
                    <w:rPr>
                      <w:rFonts w:eastAsia="Lucida Sans Unicode"/>
                      <w:color w:val="000000"/>
                      <w:szCs w:val="24"/>
                      <w:lang w:eastAsia="lt-LT"/>
                    </w:rPr>
                    <w:t>sutikti / nesutikti, kad UAB „Amber Gaming“ (</w:t>
                  </w:r>
                  <w:r>
                    <w:rPr>
                      <w:rFonts w:eastAsia="Lucida Sans Unicode"/>
                      <w:bCs/>
                      <w:color w:val="000000"/>
                      <w:szCs w:val="24"/>
                      <w:lang w:eastAsia="lt-LT"/>
                    </w:rPr>
                    <w:t xml:space="preserve">įm. k. 305600386,  buveinės adresas Olimpiečių g. 15-1, Vilnius; toliau - bendrovė</w:t>
                  </w:r>
                  <w:r>
                    <w:rPr>
                      <w:rFonts w:eastAsia="Lucida Sans Unicode"/>
                      <w:color w:val="000000"/>
                      <w:szCs w:val="24"/>
                      <w:lang w:eastAsia="lt-LT"/>
                    </w:rPr>
                    <w:t xml:space="preserve">) atidarytų ar steigtų lošimų organizavimo vietą Tilžės g. 121A-1, Šiauliuose. </w:t>
                  </w:r>
                  <w:r>
                    <w:rPr>
                      <w:rFonts w:eastAsia="Lucida Sans Unicode"/>
                      <w:bCs/>
                      <w:color w:val="000000"/>
                      <w:szCs w:val="24"/>
                      <w:lang w:eastAsia="lt-LT"/>
                    </w:rPr>
                    <w:t xml:space="preserve"> </w:t>
                  </w:r>
                </w:p>
                <w:p w14:paraId="0E5634AB" w14:textId="77777777">
                  <w:pPr>
                    <w:widowControl w:val="0"/>
                    <w:suppressAutoHyphens/>
                    <w:jc w:val="both"/>
                    <w:rPr>
                      <w:rFonts w:eastAsia="Lucida Sans Unicode"/>
                      <w:color w:val="000000"/>
                      <w:szCs w:val="24"/>
                      <w:lang w:eastAsia="lt-LT"/>
                    </w:rPr>
                  </w:pPr>
                </w:p>
              </w:sdtContent>
            </w:sdt>
            <w:sdt>
              <w:sdtPr>
                <w:alias w:val="poskyris"/>
                <w:tag w:val="part_65cb08127c464d04aaeecf283541beb9"/>
                <w:lock w:val="sdtLocked"/>
                <w:richText/>
              </w:sdtPr>
              <w:sdtContent>
                <w:p w14:paraId="1585463E" w14:textId="77777777">
                  <w:pPr>
                    <w:widowControl w:val="0"/>
                    <w:spacing w:line="100" w:lineRule="atLeast"/>
                    <w:ind w:firstLine="720"/>
                    <w:jc w:val="both"/>
                    <w:rPr>
                      <w:rFonts w:eastAsia="Lucida Sans Unicode"/>
                      <w:b/>
                      <w:bCs/>
                      <w:iCs/>
                      <w:color w:val="000000"/>
                      <w:szCs w:val="24"/>
                      <w:lang w:eastAsia="lt-LT"/>
                    </w:rPr>
                  </w:pPr>
                  <w:sdt>
                    <w:sdtPr>
                      <w:alias w:val="Pavadinimas"/>
                      <w:tag w:val="title_65cb08127c464d04aaeecf283541beb9"/>
                      <w:lock w:val="sdtLocked"/>
                      <w:richText/>
                    </w:sdtPr>
                    <w:sdtContent>
                      <w:r>
                        <w:rPr>
                          <w:rFonts w:eastAsia="Lucida Sans Unicode"/>
                          <w:b/>
                          <w:bCs/>
                          <w:iCs/>
                          <w:color w:val="000000"/>
                          <w:szCs w:val="24"/>
                          <w:lang w:eastAsia="lt-LT"/>
                        </w:rPr>
                        <w:t>Dabartinis sprendimo projekte aptariamų klausimų reguliavimas.</w:t>
                      </w:r>
                    </w:sdtContent>
                  </w:sdt>
                </w:p>
                <w:p w14:paraId="1585464C" w14:textId="6ACD5F5B">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Sprendimo projekte aptariami klausimai reguliuojami Lietuvos Respublikos vietos savivaldos įstatymo 16 straipsnio 1 dalimi, Azartinių lošimų įstatymo 24</w:t>
                  </w:r>
                  <w:r>
                    <w:rPr>
                      <w:rFonts w:eastAsia="Lucida Sans Unicode"/>
                      <w:color w:val="000000"/>
                      <w:szCs w:val="24"/>
                      <w:vertAlign w:val="superscript"/>
                      <w:lang w:eastAsia="lt-LT"/>
                    </w:rPr>
                    <w:t>1</w:t>
                  </w:r>
                  <w:r>
                    <w:rPr>
                      <w:rFonts w:eastAsia="Lucida Sans Unicode"/>
                      <w:color w:val="000000"/>
                      <w:szCs w:val="24"/>
                      <w:lang w:eastAsia="lt-LT"/>
                    </w:rPr>
                    <w:t xml:space="preserve"> straipsnio 2 dalimi, Lošimų organizavimo vietos poveikio viešajai tvarkai, švietimui, kultūrai, visuomenės sveikatai, gyvenamajai aplinkai ir kriminogeninei situacijai konkrečių rekomendacinių vertinimo kriterijų sąrašu, patvirtintu Lošimų priežiūros tarnybos direktoriaus 2022 m. kovo 30 d. įsakymu Nr. DIE-180 „Dėl Lošimų organizavimo vietos poveikio viešajai tvarkai, švietimui, kultūrai, visuomenės sveikatai, gyvenamajai aplinkai ir kriminogeninei situacijai konkrečių rekomendacinių vertinimo kriterijų sąrašo patvirtinimo“, Šiaulių miesto savivaldybės tarybos 2022 m. liepos 7 d. sprendimu Nr. T-293 „Dėl Lošimų organizavimo vietos poveikio vertinimo kriterijų ir prašymų nagrinėjimo tvarkos aprašo patvirtinimo“ (toliau – Vertinimo tvarkos aprašas).</w:t>
                  </w:r>
                </w:p>
                <w:p w14:paraId="59160A08" w14:textId="77777777">
                  <w:pPr>
                    <w:widowControl w:val="0"/>
                    <w:suppressAutoHyphens/>
                    <w:ind w:firstLine="720"/>
                    <w:jc w:val="both"/>
                    <w:rPr>
                      <w:rFonts w:eastAsia="Lucida Sans Unicode"/>
                      <w:color w:val="000000"/>
                      <w:szCs w:val="24"/>
                      <w:lang w:eastAsia="lt-LT"/>
                    </w:rPr>
                  </w:pPr>
                </w:p>
              </w:sdtContent>
            </w:sdt>
            <w:sdt>
              <w:sdtPr>
                <w:alias w:val="poskyris"/>
                <w:tag w:val="part_c4870fe8d27d48139bab466ecf66051f"/>
                <w:lock w:val="sdtLocked"/>
                <w:richText/>
              </w:sdtPr>
              <w:sdtContent>
                <w:p w14:paraId="1585464D" w14:textId="77777777">
                  <w:pPr>
                    <w:widowControl w:val="0"/>
                    <w:suppressAutoHyphens/>
                    <w:ind w:firstLine="720"/>
                    <w:jc w:val="both"/>
                    <w:rPr>
                      <w:rFonts w:eastAsia="Lucida Sans Unicode"/>
                      <w:b/>
                      <w:color w:val="000000"/>
                      <w:szCs w:val="24"/>
                      <w:lang w:eastAsia="lt-LT"/>
                    </w:rPr>
                  </w:pPr>
                  <w:sdt>
                    <w:sdtPr>
                      <w:alias w:val="Pavadinimas"/>
                      <w:tag w:val="title_c4870fe8d27d48139bab466ecf66051f"/>
                      <w:lock w:val="sdtLocked"/>
                      <w:richText/>
                    </w:sdtPr>
                    <w:sdtContent>
                      <w:r>
                        <w:rPr>
                          <w:rFonts w:eastAsia="Lucida Sans Unicode"/>
                          <w:b/>
                          <w:color w:val="000000"/>
                          <w:szCs w:val="24"/>
                          <w:shd w:val="clear" w:color="auto" w:fill="FFFFFF"/>
                          <w:lang w:eastAsia="lt-LT"/>
                        </w:rPr>
                        <w:t>Sprendimo projekte numatytos naujos teisinio reglamentavimo nuostatos</w:t>
                      </w:r>
                      <w:r>
                        <w:rPr>
                          <w:rFonts w:eastAsia="Lucida Sans Unicode"/>
                          <w:b/>
                          <w:color w:val="000000"/>
                          <w:szCs w:val="24"/>
                          <w:lang w:eastAsia="lt-LT"/>
                        </w:rPr>
                        <w:t>.</w:t>
                      </w:r>
                    </w:sdtContent>
                  </w:sdt>
                </w:p>
                <w:p w14:paraId="5DE9CD0C" w14:textId="0F82DC74">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 xml:space="preserve">UAB „Amber Gaming“ Savivaldybės administracijai pateikė prašymą (DVS „Avilys“ 2023-05-16 reg. Nr. G-3700) gauti sutikimą atidaryti ar steigti lošimų organizavimo vietą, kuriame nurodytos planuojamos atidaryti </w:t>
                  </w:r>
                  <w:r>
                    <w:rPr>
                      <w:rFonts w:eastAsia="Lucida Sans Unicode"/>
                      <w:bCs/>
                      <w:color w:val="000000"/>
                      <w:szCs w:val="24"/>
                      <w:lang w:eastAsia="lt-LT"/>
                    </w:rPr>
                    <w:t>lošimų organizavimo vietos adresas – Tilžės g. 121A-1</w:t>
                  </w:r>
                  <w:r>
                    <w:rPr>
                      <w:rFonts w:eastAsia="Lucida Sans Unicode"/>
                      <w:color w:val="000000"/>
                      <w:szCs w:val="24"/>
                      <w:lang w:eastAsia="lt-LT"/>
                    </w:rPr>
                    <w:t xml:space="preserve">, </w:t>
                  </w:r>
                  <w:r>
                    <w:rPr>
                      <w:rFonts w:eastAsia="Lucida Sans Unicode"/>
                      <w:bCs/>
                      <w:color w:val="000000"/>
                      <w:szCs w:val="24"/>
                      <w:lang w:eastAsia="lt-LT"/>
                    </w:rPr>
                    <w:t>Šiauliai</w:t>
                  </w:r>
                  <w:r>
                    <w:rPr>
                      <w:rFonts w:eastAsia="Lucida Sans Unicode"/>
                      <w:color w:val="000000"/>
                      <w:szCs w:val="24"/>
                      <w:lang w:eastAsia="lt-LT"/>
                    </w:rPr>
                    <w:t xml:space="preserve">; organizuojamų lošimų rūšys: lošimai B kategorijos lošimo automatais (toliau – prašymas). Kartu su prašymu buvo pateiktas bendrovės aiškinamasis raštas, kuriame nurodoma, kad minėtu adresu, tose pačiose patalpose, bendrovė veiklą jau vykdo – veikia totalizatoriaus ir lažybų punktas.  </w:t>
                  </w:r>
                </w:p>
                <w:p w14:paraId="409EC69B" w14:textId="58CD80E3">
                  <w:pPr>
                    <w:widowControl w:val="0"/>
                    <w:suppressAutoHyphens/>
                    <w:ind w:firstLine="709"/>
                    <w:jc w:val="both"/>
                    <w:rPr>
                      <w:rFonts w:eastAsia="Lucida Sans Unicode"/>
                      <w:color w:val="000000"/>
                      <w:szCs w:val="24"/>
                      <w:lang w:eastAsia="lt-LT"/>
                    </w:rPr>
                  </w:pPr>
                  <w:r>
                    <w:rPr>
                      <w:rFonts w:eastAsia="Lucida Sans Unicode"/>
                      <w:iCs/>
                      <w:color w:val="000000"/>
                      <w:szCs w:val="24"/>
                      <w:lang w:eastAsia="lt-LT"/>
                    </w:rPr>
                    <w:t xml:space="preserve">Bendrovės prašymą nagrinėjo Lošimų organizavimo vietos poveikio vertinimo komisija (toliau – Komisija) </w:t>
                  </w:r>
                  <w:r>
                    <w:rPr>
                      <w:rFonts w:eastAsia="Lucida Sans Unicode"/>
                      <w:color w:val="000000"/>
                      <w:szCs w:val="24"/>
                      <w:lang w:eastAsia="lt-LT"/>
                    </w:rPr>
                    <w:t xml:space="preserve">2023m. gegužės 25 d. posėdyje. Komisija atliko naujos lošimų vietos bendrą poveikio vertinimą, užpildydama nustatytos formos lentelę (Vertinimo tvarkos aprašo priedas). </w:t>
                  </w:r>
                </w:p>
                <w:p w14:paraId="5DDCD60B" w14:textId="77777777">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Komisijai buvo pateikta informacija apie kultūros, švietimo, sveikatos priežiūros įstaigas, įsikūrusias 200 m spinduliu aplink planuojamą atidaryti naują lošimų organizavimo vietą:</w:t>
                  </w:r>
                </w:p>
                <w:p w14:paraId="7C0C4A45" w14:textId="7B1DA37C">
                  <w:pPr>
                    <w:widowControl w:val="0"/>
                    <w:suppressAutoHyphens/>
                    <w:ind w:firstLine="624"/>
                    <w:jc w:val="both"/>
                    <w:rPr>
                      <w:rFonts w:eastAsia="Lucida Sans Unicode"/>
                      <w:color w:val="000000"/>
                      <w:szCs w:val="24"/>
                      <w:lang w:eastAsia="lt-LT"/>
                    </w:rPr>
                  </w:pPr>
                  <w:r>
                    <w:rPr>
                      <w:rFonts w:ascii="Symbol" w:eastAsia="Calibri" w:hAnsi="Symbol"/>
                      <w:szCs w:val="24"/>
                    </w:rPr>
                    <w:t></w:t>
                    <w:tab/>
                  </w:r>
                  <w:r>
                    <w:rPr>
                      <w:rFonts w:eastAsia="Lucida Sans Unicode"/>
                      <w:color w:val="000000"/>
                      <w:szCs w:val="24"/>
                      <w:lang w:eastAsia="lt-LT"/>
                    </w:rPr>
                    <w:t>kultūros įstaigos: „Rūtos“ šokolado muziejus, adresu Tilžės g. 133, Šiauliai;</w:t>
                  </w:r>
                </w:p>
                <w:p w14:paraId="7E8A36F1" w14:textId="359EA6DF">
                  <w:pPr>
                    <w:widowControl w:val="0"/>
                    <w:suppressAutoHyphens/>
                    <w:spacing w:line="252" w:lineRule="auto"/>
                    <w:ind w:firstLine="624"/>
                    <w:jc w:val="both"/>
                    <w:rPr>
                      <w:rFonts w:eastAsia="Lucida Sans Unicode"/>
                      <w:color w:val="000000"/>
                      <w:szCs w:val="24"/>
                      <w:lang w:eastAsia="lt-LT"/>
                    </w:rPr>
                  </w:pPr>
                  <w:r>
                    <w:rPr>
                      <w:rFonts w:ascii="Symbol" w:eastAsia="Calibri" w:hAnsi="Symbol"/>
                      <w:szCs w:val="24"/>
                    </w:rPr>
                    <w:t></w:t>
                    <w:tab/>
                  </w:r>
                  <w:r>
                    <w:rPr>
                      <w:rFonts w:eastAsia="Lucida Sans Unicode"/>
                      <w:color w:val="000000"/>
                      <w:szCs w:val="24"/>
                      <w:lang w:eastAsia="lt-LT"/>
                    </w:rPr>
                    <w:t>švietimo įstaigos: „Santarvės“ gimnazija, „Dagilėlio“ dainavimo mokykla, lopšelis-darželis „Kregždutė“;</w:t>
                  </w:r>
                </w:p>
                <w:p w14:paraId="5B2A10E0" w14:textId="0D1BA2DF">
                  <w:pPr>
                    <w:widowControl w:val="0"/>
                    <w:suppressAutoHyphens/>
                    <w:spacing w:line="252" w:lineRule="auto"/>
                    <w:ind w:firstLine="624"/>
                    <w:jc w:val="both"/>
                    <w:rPr>
                      <w:rFonts w:eastAsia="Lucida Sans Unicode"/>
                      <w:color w:val="000000"/>
                      <w:szCs w:val="24"/>
                      <w:lang w:eastAsia="lt-LT"/>
                    </w:rPr>
                  </w:pPr>
                  <w:r>
                    <w:rPr>
                      <w:rFonts w:ascii="Symbol" w:eastAsia="Calibri" w:hAnsi="Symbol"/>
                      <w:szCs w:val="24"/>
                    </w:rPr>
                    <w:t></w:t>
                    <w:tab/>
                  </w:r>
                  <w:r>
                    <w:rPr>
                      <w:rFonts w:eastAsia="Lucida Sans Unicode"/>
                      <w:color w:val="000000"/>
                      <w:szCs w:val="24"/>
                      <w:lang w:eastAsia="lt-LT"/>
                    </w:rPr>
                    <w:t xml:space="preserve">sveikatos priežiūros įstaigos: Optikos salonas „Fielmann“, Tilžės g. 124, Šiauliai (41,14 m); Optikos salonas „Optio optika“, PC „Saulės miestas“, Tilžės g. 109, Šiauliai (65,16 m); Odontologijos klinika UAB „Judenta“, Vytauto g. 98, Šiauliai (136,59 m); Odontologijos klinika MB „Dantistė“, Vytauto g. 127, Šiauliai (177,35 m). </w:t>
                  </w:r>
                </w:p>
                <w:p w14:paraId="093E6A47" w14:textId="77FB45D9">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2023-06-15 Komisijai buvo pateiktas ŠMRPK raštas (DVS „Avilys“, reg. Nr. G-4585, kuriame informuojama, kad pastatas, adresu Tilžės g. 121, Šiauliai, yra įtrauktas į Šiaulių apsk. VPK Šiaulių miesto ir rajono policijos komisariato aptarnaujamos teritorijos rizikos židinių sąrašą.</w:t>
                  </w:r>
                </w:p>
                <w:p w14:paraId="5F73AA5D" w14:textId="5B81C07B">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 xml:space="preserve">Įvertinusi gautą informaciją, Komisija rekomenduoja nepritarti sprendimo projektui dėl sutikimo, kad UAB „Amber Gaming” atidarytų ar steigtų lošimų organizavimo vietą, adresu Tilžės g. 121A-1, Šiauliuose, nes netenkinami Vertinimo tvarkos aprašo 12.2 ir 12.3 ir 12.4 punktuose nustatyti kriterijai - planuojama lošimų organizavimo vieta yra mažesniu nei 200 metrų atstumu nuo švietimo, kultūros ir sveikatos priežiūros įstaigų ir yra įtraukta į rizikos židinių sąrašą (2023-05-25 Komisijos posėdžio protokolai Nr. VAK-263 ir Nr. VAK-305). </w:t>
                  </w:r>
                </w:p>
                <w:p w14:paraId="140A2638" w14:textId="77777777">
                  <w:pPr>
                    <w:widowControl w:val="0"/>
                    <w:suppressAutoHyphens/>
                    <w:jc w:val="both"/>
                    <w:rPr>
                      <w:rFonts w:eastAsia="Lucida Sans Unicode"/>
                      <w:color w:val="000000"/>
                      <w:szCs w:val="24"/>
                      <w:lang w:eastAsia="lt-LT"/>
                    </w:rPr>
                  </w:pPr>
                </w:p>
                <w:p w14:paraId="15854650" w14:textId="05E94045">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 xml:space="preserve">Priėmus sprendimą, galimos pasekmės </w:t>
                  </w:r>
                  <w:r>
                    <w:rPr>
                      <w:rFonts w:eastAsia="Lucida Sans Unicode"/>
                      <w:i/>
                      <w:color w:val="000000"/>
                      <w:szCs w:val="24"/>
                      <w:shd w:val="clear" w:color="auto" w:fill="FFFFFF"/>
                      <w:lang w:eastAsia="lt-LT"/>
                    </w:rPr>
                    <w:t>(nurodomos tiek teigiamos, tiek neigiamos galimos pasekmės)</w:t>
                  </w:r>
                  <w:r>
                    <w:rPr>
                      <w:rFonts w:eastAsia="Lucida Sans Unicode"/>
                      <w:color w:val="000000"/>
                      <w:szCs w:val="24"/>
                      <w:shd w:val="clear" w:color="auto" w:fill="FFFFFF"/>
                      <w:lang w:eastAsia="lt-LT"/>
                    </w:rPr>
                    <w:t xml:space="preserve">. </w:t>
                  </w:r>
                </w:p>
                <w:p w14:paraId="0A766807" w14:textId="3D9C215B">
                  <w:pPr>
                    <w:widowControl w:val="0"/>
                    <w:suppressAutoHyphens/>
                    <w:ind w:firstLine="720"/>
                    <w:jc w:val="both"/>
                    <w:rPr>
                      <w:rFonts w:eastAsia="Lucida Sans Unicode"/>
                      <w:color w:val="000000"/>
                      <w:szCs w:val="24"/>
                      <w:lang w:eastAsia="lt-LT"/>
                    </w:rPr>
                  </w:pPr>
                  <w:r>
                    <w:rPr>
                      <w:rFonts w:eastAsia="Lucida Sans Unicode"/>
                      <w:color w:val="000000"/>
                      <w:szCs w:val="24"/>
                      <w:shd w:val="clear" w:color="auto" w:fill="FFFFFF"/>
                      <w:lang w:eastAsia="lt-LT"/>
                    </w:rPr>
                    <w:t>Priėmus sprendimą</w:t>
                  </w:r>
                  <w:r>
                    <w:rPr>
                      <w:rFonts w:eastAsia="Lucida Sans Unicode"/>
                      <w:i/>
                      <w:color w:val="000000"/>
                      <w:szCs w:val="24"/>
                      <w:shd w:val="clear" w:color="auto" w:fill="FFFFFF"/>
                      <w:lang w:eastAsia="lt-LT"/>
                    </w:rPr>
                    <w:t xml:space="preserve"> teigiamos pasekmės –</w:t>
                  </w:r>
                  <w:r>
                    <w:rPr>
                      <w:rFonts w:eastAsia="Lucida Sans Unicode"/>
                      <w:color w:val="000000"/>
                      <w:szCs w:val="24"/>
                      <w:shd w:val="clear" w:color="auto" w:fill="FFFFFF"/>
                      <w:lang w:eastAsia="lt-LT"/>
                    </w:rPr>
                    <w:t xml:space="preserve"> priėmus sprendimą pagal Komisijos rekomendaciją – nesutikti, kad UAB „Amber Gaming“ atidarytų ar steigtų lošimų organizavimo vietą Tilžės g. 121A-1, Šiauliuose, bus atsižvelgta į Vertinimo tvarkos apraše numatytus kriterijus ir sąlygas. </w:t>
                  </w:r>
                </w:p>
                <w:p w14:paraId="20309AFF" w14:textId="0E8F5B15">
                  <w:pPr>
                    <w:widowControl w:val="0"/>
                    <w:suppressAutoHyphens/>
                    <w:ind w:firstLine="720"/>
                    <w:jc w:val="both"/>
                    <w:rPr>
                      <w:rFonts w:eastAsia="Lucida Sans Unicode"/>
                      <w:color w:val="000000"/>
                      <w:szCs w:val="24"/>
                      <w:lang w:eastAsia="lt-LT"/>
                    </w:rPr>
                  </w:pPr>
                  <w:r>
                    <w:rPr>
                      <w:rFonts w:eastAsia="Lucida Sans Unicode"/>
                      <w:i/>
                      <w:color w:val="000000"/>
                      <w:szCs w:val="24"/>
                      <w:lang w:eastAsia="lt-LT"/>
                    </w:rPr>
                    <w:t xml:space="preserve">Neigiamos pasekmės – </w:t>
                  </w:r>
                  <w:r>
                    <w:rPr>
                      <w:rFonts w:eastAsia="Lucida Sans Unicode"/>
                      <w:color w:val="000000"/>
                      <w:szCs w:val="24"/>
                      <w:lang w:eastAsia="lt-LT"/>
                    </w:rPr>
                    <w:t>UAB „Amber Gaming“ negalės vykdyti numatytos veiklos ir gali kilti teisiniai ginčai.</w:t>
                  </w:r>
                </w:p>
                <w:p w14:paraId="34B34953" w14:textId="17F3689F">
                  <w:pPr>
                    <w:widowControl w:val="0"/>
                    <w:suppressAutoHyphens/>
                    <w:ind w:firstLine="720"/>
                    <w:jc w:val="both"/>
                    <w:rPr>
                      <w:rFonts w:eastAsia="Lucida Sans Unicode"/>
                      <w:szCs w:val="24"/>
                      <w:shd w:val="clear" w:color="auto" w:fill="FFFFFF"/>
                      <w:lang w:eastAsia="lt-LT"/>
                    </w:rPr>
                  </w:pPr>
                  <w:r>
                    <w:rPr>
                      <w:rFonts w:eastAsia="Lucida Sans Unicode"/>
                      <w:szCs w:val="24"/>
                      <w:shd w:val="clear" w:color="auto" w:fill="FFFFFF"/>
                      <w:lang w:eastAsia="lt-LT"/>
                    </w:rPr>
                    <w:t>Priėmus sprendimą dėl sutikimo, kad UAB „Amber Gaming“ atidarytų ar steigtų lošimų organizavimo vietą, būtų pažeisti Savivaldybės tarybos sprendimu nustatyti kriterijai ir sąlygos.</w:t>
                  </w:r>
                </w:p>
                <w:p w14:paraId="4C3825C3" w14:textId="77777777">
                  <w:pPr>
                    <w:widowControl w:val="0"/>
                    <w:suppressAutoHyphens/>
                    <w:ind w:firstLine="720"/>
                    <w:jc w:val="both"/>
                    <w:rPr>
                      <w:rFonts w:eastAsia="Lucida Sans Unicode"/>
                      <w:szCs w:val="24"/>
                      <w:shd w:val="clear" w:color="auto" w:fill="FFFFFF"/>
                      <w:lang w:eastAsia="lt-LT"/>
                    </w:rPr>
                  </w:pPr>
                </w:p>
              </w:sdtContent>
            </w:sdt>
            <w:sdt>
              <w:sdtPr>
                <w:alias w:val="poskyris"/>
                <w:tag w:val="part_24f76e53e8604eb3b098ad48b6388e99"/>
                <w:lock w:val="sdtLocked"/>
                <w:richText/>
              </w:sdtPr>
              <w:sdtContent>
                <w:p w14:paraId="15854653" w14:textId="77777777">
                  <w:pPr>
                    <w:widowControl w:val="0"/>
                    <w:suppressAutoHyphens/>
                    <w:ind w:firstLine="720"/>
                    <w:jc w:val="both"/>
                    <w:rPr>
                      <w:rFonts w:eastAsia="Lucida Sans Unicode"/>
                      <w:b/>
                      <w:color w:val="000000"/>
                      <w:szCs w:val="24"/>
                      <w:lang w:eastAsia="lt-LT"/>
                    </w:rPr>
                  </w:pPr>
                  <w:sdt>
                    <w:sdtPr>
                      <w:alias w:val="Pavadinimas"/>
                      <w:tag w:val="title_24f76e53e8604eb3b098ad48b6388e99"/>
                      <w:lock w:val="sdtLocked"/>
                      <w:richText/>
                    </w:sdtPr>
                    <w:sdtContent>
                      <w:r>
                        <w:rPr>
                          <w:rFonts w:eastAsia="Lucida Sans Unicode"/>
                          <w:b/>
                          <w:color w:val="000000"/>
                          <w:szCs w:val="24"/>
                          <w:shd w:val="clear" w:color="auto" w:fill="FFFFFF"/>
                          <w:lang w:eastAsia="lt-LT"/>
                        </w:rPr>
                        <w:t>Priėmus sprendimą, keičiami ar pripažįstami negaliojančiais teisės aktai</w:t>
                      </w:r>
                      <w:r>
                        <w:rPr>
                          <w:rFonts w:eastAsia="Lucida Sans Unicode"/>
                          <w:b/>
                          <w:color w:val="000000"/>
                          <w:szCs w:val="24"/>
                          <w:lang w:eastAsia="lt-LT"/>
                        </w:rPr>
                        <w:t>.</w:t>
                      </w:r>
                    </w:sdtContent>
                  </w:sdt>
                </w:p>
                <w:p w14:paraId="2247E9BE" w14:textId="77777777">
                  <w:pPr>
                    <w:widowControl w:val="0"/>
                    <w:suppressAutoHyphens/>
                    <w:ind w:firstLine="720"/>
                    <w:jc w:val="both"/>
                    <w:rPr>
                      <w:rFonts w:eastAsia="Lucida Sans Unicode"/>
                      <w:color w:val="000000"/>
                      <w:szCs w:val="24"/>
                      <w:lang w:eastAsia="ar-SA"/>
                    </w:rPr>
                  </w:pPr>
                  <w:r>
                    <w:rPr>
                      <w:rFonts w:eastAsia="Lucida Sans Unicode"/>
                      <w:color w:val="000000"/>
                      <w:szCs w:val="24"/>
                      <w:lang w:eastAsia="ar-SA"/>
                    </w:rPr>
                    <w:t>Priėmus sprendimą, keičiamų ar panaikinamų galiojančių Savivaldybės teisės aktų nėra.</w:t>
                  </w:r>
                </w:p>
                <w:p w14:paraId="2E5BC057" w14:textId="77777777">
                  <w:pPr>
                    <w:ind w:firstLine="705"/>
                    <w:jc w:val="both"/>
                    <w:rPr>
                      <w:rFonts w:eastAsia="Lucida Sans Unicode"/>
                      <w:b/>
                      <w:color w:val="000000"/>
                      <w:szCs w:val="24"/>
                      <w:lang w:eastAsia="lt-LT"/>
                    </w:rPr>
                  </w:pPr>
                </w:p>
              </w:sdtContent>
            </w:sdt>
            <w:sdt>
              <w:sdtPr>
                <w:alias w:val="poskyris"/>
                <w:tag w:val="part_b59cde84f7114f43a5fe9e887afd9f16"/>
                <w:lock w:val="sdtLocked"/>
                <w:richText/>
              </w:sdtPr>
              <w:sdtContent>
                <w:p w14:paraId="15854656" w14:textId="77777777">
                  <w:pPr>
                    <w:ind w:firstLine="705"/>
                    <w:jc w:val="both"/>
                    <w:rPr>
                      <w:rFonts w:eastAsia="Lucida Sans Unicode"/>
                      <w:b/>
                      <w:color w:val="000000"/>
                      <w:szCs w:val="24"/>
                      <w:lang w:eastAsia="lt-LT"/>
                    </w:rPr>
                  </w:pPr>
                  <w:sdt>
                    <w:sdtPr>
                      <w:alias w:val="Pavadinimas"/>
                      <w:tag w:val="title_b59cde84f7114f43a5fe9e887afd9f16"/>
                      <w:lock w:val="sdtLocked"/>
                      <w:richText/>
                    </w:sdtPr>
                    <w:sdtContent>
                      <w:r>
                        <w:rPr>
                          <w:rFonts w:eastAsia="Lucida Sans Unicode"/>
                          <w:b/>
                          <w:color w:val="000000"/>
                          <w:szCs w:val="24"/>
                          <w:lang w:eastAsia="lt-LT"/>
                        </w:rPr>
                        <w:t>Sprendimui įgyvendinti reikalingi priimti papildomi teisės aktai.</w:t>
                      </w:r>
                    </w:sdtContent>
                  </w:sdt>
                </w:p>
                <w:p w14:paraId="15854658" w14:textId="553A915B">
                  <w:pPr>
                    <w:widowControl w:val="0"/>
                    <w:suppressAutoHyphens/>
                    <w:ind w:firstLine="720"/>
                    <w:jc w:val="both"/>
                    <w:rPr>
                      <w:rFonts w:eastAsia="Lucida Sans Unicode"/>
                      <w:color w:val="000000"/>
                      <w:szCs w:val="24"/>
                      <w:lang w:eastAsia="lt-LT"/>
                    </w:rPr>
                  </w:pPr>
                  <w:r>
                    <w:rPr>
                      <w:rFonts w:eastAsia="Lucida Sans Unicode"/>
                      <w:color w:val="000000"/>
                      <w:szCs w:val="24"/>
                      <w:lang w:eastAsia="lt-LT"/>
                    </w:rPr>
                    <w:t>Papildomų teisės aktų sprendimo įgyvendinimui priimti nereikia.</w:t>
                  </w:r>
                </w:p>
                <w:p w14:paraId="55086576" w14:textId="77777777">
                  <w:pPr>
                    <w:widowControl w:val="0"/>
                    <w:suppressAutoHyphens/>
                    <w:ind w:firstLine="720"/>
                    <w:jc w:val="both"/>
                    <w:rPr>
                      <w:rFonts w:eastAsia="Lucida Sans Unicode"/>
                      <w:b/>
                      <w:color w:val="000000"/>
                      <w:szCs w:val="24"/>
                      <w:shd w:val="clear" w:color="auto" w:fill="FFFFFF"/>
                      <w:lang w:eastAsia="lt-LT"/>
                    </w:rPr>
                  </w:pPr>
                </w:p>
                <w:p w14:paraId="15854659" w14:textId="7C89FEFF">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Sprendimui įgyvendinti reikalingos lėšos</w:t>
                  </w:r>
                  <w:r>
                    <w:rPr>
                      <w:rFonts w:eastAsia="Lucida Sans Unicode"/>
                      <w:color w:val="000000"/>
                      <w:szCs w:val="24"/>
                      <w:shd w:val="clear" w:color="auto" w:fill="FFFFFF"/>
                      <w:lang w:eastAsia="lt-LT"/>
                    </w:rPr>
                    <w:t>.</w:t>
                  </w:r>
                </w:p>
                <w:p w14:paraId="1585465A" w14:textId="3A47A254">
                  <w:pPr>
                    <w:widowControl w:val="0"/>
                    <w:suppressAutoHyphens/>
                    <w:ind w:firstLine="72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 xml:space="preserve">Sprendimui įgyvendinti Savivaldybės biudžeto lėšos nereikalingos. </w:t>
                  </w:r>
                </w:p>
                <w:p w14:paraId="20C66F9D" w14:textId="77777777">
                  <w:pPr>
                    <w:widowControl w:val="0"/>
                    <w:suppressAutoHyphens/>
                    <w:ind w:firstLine="782"/>
                    <w:jc w:val="both"/>
                    <w:rPr>
                      <w:rFonts w:eastAsia="Lucida Sans Unicode"/>
                      <w:color w:val="000000"/>
                      <w:szCs w:val="24"/>
                      <w:shd w:val="clear" w:color="auto" w:fill="FFFFFF"/>
                      <w:lang w:eastAsia="lt-LT"/>
                    </w:rPr>
                  </w:pPr>
                </w:p>
              </w:sdtContent>
            </w:sdt>
            <w:sdt>
              <w:sdtPr>
                <w:alias w:val="poskyris"/>
                <w:tag w:val="part_019cb62b5dd746bb9483f5470c6003a8"/>
                <w:lock w:val="sdtLocked"/>
                <w:richText/>
              </w:sdtPr>
              <w:sdtContent>
                <w:p w14:paraId="1585465C" w14:textId="77B49E4B">
                  <w:pPr>
                    <w:widowControl w:val="0"/>
                    <w:suppressAutoHyphens/>
                    <w:ind w:firstLine="720"/>
                    <w:jc w:val="both"/>
                    <w:rPr>
                      <w:rFonts w:eastAsia="HG Mincho Light J"/>
                      <w:color w:val="000000"/>
                      <w:szCs w:val="24"/>
                      <w:shd w:val="clear" w:color="auto" w:fill="FFFFFF"/>
                      <w:lang w:eastAsia="ar-SA"/>
                    </w:rPr>
                  </w:pPr>
                  <w:sdt>
                    <w:sdtPr>
                      <w:alias w:val="Pavadinimas"/>
                      <w:tag w:val="title_019cb62b5dd746bb9483f5470c6003a8"/>
                      <w:lock w:val="sdtLocked"/>
                      <w:richText/>
                    </w:sdtPr>
                    <w:sdtContent>
                      <w:r>
                        <w:rPr>
                          <w:rFonts w:eastAsia="HG Mincho Light J"/>
                          <w:b/>
                          <w:color w:val="000000"/>
                          <w:szCs w:val="24"/>
                          <w:shd w:val="clear" w:color="auto" w:fill="FFFFFF"/>
                          <w:lang w:eastAsia="ar-SA"/>
                        </w:rPr>
                        <w:t xml:space="preserve">Sprendimo projekto antikorupcinis vertinimas. </w:t>
                      </w:r>
                    </w:sdtContent>
                  </w:sdt>
                </w:p>
                <w:p w14:paraId="1713DDD4" w14:textId="1296C959">
                  <w:pPr>
                    <w:widowControl w:val="0"/>
                    <w:tabs>
                      <w:tab w:val="left" w:pos="0"/>
                    </w:tabs>
                    <w:suppressAutoHyphens/>
                    <w:ind w:left="720"/>
                    <w:jc w:val="both"/>
                    <w:rPr>
                      <w:rFonts w:eastAsia="HG Mincho Light J"/>
                      <w:color w:val="000000"/>
                      <w:szCs w:val="24"/>
                      <w:shd w:val="clear" w:color="auto" w:fill="FFFFFF"/>
                      <w:lang w:eastAsia="ar-SA"/>
                    </w:rPr>
                  </w:pPr>
                  <w:r>
                    <w:rPr>
                      <w:rFonts w:eastAsia="Lucida Sans Unicode"/>
                      <w:color w:val="000000"/>
                      <w:szCs w:val="24"/>
                      <w:shd w:val="clear" w:color="auto" w:fill="FFFFFF"/>
                      <w:lang w:eastAsia="lt-LT"/>
                    </w:rPr>
                    <w:t>Antikorupcinio vertinimo pažyma nepridedama.</w:t>
                  </w:r>
                </w:p>
                <w:p w14:paraId="56400A1B" w14:textId="3237545C">
                  <w:pPr>
                    <w:widowControl w:val="0"/>
                    <w:suppressAutoHyphens/>
                    <w:ind w:firstLine="720"/>
                    <w:jc w:val="both"/>
                    <w:rPr>
                      <w:rFonts w:eastAsia="HG Mincho Light J"/>
                      <w:color w:val="000000"/>
                      <w:szCs w:val="24"/>
                      <w:shd w:val="clear" w:color="auto" w:fill="FFFFFF"/>
                      <w:lang w:eastAsia="ar-SA"/>
                    </w:rPr>
                  </w:pPr>
                  <w:r>
                    <w:rPr>
                      <w:rFonts w:eastAsia="Lucida Sans Unicode"/>
                      <w:b/>
                      <w:color w:val="000000"/>
                      <w:szCs w:val="24"/>
                      <w:shd w:val="clear" w:color="auto" w:fill="FFFFFF"/>
                    </w:rPr>
                    <w:t>Sprendimo projektą parengė</w:t>
                  </w:r>
                  <w:r>
                    <w:rPr>
                      <w:rFonts w:eastAsia="Lucida Sans Unicode"/>
                      <w:color w:val="000000"/>
                      <w:szCs w:val="24"/>
                      <w:shd w:val="clear" w:color="auto" w:fill="FFFFFF"/>
                    </w:rPr>
                    <w:t xml:space="preserve"> </w:t>
                  </w:r>
                  <w:r>
                    <w:rPr>
                      <w:rFonts w:eastAsia="Lucida Sans Unicode"/>
                      <w:color w:val="000000"/>
                      <w:szCs w:val="24"/>
                      <w:shd w:val="clear" w:color="auto" w:fill="FFFFFF"/>
                      <w:lang w:eastAsia="lt-LT"/>
                    </w:rPr>
                    <w:t xml:space="preserve">Šiaulių miesto savivaldybės administracijos Ekonomikos ir investicijų skyrius. </w:t>
                  </w:r>
                  <w:r>
                    <w:rPr>
                      <w:rFonts w:eastAsia="Lucida Sans Unicode"/>
                      <w:color w:val="000000"/>
                      <w:szCs w:val="24"/>
                      <w:shd w:val="clear" w:color="auto" w:fill="FFFFFF"/>
                    </w:rPr>
                    <w:t xml:space="preserve">Ekonomikos ir investicijų skyriaus vedėja – Aistė Petkuvienė. </w:t>
                  </w:r>
                  <w:r>
                    <w:rPr>
                      <w:rFonts w:eastAsia="Lucida Sans Unicode"/>
                      <w:color w:val="000000"/>
                      <w:szCs w:val="24"/>
                      <w:shd w:val="clear" w:color="auto" w:fill="FFFFFF"/>
                      <w:lang w:eastAsia="lt-LT"/>
                    </w:rPr>
                    <w:t xml:space="preserve">Tiesioginis rengėjas – </w:t>
                  </w:r>
                  <w:r>
                    <w:rPr>
                      <w:rFonts w:eastAsia="Lucida Sans Unicode"/>
                      <w:color w:val="000000"/>
                      <w:szCs w:val="24"/>
                      <w:lang w:eastAsia="lt-LT"/>
                    </w:rPr>
                    <w:t>Ekonomikos ir investicijų skyriaus vyr. specialistė Vaida Virbalienė</w:t>
                  </w:r>
                  <w:r>
                    <w:rPr>
                      <w:rFonts w:eastAsia="Lucida Sans Unicode"/>
                      <w:color w:val="000000"/>
                      <w:szCs w:val="24"/>
                      <w:shd w:val="clear" w:color="auto" w:fill="FFFFFF"/>
                      <w:lang w:eastAsia="lt-LT"/>
                    </w:rPr>
                    <w:t xml:space="preserve">, tel. 841 596 235, el. p.: </w:t>
                  </w:r>
                  <w:r>
                    <w:rPr>
                      <w:rFonts w:eastAsia="Lucida Sans Unicode"/>
                      <w:color w:val="0000FF"/>
                      <w:szCs w:val="24"/>
                      <w:u w:val="single"/>
                      <w:shd w:val="clear" w:color="auto" w:fill="FFFFFF"/>
                      <w:lang w:eastAsia="lt-LT"/>
                    </w:rPr>
                    <w:t>vaida.virbaliene@siauliai.lt</w:t>
                  </w:r>
                  <w:r>
                    <w:rPr>
                      <w:rFonts w:eastAsia="Lucida Sans Unicode"/>
                      <w:color w:val="000000"/>
                      <w:szCs w:val="24"/>
                      <w:shd w:val="clear" w:color="auto" w:fill="FFFFFF"/>
                      <w:lang w:eastAsia="lt-LT"/>
                    </w:rPr>
                    <w:t xml:space="preserve">. </w:t>
                  </w:r>
                  <w:r>
                    <w:rPr>
                      <w:rFonts w:eastAsia="Lucida Sans Unicode"/>
                      <w:color w:val="000000"/>
                      <w:szCs w:val="24"/>
                      <w:shd w:val="clear" w:color="auto" w:fill="FFFFFF"/>
                    </w:rPr>
                    <w:t xml:space="preserve">Projekto iniciatoriai: </w:t>
                  </w:r>
                  <w:r>
                    <w:rPr>
                      <w:rFonts w:eastAsia="Lucida Sans Unicode"/>
                      <w:color w:val="000000"/>
                      <w:szCs w:val="24"/>
                      <w:shd w:val="clear" w:color="auto" w:fill="FFFFFF"/>
                      <w:lang w:eastAsia="lt-LT"/>
                    </w:rPr>
                    <w:t>Šiaulių miesto savivaldybės administracija</w:t>
                  </w:r>
                  <w:r>
                    <w:rPr>
                      <w:rFonts w:eastAsia="Lucida Sans Unicode"/>
                      <w:color w:val="000000"/>
                      <w:szCs w:val="24"/>
                      <w:shd w:val="clear" w:color="auto" w:fill="FFFFFF"/>
                    </w:rPr>
                    <w:t>.</w:t>
                  </w:r>
                </w:p>
                <w:p w14:paraId="3C1B028E" w14:textId="77777777">
                  <w:pPr>
                    <w:widowControl w:val="0"/>
                    <w:suppressAutoHyphens/>
                    <w:ind w:firstLine="720"/>
                    <w:jc w:val="both"/>
                    <w:rPr>
                      <w:rFonts w:eastAsia="Lucida Sans Unicode"/>
                      <w:color w:val="000000"/>
                      <w:szCs w:val="24"/>
                      <w:shd w:val="clear" w:color="auto" w:fill="FFFFFF"/>
                      <w:lang w:eastAsia="lt-LT"/>
                    </w:rPr>
                  </w:pPr>
                </w:p>
                <w:p w14:paraId="537B2BA9" w14:textId="66519B87">
                  <w:pPr>
                    <w:widowControl w:val="0"/>
                    <w:suppressAutoHyphens/>
                    <w:ind w:firstLine="720"/>
                    <w:jc w:val="both"/>
                    <w:rPr>
                      <w:rFonts w:eastAsia="Lucida Sans Unicode"/>
                      <w:color w:val="000000"/>
                      <w:szCs w:val="24"/>
                      <w:shd w:val="clear" w:color="auto" w:fill="FFFFFF"/>
                      <w:lang w:eastAsia="lt-LT"/>
                    </w:rPr>
                  </w:pPr>
                  <w:r>
                    <w:rPr>
                      <w:rFonts w:eastAsia="Lucida Sans Unicode"/>
                      <w:b/>
                      <w:color w:val="000000"/>
                      <w:szCs w:val="24"/>
                      <w:shd w:val="clear" w:color="auto" w:fill="FFFFFF"/>
                      <w:lang w:eastAsia="lt-LT"/>
                    </w:rPr>
                    <w:t>N</w:t>
                  </w:r>
                  <w:r>
                    <w:rPr>
                      <w:rFonts w:eastAsia="Calibri"/>
                      <w:b/>
                      <w:color w:val="000000"/>
                      <w:szCs w:val="24"/>
                      <w:lang w:eastAsia="lt-LT"/>
                    </w:rPr>
                    <w:t xml:space="preserve">umatomo teisinio reguliavimo poveikio vertinimo rezultatai  </w:t>
                  </w:r>
                  <w:r>
                    <w:rPr>
                      <w:rFonts w:eastAsia="Lucida Sans Unicode"/>
                      <w:i/>
                      <w:color w:val="000000"/>
                      <w:szCs w:val="24"/>
                      <w:shd w:val="clear" w:color="auto" w:fill="FFFFFF"/>
                      <w:lang w:eastAsia="lt-LT"/>
                    </w:rPr>
                    <w:t>(jei tokį vertinimą reikia atlikti)</w:t>
                  </w:r>
                  <w:r>
                    <w:rPr>
                      <w:rFonts w:eastAsia="Lucida Sans Unicode"/>
                      <w:color w:val="000000"/>
                      <w:szCs w:val="24"/>
                      <w:shd w:val="clear" w:color="auto" w:fill="FFFFFF"/>
                      <w:lang w:eastAsia="lt-LT"/>
                    </w:rPr>
                    <w:t>.</w:t>
                  </w:r>
                </w:p>
                <w:p w14:paraId="15854662" w14:textId="3746C3FE">
                  <w:pPr>
                    <w:widowControl w:val="0"/>
                    <w:suppressAutoHyphens/>
                    <w:ind w:firstLine="72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Numatomo teisinio reguliavimo poveikio vertinimas neatliktas, nes sprendimo projektu nėra numatoma reglamentuoti iki šiol nereglamentuotus santykius, ar iš esmės keisti teisinį reglamentavimą.</w:t>
                  </w:r>
                </w:p>
                <w:p w14:paraId="15854663" w14:textId="77777777">
                  <w:pPr>
                    <w:widowControl w:val="0"/>
                    <w:tabs>
                      <w:tab w:val="left" w:pos="855"/>
                    </w:tabs>
                    <w:suppressAutoHyphens/>
                    <w:jc w:val="both"/>
                    <w:rPr>
                      <w:rFonts w:eastAsia="Lucida Sans Unicode"/>
                      <w:b/>
                      <w:color w:val="000000"/>
                      <w:szCs w:val="24"/>
                      <w:lang w:eastAsia="lt-LT"/>
                    </w:rPr>
                  </w:pPr>
                </w:p>
                <w:p w14:paraId="15854664" w14:textId="77777777">
                  <w:pPr>
                    <w:widowControl w:val="0"/>
                    <w:tabs>
                      <w:tab w:val="left" w:pos="855"/>
                    </w:tabs>
                    <w:suppressAutoHyphens/>
                    <w:jc w:val="both"/>
                    <w:rPr>
                      <w:rFonts w:eastAsia="Lucida Sans Unicode"/>
                      <w:b/>
                      <w:color w:val="000000"/>
                      <w:szCs w:val="24"/>
                      <w:lang w:eastAsia="lt-LT"/>
                    </w:rPr>
                  </w:pPr>
                </w:p>
                <w:p w14:paraId="08040C92" w14:textId="77777777">
                  <w:pPr>
                    <w:widowControl w:val="0"/>
                    <w:suppressAutoHyphens/>
                    <w:spacing w:line="100" w:lineRule="atLeast"/>
                    <w:jc w:val="both"/>
                    <w:rPr>
                      <w:rFonts w:eastAsia="Lucida Sans Unicode"/>
                      <w:b/>
                      <w:color w:val="000000"/>
                      <w:szCs w:val="24"/>
                      <w:lang w:eastAsia="lt-LT"/>
                    </w:rPr>
                  </w:pPr>
                </w:p>
              </w:sdtContent>
            </w:sdt>
          </w:sdtContent>
        </w:sdt>
        <w:sdt>
          <w:sdtPr>
            <w:alias w:val="signatura"/>
            <w:tag w:val="part_1d80532631884b3f83a5ac7d44b22967"/>
            <w:lock w:val="sdtLocked"/>
            <w:richText/>
          </w:sdtPr>
          <w:sdtContent>
            <w:p w14:paraId="1B92D005" w14:textId="28AE5171">
              <w:pPr>
                <w:widowControl w:val="0"/>
                <w:suppressAutoHyphens/>
                <w:rPr>
                  <w:rFonts w:eastAsia="Lucida Sans Unicode"/>
                  <w:color w:val="000000"/>
                  <w:szCs w:val="24"/>
                  <w:lang w:eastAsia="lt-LT"/>
                </w:rPr>
              </w:pPr>
              <w:r>
                <w:rPr>
                  <w:rFonts w:eastAsia="Lucida Sans Unicode"/>
                  <w:color w:val="000000"/>
                  <w:szCs w:val="24"/>
                  <w:shd w:val="clear" w:color="auto" w:fill="FFFFFF"/>
                  <w:lang w:eastAsia="lt-LT"/>
                </w:rPr>
                <w:t>S</w:t>
              </w:r>
              <w:r>
                <w:rPr>
                  <w:rFonts w:eastAsia="Lucida Sans Unicode"/>
                  <w:color w:val="000000"/>
                  <w:szCs w:val="24"/>
                  <w:lang w:eastAsia="lt-LT"/>
                </w:rPr>
                <w:t>kyriaus vedėja</w:t>
                <w:tab/>
                <w:tab/>
                <w:tab/>
                <w:tab/>
                <w:tab/>
                <w:tab/>
                <w:t xml:space="preserve">  </w:t>
              </w:r>
              <w:r>
                <w:rPr>
                  <w:rFonts w:eastAsia="Arial Unicode MS"/>
                  <w:color w:val="000000"/>
                  <w:szCs w:val="24"/>
                  <w:lang w:eastAsia="lt-LT"/>
                </w:rPr>
                <w:t>Aistė Petkuvienė</w:t>
              </w:r>
            </w:p>
            <w:p w14:paraId="44EC503C" w14:textId="77777777"/>
            <w:p w14:paraId="67A6B87B" w14:textId="43285011">
              <w:pPr>
                <w:widowControl w:val="0"/>
                <w:suppressAutoHyphens/>
                <w:spacing w:line="100" w:lineRule="atLeast"/>
                <w:jc w:val="both"/>
                <w:rPr>
                  <w:rFonts w:eastAsia="Lucida Sans Unicode"/>
                  <w:bCs/>
                  <w:color w:val="000000"/>
                  <w:szCs w:val="24"/>
                  <w:lang w:eastAsia="lt-LT"/>
                </w:rPr>
              </w:pPr>
            </w:p>
            <w:p w14:paraId="15854667" w14:textId="77777777">
              <w:pPr>
                <w:widowControl w:val="0"/>
                <w:suppressAutoHyphens/>
                <w:spacing w:line="100" w:lineRule="atLeast"/>
                <w:jc w:val="both"/>
                <w:rPr>
                  <w:rFonts w:eastAsia="Lucida Sans Unicode"/>
                  <w:bCs/>
                  <w:color w:val="000000"/>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418" w:right="567" w:bottom="1134" w:left="1418" w:header="85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336369"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679E0BA8"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4C64CB" w14:textId="77777777">
    <w:pPr>
      <w:widowControl w:val="0"/>
      <w:tabs>
        <w:tab w:val="center" w:pos="4819"/>
        <w:tab w:val="right" w:pos="9638"/>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38890D" w14:textId="77777777">
    <w:pPr>
      <w:widowControl w:val="0"/>
      <w:tabs>
        <w:tab w:val="center" w:pos="4819"/>
        <w:tab w:val="right" w:pos="9638"/>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15BBB" w14:textId="77777777">
    <w:pPr>
      <w:widowControl w:val="0"/>
      <w:tabs>
        <w:tab w:val="center" w:pos="4819"/>
        <w:tab w:val="right" w:pos="9638"/>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D606FE"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29831C34"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5466C"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1585466D"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5466E" w14:textId="4E29DD9C">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2</w:t>
    </w:r>
    <w:r>
      <w:rPr>
        <w:rFonts w:eastAsia="Lucida Sans Unicode"/>
        <w:color w:val="000000"/>
        <w:szCs w:val="24"/>
        <w:lang w:eastAsia="lt-LT"/>
      </w:rPr>
      <w:fldChar w:fldCharType="end"/>
    </w:r>
  </w:p>
  <w:p w14:paraId="1585466F"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F4F29"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1585462E"/>
  <w15:chartTrackingRefBased/>
  <w15:docId w15:val="{94075BE5-7AF5-4E82-BA80-CDB5517281F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20378">
      <w:bodyDiv w:val="1"/>
      <w:marLeft w:val="0"/>
      <w:marRight w:val="0"/>
      <w:marTop w:val="0"/>
      <w:marBottom w:val="0"/>
      <w:divBdr>
        <w:top w:val="none" w:sz="0" w:space="0" w:color="auto"/>
        <w:left w:val="none" w:sz="0" w:space="0" w:color="auto"/>
        <w:bottom w:val="none" w:sz="0" w:space="0" w:color="auto"/>
        <w:right w:val="none" w:sz="0" w:space="0" w:color="auto"/>
      </w:divBdr>
    </w:div>
    <w:div w:id="474184293">
      <w:bodyDiv w:val="1"/>
      <w:marLeft w:val="0"/>
      <w:marRight w:val="0"/>
      <w:marTop w:val="0"/>
      <w:marBottom w:val="0"/>
      <w:divBdr>
        <w:top w:val="none" w:sz="0" w:space="0" w:color="auto"/>
        <w:left w:val="none" w:sz="0" w:space="0" w:color="auto"/>
        <w:bottom w:val="none" w:sz="0" w:space="0" w:color="auto"/>
        <w:right w:val="none" w:sz="0" w:space="0" w:color="auto"/>
      </w:divBdr>
    </w:div>
    <w:div w:id="926884427">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9d5dbaa50dd4ff59fec68d543b0d3d1" PartId="dd042eb4ffab41209565cf6f0810233a">
    <Part Type="skyrius" Nr="999" Title="SPRENDIMO „DĖL SUTIKIMO / NESUTIKIMO UAB „AMBER GAMING“ ATIDARYTŲ AR STEIGTŲ LOŠIMŲ ORGANIZAVIMO VIETĄ“ PROJEKTO AIŠKINAMASIS RAŠTAS" DocPartId="5c860a0b62f44d7bba265709a7b1dd7e" PartId="ac48da6471244d1091ea1bf17d8a0ce0">
      <Part Type="poskyris" Title="Parengto sprendimo projekto tikslai ir uždaviniai." DocPartId="57e6527eaffa41e6a01fbfabec3dd622" PartId="1fcaf70a405140c8a118cb8049563e05"/>
      <Part Type="poskyris" Title="Dabartinis sprendimo projekte aptariamų klausimų reguliavimas." DocPartId="f96c54c79e4746b6b9513f6ad6f510f3" PartId="65cb08127c464d04aaeecf283541beb9"/>
      <Part Type="poskyris" Title="Sprendimo projekte numatytos naujos teisinio reglamentavimo nuostatos." DocPartId="1a688ac2fd284b9bacdc29d89df43428" PartId="c4870fe8d27d48139bab466ecf66051f"/>
      <Part Type="poskyris" Title="Priėmus sprendimą, keičiami ar pripažįstami negaliojančiais teisės aktai." DocPartId="4a8be14706c54779a6e519eaca833a0b" PartId="24f76e53e8604eb3b098ad48b6388e99"/>
      <Part Type="poskyris" Title="Sprendimui įgyvendinti reikalingi priimti papildomi teisės aktai." DocPartId="389cd9bdb3a94b3dbd7e3d5694056bfd" PartId="b59cde84f7114f43a5fe9e887afd9f16"/>
      <Part Type="poskyris" Title="Sprendimo projekto antikorupcinis vertinimas." DocPartId="2a8292c2e6b94dd9a6d6cfa91dbc176b" PartId="019cb62b5dd746bb9483f5470c6003a8"/>
    </Part>
    <Part Type="signatura" DocPartId="d27d7760676345b883785755da375223" PartId="1d80532631884b3f83a5ac7d44b22967"/>
  </Part>
</Parts>
</file>

<file path=customXml/itemProps1.xml><?xml version="1.0" encoding="utf-8"?>
<ds:datastoreItem xmlns:ds="http://schemas.openxmlformats.org/officeDocument/2006/customXml" ds:itemID="{3A283F5C-E59F-4947-AB94-28AD77D6A35E}">
  <ds:schemaRefs>
    <ds:schemaRef ds:uri="http://schemas.openxmlformats.org/officeDocument/2006/bibliography"/>
  </ds:schemaRefs>
</ds:datastoreItem>
</file>

<file path=customXml/itemProps2.xml><?xml version="1.0" encoding="utf-8"?>
<ds:datastoreItem xmlns:ds="http://schemas.openxmlformats.org/officeDocument/2006/customXml" ds:itemID="{18DDB73B-E985-4BCD-AA21-FEBCF2344F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705</Words>
  <Characters>5169</Characters>
  <Application>Microsoft Office Word</Application>
  <DocSecurity>4</DocSecurity>
  <PresentationFormat/>
  <Lines>93</Lines>
  <Paragraphs>40</Paragraphs>
  <Slides>0</Slides>
  <Notes>0</Notes>
  <HiddenSlides>0</HiddenSlides>
  <MMClips>0</MMClip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Manager/>
  <Company>Siauliu m.savivaldybe</Company>
  <LinksUpToDate>false</LinksUpToDate>
  <CharactersWithSpaces>5834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2023-06-20T11:20:00Z</dcterms:created>
  <dc:creator>dovile</dc:creator>
  <lastModifiedBy>adlibuser</lastModifiedBy>
  <lastPrinted>2023-04-12T13:10:00Z</lastPrinted>
  <dcterms:modified xsi:type="dcterms:W3CDTF">2023-06-20T11:20:00Z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