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rPr>
          <w:rFonts w:eastAsia="Calibri"/>
          <w:szCs w:val="24"/>
        </w:rPr>
      </w:pPr>
    </w:p>
    <w:p>
      <w:pPr>
        <w:rPr>
          <w:sz w:val="20"/>
        </w:rPr>
      </w:pPr>
    </w:p>
    <w:p>
      <w:pPr>
        <w:keepNext/>
        <w:spacing w:line="276" w:lineRule="auto"/>
        <w:jc w:val="center"/>
        <w:rPr>
          <w:rFonts w:eastAsia="Calibri"/>
          <w:b/>
          <w:bCs/>
          <w:kern w:val="32"/>
          <w:szCs w:val="24"/>
          <w:lang w:val="en-GB"/>
        </w:rPr>
      </w:pPr>
      <w:r>
        <w:rPr>
          <w:rFonts w:eastAsia="Calibri"/>
          <w:b/>
          <w:bCs/>
          <w:kern w:val="32"/>
          <w:szCs w:val="24"/>
          <w:lang w:val="en-GB"/>
        </w:rPr>
        <w:t>RASEINIŲ RAJONO SAVIVALDYBĖS ADMINISTRACIJOS</w:t>
      </w:r>
    </w:p>
    <w:p>
      <w:pPr>
        <w:rPr>
          <w:sz w:val="6"/>
          <w:szCs w:val="6"/>
        </w:rPr>
      </w:pPr>
    </w:p>
    <w:p>
      <w:pPr>
        <w:keepNext/>
        <w:keepLines/>
        <w:jc w:val="center"/>
        <w:outlineLvl w:val="2"/>
        <w:rPr>
          <w:rFonts w:eastAsia="Calibri"/>
          <w:b/>
          <w:szCs w:val="24"/>
        </w:rPr>
      </w:pPr>
      <w:r>
        <w:rPr>
          <w:rFonts w:eastAsia="Calibri"/>
          <w:b/>
          <w:szCs w:val="24"/>
        </w:rPr>
        <w:t>SOCIALINĖS PARAMOS SKYRIUS</w:t>
      </w:r>
    </w:p>
    <w:p>
      <w:pPr>
        <w:rPr>
          <w:rFonts w:eastAsia="Calibri"/>
          <w:szCs w:val="24"/>
        </w:rPr>
      </w:pPr>
    </w:p>
    <w:p>
      <w:pPr>
        <w:tabs>
          <w:tab w:val="left" w:pos="567"/>
        </w:tabs>
        <w:spacing w:line="360" w:lineRule="auto"/>
        <w:jc w:val="center"/>
        <w:rPr>
          <w:rFonts w:eastAsia="Calibri"/>
          <w:b/>
          <w:bCs/>
          <w:szCs w:val="24"/>
        </w:rPr>
      </w:pPr>
      <w:r>
        <w:rPr>
          <w:rFonts w:eastAsia="Calibri"/>
          <w:b/>
          <w:bCs/>
          <w:szCs w:val="24"/>
        </w:rPr>
        <w:t>AIŠKINAMASIS RAŠTAS</w:t>
      </w:r>
    </w:p>
    <w:tbl>
      <w:tblPr>
        <w:tblW w:w="978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trPr>
          <w:cantSplit/>
          <w:trHeight w:val="376"/>
        </w:trPr>
        <w:tc>
          <w:tcPr>
            <w:tcW w:w="9781" w:type="dxa"/>
            <w:tcBorders>
              <w:top w:val="nil"/>
              <w:left w:val="nil"/>
              <w:bottom w:val="nil"/>
              <w:right w:val="nil"/>
            </w:tcBorders>
            <w:tcMar>
              <w:top w:w="0" w:type="dxa"/>
              <w:left w:w="0" w:type="dxa"/>
              <w:bottom w:w="0" w:type="dxa"/>
              <w:right w:w="0" w:type="dxa"/>
            </w:tcMar>
            <w:hideMark/>
          </w:tcPr>
          <w:p>
            <w:pPr>
              <w:jc w:val="center"/>
              <w:rPr>
                <w:b/>
                <w:szCs w:val="24"/>
              </w:rPr>
            </w:pPr>
            <w:r>
              <w:rPr>
                <w:rFonts w:eastAsia="Calibri"/>
                <w:b/>
                <w:bCs/>
                <w:caps/>
                <w:szCs w:val="24"/>
              </w:rPr>
              <w:t xml:space="preserve">Dėl TARYBOS sprendimo </w:t>
            </w:r>
            <w:r>
              <w:rPr>
                <w:rFonts w:eastAsia="Calibri"/>
                <w:b/>
                <w:szCs w:val="24"/>
              </w:rPr>
              <w:t>„</w:t>
            </w:r>
            <w:r>
              <w:rPr>
                <w:b/>
                <w:bCs/>
                <w:szCs w:val="24"/>
                <w:lang w:val="en-GB"/>
              </w:rPr>
              <w:t>DĖL RASEINIŲ RAJONO SAVIVALDYBĖS TARYBOS 2017 M. GRUODŽIO 28 D. SPRENDIMO NR. TS-414 „DĖL MOKINIŲ NEMOKAMO MAITINIMO PATIEKALŲ GAMYBOS IŠLAIDŲ RASEINIŲ RAJONO SAVIVALDYBĖS UGDYMO ĮSTAIGOSE KAINŲ PATVIRTINIMO“ PRIPAŽINIMO NETEKUSIU GALIOS</w:t>
            </w:r>
            <w:r>
              <w:rPr>
                <w:rFonts w:eastAsia="Calibri"/>
                <w:b/>
                <w:bCs/>
                <w:caps/>
                <w:szCs w:val="24"/>
              </w:rPr>
              <w:t>” PROJEKTO</w:t>
            </w:r>
          </w:p>
        </w:tc>
      </w:tr>
    </w:tbl>
    <w:p>
      <w:pPr>
        <w:rPr>
          <w:rFonts w:eastAsia="Calibri"/>
          <w:szCs w:val="24"/>
        </w:rPr>
      </w:pPr>
    </w:p>
    <w:p>
      <w:pPr>
        <w:tabs>
          <w:tab w:val="left" w:pos="567"/>
        </w:tabs>
        <w:spacing w:line="360" w:lineRule="auto"/>
        <w:jc w:val="center"/>
        <w:rPr>
          <w:rFonts w:eastAsia="Calibri"/>
          <w:szCs w:val="24"/>
        </w:rPr>
      </w:pPr>
      <w:r>
        <w:rPr>
          <w:rFonts w:eastAsia="Calibri"/>
          <w:szCs w:val="24"/>
        </w:rPr>
        <w:t>2022 m. sausio 13 d.</w:t>
      </w:r>
    </w:p>
    <w:p>
      <w:pPr>
        <w:tabs>
          <w:tab w:val="left" w:pos="0"/>
        </w:tabs>
        <w:spacing w:line="360" w:lineRule="auto"/>
        <w:jc w:val="center"/>
        <w:rPr>
          <w:rFonts w:eastAsia="Calibri"/>
          <w:szCs w:val="24"/>
        </w:rPr>
      </w:pPr>
      <w:r>
        <w:rPr>
          <w:rFonts w:eastAsia="Calibri"/>
          <w:szCs w:val="24"/>
        </w:rPr>
        <w:t>Raseiniai</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4"/>
      </w:tblGrid>
      <w:tr>
        <w:tc>
          <w:tcPr>
            <w:tcW w:w="10030" w:type="dxa"/>
            <w:tcBorders>
              <w:top w:val="single" w:sz="4" w:space="0" w:color="auto"/>
              <w:left w:val="single" w:sz="4" w:space="0" w:color="auto"/>
              <w:bottom w:val="single" w:sz="4" w:space="0" w:color="auto"/>
              <w:right w:val="single" w:sz="4" w:space="0" w:color="auto"/>
            </w:tcBorders>
          </w:tcPr>
          <w:p>
            <w:pPr>
              <w:spacing w:line="360" w:lineRule="auto"/>
              <w:ind w:hanging="360"/>
              <w:jc w:val="both"/>
              <w:rPr>
                <w:rFonts w:eastAsia="Calibri"/>
                <w:b/>
                <w:bCs/>
                <w:szCs w:val="24"/>
              </w:rPr>
            </w:pPr>
            <w:r>
              <w:rPr>
                <w:rFonts w:eastAsia="Calibri"/>
                <w:b/>
                <w:bCs/>
                <w:szCs w:val="24"/>
              </w:rPr>
              <w:t>1.</w:t>
              <w:tab/>
            </w:r>
            <w:r>
              <w:rPr>
                <w:rFonts w:eastAsia="Calibri"/>
                <w:b/>
                <w:bCs/>
                <w:i/>
                <w:iCs/>
                <w:szCs w:val="24"/>
              </w:rPr>
              <w:t>Parengto projekto tikslai ir uždaviniai.</w:t>
            </w:r>
          </w:p>
        </w:tc>
      </w:tr>
      <w:tr>
        <w:tc>
          <w:tcPr>
            <w:tcW w:w="10030" w:type="dxa"/>
            <w:tcBorders>
              <w:top w:val="single" w:sz="4" w:space="0" w:color="auto"/>
              <w:left w:val="single" w:sz="4" w:space="0" w:color="auto"/>
              <w:bottom w:val="single" w:sz="4" w:space="0" w:color="auto"/>
              <w:right w:val="single" w:sz="4" w:space="0" w:color="auto"/>
            </w:tcBorders>
          </w:tcPr>
          <w:p>
            <w:pPr>
              <w:spacing w:line="360" w:lineRule="auto"/>
              <w:ind w:firstLine="62"/>
              <w:jc w:val="both"/>
              <w:rPr>
                <w:rFonts w:eastAsia="Calibri"/>
                <w:szCs w:val="24"/>
              </w:rPr>
            </w:pPr>
            <w:r>
              <w:rPr>
                <w:rFonts w:eastAsia="Calibri"/>
                <w:szCs w:val="24"/>
              </w:rPr>
              <w:t xml:space="preserve">Parengto projekto tikslas – pripažinti </w:t>
            </w:r>
            <w:r>
              <w:rPr>
                <w:szCs w:val="24"/>
              </w:rPr>
              <w:t>Raseinių rajono savivaldybės tarybos 2017 m. gruodžio 28 d. sprendimą Nr. TS-414 „Dėl mokinių nemokamo maitinimo patiekalų gamybos išlaidų Raseinių rajono savivaldybės ugdymo įstaigose kainų patvirtinimo“ (toliau – Sprendimas) su vėlesniais pakeitimais netekusiu galios.</w:t>
            </w:r>
          </w:p>
        </w:tc>
      </w:tr>
      <w:tr>
        <w:tc>
          <w:tcPr>
            <w:tcW w:w="10030" w:type="dxa"/>
            <w:tcBorders>
              <w:top w:val="single" w:sz="4" w:space="0" w:color="auto"/>
              <w:left w:val="single" w:sz="4" w:space="0" w:color="auto"/>
              <w:bottom w:val="single" w:sz="4" w:space="0" w:color="auto"/>
              <w:right w:val="single" w:sz="4" w:space="0" w:color="auto"/>
            </w:tcBorders>
          </w:tcPr>
          <w:p>
            <w:pPr>
              <w:spacing w:line="360" w:lineRule="auto"/>
              <w:ind w:left="900" w:hanging="360"/>
              <w:jc w:val="both"/>
              <w:rPr>
                <w:rFonts w:eastAsia="Calibri"/>
                <w:b/>
                <w:bCs/>
                <w:i/>
                <w:iCs/>
                <w:color w:val="000000"/>
                <w:szCs w:val="24"/>
              </w:rPr>
            </w:pPr>
            <w:r>
              <w:rPr>
                <w:rFonts w:eastAsia="Calibri"/>
                <w:b/>
                <w:bCs/>
                <w:i/>
                <w:iCs/>
                <w:color w:val="000000"/>
                <w:szCs w:val="24"/>
              </w:rPr>
              <w:t>2.</w:t>
              <w:tab/>
              <w:t xml:space="preserve">Kokių pozityvių rezultatų laukiama. </w:t>
            </w:r>
          </w:p>
        </w:tc>
      </w:tr>
      <w:tr>
        <w:trPr>
          <w:trHeight w:val="361"/>
        </w:trPr>
        <w:tc>
          <w:tcPr>
            <w:tcW w:w="10030" w:type="dxa"/>
            <w:tcBorders>
              <w:top w:val="single" w:sz="4" w:space="0" w:color="auto"/>
              <w:left w:val="single" w:sz="4" w:space="0" w:color="auto"/>
              <w:bottom w:val="single" w:sz="4" w:space="0" w:color="auto"/>
              <w:right w:val="single" w:sz="4" w:space="0" w:color="auto"/>
            </w:tcBorders>
          </w:tcPr>
          <w:p>
            <w:pPr>
              <w:rPr>
                <w:rFonts w:eastAsia="Calibri"/>
                <w:szCs w:val="24"/>
                <w:lang w:val="en-GB"/>
              </w:rPr>
            </w:pPr>
          </w:p>
          <w:tbl>
            <w:tblPr>
              <w:tblW w:w="0" w:type="auto"/>
              <w:tblLook w:val="0000" w:firstRow="0" w:lastRow="0" w:firstColumn="0" w:lastColumn="0" w:noHBand="0" w:noVBand="0"/>
            </w:tblPr>
            <w:tblGrid>
              <w:gridCol w:w="9588"/>
            </w:tblGrid>
            <w:tr>
              <w:trPr>
                <w:trHeight w:val="104"/>
              </w:trPr>
              <w:tc>
                <w:tcPr>
                  <w:tcW w:w="0" w:type="auto"/>
                </w:tcPr>
                <w:p>
                  <w:pPr>
                    <w:spacing w:line="360" w:lineRule="auto"/>
                    <w:ind w:firstLine="434"/>
                    <w:jc w:val="both"/>
                    <w:rPr>
                      <w:rFonts w:eastAsia="Calibri"/>
                      <w:szCs w:val="24"/>
                    </w:rPr>
                  </w:pPr>
                  <w:r>
                    <w:rPr>
                      <w:rFonts w:eastAsia="Calibri"/>
                      <w:szCs w:val="24"/>
                    </w:rPr>
                    <w:t xml:space="preserve">Didėjant darbo užmokesčiui, kylant elektros kainoms, atsirado poreikis didinti mokinių nemokamo maitinimo patiekalų gamybos išlaidų (maitinimo paslaugų teikėjų darbuotojų, tiesiogiai susijusių su mokinių nemokamo maitinimo teikimu, darbo užmokestis, valstybinio socialinio draudimo įmokos, komunalinių paslaugų, ryšių, transporto išlaidos) kainas, kurios yra finansuojamos iš Savivaldybės biudžeto lėšų (LR Socialinės paramos mokiniams įstatymo 4 straipsnio 5 dalis). </w:t>
                  </w:r>
                </w:p>
                <w:p>
                  <w:pPr>
                    <w:spacing w:line="360" w:lineRule="auto"/>
                    <w:ind w:firstLine="372"/>
                    <w:jc w:val="both"/>
                    <w:rPr>
                      <w:rFonts w:eastAsia="Calibri"/>
                      <w:szCs w:val="24"/>
                    </w:rPr>
                  </w:pPr>
                  <w:r>
                    <w:rPr>
                      <w:rFonts w:eastAsia="Calibri"/>
                      <w:szCs w:val="24"/>
                    </w:rPr>
                    <w:t>Vadovaujantis Mokinių nemokamo maitinimo savivaldybės ir nevalstybinėse mokyklose tvarkos aprašo, patvirtinto Raseinių rajono savivaldybės tarybos 2021 m. birželio 30 d. sprendimu Nr. TS-174 „Dėl mokinių nemokamo maitinimo savivaldybės ir nevalstybinėse mokyklose tvarkos aprašo patvirtinimo“, 13 punktu, patiekalų gamybos išlaidų dydis tvirtinamas rajono Savivaldybės administracijos direktoriaus įsakymu, todėl sprendimo projektu prašoma panaikinti Sprendimą.</w:t>
                  </w:r>
                </w:p>
                <w:p>
                  <w:pPr>
                    <w:spacing w:line="360" w:lineRule="auto"/>
                    <w:ind w:firstLine="434"/>
                    <w:jc w:val="both"/>
                    <w:rPr>
                      <w:rFonts w:eastAsia="Calibri"/>
                      <w:szCs w:val="24"/>
                    </w:rPr>
                  </w:pPr>
                  <w:r>
                    <w:rPr>
                      <w:rFonts w:eastAsia="Calibri"/>
                      <w:szCs w:val="24"/>
                    </w:rPr>
                    <w:t>Pritarus sprendimo projektui, mokinių nemokamo maitinimo patiekalų gamybos išlaidos bus tvirtinamos rajono Savivaldybės administracijos direktoriaus įsakymu ir atitiks teisės aktų nuostatas.</w:t>
                  </w:r>
                </w:p>
              </w:tc>
            </w:tr>
          </w:tbl>
          <w:p>
            <w:pPr>
              <w:spacing w:line="360" w:lineRule="auto"/>
              <w:ind w:firstLine="540"/>
              <w:jc w:val="both"/>
              <w:rPr>
                <w:rFonts w:eastAsia="Calibri"/>
                <w:szCs w:val="24"/>
              </w:rPr>
            </w:pPr>
          </w:p>
        </w:tc>
      </w:tr>
      <w:tr>
        <w:tc>
          <w:tcPr>
            <w:tcW w:w="10030" w:type="dxa"/>
            <w:tcBorders>
              <w:top w:val="single" w:sz="4" w:space="0" w:color="auto"/>
              <w:left w:val="single" w:sz="4" w:space="0" w:color="auto"/>
              <w:bottom w:val="single" w:sz="4" w:space="0" w:color="auto"/>
              <w:right w:val="single" w:sz="4" w:space="0" w:color="auto"/>
            </w:tcBorders>
          </w:tcPr>
          <w:p>
            <w:pPr>
              <w:spacing w:line="360" w:lineRule="auto"/>
              <w:ind w:firstLine="540"/>
              <w:jc w:val="both"/>
              <w:rPr>
                <w:rFonts w:eastAsia="Calibri"/>
                <w:b/>
                <w:bCs/>
                <w:i/>
                <w:iCs/>
                <w:szCs w:val="24"/>
              </w:rPr>
            </w:pPr>
            <w:r>
              <w:rPr>
                <w:rFonts w:eastAsia="Calibri"/>
                <w:b/>
                <w:bCs/>
                <w:i/>
                <w:iCs/>
                <w:szCs w:val="24"/>
              </w:rPr>
              <w:t xml:space="preserve">3. Galimos neigiamos priimto projekto pasekmės ir kokių priemonių reikėtų imtis, kad tokių pasekmių būtų išvengta. </w:t>
            </w:r>
          </w:p>
        </w:tc>
      </w:tr>
      <w:tr>
        <w:tc>
          <w:tcPr>
            <w:tcW w:w="10030" w:type="dxa"/>
            <w:tcBorders>
              <w:top w:val="single" w:sz="4" w:space="0" w:color="auto"/>
              <w:left w:val="single" w:sz="4" w:space="0" w:color="auto"/>
              <w:bottom w:val="single" w:sz="4" w:space="0" w:color="auto"/>
              <w:right w:val="single" w:sz="4" w:space="0" w:color="auto"/>
            </w:tcBorders>
          </w:tcPr>
          <w:p>
            <w:pPr>
              <w:spacing w:line="360" w:lineRule="auto"/>
              <w:ind w:firstLine="567"/>
              <w:jc w:val="both"/>
              <w:rPr>
                <w:rFonts w:eastAsia="Calibri"/>
                <w:bCs/>
                <w:iCs/>
                <w:szCs w:val="24"/>
              </w:rPr>
            </w:pPr>
            <w:r>
              <w:rPr>
                <w:rFonts w:eastAsia="Calibri"/>
                <w:bCs/>
                <w:iCs/>
                <w:szCs w:val="24"/>
              </w:rPr>
              <w:t>Nėra</w:t>
            </w:r>
          </w:p>
        </w:tc>
      </w:tr>
      <w:tr>
        <w:tc>
          <w:tcPr>
            <w:tcW w:w="10030" w:type="dxa"/>
            <w:tcBorders>
              <w:top w:val="single" w:sz="4" w:space="0" w:color="auto"/>
              <w:left w:val="single" w:sz="4" w:space="0" w:color="auto"/>
              <w:bottom w:val="single" w:sz="4" w:space="0" w:color="auto"/>
              <w:right w:val="single" w:sz="4" w:space="0" w:color="auto"/>
            </w:tcBorders>
          </w:tcPr>
          <w:p>
            <w:pPr>
              <w:spacing w:line="360" w:lineRule="auto"/>
              <w:ind w:firstLine="540"/>
              <w:jc w:val="both"/>
              <w:rPr>
                <w:rFonts w:eastAsia="Calibri"/>
                <w:b/>
                <w:bCs/>
                <w:i/>
                <w:iCs/>
                <w:szCs w:val="24"/>
              </w:rPr>
            </w:pPr>
            <w:r>
              <w:rPr>
                <w:rFonts w:eastAsia="Calibri"/>
                <w:b/>
                <w:bCs/>
                <w:i/>
                <w:iCs/>
                <w:szCs w:val="24"/>
              </w:rPr>
              <w:t>4. Jeigu reikia atlikti sprendimo projekto antikorupcinį vertinimą, sprendžia projekto rengėjas, atsižvelgdamas į Teisės aktų projektų antikorupcinio vertinimo taisykles.</w:t>
            </w:r>
          </w:p>
        </w:tc>
      </w:tr>
      <w:tr>
        <w:tc>
          <w:tcPr>
            <w:tcW w:w="10030" w:type="dxa"/>
            <w:tcBorders>
              <w:top w:val="single" w:sz="4" w:space="0" w:color="auto"/>
              <w:left w:val="single" w:sz="4" w:space="0" w:color="auto"/>
              <w:bottom w:val="single" w:sz="4" w:space="0" w:color="auto"/>
              <w:right w:val="single" w:sz="4" w:space="0" w:color="auto"/>
            </w:tcBorders>
          </w:tcPr>
          <w:p>
            <w:pPr>
              <w:spacing w:line="360" w:lineRule="auto"/>
              <w:ind w:firstLine="540"/>
              <w:jc w:val="both"/>
              <w:rPr>
                <w:rFonts w:eastAsia="Calibri"/>
                <w:szCs w:val="24"/>
              </w:rPr>
            </w:pPr>
            <w:r>
              <w:rPr>
                <w:rFonts w:eastAsia="Calibri"/>
                <w:szCs w:val="24"/>
              </w:rPr>
              <w:t>Sprendimo projekto antikorupcinis vertinimas nereikalingas.</w:t>
            </w:r>
          </w:p>
        </w:tc>
      </w:tr>
      <w:tr>
        <w:tc>
          <w:tcPr>
            <w:tcW w:w="10030" w:type="dxa"/>
            <w:tcBorders>
              <w:top w:val="single" w:sz="4" w:space="0" w:color="auto"/>
              <w:left w:val="single" w:sz="4" w:space="0" w:color="auto"/>
              <w:bottom w:val="single" w:sz="4" w:space="0" w:color="auto"/>
              <w:right w:val="single" w:sz="4" w:space="0" w:color="auto"/>
            </w:tcBorders>
          </w:tcPr>
          <w:p>
            <w:pPr>
              <w:spacing w:line="360" w:lineRule="auto"/>
              <w:ind w:firstLine="540"/>
              <w:jc w:val="both"/>
              <w:rPr>
                <w:rFonts w:eastAsia="Calibri"/>
                <w:b/>
                <w:bCs/>
                <w:i/>
                <w:iCs/>
                <w:szCs w:val="24"/>
              </w:rPr>
            </w:pPr>
            <w:r>
              <w:rPr>
                <w:rFonts w:eastAsia="Calibri"/>
                <w:b/>
                <w:bCs/>
                <w:i/>
                <w:iCs/>
                <w:szCs w:val="24"/>
              </w:rPr>
              <w:t>5. Projekto rengimo metu gauti specialistų vertinimai ir išvados, ekonominiai apskaičiavimai (sąmatos) ir konkretūs finansavimo šaltiniai.</w:t>
            </w:r>
            <w:r>
              <w:rPr>
                <w:rFonts w:eastAsia="Calibri"/>
                <w:szCs w:val="24"/>
              </w:rPr>
              <w:t xml:space="preserve"> </w:t>
            </w:r>
          </w:p>
        </w:tc>
      </w:tr>
      <w:tr>
        <w:tc>
          <w:tcPr>
            <w:tcW w:w="10030" w:type="dxa"/>
            <w:tcBorders>
              <w:top w:val="single" w:sz="4" w:space="0" w:color="auto"/>
              <w:left w:val="single" w:sz="4" w:space="0" w:color="auto"/>
              <w:bottom w:val="single" w:sz="4" w:space="0" w:color="auto"/>
              <w:right w:val="single" w:sz="4" w:space="0" w:color="auto"/>
            </w:tcBorders>
          </w:tcPr>
          <w:p>
            <w:pPr>
              <w:spacing w:line="276" w:lineRule="auto"/>
              <w:ind w:firstLine="567"/>
              <w:jc w:val="both"/>
              <w:rPr>
                <w:rFonts w:eastAsia="Calibri"/>
                <w:szCs w:val="24"/>
              </w:rPr>
            </w:pPr>
            <w:r>
              <w:rPr>
                <w:rFonts w:eastAsia="Calibri"/>
                <w:szCs w:val="24"/>
              </w:rPr>
              <w:t>Sprendimo projektas suderintas su Raseinių rajono savivaldybės mero pavaduotoju, Raseinių rajono savivaldybės administracijos direktoriumi, Teisės, personalo ir civilinės metrikacijos skyriaus vyr. specialistu, Bendrųjų reikalų ir informacinių technologijų skyriaus vyr. specialistu (kalbos tvarkytoju). Pastabų nėra.</w:t>
            </w:r>
          </w:p>
          <w:p>
            <w:pPr>
              <w:spacing w:line="360" w:lineRule="auto"/>
              <w:ind w:firstLine="567"/>
              <w:jc w:val="both"/>
              <w:rPr>
                <w:rFonts w:eastAsia="Calibri"/>
                <w:szCs w:val="24"/>
              </w:rPr>
            </w:pPr>
            <w:r>
              <w:rPr>
                <w:rFonts w:eastAsia="Calibri"/>
                <w:szCs w:val="24"/>
              </w:rPr>
              <w:t xml:space="preserve">Papildomų išlaidų, skaičiavimų susijusių su šiuo sprendimo projektu, nėra. </w:t>
            </w:r>
          </w:p>
        </w:tc>
      </w:tr>
      <w:tr>
        <w:tc>
          <w:tcPr>
            <w:tcW w:w="10030" w:type="dxa"/>
            <w:tcBorders>
              <w:top w:val="single" w:sz="4" w:space="0" w:color="auto"/>
              <w:left w:val="single" w:sz="4" w:space="0" w:color="auto"/>
              <w:bottom w:val="single" w:sz="4" w:space="0" w:color="auto"/>
              <w:right w:val="single" w:sz="4" w:space="0" w:color="auto"/>
            </w:tcBorders>
          </w:tcPr>
          <w:p>
            <w:pPr>
              <w:spacing w:line="360" w:lineRule="auto"/>
              <w:ind w:firstLine="540"/>
              <w:jc w:val="both"/>
              <w:rPr>
                <w:rFonts w:eastAsia="Calibri"/>
                <w:szCs w:val="24"/>
              </w:rPr>
            </w:pPr>
            <w:r>
              <w:rPr>
                <w:rFonts w:eastAsia="Calibri"/>
                <w:b/>
                <w:bCs/>
                <w:i/>
                <w:iCs/>
                <w:szCs w:val="24"/>
              </w:rPr>
              <w:t>6. Projekto autorius ar autorių grupė</w:t>
            </w:r>
          </w:p>
        </w:tc>
      </w:tr>
      <w:tr>
        <w:tc>
          <w:tcPr>
            <w:tcW w:w="10030" w:type="dxa"/>
            <w:tcBorders>
              <w:top w:val="single" w:sz="4" w:space="0" w:color="auto"/>
              <w:left w:val="single" w:sz="4" w:space="0" w:color="auto"/>
              <w:bottom w:val="single" w:sz="4" w:space="0" w:color="auto"/>
              <w:right w:val="single" w:sz="4" w:space="0" w:color="auto"/>
            </w:tcBorders>
          </w:tcPr>
          <w:p>
            <w:pPr>
              <w:spacing w:line="360" w:lineRule="auto"/>
              <w:ind w:firstLine="602"/>
              <w:jc w:val="both"/>
              <w:rPr>
                <w:rFonts w:eastAsia="Calibri"/>
                <w:szCs w:val="24"/>
              </w:rPr>
            </w:pPr>
            <w:r>
              <w:rPr>
                <w:rFonts w:eastAsia="Calibri"/>
                <w:szCs w:val="24"/>
              </w:rPr>
              <w:t>Socialinės paramos skyriaus vedėja Loreta Laugalienė.</w:t>
            </w:r>
          </w:p>
        </w:tc>
      </w:tr>
    </w:tbl>
    <w:p>
      <w:pPr>
        <w:rPr>
          <w:rFonts w:eastAsia="Calibri"/>
          <w:szCs w:val="24"/>
        </w:rPr>
      </w:pPr>
    </w:p>
    <w:p>
      <w:pPr>
        <w:rPr>
          <w:rFonts w:eastAsia="Calibri"/>
          <w:szCs w:val="24"/>
        </w:rPr>
      </w:pPr>
    </w:p>
    <w:p>
      <w:pPr>
        <w:rPr>
          <w:rFonts w:eastAsia="Calibri"/>
          <w:szCs w:val="24"/>
        </w:rPr>
      </w:pPr>
    </w:p>
    <w:p>
      <w:pPr>
        <w:rPr>
          <w:rFonts w:eastAsia="Calibri"/>
          <w:szCs w:val="24"/>
        </w:rPr>
      </w:pPr>
      <w:r>
        <w:rPr>
          <w:rFonts w:eastAsia="Calibri"/>
          <w:szCs w:val="24"/>
        </w:rPr>
        <w:t>Socialinės paramos skyriaus vedėja</w:t>
        <w:tab/>
        <w:tab/>
        <w:tab/>
        <w:tab/>
        <w:t>Loreta Laugalienė</w:t>
      </w:r>
    </w:p>
    <w:p>
      <w:pPr>
        <w:rPr>
          <w:rFonts w:eastAsia="Calibri"/>
          <w:szCs w:val="24"/>
        </w:rPr>
      </w:pPr>
    </w:p>
    <w:sectPr>
      <w:headerReference w:type="even" r:id="rId6"/>
      <w:headerReference w:type="default" r:id="rId7"/>
      <w:footerReference w:type="even" r:id="rId8"/>
      <w:footerReference w:type="default" r:id="rId9"/>
      <w:headerReference w:type="first" r:id="rId10"/>
      <w:footerReference w:type="first" r:id="rId11"/>
      <w:pgSz w:w="11906" w:h="16838"/>
      <w:pgMar w:top="709" w:right="567" w:bottom="993"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eastAsia="Calibri"/>
          <w:szCs w:val="24"/>
          <w:lang w:val="en-GB"/>
        </w:rPr>
      </w:pPr>
      <w:r>
        <w:rPr>
          <w:rFonts w:eastAsia="Calibri"/>
          <w:szCs w:val="24"/>
          <w:lang w:val="en-GB"/>
        </w:rPr>
        <w:separator/>
      </w:r>
    </w:p>
  </w:endnote>
  <w:endnote w:type="continuationSeparator" w:id="0">
    <w:p>
      <w:pPr>
        <w:rPr>
          <w:rFonts w:eastAsia="Calibri"/>
          <w:szCs w:val="24"/>
          <w:lang w:val="en-GB"/>
        </w:rPr>
      </w:pPr>
      <w:r>
        <w:rPr>
          <w:rFonts w:eastAsia="Calibri"/>
          <w:szCs w:val="24"/>
          <w:lang w:val="en-GB"/>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rFonts w:eastAsia="Calibri"/>
        <w:szCs w:val="24"/>
        <w:lang w:val="en-GB"/>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rFonts w:eastAsia="Calibri"/>
        <w:szCs w:val="24"/>
        <w:lang w:val="en-GB"/>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rFonts w:eastAsia="Calibri"/>
        <w:szCs w:val="24"/>
        <w:lang w:val="en-GB"/>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eastAsia="Calibri"/>
          <w:szCs w:val="24"/>
          <w:lang w:val="en-GB"/>
        </w:rPr>
      </w:pPr>
      <w:r>
        <w:rPr>
          <w:rFonts w:eastAsia="Calibri"/>
          <w:szCs w:val="24"/>
          <w:lang w:val="en-GB"/>
        </w:rPr>
        <w:separator/>
      </w:r>
    </w:p>
  </w:footnote>
  <w:footnote w:type="continuationSeparator" w:id="0">
    <w:p>
      <w:pPr>
        <w:rPr>
          <w:rFonts w:eastAsia="Calibri"/>
          <w:szCs w:val="24"/>
          <w:lang w:val="en-GB"/>
        </w:rPr>
      </w:pPr>
      <w:r>
        <w:rPr>
          <w:rFonts w:eastAsia="Calibri"/>
          <w:szCs w:val="24"/>
          <w:lang w:val="en-GB"/>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eastAsia="Calibri"/>
        <w:szCs w:val="24"/>
      </w:rPr>
    </w:pPr>
    <w:r>
      <w:rPr>
        <w:rFonts w:eastAsia="Calibri"/>
        <w:szCs w:val="24"/>
      </w:rPr>
      <w:fldChar w:fldCharType="begin"/>
    </w:r>
    <w:r>
      <w:rPr>
        <w:rFonts w:eastAsia="Calibri"/>
        <w:szCs w:val="24"/>
      </w:rPr>
      <w:instrText xml:space="preserve">PAGE  </w:instrText>
    </w:r>
    <w:r>
      <w:rPr>
        <w:rFonts w:eastAsia="Calibri"/>
        <w:szCs w:val="24"/>
      </w:rPr>
      <w:fldChar w:fldCharType="end"/>
    </w:r>
  </w:p>
  <w:p>
    <w:pPr>
      <w:tabs>
        <w:tab w:val="center" w:pos="4153"/>
        <w:tab w:val="right" w:pos="8306"/>
      </w:tabs>
      <w:rPr>
        <w:rFonts w:eastAsia="Calibri"/>
        <w:szCs w:val="24"/>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rFonts w:eastAsia="Calibri"/>
        <w:szCs w:val="24"/>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rFonts w:eastAsia="Calibri"/>
        <w:szCs w:val="24"/>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doNotHyphenateCaps/>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A9CADA-5C52-4E95-B4B2-6E41DFFFA3C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415323426">
      <w:bodyDiv w:val="1"/>
      <w:marLeft w:val="0"/>
      <w:marRight w:val="0"/>
      <w:marTop w:val="0"/>
      <w:marBottom w:val="0"/>
      <w:divBdr>
        <w:top w:val="none" w:sz="0" w:space="0" w:color="auto"/>
        <w:left w:val="none" w:sz="0" w:space="0" w:color="auto"/>
        <w:bottom w:val="none" w:sz="0" w:space="0" w:color="auto"/>
        <w:right w:val="none" w:sz="0" w:space="0" w:color="auto"/>
      </w:divBdr>
    </w:div>
    <w:div w:id="1156872168">
      <w:bodyDiv w:val="1"/>
      <w:marLeft w:val="0"/>
      <w:marRight w:val="0"/>
      <w:marTop w:val="0"/>
      <w:marBottom w:val="0"/>
      <w:divBdr>
        <w:top w:val="none" w:sz="0" w:space="0" w:color="auto"/>
        <w:left w:val="none" w:sz="0" w:space="0" w:color="auto"/>
        <w:bottom w:val="none" w:sz="0" w:space="0" w:color="auto"/>
        <w:right w:val="none" w:sz="0" w:space="0" w:color="auto"/>
      </w:divBdr>
    </w:div>
    <w:div w:id="1198739827">
      <w:bodyDiv w:val="1"/>
      <w:marLeft w:val="0"/>
      <w:marRight w:val="0"/>
      <w:marTop w:val="0"/>
      <w:marBottom w:val="0"/>
      <w:divBdr>
        <w:top w:val="none" w:sz="0" w:space="0" w:color="auto"/>
        <w:left w:val="none" w:sz="0" w:space="0" w:color="auto"/>
        <w:bottom w:val="none" w:sz="0" w:space="0" w:color="auto"/>
        <w:right w:val="none" w:sz="0" w:space="0" w:color="auto"/>
      </w:divBdr>
    </w:div>
    <w:div w:id="1295595507">
      <w:bodyDiv w:val="1"/>
      <w:marLeft w:val="0"/>
      <w:marRight w:val="0"/>
      <w:marTop w:val="0"/>
      <w:marBottom w:val="0"/>
      <w:divBdr>
        <w:top w:val="none" w:sz="0" w:space="0" w:color="auto"/>
        <w:left w:val="none" w:sz="0" w:space="0" w:color="auto"/>
        <w:bottom w:val="none" w:sz="0" w:space="0" w:color="auto"/>
        <w:right w:val="none" w:sz="0" w:space="0" w:color="auto"/>
      </w:divBdr>
    </w:div>
    <w:div w:id="1349020752">
      <w:bodyDiv w:val="1"/>
      <w:marLeft w:val="0"/>
      <w:marRight w:val="0"/>
      <w:marTop w:val="0"/>
      <w:marBottom w:val="0"/>
      <w:divBdr>
        <w:top w:val="none" w:sz="0" w:space="0" w:color="auto"/>
        <w:left w:val="none" w:sz="0" w:space="0" w:color="auto"/>
        <w:bottom w:val="none" w:sz="0" w:space="0" w:color="auto"/>
        <w:right w:val="none" w:sz="0" w:space="0" w:color="auto"/>
      </w:divBdr>
    </w:div>
    <w:div w:id="1734816550">
      <w:bodyDiv w:val="1"/>
      <w:marLeft w:val="0"/>
      <w:marRight w:val="0"/>
      <w:marTop w:val="0"/>
      <w:marBottom w:val="0"/>
      <w:divBdr>
        <w:top w:val="none" w:sz="0" w:space="0" w:color="auto"/>
        <w:left w:val="none" w:sz="0" w:space="0" w:color="auto"/>
        <w:bottom w:val="none" w:sz="0" w:space="0" w:color="auto"/>
        <w:right w:val="none" w:sz="0" w:space="0" w:color="auto"/>
      </w:divBdr>
    </w:div>
    <w:div w:id="1974408757">
      <w:bodyDiv w:val="1"/>
      <w:marLeft w:val="0"/>
      <w:marRight w:val="0"/>
      <w:marTop w:val="0"/>
      <w:marBottom w:val="0"/>
      <w:divBdr>
        <w:top w:val="none" w:sz="0" w:space="0" w:color="auto"/>
        <w:left w:val="none" w:sz="0" w:space="0" w:color="auto"/>
        <w:bottom w:val="none" w:sz="0" w:space="0" w:color="auto"/>
        <w:right w:val="none" w:sz="0" w:space="0" w:color="auto"/>
      </w:divBdr>
    </w:div>
    <w:div w:id="208078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2623</Characters>
  <Application>Microsoft Office Word</Application>
  <DocSecurity>4</DocSecurity>
  <Lines>54</Lines>
  <Paragraphs>25</Paragraphs>
  <ScaleCrop>false</ScaleCrop>
  <HeadingPairs>
    <vt:vector size="2" baseType="variant">
      <vt:variant>
        <vt:lpstr>Pavadinimas</vt:lpstr>
      </vt:variant>
      <vt:variant>
        <vt:i4>1</vt:i4>
      </vt:variant>
    </vt:vector>
  </HeadingPairs>
  <TitlesOfParts>
    <vt:vector size="1" baseType="lpstr">
      <vt:lpstr/>
    </vt:vector>
  </TitlesOfParts>
  <Company>RRSA</Company>
  <LinksUpToDate>false</LinksUpToDate>
  <CharactersWithSpaces>2944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2022-01-14T12:21:00Z</dcterms:created>
  <dc:creator>RasaT</dc:creator>
  <lastModifiedBy>adlibuser</lastModifiedBy>
  <lastPrinted>2012-06-08T09:31:00Z</lastPrinted>
  <dcterms:modified xsi:type="dcterms:W3CDTF">2022-01-14T12:21:00Z</dcterms:modified>
  <revision>2</revision>
</coreProperties>
</file>