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02647f8623548b0a0bdafb516589213"/>
        <w:lock w:val="sdtLocked"/>
        <w:richText/>
      </w:sdtPr>
      <w:sdtContent>
        <w:p w14:paraId="278C0C81" w14:textId="77777777">
          <w:pPr>
            <w:widowControl w:val="0"/>
            <w:tabs>
              <w:tab w:val="center" w:pos="4153"/>
              <w:tab w:val="right" w:pos="8306"/>
            </w:tabs>
            <w:suppressAutoHyphens/>
            <w:rPr>
              <w:rFonts w:eastAsia="Lucida Sans Unicode"/>
              <w:color w:val="000000"/>
              <w:szCs w:val="24"/>
              <w:lang w:eastAsia="lt-LT"/>
            </w:rPr>
          </w:pPr>
        </w:p>
        <w:p w14:paraId="511BF1E5" w14:textId="77777777">
          <w:pPr>
            <w:widowControl w:val="0"/>
            <w:suppressAutoHyphens/>
            <w:jc w:val="center"/>
            <w:rPr>
              <w:rFonts w:eastAsia="Lucida Sans Unicode"/>
              <w:b/>
              <w:color w:val="000000"/>
              <w:szCs w:val="24"/>
              <w:lang w:eastAsia="lt-LT"/>
            </w:rPr>
          </w:pPr>
          <w:r>
            <w:rPr>
              <w:rFonts w:eastAsia="Lucida Sans Unicode"/>
              <w:b/>
              <w:color w:val="000000"/>
              <w:szCs w:val="24"/>
              <w:lang w:eastAsia="lt-LT"/>
            </w:rPr>
            <w:t>ŠIAULIŲ MIESTO SAVIVALDYBĖS ADMINISTRACIJOS</w:t>
          </w:r>
        </w:p>
        <w:sdt>
          <w:sdtPr>
            <w:alias w:val="skyrius"/>
            <w:tag w:val="part_db2a696a23f14372857d865f878e0883"/>
            <w:lock w:val="sdtLocked"/>
            <w:richText/>
          </w:sdtPr>
          <w:sdtContent>
            <w:p w14:paraId="511BF1E7" w14:textId="5C2DDAE1">
              <w:pPr>
                <w:widowControl w:val="0"/>
                <w:suppressAutoHyphens/>
                <w:jc w:val="center"/>
                <w:rPr>
                  <w:rFonts w:eastAsia="Lucida Sans Unicode"/>
                  <w:b/>
                  <w:color w:val="000000"/>
                  <w:szCs w:val="24"/>
                  <w:lang w:eastAsia="lt-LT"/>
                </w:rPr>
              </w:pPr>
              <w:r>
                <w:rPr>
                  <w:rFonts w:eastAsia="Lucida Sans Unicode"/>
                  <w:b/>
                  <w:color w:val="000000"/>
                  <w:szCs w:val="24"/>
                  <w:lang w:eastAsia="lt-LT"/>
                </w:rPr>
                <w:t>EKONOMIKOS SKYRIUS</w:t>
              </w:r>
            </w:p>
            <w:p w14:paraId="511BF1E8" w14:textId="77777777">
              <w:pPr>
                <w:widowControl w:val="0"/>
                <w:suppressAutoHyphens/>
                <w:jc w:val="center"/>
                <w:rPr>
                  <w:rFonts w:eastAsia="Lucida Sans Unicode"/>
                  <w:color w:val="000000"/>
                  <w:szCs w:val="24"/>
                  <w:lang w:eastAsia="lt-LT"/>
                </w:rPr>
              </w:pPr>
            </w:p>
            <w:sdt>
              <w:sdtPr>
                <w:alias w:val="Pavadinimas"/>
                <w:tag w:val="title_db2a696a23f14372857d865f878e0883"/>
                <w:lock w:val="sdtLocked"/>
                <w:richText/>
              </w:sdtPr>
              <w:sdtContent>
                <w:p w14:paraId="511BF1E9" w14:textId="77777777">
                  <w:pPr>
                    <w:keepNext/>
                    <w:widowControl w:val="0"/>
                    <w:suppressAutoHyphens/>
                    <w:jc w:val="center"/>
                    <w:outlineLvl w:val="1"/>
                    <w:rPr>
                      <w:rFonts w:eastAsia="Lucida Sans Unicode"/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bCs/>
                      <w:color w:val="000000"/>
                      <w:szCs w:val="24"/>
                      <w:lang w:eastAsia="lt-LT"/>
                    </w:rPr>
                    <w:t>SPRENDIMO</w:t>
                  </w:r>
                </w:p>
                <w:p w14:paraId="511BF1EA" w14:textId="77777777">
                  <w:pPr>
                    <w:widowControl w:val="0"/>
                    <w:suppressAutoHyphens/>
                    <w:jc w:val="center"/>
                    <w:rPr>
                      <w:rFonts w:eastAsia="Lucida Sans Unicode"/>
                      <w:b/>
                      <w:color w:val="000000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color w:val="000000"/>
                      <w:szCs w:val="24"/>
                      <w:lang w:eastAsia="lt-LT"/>
                    </w:rPr>
                    <w:t xml:space="preserve">DĖL ŠIAULIŲ MIESTO SAVIVALDYBĖS TARYBOS 2016 M. RUGPJŪČIO 25 D. SPRENDIMO NR. T-329 </w:t>
                  </w:r>
                  <w:r>
                    <w:rPr>
                      <w:rFonts w:eastAsia="Lucida Sans Unicode"/>
                      <w:b/>
                      <w:bCs/>
                      <w:color w:val="000000"/>
                      <w:szCs w:val="24"/>
                      <w:lang w:eastAsia="lt-LT"/>
                    </w:rPr>
                    <w:t>„</w:t>
                  </w:r>
                  <w:r>
                    <w:rPr>
                      <w:rFonts w:eastAsia="Lucida Sans Unicode"/>
                      <w:b/>
                      <w:color w:val="000000"/>
                      <w:szCs w:val="24"/>
                      <w:lang w:eastAsia="lt-LT"/>
                    </w:rPr>
                    <w:t>DĖL MOKESČIŲ LENGVATŲ TEIKIMO TAISYKLIŲ PATVIRTINIMO</w:t>
                  </w:r>
                  <w:r>
                    <w:rPr>
                      <w:rFonts w:eastAsia="Lucida Sans Unicode"/>
                      <w:b/>
                      <w:bCs/>
                      <w:color w:val="000000"/>
                      <w:szCs w:val="24"/>
                      <w:lang w:eastAsia="lt-LT"/>
                    </w:rPr>
                    <w:t>“</w:t>
                  </w:r>
                  <w:r>
                    <w:rPr>
                      <w:rFonts w:eastAsia="Lucida Sans Unicode"/>
                      <w:b/>
                      <w:color w:val="000000"/>
                      <w:szCs w:val="24"/>
                      <w:lang w:eastAsia="lt-LT"/>
                    </w:rPr>
                    <w:t xml:space="preserve"> PAKEITIMO </w:t>
                  </w:r>
                  <w:r>
                    <w:rPr>
                      <w:rFonts w:eastAsia="Lucida Sans Unicode"/>
                      <w:b/>
                      <w:bCs/>
                      <w:color w:val="000000"/>
                      <w:szCs w:val="24"/>
                      <w:lang w:eastAsia="lt-LT"/>
                    </w:rPr>
                    <w:t>PROJEKTO</w:t>
                  </w:r>
                </w:p>
                <w:p w14:paraId="511BF1EB" w14:textId="77777777">
                  <w:pPr>
                    <w:widowControl w:val="0"/>
                    <w:suppressAutoHyphens/>
                    <w:ind w:firstLine="263"/>
                    <w:jc w:val="center"/>
                    <w:rPr>
                      <w:rFonts w:eastAsia="Lucida Sans Unicode"/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bCs/>
                      <w:color w:val="000000"/>
                      <w:szCs w:val="24"/>
                      <w:lang w:eastAsia="lt-LT"/>
                    </w:rPr>
                    <w:t xml:space="preserve">AIŠKINAMASIS  RAŠTAS       </w:t>
                  </w:r>
                </w:p>
              </w:sdtContent>
            </w:sdt>
            <w:p w14:paraId="511BF1EC" w14:textId="77777777">
              <w:pPr>
                <w:widowControl w:val="0"/>
                <w:suppressAutoHyphens/>
                <w:ind w:firstLine="2867"/>
                <w:jc w:val="center"/>
                <w:rPr>
                  <w:rFonts w:eastAsia="Lucida Sans Unicode"/>
                  <w:b/>
                  <w:bCs/>
                  <w:color w:val="000000"/>
                  <w:szCs w:val="24"/>
                  <w:lang w:eastAsia="lt-LT"/>
                </w:rPr>
              </w:pPr>
            </w:p>
            <w:p w14:paraId="511BF1ED" w14:textId="6E0AC63E">
              <w:pPr>
                <w:widowControl w:val="0"/>
                <w:suppressAutoHyphens/>
                <w:ind w:firstLine="15"/>
                <w:jc w:val="center"/>
                <w:rPr>
                  <w:rFonts w:eastAsia="Lucida Sans Unicode"/>
                  <w:color w:val="000000"/>
                  <w:szCs w:val="24"/>
                  <w:lang w:eastAsia="lt-LT"/>
                </w:rPr>
              </w:pPr>
              <w:r>
                <w:rPr>
                  <w:rFonts w:eastAsia="Lucida Sans Unicode"/>
                  <w:color w:val="000000"/>
                  <w:szCs w:val="24"/>
                  <w:lang w:eastAsia="lt-LT"/>
                </w:rPr>
                <w:t>2024 m. lapkričio 7 d.</w:t>
              </w:r>
            </w:p>
            <w:p w14:paraId="511BF1EE" w14:textId="77777777">
              <w:pPr>
                <w:widowControl w:val="0"/>
                <w:suppressAutoHyphens/>
                <w:ind w:firstLine="15"/>
                <w:jc w:val="center"/>
                <w:rPr>
                  <w:rFonts w:eastAsia="Lucida Sans Unicode"/>
                  <w:color w:val="000000"/>
                  <w:szCs w:val="24"/>
                  <w:lang w:eastAsia="lt-LT"/>
                </w:rPr>
              </w:pPr>
              <w:r>
                <w:rPr>
                  <w:rFonts w:eastAsia="Lucida Sans Unicode"/>
                  <w:color w:val="000000"/>
                  <w:szCs w:val="24"/>
                  <w:lang w:eastAsia="lt-LT"/>
                </w:rPr>
                <w:t>Šiauliai</w:t>
              </w:r>
            </w:p>
            <w:p w14:paraId="511BF1EF" w14:textId="77777777">
              <w:pPr>
                <w:widowControl w:val="0"/>
                <w:suppressAutoHyphens/>
                <w:ind w:firstLine="15"/>
                <w:jc w:val="center"/>
                <w:rPr>
                  <w:rFonts w:eastAsia="Lucida Sans Unicode"/>
                  <w:color w:val="000000"/>
                  <w:szCs w:val="24"/>
                  <w:lang w:eastAsia="lt-LT"/>
                </w:rPr>
              </w:pPr>
            </w:p>
            <w:sdt>
              <w:sdtPr>
                <w:alias w:val="poskyris"/>
                <w:tag w:val="part_33fcd8edbb1a4fb792f1f127ac07465e"/>
                <w:lock w:val="sdtLocked"/>
                <w:richText/>
              </w:sdtPr>
              <w:sdtContent>
                <w:p w14:paraId="511BF1F0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b/>
                      <w:b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33fcd8edbb1a4fb792f1f127ac07465e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Parengto sprendimo projekto tikslai ir uždaviniai.</w:t>
                      </w:r>
                    </w:sdtContent>
                  </w:sdt>
                </w:p>
                <w:p w14:paraId="73E1ACB2" w14:textId="7E729238">
                  <w:pPr>
                    <w:widowControl w:val="0"/>
                    <w:suppressAutoHyphens/>
                    <w:ind w:firstLine="705"/>
                    <w:jc w:val="both"/>
                    <w:rPr>
                      <w:rFonts w:eastAsia="Lucida Sans Unicode"/>
                      <w:color w:val="000000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color w:val="000000"/>
                      <w:szCs w:val="24"/>
                      <w:lang w:eastAsia="lt-LT"/>
                    </w:rPr>
                    <w:t>Sprendimo projekto tikslai:</w:t>
                  </w:r>
                </w:p>
                <w:sdt>
                  <w:sdtPr>
                    <w:alias w:val="1 p."/>
                    <w:tag w:val="part_095956a6263b4a8384e837ca0f9541ea"/>
                    <w:lock w:val="sdtLocked"/>
                    <w:richText/>
                  </w:sdtPr>
                  <w:sdtContent>
                    <w:p w14:paraId="32F2BA2F" w14:textId="5EA386A1">
                      <w:pPr>
                        <w:tabs>
                          <w:tab w:val="left" w:pos="993"/>
                        </w:tabs>
                        <w:ind w:firstLine="680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095956a6263b4a8384e837ca0f9541ea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1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>. Pakeisti Mokesčių lengvatų teikimo taisykles, patvirtintas Šiaulių miesto savivaldybės tarybos 2016 m. rugpjūčio 25 d. sprendimo Nr. T-329 „Dėl Mokesčių lengvatų teikimo taisyklių patvirtinimo“ 1 punktu, ir išdėstyti jas nauja redakcija (pridedama).</w:t>
                      </w:r>
                    </w:p>
                  </w:sdtContent>
                </w:sdt>
                <w:sdt>
                  <w:sdtPr>
                    <w:alias w:val="2 p."/>
                    <w:tag w:val="part_44e9c5498e00456eba4114c274f48c6b"/>
                    <w:lock w:val="sdtLocked"/>
                    <w:richText/>
                  </w:sdtPr>
                  <w:sdtContent>
                    <w:p w14:paraId="24DD7378" w14:textId="44197293">
                      <w:pPr>
                        <w:tabs>
                          <w:tab w:val="left" w:pos="993"/>
                        </w:tabs>
                        <w:ind w:firstLine="680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44e9c5498e00456eba4114c274f48c6b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2</w:t>
                          </w:r>
                        </w:sdtContent>
                      </w:sdt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. Nustatyti, kad šis sprendimas įsigalioja 2025 m. sausio 1 d.</w:t>
                      </w:r>
                    </w:p>
                    <w:p w14:paraId="2A139014" w14:textId="77777777">
                      <w:pPr>
                        <w:tabs>
                          <w:tab w:val="left" w:pos="993"/>
                        </w:tabs>
                        <w:ind w:firstLine="680"/>
                        <w:jc w:val="both"/>
                        <w:rPr>
                          <w:rFonts w:eastAsia="Calibri"/>
                          <w:szCs w:val="24"/>
                        </w:rPr>
                      </w:pPr>
                    </w:p>
                  </w:sdtContent>
                </w:sdt>
              </w:sdtContent>
            </w:sdt>
            <w:sdt>
              <w:sdtPr>
                <w:alias w:val="poskyris"/>
                <w:tag w:val="part_09035028cdb647d5a852c345a2ff27b3"/>
                <w:lock w:val="sdtLocked"/>
                <w:richText/>
              </w:sdtPr>
              <w:sdtContent>
                <w:p w14:paraId="511BF1F6" w14:textId="60B195A5">
                  <w:pPr>
                    <w:widowControl w:val="0"/>
                    <w:ind w:firstLine="720"/>
                    <w:jc w:val="both"/>
                    <w:rPr>
                      <w:rFonts w:eastAsia="Lucida Sans Unicode"/>
                      <w:b/>
                      <w:bCs/>
                      <w:iCs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09035028cdb647d5a852c345a2ff27b3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bCs/>
                          <w:iCs/>
                          <w:color w:val="000000"/>
                          <w:szCs w:val="24"/>
                          <w:lang w:eastAsia="lt-LT"/>
                        </w:rPr>
                        <w:t>Dabartinis sprendimo projekte aptariamų klausimų reguliavimas.</w:t>
                      </w:r>
                    </w:sdtContent>
                  </w:sdt>
                </w:p>
                <w:p w14:paraId="511BF1F7" w14:textId="52DC2C83">
                  <w:pPr>
                    <w:widowControl w:val="0"/>
                    <w:ind w:firstLine="720"/>
                    <w:jc w:val="both"/>
                    <w:rPr>
                      <w:bCs/>
                      <w:iCs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iCs/>
                      <w:color w:val="000000"/>
                      <w:szCs w:val="24"/>
                      <w:lang w:eastAsia="lt-LT"/>
                    </w:rPr>
                    <w:t xml:space="preserve">Šiuo metu Šiaulių miesto savivaldybės taryba, taikydama mokesčių lengvatas, vadovaujasi </w:t>
                  </w:r>
                  <w:r>
                    <w:rPr>
                      <w:rFonts w:eastAsia="Lucida Sans Unicode"/>
                      <w:bCs/>
                      <w:iCs/>
                      <w:color w:val="000000"/>
                      <w:szCs w:val="24"/>
                      <w:lang w:eastAsia="lt-LT"/>
                    </w:rPr>
                    <w:t xml:space="preserve">Mokesčių lengvatų teikimo taisyklėmis, patvirtintomis Šiaulių miesto savivaldybės tarybos 2016 m. rugpjūčio 25 d. sprendimo Nr. T-329 „Dėl Mokesčių lengvatų teikimo taisyklių patvirtinimo“ 1 punktu </w:t>
                  </w:r>
                  <w:r>
                    <w:rPr>
                      <w:rFonts w:eastAsia="Lucida Sans Unicode"/>
                      <w:bCs/>
                      <w:i/>
                      <w:iCs/>
                      <w:color w:val="000000"/>
                      <w:szCs w:val="24"/>
                      <w:lang w:eastAsia="lt-LT"/>
                    </w:rPr>
                    <w:t>(Taisyklių pakeitimai: 2017-12-21 Nr. T-442; 2018-06-07 Nr. T-217; 2019-07-04 Nr. T-286; 2021-10-14 Nr. T-399; 2023-03-30 Nr. T-103; 2023-09-07 Nr. T-351; 2023-12-07 Nr. T-439 (suvestinė redakcija nuo 2024-01-02).</w:t>
                  </w:r>
                  <w:r>
                    <w:rPr>
                      <w:bCs/>
                      <w:iCs/>
                      <w:szCs w:val="24"/>
                      <w:lang w:eastAsia="lt-LT"/>
                    </w:rPr>
                    <w:t xml:space="preserve"> </w:t>
                  </w:r>
                </w:p>
                <w:p w14:paraId="511BF1F8" w14:textId="77777777">
                  <w:pPr>
                    <w:widowControl w:val="0"/>
                    <w:jc w:val="both"/>
                    <w:rPr>
                      <w:rFonts w:eastAsia="Lucida Sans Unicode"/>
                      <w:b/>
                      <w:bCs/>
                      <w:iCs/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poskyris"/>
                <w:tag w:val="part_aa668ce9b8ce4ae68c09e8dea8ed3872"/>
                <w:lock w:val="sdtLocked"/>
                <w:richText/>
              </w:sdtPr>
              <w:sdtContent>
                <w:p w14:paraId="511BF1F9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b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aa668ce9b8ce4ae68c09e8dea8ed3872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>Sprendimo projekte numatytos naujos teisinio reglamentavimo nuostatos</w:t>
                      </w:r>
                      <w:r>
                        <w:rPr>
                          <w:rFonts w:eastAsia="Lucida Sans Unicode"/>
                          <w:b/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</w:sdtContent>
                  </w:sdt>
                </w:p>
                <w:p w14:paraId="4A84C99C" w14:textId="6F03CEB4">
                  <w:pPr>
                    <w:tabs>
                      <w:tab w:val="left" w:pos="993"/>
                    </w:tabs>
                    <w:ind w:firstLine="680"/>
                    <w:jc w:val="both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color w:val="000000"/>
                      <w:szCs w:val="24"/>
                    </w:rPr>
                    <w:t xml:space="preserve">Sprendimo projekte numatyta patvirtinti naują </w:t>
                  </w:r>
                  <w:r>
                    <w:rPr>
                      <w:rFonts w:eastAsia="Calibri"/>
                      <w:szCs w:val="24"/>
                    </w:rPr>
                    <w:t>Mokesčių lengvatų teikimo taisyklių (toliau – Taisyklės) redakciją, kurioje reglamentuojamas mokesčių lengvatų fiziniams ir juridiniams asmenims teikimas.</w:t>
                  </w:r>
                </w:p>
                <w:p w14:paraId="7EAAF9EE" w14:textId="6C24E3BD">
                  <w:pPr>
                    <w:tabs>
                      <w:tab w:val="left" w:pos="993"/>
                    </w:tabs>
                    <w:ind w:firstLine="680"/>
                    <w:jc w:val="both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 xml:space="preserve">Siūlymus dėl Taisyklių pakeitimo pateikė Šiaulių miesto savivaldybės mero potvarkiu sudaryta Pasiūlymų dėl mokesčių tarifų ir lengvatų nustatymo teikimo darbo grupė (2024-06-25 protokolas Nr. VM-59 ir 2024-11-05 protokolas Nr. VM-99) (toliau – Darbo grupė). </w:t>
                  </w:r>
                </w:p>
                <w:p w14:paraId="6991BC7B" w14:textId="316ADEA9">
                  <w:pPr>
                    <w:tabs>
                      <w:tab w:val="left" w:pos="993"/>
                    </w:tabs>
                    <w:ind w:firstLine="680"/>
                    <w:jc w:val="both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 xml:space="preserve">Taip pat poreikis atlikti Taisyklėse pakeitimus iškilo dėl Europos Komisijos priimto naujo bendrojo de minimis pagalbos reglamento </w:t>
                  </w:r>
                  <w:fldSimple w:instr="HYPERLINK http://eur-lex.europa.eu/legal-content/LIT/TXT/?uri=CELEX:32831R2023&amp;locale=lt \t _blank">
                    <w:r>
                      <w:rPr>
                        <w:rFonts w:eastAsia="Calibri"/>
                        <w:szCs w:val="24"/>
                        <w:u w:val="single"/>
                        <w:color w:val="0000FF" w:themeColor="hyperlink"/>
                      </w:rPr>
                      <w:t>Nr. 2023/2831</w:t>
                    </w:r>
                  </w:fldSimple>
                  <w:r>
                    <w:rPr>
                      <w:rFonts w:eastAsia="Calibri"/>
                      <w:szCs w:val="24"/>
                    </w:rPr>
                    <w:t xml:space="preserve"> bei Šiaulių miesto savivaldybėje įvykusių struktūros, funkcijų bei skyrių pavadinimų pasikeitimų.</w:t>
                  </w:r>
                </w:p>
                <w:p w14:paraId="5CE519B6" w14:textId="77777777">
                  <w:pPr>
                    <w:tabs>
                      <w:tab w:val="left" w:pos="993"/>
                    </w:tabs>
                    <w:ind w:firstLine="680"/>
                    <w:jc w:val="both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>Naujoje Taisyklių redakcijoje atlikti šie pakeitimai/papildymai:</w:t>
                  </w:r>
                </w:p>
                <w:sdt>
                  <w:sdtPr>
                    <w:alias w:val="1 p."/>
                    <w:tag w:val="part_3d080737b21646c28fa1839d71a11517"/>
                    <w:lock w:val="sdtLocked"/>
                    <w:richText/>
                  </w:sdtPr>
                  <w:sdtContent>
                    <w:p w14:paraId="73AE0093" w14:textId="43F159C6">
                      <w:pPr>
                        <w:widowControl w:val="0"/>
                        <w:suppressAutoHyphens/>
                        <w:ind w:firstLine="680"/>
                        <w:jc w:val="both"/>
                        <w:rPr>
                          <w:rFonts w:eastAsia="Lucida Sans Unicode"/>
                          <w:b/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d080737b21646c28fa1839d71a11517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Lucida Sans Unicode"/>
                              <w:color w:val="000000"/>
                              <w:szCs w:val="24"/>
                              <w:shd w:val="clear" w:color="auto" w:fill="FFFFFF"/>
                              <w:lang w:eastAsia="lt-LT"/>
                            </w:rPr>
                            <w:t>1</w:t>
                          </w:r>
                        </w:sdtContent>
                      </w:sdt>
                      <w:r>
                        <w:rPr>
                          <w:rFonts w:eastAsia="Lucida Sans Unicode"/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 xml:space="preserve">. Atsižvelgiant į Darbo grupės siūlymus, </w:t>
                      </w:r>
                      <w:r>
                        <w:rPr>
                          <w:rFonts w:eastAsia="Lucida Sans Unicode"/>
                          <w:b/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>atliktas Taisyklių 12.1.2 papunkčio pakeitimas,</w:t>
                      </w:r>
                      <w:r>
                        <w:rPr>
                          <w:rFonts w:eastAsia="Lucida Sans Unicode"/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 xml:space="preserve"> numatant, kad juridiniams asmenims, kurie investuoja ne mažiau kaip 50 tūkst. Eur į savivaldybės teritorijos sutvarkymą gali būti taikomos žemės, valstybinės žemės nuomos ar nekilnojamojo turto mokesčių lengvatos ne vienerius metus, o</w:t>
                      </w:r>
                      <w:r>
                        <w:rPr>
                          <w:rFonts w:eastAsia="Lucida Sans Unicode"/>
                          <w:b/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 xml:space="preserve"> </w:t>
                      </w:r>
                      <w:r>
                        <w:rPr>
                          <w:rFonts w:eastAsia="Lucida Sans Unicode"/>
                          <w:b/>
                          <w:i/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>kol bus pasiekta 50 procentų dydžio investuota suma.</w:t>
                      </w:r>
                      <w:r>
                        <w:rPr>
                          <w:rFonts w:eastAsia="Lucida Sans Unicode"/>
                          <w:b/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 xml:space="preserve"> </w:t>
                      </w:r>
                      <w:r>
                        <w:rPr>
                          <w:rFonts w:eastAsia="Lucida Sans Unicode"/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>Tokiu būdu siekiama dar labiau paskatinti verslą investuoti į miesto infrastruktūrą, siekiant, kad miestas taptų patrauklesnis ne tik gyventojams, bet ir kitiems investuotojams.</w:t>
                      </w:r>
                    </w:p>
                  </w:sdtContent>
                </w:sdt>
              </w:sdtContent>
            </w:sdt>
            <w:sdt>
              <w:sdtPr>
                <w:alias w:val="poskyris"/>
                <w:tag w:val="part_d11e13485df24a0daed678cb275e729c"/>
                <w:lock w:val="sdtLocked"/>
                <w:richText/>
              </w:sdtPr>
              <w:sdtContent>
                <w:p w14:paraId="7FF8FDA7" w14:textId="4BC810C7">
                  <w:pPr>
                    <w:widowControl w:val="0"/>
                    <w:suppressAutoHyphens/>
                    <w:ind w:firstLine="680"/>
                    <w:jc w:val="both"/>
                    <w:rPr>
                      <w:rFonts w:eastAsia="Lucida Sans Unicode"/>
                      <w:b/>
                      <w:color w:val="000000"/>
                      <w:szCs w:val="24"/>
                      <w:shd w:val="clear" w:color="auto" w:fill="FFFFFF"/>
                      <w:lang w:eastAsia="lt-LT"/>
                    </w:rPr>
                  </w:pPr>
                  <w:sdt>
                    <w:sdtPr>
                      <w:alias w:val="Pavadinimas"/>
                      <w:tag w:val="title_d11e13485df24a0daed678cb275e729c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>Taisyklės papildytos 12.4 papunkčiu, numatant juridiniams asmenims naują lengvatų taikymo kriterijų:</w:t>
                      </w:r>
                    </w:sdtContent>
                  </w:sdt>
                </w:p>
                <w:sdt>
                  <w:sdtPr>
                    <w:alias w:val="citata"/>
                    <w:tag w:val="part_e2207419ad9e44b298cf5a0797ab5db7"/>
                    <w:lock w:val="sdtLocked"/>
                    <w:richText/>
                  </w:sdtPr>
                  <w:sdtContent>
                    <w:sdt>
                      <w:sdtPr>
                        <w:alias w:val="12.4 pp."/>
                        <w:tag w:val="part_00475671ebd3429f91aedb9727504caa"/>
                        <w:lock w:val="sdtLocked"/>
                        <w:richText/>
                      </w:sdtPr>
                      <w:sdtContent>
                        <w:p w14:paraId="7C1B4355" w14:textId="41CCADD3">
                          <w:pPr>
                            <w:tabs>
                              <w:tab w:val="left" w:pos="851"/>
                              <w:tab w:val="left" w:pos="1134"/>
                            </w:tabs>
                            <w:ind w:firstLine="851"/>
                            <w:jc w:val="both"/>
                            <w:rPr>
                              <w:i/>
                              <w:szCs w:val="24"/>
                            </w:rPr>
                          </w:pPr>
                          <w:r>
                            <w:rPr>
                              <w:i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0475671ebd3429f91aedb9727504ca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i/>
                                  <w:szCs w:val="24"/>
                                </w:rPr>
                                <w:t>12.4</w:t>
                              </w:r>
                            </w:sdtContent>
                          </w:sdt>
                          <w:r>
                            <w:rPr>
                              <w:i/>
                              <w:szCs w:val="24"/>
                            </w:rPr>
                            <w:t>. jei juridinis asmuo Šiaulių mieste stato (arba yra pastatęs) sporto, kultūros ar mokslo paskirties pastatus ir pats juose vykdo sportinę, kultūros ar švietimo veiklą:</w:t>
                          </w:r>
                        </w:p>
                        <w:sdt>
                          <w:sdtPr>
                            <w:alias w:val="12.4.1 pp."/>
                            <w:tag w:val="part_bbb1f546e9e4418d8539eb6c313618cc"/>
                            <w:lock w:val="sdtLocked"/>
                            <w:richText/>
                          </w:sdtPr>
                          <w:sdtContent>
                            <w:p w14:paraId="3CF31B80" w14:textId="77777777">
                              <w:pPr>
                                <w:tabs>
                                  <w:tab w:val="left" w:pos="851"/>
                                  <w:tab w:val="left" w:pos="1134"/>
                                </w:tabs>
                                <w:ind w:firstLine="851"/>
                                <w:jc w:val="both"/>
                                <w:rPr>
                                  <w:rFonts w:eastAsia="Calibri"/>
                                  <w:i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bbb1f546e9e4418d8539eb6c313618cc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i/>
                                      <w:szCs w:val="24"/>
                                    </w:rPr>
                                    <w:t>12.4.1</w:t>
                                  </w:r>
                                </w:sdtContent>
                              </w:sdt>
                              <w:r>
                                <w:rPr>
                                  <w:i/>
                                  <w:szCs w:val="24"/>
                                </w:rPr>
                                <w:t xml:space="preserve">. dešimt metų </w:t>
                              </w:r>
                              <w:r>
                                <w:rPr>
                                  <w:rFonts w:eastAsia="Calibri"/>
                                  <w:i/>
                                  <w:szCs w:val="24"/>
                                </w:rPr>
                                <w:t>taikoma žemės, valstybinės žemės nuomos ir (ar) nekilnojamojo turto mokesčių 100 procentų lengvata;</w:t>
                              </w:r>
                            </w:p>
                          </w:sdtContent>
                        </w:sdt>
                        <w:sdt>
                          <w:sdtPr>
                            <w:alias w:val="12.4.2 pp."/>
                            <w:tag w:val="part_f39d20b920894f7484cdccc18b0ce2ae"/>
                            <w:lock w:val="sdtLocked"/>
                            <w:richText/>
                          </w:sdtPr>
                          <w:sdtContent>
                            <w:p w14:paraId="5572CEA5" w14:textId="77777777">
                              <w:pPr>
                                <w:tabs>
                                  <w:tab w:val="left" w:pos="851"/>
                                  <w:tab w:val="left" w:pos="1134"/>
                                </w:tabs>
                                <w:ind w:firstLine="851"/>
                                <w:jc w:val="both"/>
                                <w:rPr>
                                  <w:i/>
                                  <w:iCs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f39d20b920894f7484cdccc18b0ce2ae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i/>
                                      <w:iCs/>
                                      <w:szCs w:val="24"/>
                                    </w:rPr>
                                    <w:t>12.4.2</w:t>
                                  </w:r>
                                </w:sdtContent>
                              </w:sdt>
                              <w:r>
                                <w:rPr>
                                  <w:i/>
                                  <w:iCs/>
                                  <w:szCs w:val="24"/>
                                </w:rPr>
                                <w:t>. lengvata taikoma tik tai veiklai vykdyti naudojamiems pastatams ir (ar) žemės sklypams;</w:t>
                              </w:r>
                            </w:p>
                          </w:sdtContent>
                        </w:sdt>
                        <w:sdt>
                          <w:sdtPr>
                            <w:alias w:val="12.4.3 pp."/>
                            <w:tag w:val="part_690fa9d35bac46a48af93b5e7df7429e"/>
                            <w:lock w:val="sdtLocked"/>
                            <w:richText/>
                          </w:sdtPr>
                          <w:sdtContent>
                            <w:p w14:paraId="306E8548" w14:textId="37D52E16">
                              <w:pPr>
                                <w:tabs>
                                  <w:tab w:val="left" w:pos="851"/>
                                  <w:tab w:val="left" w:pos="1134"/>
                                </w:tabs>
                                <w:ind w:firstLine="851"/>
                                <w:jc w:val="both"/>
                                <w:rPr>
                                  <w:rFonts w:eastAsia="Calibri"/>
                                  <w:i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690fa9d35bac46a48af93b5e7df7429e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rFonts w:eastAsia="Calibri"/>
                                      <w:i/>
                                      <w:szCs w:val="24"/>
                                    </w:rPr>
                                    <w:t>12.4.3</w:t>
                                  </w:r>
                                </w:sdtContent>
                              </w:sdt>
                              <w:r>
                                <w:rPr>
                                  <w:rFonts w:eastAsia="Calibri"/>
                                  <w:i/>
                                  <w:szCs w:val="24"/>
                                </w:rPr>
                                <w:t>. lengvata taikoma nuo 2025 metų.“.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pastraipa"/>
                    <w:tag w:val="part_ad8f1549ba1042c09c45c2b16fb954fc"/>
                    <w:lock w:val="sdtLocked"/>
                    <w:richText/>
                  </w:sdtPr>
                  <w:sdtContent>
                    <w:p w14:paraId="630A6D38" w14:textId="245EF08D">
                      <w:pPr>
                        <w:widowControl w:val="0"/>
                        <w:suppressAutoHyphens/>
                        <w:ind w:firstLine="680"/>
                        <w:jc w:val="both"/>
                        <w:rPr>
                          <w:rFonts w:eastAsia="Lucida Sans Unicode"/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>Ši lengvata siūloma siekiant skatinti sporto, kultūros ir mokslo veiklas Šiaulių mieste. Atsižvelgiant į paskutiniais metais augantį gyventojų skaičių, besiplečiančius verslus, norima paskatinti kurtis tuos verslus, kurie prisidėtų prie gyventojų fizinės ir emocinės gerovės, praturtintų gyventojų ir miesto svečių kultūrinį gyvenimą ir pan.</w:t>
                      </w:r>
                    </w:p>
                  </w:sdtContent>
                </w:sdt>
                <w:sdt>
                  <w:sdtPr>
                    <w:alias w:val="2 p."/>
                    <w:tag w:val="part_fd2a4d728a4b429393ca561ee56894cb"/>
                    <w:lock w:val="sdtLocked"/>
                    <w:richText/>
                  </w:sdtPr>
                  <w:sdtContent>
                    <w:p w14:paraId="7CAF683A" w14:textId="77777777">
                      <w:pPr>
                        <w:widowControl w:val="0"/>
                        <w:suppressAutoHyphens/>
                        <w:ind w:firstLine="709"/>
                        <w:jc w:val="both"/>
                        <w:rPr>
                          <w:rFonts w:eastAsia="Lucida Sans Unicode"/>
                          <w:iCs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d2a4d728a4b429393ca561ee56894cb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Lucida Sans Unicode"/>
                              <w:szCs w:val="24"/>
                              <w:shd w:val="clear" w:color="auto" w:fill="FFFFFF"/>
                              <w:lang w:eastAsia="lt-LT"/>
                            </w:rPr>
                            <w:t>2</w:t>
                          </w:r>
                        </w:sdtContent>
                      </w:sdt>
                      <w:r>
                        <w:rPr>
                          <w:rFonts w:eastAsia="Lucida Sans Unicode"/>
                          <w:szCs w:val="24"/>
                          <w:shd w:val="clear" w:color="auto" w:fill="FFFFFF"/>
                          <w:lang w:eastAsia="lt-LT"/>
                        </w:rPr>
                        <w:t>. Atsižvelgiant į 2023 m. gruodžio 13 d. patvirtintą Europos Komisijos reglamentą </w:t>
                      </w:r>
                      <w:fldSimple w:instr="HYPERLINK http://eur-lex.europa.eu/legal-content/LIT/TXT/?uri=CELEX:32831R2023&amp;locale=lt \t _blank">
                        <w:r>
                          <w:rPr>
                            <w:rFonts w:eastAsia="Lucida Sans Unicode"/>
                            <w:szCs w:val="24"/>
                            <w:shd w:val="clear" w:color="auto" w:fill="FFFFFF"/>
                            <w:lang w:eastAsia="lt-LT"/>
                            <w:u w:val="single"/>
                            <w:color w:val="0000FF" w:themeColor="hyperlink"/>
                          </w:rPr>
                          <w:t xml:space="preserve">(ES) Nr. </w:t>
                        </w:r>
                        <w:r>
                          <w:rPr>
                            <w:rFonts w:eastAsia="Lucida Sans Unicode"/>
                            <w:bCs/>
                            <w:szCs w:val="24"/>
                            <w:lang w:eastAsia="lt-LT"/>
                            <w:u w:val="single"/>
                            <w:color w:val="0000FF" w:themeColor="hyperlink"/>
                          </w:rPr>
                          <w:t>2023/2831</w:t>
                        </w:r>
                      </w:fldSimple>
                      <w:r>
                        <w:rPr>
                          <w:rFonts w:eastAsia="Lucida Sans Unicode"/>
                          <w:bCs/>
                          <w:szCs w:val="24"/>
                          <w:lang w:eastAsia="lt-LT"/>
                        </w:rPr>
                        <w:t xml:space="preserve"> dėl Sutarties dėl Europos Sąjungos veikimo 107 ir 108 straipsnių taikymo </w:t>
                      </w:r>
                      <w:r>
                        <w:rPr>
                          <w:rFonts w:eastAsia="Lucida Sans Unicode"/>
                          <w:bCs/>
                          <w:i/>
                          <w:szCs w:val="24"/>
                          <w:lang w:eastAsia="lt-LT"/>
                        </w:rPr>
                        <w:t>de minimis</w:t>
                      </w:r>
                      <w:r>
                        <w:rPr>
                          <w:rFonts w:eastAsia="Lucida Sans Unicode"/>
                          <w:bCs/>
                          <w:szCs w:val="24"/>
                          <w:lang w:eastAsia="lt-LT"/>
                        </w:rPr>
                        <w:t xml:space="preserve"> pagalbai</w:t>
                      </w:r>
                      <w:r>
                        <w:rPr>
                          <w:rFonts w:eastAsia="Lucida Sans Unicode"/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rFonts w:eastAsia="Lucida Sans Unicode"/>
                          <w:szCs w:val="24"/>
                          <w:shd w:val="clear" w:color="auto" w:fill="FFFFFF"/>
                          <w:lang w:eastAsia="lt-LT"/>
                        </w:rPr>
                        <w:t xml:space="preserve">(toliau – Reglamentas), atlikti pakeitimai Taisyklių 2 punkte, nurodant naujo dokumento datą ir numerį, 30 – 40 punktuose nurodytas naujas nereikšmingos </w:t>
                      </w:r>
                      <w:r>
                        <w:rPr>
                          <w:rFonts w:eastAsia="Lucida Sans Unicode"/>
                          <w:i/>
                          <w:szCs w:val="24"/>
                          <w:shd w:val="clear" w:color="auto" w:fill="FFFFFF"/>
                          <w:lang w:eastAsia="lt-LT"/>
                        </w:rPr>
                        <w:t>(de minimis)</w:t>
                      </w:r>
                      <w:r>
                        <w:rPr>
                          <w:rFonts w:eastAsia="Lucida Sans Unicode"/>
                          <w:szCs w:val="24"/>
                          <w:shd w:val="clear" w:color="auto" w:fill="FFFFFF"/>
                          <w:lang w:eastAsia="lt-LT"/>
                        </w:rPr>
                        <w:t xml:space="preserve"> pagalbos teisinis reglamentavimas ir išimtys, t. y. vienos įmonės apibrėžtis, maksimali nereikšmingos </w:t>
                      </w:r>
                      <w:r>
                        <w:rPr>
                          <w:rFonts w:eastAsia="Lucida Sans Unicode"/>
                          <w:i/>
                          <w:szCs w:val="24"/>
                          <w:shd w:val="clear" w:color="auto" w:fill="FFFFFF"/>
                          <w:lang w:eastAsia="lt-LT"/>
                        </w:rPr>
                        <w:t>(de minimis)</w:t>
                      </w:r>
                      <w:r>
                        <w:rPr>
                          <w:rFonts w:eastAsia="Lucida Sans Unicode"/>
                          <w:szCs w:val="24"/>
                          <w:shd w:val="clear" w:color="auto" w:fill="FFFFFF"/>
                          <w:lang w:eastAsia="lt-LT"/>
                        </w:rPr>
                        <w:t xml:space="preserve"> pagalbos suma trejų metų laikotarpiu, sektoriai, kuriems pagalba netaikoma, </w:t>
                      </w:r>
                      <w:r>
                        <w:rPr>
                          <w:rFonts w:eastAsia="Lucida Sans Unicode"/>
                          <w:iCs/>
                          <w:szCs w:val="24"/>
                          <w:lang w:eastAsia="lt-LT"/>
                        </w:rPr>
                        <w:t xml:space="preserve">pagalbos skaičiavimas įmonių susijungimų, įsigijimų ar suskaidymo atveju, pagalbos sumavimo atvejai, pagalbos registravimo ir duomenų saugojimo reikalavimai. </w:t>
                      </w:r>
                    </w:p>
                    <w:p w14:paraId="685C28B3" w14:textId="0B123F8D">
                      <w:pPr>
                        <w:widowControl w:val="0"/>
                        <w:suppressAutoHyphens/>
                        <w:ind w:firstLine="709"/>
                        <w:jc w:val="both"/>
                        <w:rPr>
                          <w:rFonts w:eastAsia="Lucida Sans Unicode"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color w:val="000000"/>
                          <w:szCs w:val="24"/>
                          <w:lang w:eastAsia="lt-LT"/>
                        </w:rPr>
                        <w:t>Lietuvos Respublikos konkurencijos įstatymo 55 straipsnio 2 dalyje numatyta, kad pagalbos priemonėse reikalinga pateikti nuorodą į įstatymo 55</w:t>
                      </w:r>
                      <w:r>
                        <w:rPr>
                          <w:rFonts w:eastAsia="Lucida Sans Unicode"/>
                          <w:color w:val="000000"/>
                          <w:szCs w:val="24"/>
                          <w:vertAlign w:val="superscript"/>
                          <w:lang w:eastAsia="lt-LT"/>
                        </w:rPr>
                        <w:t xml:space="preserve">1 </w:t>
                      </w:r>
                      <w:r>
                        <w:rPr>
                          <w:rFonts w:eastAsia="Lucida Sans Unicode"/>
                          <w:color w:val="000000"/>
                          <w:szCs w:val="24"/>
                          <w:lang w:eastAsia="lt-LT"/>
                        </w:rPr>
                        <w:t>straipsnyje nustatytą reguliavimą, kuriuo numatoma, kada pagalbos gavėjas privalo pagal pagalbos priemonę jam išmokėtą pagalbos sumą sugrąžinti savanoriškai arba ši suma išieškoma ne ginčo tvarka. Sąlyga nurodyta Taisyklių 41 punkte.</w:t>
                      </w:r>
                    </w:p>
                    <w:p w14:paraId="7CF7A8D2" w14:textId="6A80CE0A">
                      <w:pPr>
                        <w:widowControl w:val="0"/>
                        <w:suppressAutoHyphens/>
                        <w:ind w:firstLine="709"/>
                        <w:jc w:val="both"/>
                        <w:rPr>
                          <w:rFonts w:eastAsia="Lucida Sans Unicode"/>
                          <w:szCs w:val="24"/>
                          <w:shd w:val="clear" w:color="auto" w:fill="FFFFFF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Cs w:val="24"/>
                          <w:shd w:val="clear" w:color="auto" w:fill="FFFFFF"/>
                          <w:lang w:eastAsia="lt-LT"/>
                        </w:rPr>
                        <w:t>Naujos redakcijos Taisyklių projektas suderintas su Konkurencijos taryba (2024-11-19 raštas Nr. (2.30Mr-43)6V-1161, registracija Avilio sistemoje G-9266).</w:t>
                      </w:r>
                    </w:p>
                  </w:sdtContent>
                </w:sdt>
                <w:sdt>
                  <w:sdtPr>
                    <w:alias w:val="3 p."/>
                    <w:tag w:val="part_57c65a8b0ccd4101800652f836e03de7"/>
                    <w:lock w:val="sdtLocked"/>
                    <w:richText/>
                  </w:sdtPr>
                  <w:sdtContent>
                    <w:p w14:paraId="2E78D505" w14:textId="4EA18013">
                      <w:pPr>
                        <w:widowControl w:val="0"/>
                        <w:suppressAutoHyphens/>
                        <w:ind w:firstLine="709"/>
                        <w:jc w:val="both"/>
                        <w:rPr>
                          <w:rFonts w:eastAsia="Lucida Sans Unicode"/>
                          <w:szCs w:val="24"/>
                          <w:shd w:val="clear" w:color="auto" w:fill="FFFFFF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7c65a8b0ccd4101800652f836e03de7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Lucida Sans Unicode"/>
                              <w:szCs w:val="24"/>
                              <w:shd w:val="clear" w:color="auto" w:fill="FFFFFF"/>
                              <w:lang w:eastAsia="lt-LT"/>
                            </w:rPr>
                            <w:t>3</w:t>
                          </w:r>
                        </w:sdtContent>
                      </w:sdt>
                      <w:r>
                        <w:rPr>
                          <w:rFonts w:eastAsia="Lucida Sans Unicode"/>
                          <w:szCs w:val="24"/>
                          <w:shd w:val="clear" w:color="auto" w:fill="FFFFFF"/>
                          <w:lang w:eastAsia="lt-LT"/>
                        </w:rPr>
                        <w:t>. Taisyklių 23-25 punktuose atlikti taisymai susiję su asmenų prašymų nagrinėjimu.</w:t>
                      </w:r>
                    </w:p>
                  </w:sdtContent>
                </w:sdt>
                <w:sdt>
                  <w:sdtPr>
                    <w:alias w:val="4 p."/>
                    <w:tag w:val="part_b53e80e5cf4e4bb5b3349da97b2e790b"/>
                    <w:lock w:val="sdtLocked"/>
                    <w:richText/>
                  </w:sdtPr>
                  <w:sdtContent>
                    <w:p w14:paraId="24BB3FC8" w14:textId="62650408">
                      <w:pPr>
                        <w:widowControl w:val="0"/>
                        <w:suppressAutoHyphens/>
                        <w:ind w:firstLine="709"/>
                        <w:jc w:val="both"/>
                        <w:rPr>
                          <w:rFonts w:eastAsia="Lucida Sans Unicode"/>
                          <w:szCs w:val="24"/>
                          <w:shd w:val="clear" w:color="auto" w:fill="FFFFFF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53e80e5cf4e4bb5b3349da97b2e790b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Lucida Sans Unicode"/>
                              <w:szCs w:val="24"/>
                              <w:shd w:val="clear" w:color="auto" w:fill="FFFFFF"/>
                              <w:lang w:eastAsia="lt-LT"/>
                            </w:rPr>
                            <w:t>4</w:t>
                          </w:r>
                        </w:sdtContent>
                      </w:sdt>
                      <w:r>
                        <w:rPr>
                          <w:rFonts w:eastAsia="Lucida Sans Unicode"/>
                          <w:szCs w:val="24"/>
                          <w:shd w:val="clear" w:color="auto" w:fill="FFFFFF"/>
                          <w:lang w:eastAsia="lt-LT"/>
                        </w:rPr>
                        <w:t>. Taisyklių 44-45 punktuose įtrauktos naujos nuostatos apie asmenų duomenų tvarkymą ir saugojimą.</w:t>
                      </w:r>
                    </w:p>
                    <w:p w14:paraId="5A79EB06" w14:textId="7280793E">
                      <w:pPr>
                        <w:widowControl w:val="0"/>
                        <w:suppressAutoHyphens/>
                        <w:ind w:firstLine="709"/>
                        <w:jc w:val="both"/>
                        <w:rPr>
                          <w:rFonts w:eastAsia="Lucida Sans Unicode"/>
                          <w:szCs w:val="24"/>
                          <w:shd w:val="clear" w:color="auto" w:fill="FFFFFF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szCs w:val="24"/>
                          <w:shd w:val="clear" w:color="auto" w:fill="FFFFFF"/>
                          <w:lang w:eastAsia="lt-LT"/>
                        </w:rPr>
                        <w:t>Taip pat Taisyklėse buvo atlikta Savivaldybės administracijos skyrių pavadinimų bei keletas redakcinio pobūdžio taisymų.</w:t>
                      </w:r>
                    </w:p>
                    <w:p w14:paraId="0E888C41" w14:textId="77777777">
                      <w:pPr>
                        <w:widowControl w:val="0"/>
                        <w:suppressAutoHyphens/>
                        <w:ind w:firstLine="709"/>
                        <w:jc w:val="both"/>
                        <w:rPr>
                          <w:rFonts w:eastAsia="Lucida Sans Unicode"/>
                          <w:szCs w:val="24"/>
                          <w:shd w:val="clear" w:color="auto" w:fill="FFFFFF"/>
                          <w:lang w:eastAsia="lt-LT"/>
                        </w:rPr>
                      </w:pPr>
                    </w:p>
                    <w:p w14:paraId="511BF20D" w14:textId="6B7C1E13">
                      <w:pPr>
                        <w:widowControl w:val="0"/>
                        <w:tabs>
                          <w:tab w:val="left" w:pos="851"/>
                          <w:tab w:val="left" w:pos="1134"/>
                          <w:tab w:val="left" w:pos="1276"/>
                        </w:tabs>
                        <w:suppressAutoHyphens/>
                        <w:ind w:firstLine="851"/>
                        <w:jc w:val="both"/>
                        <w:rPr>
                          <w:rFonts w:eastAsia="Lucida Sans Unicode"/>
                          <w:szCs w:val="24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b/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 xml:space="preserve">Priėmus sprendimą, galimos pasekmės </w:t>
                      </w:r>
                      <w:r>
                        <w:rPr>
                          <w:rFonts w:eastAsia="Lucida Sans Unicode"/>
                          <w:i/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>(nurodomos tiek teigiamos, tiek neigiamos galimos pasekmės)</w:t>
                      </w:r>
                      <w:r>
                        <w:rPr>
                          <w:rFonts w:eastAsia="Lucida Sans Unicode"/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 xml:space="preserve">. </w:t>
                      </w:r>
                    </w:p>
                    <w:p w14:paraId="1B7FECB3" w14:textId="0305346A">
                      <w:pPr>
                        <w:suppressAutoHyphens/>
                        <w:ind w:firstLine="680"/>
                        <w:jc w:val="both"/>
                        <w:rPr>
                          <w:bCs/>
                          <w:color w:val="000000"/>
                          <w:szCs w:val="24"/>
                          <w:lang w:val="en-GB" w:eastAsia="ar-SA"/>
                        </w:rPr>
                      </w:pPr>
                      <w:r>
                        <w:rPr>
                          <w:b/>
                          <w:bCs/>
                          <w:i/>
                          <w:color w:val="000000"/>
                          <w:szCs w:val="24"/>
                          <w:lang w:val="en-GB" w:eastAsia="ar-SA"/>
                        </w:rPr>
                        <w:t>Teigiamos pasekmės</w:t>
                      </w:r>
                      <w:r>
                        <w:rPr>
                          <w:b/>
                          <w:bCs/>
                          <w:color w:val="000000"/>
                          <w:szCs w:val="24"/>
                          <w:lang w:val="en-GB" w:eastAsia="ar-SA"/>
                        </w:rPr>
                        <w:t xml:space="preserve"> – </w:t>
                      </w:r>
                      <w:r>
                        <w:rPr>
                          <w:bCs/>
                          <w:color w:val="000000"/>
                          <w:szCs w:val="24"/>
                          <w:lang w:val="en-GB" w:eastAsia="ar-SA"/>
                        </w:rPr>
                        <w:t xml:space="preserve">priėmus sprendimą bus tinkamai įgyvendinti pasikeitę teisės aktai.  </w:t>
                      </w:r>
                    </w:p>
                    <w:p w14:paraId="5FD05AB3" w14:textId="1948CAE8">
                      <w:pPr>
                        <w:suppressAutoHyphens/>
                        <w:ind w:firstLine="680"/>
                        <w:jc w:val="both"/>
                        <w:rPr>
                          <w:bCs/>
                          <w:color w:val="000000"/>
                          <w:szCs w:val="24"/>
                          <w:lang w:val="en-GB" w:eastAsia="ar-SA"/>
                        </w:rPr>
                      </w:pPr>
                      <w:r>
                        <w:rPr>
                          <w:bCs/>
                          <w:color w:val="000000"/>
                          <w:szCs w:val="24"/>
                          <w:lang w:val="en-GB" w:eastAsia="ar-SA"/>
                        </w:rPr>
                        <w:t xml:space="preserve">Bus skatinamos juridinių asmenų investicijos į savivaldybei priklausančią infrastruktūrą bei sporto, mokslo ir kultūros paskirties pastatų statymą Šiaulių mieste.  </w:t>
                      </w:r>
                    </w:p>
                    <w:p w14:paraId="511BF210" w14:textId="4FAD9BE6">
                      <w:pPr>
                        <w:widowControl w:val="0"/>
                        <w:tabs>
                          <w:tab w:val="left" w:pos="850"/>
                        </w:tabs>
                        <w:ind w:firstLine="709"/>
                        <w:jc w:val="both"/>
                        <w:rPr>
                          <w:rFonts w:eastAsia="Lucida Sans Unicode"/>
                          <w:iCs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rFonts w:eastAsia="Lucida Sans Unicode"/>
                          <w:b/>
                          <w:i/>
                          <w:iCs/>
                          <w:color w:val="000000"/>
                          <w:szCs w:val="24"/>
                          <w:lang w:eastAsia="lt-LT"/>
                        </w:rPr>
                        <w:t>Neigiamos pasekmės</w:t>
                      </w:r>
                      <w:r>
                        <w:rPr>
                          <w:rFonts w:eastAsia="Lucida Sans Unicode"/>
                          <w:iCs/>
                          <w:color w:val="000000"/>
                          <w:szCs w:val="24"/>
                          <w:lang w:eastAsia="lt-LT"/>
                        </w:rPr>
                        <w:t xml:space="preserve"> – verslui pasinaudojus siūlomomis lengvatomis, Šiaulių miesto savivaldybės biudžetas neteks dalies pajamų.</w:t>
                      </w:r>
                    </w:p>
                    <w:p w14:paraId="511BF211" w14:textId="77777777">
                      <w:pPr>
                        <w:widowControl w:val="0"/>
                        <w:suppressLineNumbers/>
                        <w:ind w:firstLine="709"/>
                        <w:jc w:val="both"/>
                        <w:rPr>
                          <w:rFonts w:eastAsia="Lucida Sans Unicode"/>
                          <w:b/>
                          <w:bCs/>
                          <w:color w:val="000000"/>
                          <w:szCs w:val="24"/>
                          <w:lang w:eastAsia="lt-LT"/>
                        </w:rPr>
                      </w:pPr>
                    </w:p>
                  </w:sdtContent>
                </w:sdt>
              </w:sdtContent>
            </w:sdt>
            <w:sdt>
              <w:sdtPr>
                <w:alias w:val="poskyris"/>
                <w:tag w:val="part_05c9f63cb3ee43eea2d1795b588f1676"/>
                <w:lock w:val="sdtLocked"/>
                <w:richText/>
              </w:sdtPr>
              <w:sdtContent>
                <w:p w14:paraId="511BF212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b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05c9f63cb3ee43eea2d1795b588f1676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color w:val="000000"/>
                          <w:szCs w:val="24"/>
                          <w:shd w:val="clear" w:color="auto" w:fill="FFFFFF"/>
                          <w:lang w:eastAsia="lt-LT"/>
                        </w:rPr>
                        <w:t>Priėmus sprendimą, keičiami ar pripažįstami negaliojančiais teisės aktai</w:t>
                      </w:r>
                      <w:r>
                        <w:rPr>
                          <w:rFonts w:eastAsia="Lucida Sans Unicode"/>
                          <w:b/>
                          <w:color w:val="000000"/>
                          <w:szCs w:val="24"/>
                          <w:lang w:eastAsia="lt-LT"/>
                        </w:rPr>
                        <w:t>.</w:t>
                      </w:r>
                    </w:sdtContent>
                  </w:sdt>
                </w:p>
                <w:p w14:paraId="511BF214" w14:textId="2C4628F6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color w:val="000000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color w:val="000000"/>
                      <w:szCs w:val="24"/>
                      <w:lang w:eastAsia="lt-LT"/>
                    </w:rPr>
                    <w:t>Patvirtinus naują Taisyklių redakciją, keičiamų ar pripažįstamų negaliojančiais teisės aktų nėra.</w:t>
                  </w:r>
                </w:p>
                <w:p w14:paraId="1A9E3804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b/>
                      <w:color w:val="000000"/>
                      <w:sz w:val="20"/>
                      <w:lang w:eastAsia="lt-LT"/>
                    </w:rPr>
                  </w:pPr>
                </w:p>
              </w:sdtContent>
            </w:sdt>
            <w:sdt>
              <w:sdtPr>
                <w:alias w:val="poskyris"/>
                <w:tag w:val="part_88f9b0db956341d2be34917b00545dfd"/>
                <w:lock w:val="sdtLocked"/>
                <w:richText/>
              </w:sdtPr>
              <w:sdtContent>
                <w:p w14:paraId="511BF215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b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88f9b0db956341d2be34917b00545dfd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color w:val="000000"/>
                          <w:szCs w:val="24"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511BF216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color w:val="000000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color w:val="000000"/>
                      <w:szCs w:val="24"/>
                      <w:lang w:eastAsia="lt-LT"/>
                    </w:rPr>
                    <w:t>Sprendimo įgyvendinimui papildomų teisės aktų priimti nereikia.</w:t>
                  </w:r>
                </w:p>
                <w:p w14:paraId="511BF217" w14:textId="77777777">
                  <w:pPr>
                    <w:widowControl w:val="0"/>
                    <w:suppressLineNumbers/>
                    <w:ind w:firstLine="709"/>
                    <w:jc w:val="both"/>
                    <w:rPr>
                      <w:rFonts w:eastAsia="Lucida Sans Unicode"/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p w14:paraId="511BF218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color w:val="000000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color w:val="000000"/>
                      <w:szCs w:val="24"/>
                      <w:shd w:val="clear" w:color="auto" w:fill="FFFFFF"/>
                      <w:lang w:eastAsia="lt-LT"/>
                    </w:rPr>
                    <w:t>Sprendimui įgyvendinti reikalingos lėšos</w:t>
                  </w:r>
                  <w:r>
                    <w:rPr>
                      <w:rFonts w:eastAsia="Lucida Sans Unicode"/>
                      <w:i/>
                      <w:color w:val="000000"/>
                      <w:szCs w:val="24"/>
                      <w:shd w:val="clear" w:color="auto" w:fill="FFFFFF"/>
                      <w:lang w:eastAsia="lt-LT"/>
                    </w:rPr>
                    <w:t xml:space="preserve"> (nurodoma, kiek biudžeto lėšų pareikalaus ar leis sutaupyti sprendimo įgyvendinimas)</w:t>
                  </w:r>
                  <w:r>
                    <w:rPr>
                      <w:rFonts w:eastAsia="Lucida Sans Unicode"/>
                      <w:color w:val="000000"/>
                      <w:szCs w:val="24"/>
                      <w:shd w:val="clear" w:color="auto" w:fill="FFFFFF"/>
                      <w:lang w:eastAsia="lt-LT"/>
                    </w:rPr>
                    <w:t xml:space="preserve">. </w:t>
                  </w:r>
                </w:p>
                <w:p w14:paraId="54B6CC2B" w14:textId="03C3788C">
                  <w:pPr>
                    <w:widowControl w:val="0"/>
                    <w:suppressLineNumbers/>
                    <w:ind w:firstLine="709"/>
                    <w:jc w:val="both"/>
                    <w:rPr>
                      <w:rFonts w:eastAsia="Lucida Sans Unicode"/>
                      <w:bCs/>
                      <w:color w:val="000000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color w:val="000000"/>
                      <w:szCs w:val="24"/>
                      <w:shd w:val="clear" w:color="auto" w:fill="FFFFFF"/>
                      <w:lang w:eastAsia="lt-LT"/>
                    </w:rPr>
                    <w:t>Sprendimui įgyvendinti lėšos nereikalingos.</w:t>
                  </w:r>
                  <w:r>
                    <w:rPr>
                      <w:rFonts w:eastAsia="Lucida Sans Unicode"/>
                      <w:bCs/>
                      <w:color w:val="000000"/>
                      <w:szCs w:val="24"/>
                      <w:lang w:eastAsia="lt-LT"/>
                    </w:rPr>
                    <w:t xml:space="preserve"> Pritaikius mokesčių lengvatas, savivaldybė neteks dalies biudžeto pajamų.</w:t>
                  </w:r>
                </w:p>
                <w:p w14:paraId="511BF21A" w14:textId="77777777">
                  <w:pPr>
                    <w:widowControl w:val="0"/>
                    <w:tabs>
                      <w:tab w:val="left" w:pos="0"/>
                    </w:tabs>
                    <w:suppressAutoHyphens/>
                    <w:ind w:firstLine="720"/>
                    <w:jc w:val="both"/>
                    <w:rPr>
                      <w:rFonts w:eastAsia="HG Mincho Light J"/>
                      <w:color w:val="000000"/>
                      <w:szCs w:val="24"/>
                      <w:shd w:val="clear" w:color="auto" w:fill="FFFFFF"/>
                      <w:lang w:eastAsia="ar-SA"/>
                    </w:rPr>
                  </w:pPr>
                </w:p>
                <w:p w14:paraId="511BF21B" w14:textId="77777777">
                  <w:pPr>
                    <w:widowControl w:val="0"/>
                    <w:tabs>
                      <w:tab w:val="left" w:pos="0"/>
                    </w:tabs>
                    <w:suppressAutoHyphens/>
                    <w:ind w:firstLine="720"/>
                    <w:jc w:val="both"/>
                    <w:rPr>
                      <w:rFonts w:eastAsia="HG Mincho Light J"/>
                      <w:color w:val="000000"/>
                      <w:szCs w:val="24"/>
                      <w:shd w:val="clear" w:color="auto" w:fill="FFFFFF"/>
                      <w:lang w:eastAsia="ar-SA"/>
                    </w:rPr>
                  </w:pPr>
                  <w:r>
                    <w:rPr>
                      <w:rFonts w:eastAsia="HG Mincho Light J"/>
                      <w:b/>
                      <w:color w:val="000000"/>
                      <w:szCs w:val="24"/>
                      <w:shd w:val="clear" w:color="auto" w:fill="FFFFFF"/>
                      <w:lang w:eastAsia="ar-SA"/>
                    </w:rPr>
                    <w:t xml:space="preserve">Sprendimo projekto antikorupcinis vertinimas </w:t>
                  </w:r>
                  <w:r>
                    <w:rPr>
                      <w:rFonts w:eastAsia="HG Mincho Light J"/>
                      <w:i/>
                      <w:color w:val="000000"/>
                      <w:szCs w:val="24"/>
                      <w:shd w:val="clear" w:color="auto" w:fill="FFFFFF"/>
                      <w:lang w:eastAsia="ar-SA"/>
                    </w:rPr>
                    <w:t>(jei tokį vertinimą reikia atlikti, nurodoma, kad pridedama Antikorupcinio vertinimo pažyma)</w:t>
                  </w:r>
                  <w:r>
                    <w:rPr>
                      <w:rFonts w:eastAsia="HG Mincho Light J"/>
                      <w:color w:val="000000"/>
                      <w:szCs w:val="24"/>
                      <w:shd w:val="clear" w:color="auto" w:fill="FFFFFF"/>
                      <w:lang w:eastAsia="ar-SA"/>
                    </w:rPr>
                    <w:t>.</w:t>
                  </w:r>
                </w:p>
                <w:p w14:paraId="533AEF10" w14:textId="3A9400DE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color w:val="000000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color w:val="000000"/>
                      <w:szCs w:val="24"/>
                      <w:shd w:val="clear" w:color="auto" w:fill="FFFFFF"/>
                      <w:lang w:eastAsia="lt-LT"/>
                    </w:rPr>
                    <w:t>Antikorupcinio vertinimo pažyma pridedama.</w:t>
                  </w:r>
                </w:p>
                <w:p w14:paraId="2ED4119D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b/>
                      <w:color w:val="000000"/>
                      <w:szCs w:val="24"/>
                      <w:shd w:val="clear" w:color="auto" w:fill="FFFFFF"/>
                      <w:lang w:eastAsia="lt-LT"/>
                    </w:rPr>
                  </w:pPr>
                </w:p>
                <w:p w14:paraId="511BF21E" w14:textId="30CDF943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b/>
                      <w:color w:val="000000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color w:val="000000"/>
                      <w:szCs w:val="24"/>
                      <w:shd w:val="clear" w:color="auto" w:fill="FFFFFF"/>
                      <w:lang w:eastAsia="lt-LT"/>
                    </w:rPr>
                    <w:t>Sprendimo projektą parengė</w:t>
                  </w:r>
                  <w:r>
                    <w:rPr>
                      <w:rFonts w:eastAsia="Lucida Sans Unicode"/>
                      <w:color w:val="000000"/>
                      <w:szCs w:val="24"/>
                      <w:shd w:val="clear" w:color="auto" w:fill="FFFFFF"/>
                      <w:lang w:eastAsia="lt-LT"/>
                    </w:rPr>
                    <w:t xml:space="preserve"> Šiaulių miesto savivaldybės administracijos Ekonomikos skyrius. Ekonomikos skyriaus vedėja – Aistė Petkuvienė. Tiesioginis rengėjas – vyr. specialistė, Brigita Mareckienė, tel. +370 41 383 437. Projekto iniciatoriai: </w:t>
                  </w:r>
                  <w:r>
                    <w:rPr>
                      <w:rFonts w:eastAsia="Lucida Sans Unicode"/>
                      <w:color w:val="000000"/>
                      <w:szCs w:val="24"/>
                      <w:lang w:eastAsia="lt-LT"/>
                    </w:rPr>
                    <w:t xml:space="preserve">Pasiūlymų dėl mokesčių tarifų ir lengvatų nustatymo teikimo darbo grupė, </w:t>
                  </w:r>
                  <w:r>
                    <w:rPr>
                      <w:rFonts w:eastAsia="Lucida Sans Unicode"/>
                      <w:color w:val="000000"/>
                      <w:szCs w:val="24"/>
                      <w:shd w:val="clear" w:color="auto" w:fill="FFFFFF"/>
                      <w:lang w:eastAsia="lt-LT"/>
                    </w:rPr>
                    <w:t>Ekonomikos skyrius.</w:t>
                  </w:r>
                </w:p>
                <w:p w14:paraId="511BF21F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b/>
                      <w:color w:val="000000"/>
                      <w:szCs w:val="24"/>
                      <w:lang w:eastAsia="lt-LT"/>
                    </w:rPr>
                  </w:pPr>
                </w:p>
                <w:p w14:paraId="511BF220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b/>
                      <w:color w:val="000000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color w:val="000000"/>
                      <w:szCs w:val="24"/>
                      <w:shd w:val="clear" w:color="auto" w:fill="FFFFFF"/>
                      <w:lang w:eastAsia="lt-LT"/>
                    </w:rPr>
                    <w:t>N</w:t>
                  </w:r>
                  <w:r>
                    <w:rPr>
                      <w:rFonts w:eastAsia="Calibri"/>
                      <w:b/>
                      <w:color w:val="000000"/>
                      <w:szCs w:val="24"/>
                      <w:lang w:eastAsia="lt-LT"/>
                    </w:rPr>
                    <w:t>umatomo teisinio reguliavimo poveikio vertinimo rezultatai</w:t>
                  </w:r>
                  <w:r>
                    <w:rPr>
                      <w:rFonts w:eastAsia="Lucida Sans Unicode"/>
                      <w:i/>
                      <w:color w:val="000000"/>
                      <w:szCs w:val="24"/>
                      <w:shd w:val="clear" w:color="auto" w:fill="FFFFFF"/>
                      <w:lang w:eastAsia="lt-LT"/>
                    </w:rPr>
                    <w:t>.</w:t>
                  </w:r>
                </w:p>
                <w:p w14:paraId="511BF221" w14:textId="77777777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Lucida Sans Unicode"/>
                      <w:b/>
                      <w:color w:val="000000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color w:val="000000"/>
                      <w:szCs w:val="24"/>
                      <w:shd w:val="clear" w:color="auto" w:fill="FFFFFF"/>
                      <w:lang w:eastAsia="lt-LT"/>
                    </w:rPr>
                    <w:t>Neatlikta ir nenumatyta.</w:t>
                  </w:r>
                </w:p>
                <w:p w14:paraId="511BF222" w14:textId="77777777">
                  <w:pPr>
                    <w:widowControl w:val="0"/>
                    <w:tabs>
                      <w:tab w:val="left" w:pos="850"/>
                    </w:tabs>
                    <w:jc w:val="both"/>
                    <w:rPr>
                      <w:rFonts w:eastAsia="Courier New" w:cs="Courier New"/>
                      <w:b/>
                      <w:bCs/>
                      <w:iCs/>
                      <w:color w:val="000000"/>
                      <w:sz w:val="22"/>
                      <w:szCs w:val="22"/>
                      <w:lang w:eastAsia="lt-LT"/>
                    </w:rPr>
                  </w:pPr>
                </w:p>
                <w:p w14:paraId="48BA291A" w14:textId="77777777">
                  <w:pPr>
                    <w:widowControl w:val="0"/>
                    <w:tabs>
                      <w:tab w:val="left" w:pos="850"/>
                    </w:tabs>
                    <w:jc w:val="both"/>
                    <w:rPr>
                      <w:rFonts w:eastAsia="Courier New" w:cs="Courier New"/>
                      <w:b/>
                      <w:bCs/>
                      <w:iCs/>
                      <w:color w:val="000000"/>
                      <w:sz w:val="22"/>
                      <w:szCs w:val="22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cd5fe8690bdc4484bc4bb48aa655b63c"/>
            <w:lock w:val="sdtLocked"/>
            <w:richText/>
          </w:sdtPr>
          <w:sdtContent>
            <w:p w14:paraId="4307780E" w14:textId="62F77082">
              <w:pPr>
                <w:widowControl w:val="0"/>
                <w:suppressAutoHyphens/>
                <w:rPr>
                  <w:rFonts w:eastAsia="Lucida Sans Unicode"/>
                  <w:color w:val="000000"/>
                  <w:szCs w:val="24"/>
                  <w:lang w:eastAsia="lt-LT"/>
                </w:rPr>
              </w:pPr>
              <w:r>
                <w:rPr>
                  <w:rFonts w:eastAsia="Lucida Sans Unicode"/>
                  <w:color w:val="000000"/>
                  <w:szCs w:val="24"/>
                  <w:lang w:eastAsia="lt-LT"/>
                </w:rPr>
                <w:t>Skyriaus vedėja</w:t>
                <w:tab/>
                <w:tab/>
                <w:tab/>
                <w:tab/>
                <w:tab/>
                <w:tab/>
                <w:t>Aistė Petkuvienė</w:t>
              </w:r>
            </w:p>
            <w:p w14:paraId="511BF226" w14:textId="77777777">
              <w:pPr>
                <w:widowControl w:val="0"/>
                <w:suppressAutoHyphens/>
                <w:spacing w:line="100" w:lineRule="atLeast"/>
                <w:jc w:val="both"/>
                <w:rPr>
                  <w:rFonts w:eastAsia="Lucida Sans Unicode" w:cs="Tahoma"/>
                  <w:color w:val="000000"/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footnotePr>
        <w:pos w:val="beneathText"/>
      </w:footnotePr>
      <w:pgSz w:w="11905" w:h="16837"/>
      <w:pgMar w:top="1247" w:right="567" w:bottom="851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D8AF070" w14:textId="77777777">
      <w:pPr>
        <w:widowControl w:val="0"/>
        <w:suppressAutoHyphens/>
        <w:rPr>
          <w:rFonts w:eastAsia="Lucida Sans Unicode"/>
          <w:color w:val="000000"/>
          <w:szCs w:val="24"/>
          <w:lang w:eastAsia="lt-LT"/>
        </w:rPr>
      </w:pPr>
      <w:r>
        <w:rPr>
          <w:rFonts w:eastAsia="Lucida Sans Unicode"/>
          <w:color w:val="000000"/>
          <w:szCs w:val="24"/>
          <w:lang w:eastAsia="lt-LT"/>
        </w:rPr>
        <w:separator/>
      </w:r>
    </w:p>
  </w:endnote>
  <w:endnote w:type="continuationSeparator" w:id="0">
    <w:p w14:paraId="70935293" w14:textId="77777777">
      <w:pPr>
        <w:widowControl w:val="0"/>
        <w:suppressAutoHyphens/>
        <w:rPr>
          <w:rFonts w:eastAsia="Lucida Sans Unicode"/>
          <w:color w:val="000000"/>
          <w:szCs w:val="24"/>
          <w:lang w:eastAsia="lt-LT"/>
        </w:rPr>
      </w:pPr>
      <w:r>
        <w:rPr>
          <w:rFonts w:eastAsia="Lucida Sans Unicode"/>
          <w:color w:val="000000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HG Mincho Light J">
    <w:altName w:val="Times New Roman"/>
    <w:charset w:val="00"/>
    <w:family w:val="auto"/>
    <w:pitch w:val="default"/>
    <w:sig w:usb0="00000000" w:usb1="00000000" w:usb2="00000000" w:usb3="00000000" w:csb0="00040001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AE7EF5" w14:textId="77777777">
    <w:pPr>
      <w:widowControl w:val="0"/>
      <w:tabs>
        <w:tab w:val="center" w:pos="4986"/>
        <w:tab w:val="right" w:pos="9972"/>
      </w:tabs>
      <w:suppressAutoHyphens/>
      <w:rPr>
        <w:rFonts w:eastAsia="Lucida Sans Unicode"/>
        <w:color w:val="000000"/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E0D8D2" w14:textId="77777777">
    <w:pPr>
      <w:widowControl w:val="0"/>
      <w:tabs>
        <w:tab w:val="center" w:pos="4986"/>
        <w:tab w:val="right" w:pos="9972"/>
      </w:tabs>
      <w:suppressAutoHyphens/>
      <w:rPr>
        <w:rFonts w:eastAsia="Lucida Sans Unicode"/>
        <w:color w:val="000000"/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05BBD9" w14:textId="77777777">
    <w:pPr>
      <w:widowControl w:val="0"/>
      <w:tabs>
        <w:tab w:val="center" w:pos="4986"/>
        <w:tab w:val="right" w:pos="9972"/>
      </w:tabs>
      <w:suppressAutoHyphens/>
      <w:rPr>
        <w:rFonts w:eastAsia="Lucida Sans Unicode"/>
        <w:color w:val="000000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BC6AA17" w14:textId="77777777">
      <w:pPr>
        <w:widowControl w:val="0"/>
        <w:suppressAutoHyphens/>
        <w:rPr>
          <w:rFonts w:eastAsia="Lucida Sans Unicode"/>
          <w:color w:val="000000"/>
          <w:szCs w:val="24"/>
          <w:lang w:eastAsia="lt-LT"/>
        </w:rPr>
      </w:pPr>
      <w:r>
        <w:rPr>
          <w:rFonts w:eastAsia="Lucida Sans Unicode"/>
          <w:color w:val="000000"/>
          <w:szCs w:val="24"/>
          <w:lang w:eastAsia="lt-LT"/>
        </w:rPr>
        <w:separator/>
      </w:r>
    </w:p>
  </w:footnote>
  <w:footnote w:type="continuationSeparator" w:id="0">
    <w:p w14:paraId="2656246E" w14:textId="77777777">
      <w:pPr>
        <w:widowControl w:val="0"/>
        <w:suppressAutoHyphens/>
        <w:rPr>
          <w:rFonts w:eastAsia="Lucida Sans Unicode"/>
          <w:color w:val="000000"/>
          <w:szCs w:val="24"/>
          <w:lang w:eastAsia="lt-LT"/>
        </w:rPr>
      </w:pPr>
      <w:r>
        <w:rPr>
          <w:rFonts w:eastAsia="Lucida Sans Unicode"/>
          <w:color w:val="000000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1BF22E" w14:textId="77777777">
    <w:pPr>
      <w:framePr w:wrap="auto" w:vAnchor="text" w:hAnchor="margin" w:xAlign="center" w:y="1"/>
      <w:widowControl w:val="0"/>
      <w:tabs>
        <w:tab w:val="center" w:pos="4153"/>
        <w:tab w:val="right" w:pos="8306"/>
      </w:tabs>
      <w:suppressAutoHyphens/>
      <w:rPr>
        <w:rFonts w:eastAsia="Lucida Sans Unicode"/>
        <w:color w:val="000000"/>
        <w:szCs w:val="24"/>
        <w:lang w:eastAsia="lt-LT"/>
      </w:rPr>
    </w:pPr>
    <w:r>
      <w:rPr>
        <w:rFonts w:eastAsia="Lucida Sans Unicode"/>
        <w:color w:val="000000"/>
        <w:szCs w:val="24"/>
        <w:lang w:eastAsia="lt-LT"/>
      </w:rPr>
      <w:fldChar w:fldCharType="begin"/>
    </w:r>
    <w:r>
      <w:rPr>
        <w:rFonts w:eastAsia="Lucida Sans Unicode"/>
        <w:color w:val="000000"/>
        <w:szCs w:val="24"/>
        <w:lang w:eastAsia="lt-LT"/>
      </w:rPr>
      <w:instrText xml:space="preserve">PAGE  </w:instrText>
    </w:r>
    <w:r>
      <w:rPr>
        <w:rFonts w:eastAsia="Lucida Sans Unicode"/>
        <w:color w:val="000000"/>
        <w:szCs w:val="24"/>
        <w:lang w:eastAsia="lt-LT"/>
      </w:rPr>
      <w:fldChar w:fldCharType="end"/>
    </w:r>
  </w:p>
  <w:p w14:paraId="511BF22F" w14:textId="77777777">
    <w:pPr>
      <w:widowControl w:val="0"/>
      <w:tabs>
        <w:tab w:val="center" w:pos="4153"/>
        <w:tab w:val="right" w:pos="8306"/>
      </w:tabs>
      <w:suppressAutoHyphens/>
      <w:rPr>
        <w:rFonts w:eastAsia="Lucida Sans Unicode"/>
        <w:color w:val="000000"/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1BF230" w14:textId="77777777">
    <w:pPr>
      <w:framePr w:wrap="auto" w:vAnchor="text" w:hAnchor="margin" w:xAlign="center" w:y="1"/>
      <w:widowControl w:val="0"/>
      <w:tabs>
        <w:tab w:val="center" w:pos="4153"/>
        <w:tab w:val="right" w:pos="8306"/>
      </w:tabs>
      <w:suppressAutoHyphens/>
      <w:rPr>
        <w:rFonts w:eastAsia="Lucida Sans Unicode"/>
        <w:color w:val="000000"/>
        <w:szCs w:val="24"/>
        <w:lang w:eastAsia="lt-LT"/>
      </w:rPr>
    </w:pPr>
    <w:r>
      <w:rPr>
        <w:rFonts w:eastAsia="Lucida Sans Unicode"/>
        <w:color w:val="000000"/>
        <w:szCs w:val="24"/>
        <w:lang w:eastAsia="lt-LT"/>
      </w:rPr>
      <w:fldChar w:fldCharType="begin"/>
    </w:r>
    <w:r>
      <w:rPr>
        <w:rFonts w:eastAsia="Lucida Sans Unicode"/>
        <w:color w:val="000000"/>
        <w:szCs w:val="24"/>
        <w:lang w:eastAsia="lt-LT"/>
      </w:rPr>
      <w:instrText xml:space="preserve">PAGE  </w:instrText>
    </w:r>
    <w:r>
      <w:rPr>
        <w:rFonts w:eastAsia="Lucida Sans Unicode"/>
        <w:color w:val="000000"/>
        <w:szCs w:val="24"/>
        <w:lang w:eastAsia="lt-LT"/>
      </w:rPr>
      <w:fldChar w:fldCharType="separate"/>
    </w:r>
    <w:r>
      <w:rPr>
        <w:rFonts w:eastAsia="Lucida Sans Unicode"/>
        <w:color w:val="000000"/>
        <w:szCs w:val="24"/>
        <w:lang w:eastAsia="lt-LT"/>
      </w:rPr>
      <w:t>2</w:t>
    </w:r>
    <w:r>
      <w:rPr>
        <w:rFonts w:eastAsia="Lucida Sans Unicode"/>
        <w:color w:val="000000"/>
        <w:szCs w:val="24"/>
        <w:lang w:eastAsia="lt-LT"/>
      </w:rPr>
      <w:fldChar w:fldCharType="end"/>
    </w:r>
  </w:p>
  <w:p w14:paraId="511BF231" w14:textId="77777777">
    <w:pPr>
      <w:widowControl w:val="0"/>
      <w:tabs>
        <w:tab w:val="center" w:pos="4153"/>
        <w:tab w:val="right" w:pos="8306"/>
      </w:tabs>
      <w:suppressAutoHyphens/>
      <w:rPr>
        <w:rFonts w:eastAsia="Lucida Sans Unicode"/>
        <w:color w:val="000000"/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1D4AE8" w14:textId="77777777">
    <w:pPr>
      <w:widowControl w:val="0"/>
      <w:tabs>
        <w:tab w:val="center" w:pos="4153"/>
        <w:tab w:val="right" w:pos="8306"/>
      </w:tabs>
      <w:suppressAutoHyphens/>
      <w:rPr>
        <w:rFonts w:eastAsia="Lucida Sans Unicode"/>
        <w:color w:val="000000"/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134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23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1BF1E5"/>
  <w15:chartTrackingRefBased/>
  <w15:docId w15:val="{29AEA80B-4176-43AE-9A32-0EAA0068AC7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fd86ca004b5c406894238537023943e5" PartId="b02647f8623548b0a0bdafb516589213">
    <Part Type="skyrius" Nr="999" Title="SPRENDIMO DĖL ŠIAULIŲ MIESTO SAVIVALDYBĖS TARYBOS 2016 M. RUGPJŪČIO 25 D. SPRENDIMO NR. T-329 „DĖL MOKESČIŲ LENGVATŲ TEIKIMO TAISYKLIŲ PATVIRTINIMO“ PAKEITIMO PROJEKTO AIŠKINAMASIS RAŠTAS" DocPartId="9805e99296644189be69671cd3766f14" PartId="db2a696a23f14372857d865f878e0883">
      <Part Type="poskyris" Title="Parengto sprendimo projekto tikslai ir uždaviniai." DocPartId="f816b3bc01ef48f6b10d2ca9cc12ff84" PartId="33fcd8edbb1a4fb792f1f127ac07465e">
        <Part Type="punktas" Nr="1" Abbr="1 p." DocPartId="60c51bf14c4146fe9b34b7962e1da858" PartId="095956a6263b4a8384e837ca0f9541ea"/>
        <Part Type="punktas" Nr="2" Abbr="2 p." DocPartId="9018cc33b5254780a495a38cd0b3bf35" PartId="44e9c5498e00456eba4114c274f48c6b"/>
      </Part>
      <Part Type="poskyris" Title="Dabartinis sprendimo projekte aptariamų klausimų reguliavimas." DocPartId="9e68a7397a804e2a93fdb7d56afece44" PartId="09035028cdb647d5a852c345a2ff27b3"/>
      <Part Type="poskyris" Title="Sprendimo projekte numatytos naujos teisinio reglamentavimo nuostatos." DocPartId="fb6c17247f3647e8b39d416f7816e455" PartId="aa668ce9b8ce4ae68c09e8dea8ed3872">
        <Part Type="punktas" Nr="1" Abbr="1 p." DocPartId="4e1f65b3ff8e48bf88e1fe49852eb33c" PartId="3d080737b21646c28fa1839d71a11517"/>
      </Part>
      <Part Type="poskyris" Title="Taisyklės papildytos 12.4 papunkčiu, numatant juridiniams asmenims naują lengvatų taikymo kriterijų:" DocPartId="f6c13bbdc364434fbd31b97b03ab128d" PartId="d11e13485df24a0daed678cb275e729c">
        <Part Type="citata" DocPartId="467927cfccb84f2092a2b1a05c79b73a" PartId="e2207419ad9e44b298cf5a0797ab5db7">
          <Part Type="papunktis" Nr="12.4" Abbr="12.4 pp." DocPartId="5418771346be4aa49ffa8a5c8988fa45" PartId="00475671ebd3429f91aedb9727504caa">
            <Part Type="papunktis" Nr="12.4.1" Abbr="12.4.1 pp." DocPartId="09b6d73eb2264c34873099bb6a3cc49f" PartId="bbb1f546e9e4418d8539eb6c313618cc"/>
            <Part Type="papunktis" Nr="12.4.2" Abbr="12.4.2 pp." DocPartId="6b6c23657f4e4b8187baf0a30f84730c" PartId="f39d20b920894f7484cdccc18b0ce2ae"/>
            <Part Type="papunktis" Nr="12.4.3" Abbr="12.4.3 pp." DocPartId="02d921c4f9cf4267aaec377c2322df9c" PartId="690fa9d35bac46a48af93b5e7df7429e"/>
          </Part>
        </Part>
        <Part Type="pastraipa" DocPartId="268b39a78d164c5b936d10b3148ae6e8" PartId="ad8f1549ba1042c09c45c2b16fb954fc"/>
        <Part Type="punktas" Nr="2" Abbr="2 p." DocPartId="38cde379a5894f27bc7977a08300dd79" PartId="fd2a4d728a4b429393ca561ee56894cb"/>
        <Part Type="punktas" Nr="3" Abbr="3 p." DocPartId="1c855bc3612f4b6790c241a5678bce43" PartId="57c65a8b0ccd4101800652f836e03de7"/>
        <Part Type="punktas" Nr="4" Abbr="4 p." DocPartId="b96ce35b9e4f4c75a604cccb6cf376c3" PartId="b53e80e5cf4e4bb5b3349da97b2e790b"/>
      </Part>
      <Part Type="poskyris" Title="Priėmus sprendimą, keičiami ar pripažįstami negaliojančiais teisės aktai." DocPartId="83ca05905b5d44c68c65dba2c9435f49" PartId="05c9f63cb3ee43eea2d1795b588f1676"/>
      <Part Type="poskyris" Title="Sprendimui įgyvendinti reikalingi priimti papildomi teisės aktai." DocPartId="501d96c878934ef3bff650174c42f4d2" PartId="88f9b0db956341d2be34917b00545dfd"/>
    </Part>
    <Part Type="signatura" DocPartId="95d7ab7f3ac048c39c33335dc92bc187" PartId="cd5fe8690bdc4484bc4bb48aa655b63c"/>
  </Part>
</Parts>
</file>

<file path=customXml/itemProps1.xml><?xml version="1.0" encoding="utf-8"?>
<ds:datastoreItem xmlns:ds="http://schemas.openxmlformats.org/officeDocument/2006/customXml" ds:itemID="{0D91E573-0A1E-4899-9700-C3720129E34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A5AA532-38A1-4460-98BB-73929F9107B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822</Words>
  <Characters>5934</Characters>
  <Application>Microsoft Office Word</Application>
  <DocSecurity>4</DocSecurity>
  <Lines>111</Lines>
  <Paragraphs>53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Siauliu m.savivaldybe</Company>
  <LinksUpToDate>false</LinksUpToDate>
  <CharactersWithSpaces>6703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2024-11-22T13:49:00Z</dcterms:created>
  <dc:creator>dovile</dc:creator>
  <lastModifiedBy>adlibuser</lastModifiedBy>
  <lastPrinted>2021-09-27T12:05:00Z</lastPrinted>
  <dcterms:modified xsi:type="dcterms:W3CDTF">2024-11-22T13:49:00Z</dcterms:modified>
  <revision>2</revision>
  <dc:title>Projektas</dc:title>
</coreProperties>
</file>