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ec2f7ee5214a6bb767dec585fd176f"/>
        <w:lock w:val="sdtLocked"/>
        <w:richText/>
      </w:sdtPr>
      <w:sdtContent>
        <w:p>
          <w:pPr>
            <w:jc w:val="center"/>
            <w:rPr>
              <w:rFonts w:ascii="Arial" w:eastAsia="Arial" w:hAnsi="Arial" w:cs="Arial"/>
              <w:b/>
              <w:color w:val="000000"/>
              <w:sz w:val="20"/>
              <w:lang w:eastAsia="lt-LT"/>
            </w:rPr>
          </w:pPr>
          <w:r>
            <w:rPr>
              <w:rFonts w:ascii="Arial" w:eastAsia="Arial" w:hAnsi="Arial" w:cs="Arial"/>
              <w:b/>
              <w:sz w:val="20"/>
              <w:lang w:eastAsia="lt-LT"/>
            </w:rPr>
            <w:t>T</w:t>
          </w:r>
          <w:r>
            <w:rPr>
              <w:rFonts w:ascii="Arial" w:eastAsia="Arial" w:hAnsi="Arial" w:cs="Arial"/>
              <w:b/>
              <w:color w:val="000000"/>
              <w:sz w:val="20"/>
              <w:lang w:eastAsia="lt-LT"/>
            </w:rPr>
            <w:t>AIKOS SUTARTIS</w:t>
          </w:r>
        </w:p>
        <w:p>
          <w:pPr>
            <w:rPr>
              <w:sz w:val="10"/>
              <w:szCs w:val="10"/>
            </w:rPr>
          </w:pPr>
        </w:p>
        <w:p>
          <w:pPr>
            <w:jc w:val="center"/>
            <w:rPr>
              <w:rFonts w:ascii="Arial" w:eastAsia="Arial" w:hAnsi="Arial" w:cs="Arial"/>
              <w:color w:val="000000"/>
              <w:sz w:val="20"/>
              <w:lang w:eastAsia="lt-LT"/>
            </w:rPr>
          </w:pPr>
          <w:r>
            <w:rPr>
              <w:rFonts w:ascii="Arial" w:eastAsia="Calibri" w:hAnsi="Arial" w:cs="Arial"/>
              <w:color w:val="000000"/>
              <w:sz w:val="20"/>
              <w:shd w:val="clear" w:color="auto" w:fill="FFFFFF"/>
              <w:lang w:eastAsia="lt-LT"/>
            </w:rPr>
            <w:t>Šiaulių apylinkės teismo Radviliškio rūmuose nagrinėjamoje civilinėje byloje Nr. 2-11679-767/2025</w:t>
          </w:r>
        </w:p>
        <w:p>
          <w:pPr>
            <w:rPr>
              <w:sz w:val="10"/>
              <w:szCs w:val="10"/>
            </w:rPr>
          </w:pPr>
        </w:p>
        <w:p>
          <w:pPr>
            <w:jc w:val="center"/>
            <w:rPr>
              <w:rFonts w:ascii="Arial" w:eastAsia="Arial" w:hAnsi="Arial" w:cs="Arial"/>
              <w:color w:val="000000"/>
              <w:sz w:val="20"/>
              <w:lang w:eastAsia="lt-LT"/>
            </w:rPr>
          </w:pPr>
          <w:r>
            <w:rPr>
              <w:rFonts w:ascii="Arial" w:eastAsia="Arial" w:hAnsi="Arial" w:cs="Arial"/>
              <w:color w:val="000000"/>
              <w:sz w:val="20"/>
              <w:lang w:eastAsia="lt-LT"/>
            </w:rPr>
            <w:t>2025 m. lapkričio 14 d.</w:t>
          </w:r>
        </w:p>
        <w:p>
          <w:pPr>
            <w:rPr>
              <w:sz w:val="10"/>
              <w:szCs w:val="10"/>
            </w:rPr>
          </w:pPr>
        </w:p>
        <w:p>
          <w:pPr>
            <w:jc w:val="center"/>
            <w:rPr>
              <w:rFonts w:ascii="Arial" w:eastAsia="Arial" w:hAnsi="Arial" w:cs="Arial"/>
              <w:color w:val="000000"/>
              <w:sz w:val="20"/>
              <w:lang w:eastAsia="lt-LT"/>
            </w:rPr>
          </w:pPr>
        </w:p>
        <w:p>
          <w:pPr>
            <w:rPr>
              <w:sz w:val="10"/>
              <w:szCs w:val="10"/>
            </w:rPr>
          </w:pPr>
        </w:p>
        <w:p>
          <w:pPr>
            <w:tabs>
              <w:tab w:val="left" w:pos="2220"/>
            </w:tabs>
            <w:spacing w:line="264" w:lineRule="auto"/>
            <w:jc w:val="both"/>
            <w:rPr>
              <w:rFonts w:ascii="Arial" w:eastAsia="Calibri" w:hAnsi="Arial" w:cs="Arial"/>
              <w:b/>
              <w:bCs/>
              <w:color w:val="000000"/>
              <w:sz w:val="20"/>
              <w:shd w:val="clear" w:color="auto" w:fill="FFFFFF"/>
              <w:lang w:eastAsia="lt-LT"/>
            </w:rPr>
          </w:pPr>
          <w:r>
            <w:rPr>
              <w:rFonts w:ascii="Arial" w:eastAsia="Calibri" w:hAnsi="Arial" w:cs="Arial"/>
              <w:b/>
              <w:bCs/>
              <w:color w:val="000000"/>
              <w:sz w:val="20"/>
              <w:shd w:val="clear" w:color="auto" w:fill="FFFFFF"/>
              <w:lang w:eastAsia="lt-LT"/>
            </w:rPr>
            <w:t>Radviliškio Švenčiausios Mergelės Marijos Gimimo parapija</w:t>
          </w:r>
          <w:r>
            <w:rPr>
              <w:rFonts w:ascii="Arial" w:eastAsia="Calibri" w:hAnsi="Arial" w:cs="Arial"/>
              <w:color w:val="000000"/>
              <w:sz w:val="20"/>
              <w:shd w:val="clear" w:color="auto" w:fill="FFFFFF"/>
              <w:lang w:eastAsia="lt-LT"/>
            </w:rPr>
            <w:t xml:space="preserve">, juridinio asmens kodas </w:t>
          </w:r>
          <w:r>
            <w:rPr>
              <w:rFonts w:ascii="Arial" w:eastAsia="Calibri" w:hAnsi="Arial" w:cs="Arial"/>
              <w:sz w:val="20"/>
              <w:lang w:eastAsia="lt-LT"/>
            </w:rPr>
            <w:t>191067839</w:t>
          </w:r>
          <w:r>
            <w:rPr>
              <w:rFonts w:ascii="Arial" w:eastAsia="Calibri" w:hAnsi="Arial" w:cs="Arial"/>
              <w:color w:val="000000"/>
              <w:sz w:val="20"/>
              <w:shd w:val="clear" w:color="auto" w:fill="FFFFFF"/>
              <w:lang w:eastAsia="lt-LT"/>
            </w:rPr>
            <w:t xml:space="preserve">, </w:t>
          </w:r>
          <w:r>
            <w:rPr>
              <w:rFonts w:ascii="Arial" w:eastAsia="Arial" w:hAnsi="Arial" w:cs="Arial"/>
              <w:sz w:val="20"/>
              <w:lang w:eastAsia="lt-LT"/>
            </w:rPr>
            <w:t xml:space="preserve">registruotos buveinės </w:t>
          </w:r>
          <w:r>
            <w:rPr>
              <w:rFonts w:ascii="Arial" w:eastAsia="Calibri" w:hAnsi="Arial" w:cs="Arial"/>
              <w:color w:val="000000"/>
              <w:sz w:val="20"/>
              <w:shd w:val="clear" w:color="auto" w:fill="FFFFFF"/>
              <w:lang w:eastAsia="lt-LT"/>
            </w:rPr>
            <w:t xml:space="preserve">adresas </w:t>
          </w:r>
          <w:r>
            <w:rPr>
              <w:rFonts w:ascii="Arial" w:eastAsia="Calibri" w:hAnsi="Arial" w:cs="Arial"/>
              <w:sz w:val="20"/>
              <w:lang w:eastAsia="lt-LT"/>
            </w:rPr>
            <w:t>Maironio g. 8, Radviliškis</w:t>
          </w:r>
          <w:r>
            <w:rPr>
              <w:rFonts w:ascii="Arial" w:eastAsia="Arial" w:hAnsi="Arial" w:cs="Arial"/>
              <w:color w:val="000000"/>
              <w:sz w:val="20"/>
              <w:lang w:eastAsia="lt-LT"/>
            </w:rPr>
            <w:t xml:space="preserve"> (toliau – </w:t>
          </w:r>
          <w:r>
            <w:rPr>
              <w:rFonts w:ascii="Arial" w:eastAsia="Arial" w:hAnsi="Arial" w:cs="Arial"/>
              <w:b/>
              <w:color w:val="000000"/>
              <w:sz w:val="20"/>
              <w:lang w:eastAsia="lt-LT"/>
            </w:rPr>
            <w:t>Ieškovas</w:t>
          </w:r>
          <w:r>
            <w:rPr>
              <w:rFonts w:ascii="Arial" w:eastAsia="Arial" w:hAnsi="Arial" w:cs="Arial"/>
              <w:color w:val="000000"/>
              <w:sz w:val="20"/>
              <w:lang w:eastAsia="lt-LT"/>
            </w:rPr>
            <w:t>), atstovaujamas klebono kun. teol. lic. Tomo Rudžio, veikiančio pagal parapijos įstatus,</w:t>
          </w:r>
        </w:p>
        <w:p>
          <w:pPr>
            <w:rPr>
              <w:sz w:val="10"/>
              <w:szCs w:val="10"/>
            </w:rPr>
          </w:pPr>
        </w:p>
        <w:sdt>
          <w:sdtPr>
            <w:alias w:val="preambule"/>
            <w:tag w:val="part_22933fda7947485c86decbea1deda289"/>
            <w:lock w:val="sdtLocked"/>
            <w:richText/>
          </w:sdtPr>
          <w:sdtContent>
            <w:p>
              <w:pPr>
                <w:jc w:val="both"/>
                <w:rPr>
                  <w:rFonts w:ascii="Arial" w:eastAsia="Arial" w:hAnsi="Arial" w:cs="Arial"/>
                  <w:color w:val="000000"/>
                  <w:sz w:val="20"/>
                  <w:lang w:eastAsia="lt-LT"/>
                </w:rPr>
              </w:pPr>
              <w:r>
                <w:rPr>
                  <w:rFonts w:ascii="Arial" w:eastAsia="Arial" w:hAnsi="Arial" w:cs="Arial"/>
                  <w:color w:val="000000"/>
                  <w:sz w:val="20"/>
                  <w:lang w:eastAsia="lt-LT"/>
                </w:rPr>
                <w:t>ir</w:t>
              </w:r>
            </w:p>
            <w:p>
              <w:pPr>
                <w:rPr>
                  <w:sz w:val="10"/>
                  <w:szCs w:val="10"/>
                </w:rPr>
              </w:pPr>
            </w:p>
          </w:sdtContent>
        </w:sdt>
        <w:sdt>
          <w:sdtPr>
            <w:alias w:val="pastraipa"/>
            <w:tag w:val="part_9f31171eac414248b18bea6b74993a30"/>
            <w:lock w:val="sdtLocked"/>
            <w:richText/>
          </w:sdtPr>
          <w:sdtContent>
            <w:p>
              <w:pPr>
                <w:jc w:val="both"/>
                <w:rPr>
                  <w:rFonts w:ascii="Arial" w:eastAsia="Arial" w:hAnsi="Arial" w:cs="Arial"/>
                  <w:color w:val="000000"/>
                  <w:sz w:val="20"/>
                  <w:lang w:eastAsia="lt-LT"/>
                </w:rPr>
              </w:pPr>
              <w:r>
                <w:rPr>
                  <w:rFonts w:ascii="Arial" w:eastAsia="Calibri" w:hAnsi="Arial" w:cs="Arial"/>
                  <w:b/>
                  <w:bCs/>
                  <w:color w:val="000000"/>
                  <w:sz w:val="20"/>
                  <w:shd w:val="clear" w:color="auto" w:fill="FFFFFF"/>
                  <w:lang w:eastAsia="lt-LT"/>
                </w:rPr>
                <w:t>Radviliškio rajono savivaldybė</w:t>
              </w:r>
              <w:r>
                <w:rPr>
                  <w:rFonts w:ascii="Arial" w:eastAsia="Arial" w:hAnsi="Arial" w:cs="Arial"/>
                  <w:color w:val="000000"/>
                  <w:sz w:val="20"/>
                  <w:lang w:eastAsia="lt-LT"/>
                </w:rPr>
                <w:t xml:space="preserve">, juridinio asmens kodas </w:t>
              </w:r>
              <w:r>
                <w:rPr>
                  <w:rFonts w:ascii="Arial" w:eastAsia="Calibri" w:hAnsi="Arial" w:cs="Arial"/>
                  <w:color w:val="000000"/>
                  <w:sz w:val="20"/>
                  <w:shd w:val="clear" w:color="auto" w:fill="FFFFFF"/>
                  <w:lang w:eastAsia="lt-LT"/>
                </w:rPr>
                <w:t>111101539</w:t>
              </w:r>
              <w:r>
                <w:rPr>
                  <w:rFonts w:ascii="Arial" w:eastAsia="Arial" w:hAnsi="Arial" w:cs="Arial"/>
                  <w:sz w:val="20"/>
                  <w:lang w:eastAsia="lt-LT"/>
                </w:rPr>
                <w:t>,</w:t>
              </w:r>
              <w:r>
                <w:rPr>
                  <w:rFonts w:ascii="Arial" w:eastAsia="Arial" w:hAnsi="Arial" w:cs="Arial"/>
                  <w:color w:val="4D5156"/>
                  <w:sz w:val="20"/>
                  <w:highlight w:val="white"/>
                  <w:lang w:eastAsia="lt-LT"/>
                </w:rPr>
                <w:t xml:space="preserve"> </w:t>
              </w:r>
              <w:r>
                <w:rPr>
                  <w:rFonts w:ascii="Arial" w:eastAsia="Arial" w:hAnsi="Arial" w:cs="Arial"/>
                  <w:sz w:val="20"/>
                  <w:lang w:eastAsia="lt-LT"/>
                </w:rPr>
                <w:t xml:space="preserve">registruotos buveinės adresas </w:t>
              </w:r>
              <w:r>
                <w:rPr>
                  <w:rFonts w:ascii="Arial" w:eastAsia="Calibri" w:hAnsi="Arial" w:cs="Arial"/>
                  <w:color w:val="000000"/>
                  <w:sz w:val="20"/>
                  <w:shd w:val="clear" w:color="auto" w:fill="FAFAFA"/>
                  <w:lang w:eastAsia="lt-LT"/>
                </w:rPr>
                <w:t>Aušros a. 10, Radviliškis</w:t>
              </w:r>
              <w:r>
                <w:rPr>
                  <w:rFonts w:ascii="Arial" w:eastAsia="Arial" w:hAnsi="Arial" w:cs="Arial"/>
                  <w:sz w:val="20"/>
                  <w:lang w:eastAsia="lt-LT"/>
                </w:rPr>
                <w:t xml:space="preserve"> </w:t>
              </w:r>
              <w:r>
                <w:rPr>
                  <w:rFonts w:ascii="Arial" w:eastAsia="Arial" w:hAnsi="Arial" w:cs="Arial"/>
                  <w:color w:val="000000"/>
                  <w:sz w:val="20"/>
                  <w:lang w:eastAsia="lt-LT"/>
                </w:rPr>
                <w:t xml:space="preserve">(toliau – </w:t>
              </w:r>
              <w:r>
                <w:rPr>
                  <w:rFonts w:ascii="Arial" w:eastAsia="Arial" w:hAnsi="Arial" w:cs="Arial"/>
                  <w:b/>
                  <w:color w:val="000000"/>
                  <w:sz w:val="20"/>
                  <w:lang w:eastAsia="lt-LT"/>
                </w:rPr>
                <w:t>Atsakovas</w:t>
              </w:r>
              <w:r>
                <w:rPr>
                  <w:rFonts w:ascii="Arial" w:eastAsia="Arial" w:hAnsi="Arial" w:cs="Arial"/>
                  <w:color w:val="000000"/>
                  <w:sz w:val="20"/>
                  <w:lang w:eastAsia="lt-LT"/>
                </w:rPr>
                <w:t>)</w:t>
              </w:r>
              <w:r>
                <w:rPr>
                  <w:rFonts w:ascii="Arial" w:eastAsia="Arial" w:hAnsi="Arial" w:cs="Arial"/>
                  <w:sz w:val="20"/>
                  <w:lang w:eastAsia="lt-LT"/>
                </w:rPr>
                <w:t>,</w:t>
              </w:r>
              <w:r>
                <w:rPr>
                  <w:rFonts w:ascii="Arial" w:eastAsia="Arial" w:hAnsi="Arial" w:cs="Arial"/>
                  <w:color w:val="000000"/>
                  <w:sz w:val="20"/>
                  <w:lang w:eastAsia="lt-LT"/>
                </w:rPr>
                <w:t xml:space="preserve"> atstovaujama savivaldybės mero Kazimiero Račkauskio, veikiančio pagal Radviliškio rajono savivaldybės tarybos 2025 m. lapkričio </w:t>
              </w:r>
              <w:r>
                <w:rPr>
                  <w:rFonts w:ascii="Arial" w:eastAsia="Arial" w:hAnsi="Arial" w:cs="Arial"/>
                  <w:color w:val="000000"/>
                  <w:sz w:val="20"/>
                  <w:highlight w:val="yellow"/>
                  <w:lang w:eastAsia="lt-LT"/>
                </w:rPr>
                <w:t>__</w:t>
              </w:r>
              <w:r>
                <w:rPr>
                  <w:rFonts w:ascii="Arial" w:eastAsia="Arial" w:hAnsi="Arial" w:cs="Arial"/>
                  <w:color w:val="000000"/>
                  <w:sz w:val="20"/>
                  <w:lang w:eastAsia="lt-LT"/>
                </w:rPr>
                <w:t xml:space="preserve"> d.  sprendimą Nr. </w:t>
              </w:r>
              <w:r>
                <w:rPr>
                  <w:rFonts w:ascii="Arial" w:eastAsia="Arial" w:hAnsi="Arial" w:cs="Arial"/>
                  <w:color w:val="000000"/>
                  <w:sz w:val="20"/>
                  <w:highlight w:val="yellow"/>
                  <w:lang w:eastAsia="lt-LT"/>
                </w:rPr>
                <w:t>____</w:t>
              </w:r>
              <w:r>
                <w:rPr>
                  <w:rFonts w:ascii="Arial" w:eastAsia="Arial" w:hAnsi="Arial" w:cs="Arial"/>
                  <w:color w:val="000000"/>
                  <w:sz w:val="20"/>
                  <w:lang w:eastAsia="lt-LT"/>
                </w:rPr>
                <w:t>,</w:t>
              </w:r>
            </w:p>
            <w:p>
              <w:pPr>
                <w:rPr>
                  <w:sz w:val="10"/>
                  <w:szCs w:val="10"/>
                </w:rPr>
              </w:pPr>
            </w:p>
            <w:p>
              <w:pPr>
                <w:jc w:val="both"/>
                <w:rPr>
                  <w:rFonts w:ascii="Arial" w:eastAsia="Arial" w:hAnsi="Arial" w:cs="Arial"/>
                  <w:color w:val="000000"/>
                  <w:sz w:val="20"/>
                  <w:lang w:eastAsia="lt-LT"/>
                </w:rPr>
              </w:pPr>
              <w:r>
                <w:rPr>
                  <w:rFonts w:ascii="Arial" w:eastAsia="Arial" w:hAnsi="Arial" w:cs="Arial"/>
                  <w:color w:val="000000"/>
                  <w:sz w:val="20"/>
                  <w:lang w:eastAsia="lt-LT"/>
                </w:rPr>
                <w:t xml:space="preserve">toliau Ieškovas ir Atsakovas kartu vadinami </w:t>
              </w:r>
              <w:r>
                <w:rPr>
                  <w:rFonts w:ascii="Arial" w:eastAsia="Arial" w:hAnsi="Arial" w:cs="Arial"/>
                  <w:b/>
                  <w:color w:val="000000"/>
                  <w:sz w:val="20"/>
                  <w:lang w:eastAsia="lt-LT"/>
                </w:rPr>
                <w:t>Šalimis</w:t>
              </w:r>
              <w:r>
                <w:rPr>
                  <w:rFonts w:ascii="Arial" w:eastAsia="Arial" w:hAnsi="Arial" w:cs="Arial"/>
                  <w:color w:val="000000"/>
                  <w:sz w:val="20"/>
                  <w:lang w:eastAsia="lt-LT"/>
                </w:rPr>
                <w:t xml:space="preserve">, o kiekviena atskirai - </w:t>
              </w:r>
              <w:r>
                <w:rPr>
                  <w:rFonts w:ascii="Arial" w:eastAsia="Arial" w:hAnsi="Arial" w:cs="Arial"/>
                  <w:b/>
                  <w:color w:val="000000"/>
                  <w:sz w:val="20"/>
                  <w:lang w:eastAsia="lt-LT"/>
                </w:rPr>
                <w:t>Šalimi</w:t>
              </w:r>
              <w:r>
                <w:rPr>
                  <w:rFonts w:ascii="Arial" w:eastAsia="Arial" w:hAnsi="Arial" w:cs="Arial"/>
                  <w:color w:val="000000"/>
                  <w:sz w:val="20"/>
                  <w:lang w:eastAsia="lt-LT"/>
                </w:rPr>
                <w:t xml:space="preserve">, </w:t>
              </w:r>
            </w:p>
            <w:p>
              <w:pPr>
                <w:rPr>
                  <w:sz w:val="10"/>
                  <w:szCs w:val="10"/>
                </w:rPr>
              </w:pPr>
            </w:p>
            <w:p>
              <w:pPr>
                <w:jc w:val="both"/>
                <w:rPr>
                  <w:rFonts w:ascii="Arial" w:eastAsia="Arial" w:hAnsi="Arial" w:cs="Arial"/>
                  <w:b/>
                  <w:color w:val="000000"/>
                  <w:sz w:val="20"/>
                  <w:lang w:eastAsia="lt-LT"/>
                </w:rPr>
              </w:pPr>
            </w:p>
            <w:p>
              <w:pPr>
                <w:rPr>
                  <w:sz w:val="10"/>
                  <w:szCs w:val="10"/>
                </w:rPr>
              </w:pPr>
            </w:p>
          </w:sdtContent>
        </w:sdt>
        <w:sdt>
          <w:sdtPr>
            <w:alias w:val="skirsnis"/>
            <w:tag w:val="part_5c88e3bd178f4e7c8ae73a883920d46e"/>
            <w:lock w:val="sdtLocked"/>
            <w:richText/>
          </w:sdtPr>
          <w:sdtContent>
            <w:p>
              <w:pPr>
                <w:jc w:val="both"/>
                <w:rPr>
                  <w:rFonts w:ascii="Arial" w:eastAsia="Arial" w:hAnsi="Arial" w:cs="Arial"/>
                  <w:b/>
                  <w:color w:val="000000"/>
                  <w:sz w:val="20"/>
                  <w:lang w:eastAsia="lt-LT"/>
                </w:rPr>
              </w:pPr>
              <w:sdt>
                <w:sdtPr>
                  <w:alias w:val="Pavadinimas"/>
                  <w:tag w:val="title_5c88e3bd178f4e7c8ae73a883920d46e"/>
                  <w:lock w:val="sdtLocked"/>
                  <w:richText/>
                </w:sdtPr>
                <w:sdtContent>
                  <w:r>
                    <w:rPr>
                      <w:rFonts w:ascii="Arial" w:eastAsia="Arial" w:hAnsi="Arial" w:cs="Arial"/>
                      <w:b/>
                      <w:color w:val="000000"/>
                      <w:sz w:val="20"/>
                      <w:lang w:eastAsia="lt-LT"/>
                    </w:rPr>
                    <w:t>Atsižvelgdamos į tai, kad:</w:t>
                  </w:r>
                </w:sdtContent>
              </w:sdt>
            </w:p>
            <w:p>
              <w:pPr>
                <w:rPr>
                  <w:sz w:val="10"/>
                  <w:szCs w:val="10"/>
                </w:rPr>
              </w:pPr>
            </w:p>
            <w:p>
              <w:pPr>
                <w:ind w:left="567" w:hanging="567"/>
                <w:jc w:val="both"/>
                <w:rPr>
                  <w:rFonts w:ascii="Arial" w:eastAsia="Arial" w:hAnsi="Arial" w:cs="Arial"/>
                  <w:color w:val="000000"/>
                  <w:sz w:val="20"/>
                  <w:lang w:eastAsia="lt-LT"/>
                </w:rPr>
              </w:pPr>
              <w:r>
                <w:rPr>
                  <w:rFonts w:ascii="Arial" w:eastAsia="Arial" w:hAnsi="Arial" w:cs="Arial"/>
                  <w:color w:val="000000"/>
                  <w:sz w:val="20"/>
                  <w:lang w:eastAsia="lt-LT"/>
                </w:rPr>
                <w:t>A.</w:t>
                <w:tab/>
              </w:r>
              <w:r>
                <w:rPr>
                  <w:rFonts w:ascii="Arial" w:eastAsia="Arial" w:hAnsi="Arial" w:cs="Arial"/>
                  <w:sz w:val="20"/>
                  <w:lang w:eastAsia="lt-LT"/>
                </w:rPr>
                <w:t xml:space="preserve">Ieškovas ir </w:t>
              </w:r>
              <w:r>
                <w:rPr>
                  <w:rFonts w:ascii="Arial" w:eastAsia="Calibri" w:hAnsi="Arial" w:cs="Arial"/>
                  <w:color w:val="000000"/>
                  <w:sz w:val="20"/>
                  <w:shd w:val="clear" w:color="auto" w:fill="FFFFFF"/>
                  <w:lang w:eastAsia="lt-LT"/>
                </w:rPr>
                <w:t xml:space="preserve">į Radviliškio rajono savivaldybės administracija, juridinio asmens kodas </w:t>
              </w:r>
              <w:r>
                <w:rPr>
                  <w:rFonts w:ascii="Arial" w:eastAsia="Calibri" w:hAnsi="Arial" w:cs="Arial"/>
                  <w:color w:val="000000"/>
                  <w:sz w:val="20"/>
                  <w:shd w:val="clear" w:color="auto" w:fill="FAFAFA"/>
                  <w:lang w:eastAsia="lt-LT"/>
                </w:rPr>
                <w:t>188726247</w:t>
              </w:r>
              <w:r>
                <w:rPr>
                  <w:rFonts w:ascii="Arial" w:eastAsia="Calibri" w:hAnsi="Arial" w:cs="Arial"/>
                  <w:color w:val="000000"/>
                  <w:sz w:val="20"/>
                  <w:shd w:val="clear" w:color="auto" w:fill="FFFFFF"/>
                  <w:lang w:eastAsia="lt-LT"/>
                </w:rPr>
                <w:t xml:space="preserve"> (toliau –</w:t>
              </w:r>
              <w:r>
                <w:rPr>
                  <w:rFonts w:ascii="Arial" w:eastAsia="Calibri" w:hAnsi="Arial" w:cs="Arial"/>
                  <w:b/>
                  <w:bCs/>
                  <w:color w:val="000000"/>
                  <w:sz w:val="20"/>
                  <w:shd w:val="clear" w:color="auto" w:fill="FFFFFF"/>
                  <w:lang w:eastAsia="lt-LT"/>
                </w:rPr>
                <w:t>Trečiasis asmuo</w:t>
              </w:r>
              <w:r>
                <w:rPr>
                  <w:rFonts w:ascii="Arial" w:eastAsia="Calibri" w:hAnsi="Arial" w:cs="Arial"/>
                  <w:color w:val="000000"/>
                  <w:sz w:val="20"/>
                  <w:shd w:val="clear" w:color="auto" w:fill="FFFFFF"/>
                  <w:lang w:eastAsia="lt-LT"/>
                </w:rPr>
                <w:t>),</w:t>
              </w:r>
              <w:r>
                <w:rPr>
                  <w:rFonts w:ascii="Arial" w:eastAsia="Arial" w:hAnsi="Arial" w:cs="Arial"/>
                  <w:sz w:val="20"/>
                  <w:lang w:eastAsia="lt-LT"/>
                </w:rPr>
                <w:t xml:space="preserve"> </w:t>
              </w:r>
              <w:r>
                <w:rPr>
                  <w:rFonts w:ascii="Arial" w:eastAsia="Calibri" w:hAnsi="Arial" w:cs="Arial"/>
                  <w:color w:val="000000"/>
                  <w:sz w:val="20"/>
                  <w:shd w:val="clear" w:color="auto" w:fill="FAFAFA"/>
                  <w:lang w:eastAsia="lt-LT"/>
                </w:rPr>
                <w:t xml:space="preserve">2009 m. kovo 25 d. sudarė jungtinės veiklos sutartį Nr. 2009/75 (toliau – </w:t>
              </w:r>
              <w:r>
                <w:rPr>
                  <w:rFonts w:ascii="Arial" w:eastAsia="Calibri" w:hAnsi="Arial" w:cs="Arial"/>
                  <w:b/>
                  <w:bCs/>
                  <w:color w:val="000000"/>
                  <w:sz w:val="20"/>
                  <w:shd w:val="clear" w:color="auto" w:fill="FAFAFA"/>
                  <w:lang w:eastAsia="lt-LT"/>
                </w:rPr>
                <w:t>Sutartis</w:t>
              </w:r>
              <w:r>
                <w:rPr>
                  <w:rFonts w:ascii="Arial" w:eastAsia="Calibri" w:hAnsi="Arial" w:cs="Arial"/>
                  <w:color w:val="000000"/>
                  <w:sz w:val="20"/>
                  <w:shd w:val="clear" w:color="auto" w:fill="FAFAFA"/>
                  <w:lang w:eastAsia="lt-LT"/>
                </w:rPr>
                <w:t xml:space="preserve">), kuria, be kita ko, susitarė Ieškovo valdomame žemės sklype, unikalus Nr. 4400-1162-6258, pastatyti Radviliškio parapijos bendruomenės socialinių paslaugų centro pastatą (toliau – </w:t>
              </w:r>
              <w:r>
                <w:rPr>
                  <w:rFonts w:ascii="Arial" w:eastAsia="Calibri" w:hAnsi="Arial" w:cs="Arial"/>
                  <w:b/>
                  <w:bCs/>
                  <w:color w:val="000000"/>
                  <w:sz w:val="20"/>
                  <w:shd w:val="clear" w:color="auto" w:fill="FAFAFA"/>
                  <w:lang w:eastAsia="lt-LT"/>
                </w:rPr>
                <w:t>Pastatas</w:t>
              </w:r>
              <w:r>
                <w:rPr>
                  <w:rFonts w:ascii="Arial" w:eastAsia="Calibri" w:hAnsi="Arial" w:cs="Arial"/>
                  <w:color w:val="000000"/>
                  <w:sz w:val="20"/>
                  <w:shd w:val="clear" w:color="auto" w:fill="FAFAFA"/>
                  <w:lang w:eastAsia="lt-LT"/>
                </w:rPr>
                <w:t>), kuriame būtų įgyvendintas Europos Sąjungos fondų ir Lietuvos Respublikos lėšomis finansuojamas projektas „Nestacionarių socialinių paslaugų plėtra Radviliškio rajone socialinės rizikos ir smurtą patyrusių šeimų nariams“;</w:t>
              </w:r>
            </w:p>
            <w:p>
              <w:pPr>
                <w:rPr>
                  <w:sz w:val="10"/>
                  <w:szCs w:val="10"/>
                </w:rPr>
              </w:pPr>
            </w:p>
            <w:p>
              <w:pPr>
                <w:ind w:left="567" w:hanging="567"/>
                <w:jc w:val="both"/>
                <w:rPr>
                  <w:rFonts w:ascii="Arial" w:eastAsia="Arial" w:hAnsi="Arial" w:cs="Arial"/>
                  <w:color w:val="000000"/>
                  <w:sz w:val="20"/>
                  <w:lang w:eastAsia="lt-LT"/>
                </w:rPr>
              </w:pPr>
              <w:r>
                <w:rPr>
                  <w:rFonts w:ascii="Arial" w:eastAsia="Arial" w:hAnsi="Arial" w:cs="Arial"/>
                  <w:color w:val="000000"/>
                  <w:sz w:val="20"/>
                  <w:lang w:eastAsia="lt-LT"/>
                </w:rPr>
                <w:t>B.</w:t>
                <w:tab/>
              </w:r>
              <w:r>
                <w:rPr>
                  <w:rFonts w:ascii="Arial" w:eastAsia="Calibri" w:hAnsi="Arial" w:cs="Arial"/>
                  <w:color w:val="000000"/>
                  <w:sz w:val="20"/>
                  <w:shd w:val="clear" w:color="auto" w:fill="FFFFFF"/>
                  <w:lang w:eastAsia="lt-LT"/>
                </w:rPr>
                <w:t>Sutarties 3.3 punktu Ieškovas ir Trečiasis asmuo susitarė, kad, įgyvendinus Projektą, Pastato nuosavybės teisė bus įregistruota Ieškovo vardu</w:t>
              </w:r>
              <w:r>
                <w:rPr>
                  <w:rFonts w:ascii="Arial" w:eastAsia="Arial" w:hAnsi="Arial" w:cs="Arial"/>
                  <w:sz w:val="20"/>
                  <w:lang w:eastAsia="lt-LT"/>
                </w:rPr>
                <w:t xml:space="preserve">. </w:t>
              </w:r>
              <w:r>
                <w:rPr>
                  <w:rFonts w:ascii="Arial" w:eastAsia="Calibri" w:hAnsi="Arial" w:cs="Arial"/>
                  <w:color w:val="000000"/>
                  <w:sz w:val="20"/>
                  <w:shd w:val="clear" w:color="auto" w:fill="FFFFFF"/>
                  <w:lang w:eastAsia="lt-LT"/>
                </w:rPr>
                <w:t>Nepaisant to, Pastato nuosavybės teisę Trečiasis asmuo įregistravo ne Ieškovo, o Atsakovo, vardu</w:t>
              </w:r>
              <w:r>
                <w:rPr>
                  <w:rFonts w:ascii="Arial" w:eastAsia="Arial" w:hAnsi="Arial" w:cs="Arial"/>
                  <w:sz w:val="20"/>
                  <w:lang w:eastAsia="lt-LT"/>
                </w:rPr>
                <w:t>;</w:t>
              </w:r>
            </w:p>
            <w:p>
              <w:pPr>
                <w:rPr>
                  <w:sz w:val="10"/>
                  <w:szCs w:val="10"/>
                </w:rPr>
              </w:pPr>
            </w:p>
            <w:p>
              <w:pPr>
                <w:ind w:left="567" w:hanging="567"/>
                <w:jc w:val="both"/>
                <w:rPr>
                  <w:rFonts w:ascii="Arial" w:eastAsia="Arial" w:hAnsi="Arial" w:cs="Arial"/>
                  <w:color w:val="000000"/>
                  <w:sz w:val="20"/>
                  <w:lang w:eastAsia="lt-LT"/>
                </w:rPr>
              </w:pPr>
              <w:r>
                <w:rPr>
                  <w:rFonts w:ascii="Arial" w:eastAsia="Arial" w:hAnsi="Arial" w:cs="Arial"/>
                  <w:color w:val="000000"/>
                  <w:sz w:val="20"/>
                  <w:lang w:eastAsia="lt-LT"/>
                </w:rPr>
                <w:t>C.</w:t>
                <w:tab/>
              </w:r>
              <w:r>
                <w:rPr>
                  <w:rFonts w:ascii="Arial" w:eastAsia="Calibri" w:hAnsi="Arial" w:cs="Arial"/>
                  <w:color w:val="000000"/>
                  <w:sz w:val="20"/>
                  <w:shd w:val="clear" w:color="auto" w:fill="FFFFFF"/>
                  <w:lang w:eastAsia="lt-LT"/>
                </w:rPr>
                <w:t>Ieškovas 2024 m. spalio 24 d. kreipėsi į Atsakovą su prašymu Pastato, unikalus Nr. 4400-1953-5407, esančio Maironio g. 8A, Radviliškyje, nuosavybės teisę perleisti Ieškovui.</w:t>
              </w:r>
              <w:r>
                <w:rPr>
                  <w:rFonts w:ascii="Arial" w:eastAsia="Arial" w:hAnsi="Arial" w:cs="Arial"/>
                  <w:color w:val="000000"/>
                  <w:sz w:val="20"/>
                  <w:lang w:eastAsia="lt-LT"/>
                </w:rPr>
                <w:t xml:space="preserve"> </w:t>
              </w:r>
              <w:r>
                <w:rPr>
                  <w:rFonts w:ascii="Arial" w:eastAsia="Calibri" w:hAnsi="Arial" w:cs="Arial"/>
                  <w:color w:val="000000"/>
                  <w:sz w:val="20"/>
                  <w:shd w:val="clear" w:color="auto" w:fill="FFFFFF"/>
                  <w:lang w:eastAsia="lt-LT"/>
                </w:rPr>
                <w:t xml:space="preserve">Atsakovas 2024 m. lapkričio 25 d. pateikė atsakymą – sprendimą Nr. S-4143(8.12), kuriuo nurodė negalintis tenkinti Ieškovo prašymo, kadangi tam nėra juridinio pagrindo. </w:t>
              </w:r>
              <w:r>
                <w:rPr>
                  <w:rFonts w:ascii="Arial" w:eastAsia="Arial" w:hAnsi="Arial" w:cs="Arial"/>
                  <w:sz w:val="20"/>
                  <w:lang w:eastAsia="lt-LT"/>
                </w:rPr>
                <w:t>Tarp Šalių kilo ginčas dėl Pastato nuosavybės teisės ir galimybės naudotis Pastato patalpomis;</w:t>
              </w:r>
            </w:p>
            <w:p>
              <w:pPr>
                <w:rPr>
                  <w:sz w:val="10"/>
                  <w:szCs w:val="10"/>
                </w:rPr>
              </w:pPr>
            </w:p>
            <w:p>
              <w:pPr>
                <w:ind w:left="567" w:hanging="567"/>
                <w:jc w:val="both"/>
                <w:rPr>
                  <w:rFonts w:ascii="Arial" w:eastAsia="Arial" w:hAnsi="Arial" w:cs="Arial"/>
                  <w:color w:val="000000"/>
                  <w:sz w:val="20"/>
                  <w:lang w:eastAsia="lt-LT"/>
                </w:rPr>
              </w:pPr>
              <w:r>
                <w:rPr>
                  <w:rFonts w:ascii="Arial" w:eastAsia="Arial" w:hAnsi="Arial" w:cs="Arial"/>
                  <w:color w:val="000000"/>
                  <w:sz w:val="20"/>
                  <w:lang w:eastAsia="lt-LT"/>
                </w:rPr>
                <w:t>D.</w:t>
                <w:tab/>
              </w:r>
              <w:r>
                <w:rPr>
                  <w:rFonts w:ascii="Arial" w:eastAsia="Arial" w:hAnsi="Arial" w:cs="Arial"/>
                  <w:sz w:val="20"/>
                  <w:lang w:eastAsia="lt-LT"/>
                </w:rPr>
                <w:t xml:space="preserve">Ieškovas, siekdamas apginti savo pažeistas teises, 2025 m. birželio 20 d. kreipėsi į Šiaulių apylinkės teismo Radviliškio rūmus su ieškiniu dėl </w:t>
              </w:r>
              <w:r>
                <w:rPr>
                  <w:rFonts w:ascii="Arial" w:eastAsia="Calibri" w:hAnsi="Arial" w:cs="Arial"/>
                  <w:sz w:val="20"/>
                  <w:lang w:eastAsia="lt-LT"/>
                </w:rPr>
                <w:t>Atsakovo</w:t>
              </w:r>
              <w:r>
                <w:rPr>
                  <w:rFonts w:ascii="Arial" w:eastAsia="Calibri" w:hAnsi="Arial" w:cs="Arial"/>
                  <w:sz w:val="20"/>
                  <w:shd w:val="clear" w:color="auto" w:fill="FFFFFF"/>
                  <w:lang w:eastAsia="lt-LT"/>
                </w:rPr>
                <w:t xml:space="preserve"> </w:t>
              </w:r>
              <w:r>
                <w:rPr>
                  <w:rFonts w:ascii="Arial" w:eastAsia="Calibri" w:hAnsi="Arial" w:cs="Arial"/>
                  <w:color w:val="000000"/>
                  <w:sz w:val="20"/>
                  <w:shd w:val="clear" w:color="auto" w:fill="FFFFFF"/>
                  <w:lang w:eastAsia="lt-LT"/>
                </w:rPr>
                <w:t xml:space="preserve">2024 m. lapkričio 25 d. priimto sprendimo Nr. S-4143(8.12) </w:t>
              </w:r>
              <w:r>
                <w:rPr>
                  <w:rFonts w:ascii="Arial" w:eastAsia="Calibri" w:hAnsi="Arial" w:cs="Arial"/>
                  <w:sz w:val="20"/>
                  <w:lang w:eastAsia="lt-LT"/>
                </w:rPr>
                <w:t>netenkinti</w:t>
              </w:r>
              <w:r>
                <w:rPr>
                  <w:rFonts w:ascii="Arial" w:eastAsia="Calibri" w:hAnsi="Arial" w:cs="Arial"/>
                  <w:color w:val="000000"/>
                  <w:sz w:val="20"/>
                  <w:shd w:val="clear" w:color="auto" w:fill="FFFFFF"/>
                  <w:lang w:eastAsia="lt-LT"/>
                </w:rPr>
                <w:t xml:space="preserve"> Ieškovo prašymo perleisti Pastato nuosavybės teisę Ieškovui, panaikinimo ir įpareigojimo Atsakovui priimti naują sprendimą – Ieškovo prašymą tenkinti ir imtis veiksmų, būtinų, kad Pastato nuosavybės teisė būtų perleista Ieškovui</w:t>
              </w:r>
              <w:r>
                <w:rPr>
                  <w:rFonts w:ascii="Arial" w:eastAsia="Arial" w:hAnsi="Arial" w:cs="Arial"/>
                  <w:sz w:val="20"/>
                  <w:lang w:eastAsia="lt-LT"/>
                </w:rPr>
                <w:t xml:space="preserve">. Ieškinio pagrindu </w:t>
              </w:r>
              <w:r>
                <w:rPr>
                  <w:rFonts w:ascii="Arial" w:eastAsia="Calibri" w:hAnsi="Arial" w:cs="Arial"/>
                  <w:color w:val="000000"/>
                  <w:sz w:val="20"/>
                  <w:shd w:val="clear" w:color="auto" w:fill="FFFFFF"/>
                  <w:lang w:eastAsia="lt-LT"/>
                </w:rPr>
                <w:t>Šiaulių apylinkės teismo Radviliškio rūmuose pradėta civilinė byla Nr. 2-11679-767/2025</w:t>
              </w:r>
              <w:r>
                <w:rPr>
                  <w:rFonts w:ascii="Arial" w:eastAsia="Arial" w:hAnsi="Arial" w:cs="Arial"/>
                  <w:color w:val="000000"/>
                  <w:sz w:val="20"/>
                  <w:lang w:eastAsia="lt-LT"/>
                </w:rPr>
                <w:t xml:space="preserve"> (</w:t>
              </w:r>
              <w:r>
                <w:rPr>
                  <w:rFonts w:ascii="Arial" w:eastAsia="Arial" w:hAnsi="Arial" w:cs="Arial"/>
                  <w:sz w:val="20"/>
                  <w:lang w:eastAsia="lt-LT"/>
                </w:rPr>
                <w:t xml:space="preserve">toliau – </w:t>
              </w:r>
              <w:r>
                <w:rPr>
                  <w:rFonts w:ascii="Arial" w:eastAsia="Arial" w:hAnsi="Arial" w:cs="Arial"/>
                  <w:b/>
                  <w:color w:val="000000"/>
                  <w:sz w:val="20"/>
                  <w:lang w:eastAsia="lt-LT"/>
                </w:rPr>
                <w:t>Civilinė byla</w:t>
              </w:r>
              <w:r>
                <w:rPr>
                  <w:rFonts w:ascii="Arial" w:eastAsia="Arial" w:hAnsi="Arial" w:cs="Arial"/>
                  <w:color w:val="000000"/>
                  <w:sz w:val="20"/>
                  <w:lang w:eastAsia="lt-LT"/>
                </w:rPr>
                <w:t>);</w:t>
              </w:r>
            </w:p>
            <w:p>
              <w:pPr>
                <w:rPr>
                  <w:sz w:val="10"/>
                  <w:szCs w:val="10"/>
                </w:rPr>
              </w:pPr>
            </w:p>
            <w:p>
              <w:pPr>
                <w:ind w:left="567" w:hanging="567"/>
                <w:jc w:val="both"/>
                <w:rPr>
                  <w:rFonts w:ascii="Arial" w:eastAsia="Arial" w:hAnsi="Arial" w:cs="Arial"/>
                  <w:color w:val="000000"/>
                  <w:sz w:val="20"/>
                  <w:lang w:eastAsia="lt-LT"/>
                </w:rPr>
              </w:pPr>
              <w:r>
                <w:rPr>
                  <w:rFonts w:ascii="Arial" w:eastAsia="Arial" w:hAnsi="Arial" w:cs="Arial"/>
                  <w:color w:val="000000"/>
                  <w:sz w:val="20"/>
                  <w:lang w:eastAsia="lt-LT"/>
                </w:rPr>
                <w:t>E.</w:t>
                <w:tab/>
                <w:t>Civilinės bylos nagrinėjimo metu Šalys vedė derybas dėl taikaus ginčo išsprendimo ir Šalims pavyko taikiai išspręsti Civilinėje byloje nagrinėjamus klausimus,</w:t>
              </w:r>
            </w:p>
            <w:p>
              <w:pPr>
                <w:rPr>
                  <w:sz w:val="10"/>
                  <w:szCs w:val="10"/>
                </w:rPr>
              </w:pPr>
            </w:p>
          </w:sdtContent>
        </w:sdt>
        <w:sdt>
          <w:sdtPr>
            <w:alias w:val="skirsnis"/>
            <w:tag w:val="part_ff28edfef97b4a0b981a91cff1094bca"/>
            <w:lock w:val="sdtLocked"/>
            <w:richText/>
          </w:sdtPr>
          <w:sdtContent>
            <w:p>
              <w:pPr>
                <w:pBdr>
                  <w:top w:val="nil"/>
                  <w:left w:val="nil"/>
                  <w:bottom w:val="nil"/>
                  <w:right w:val="nil"/>
                  <w:between w:val="nil"/>
                </w:pBdr>
                <w:tabs>
                  <w:tab w:val="left" w:pos="1843"/>
                </w:tabs>
                <w:jc w:val="both"/>
                <w:rPr>
                  <w:rFonts w:ascii="Arial" w:eastAsia="Arial" w:hAnsi="Arial" w:cs="Arial"/>
                  <w:b/>
                  <w:color w:val="000000"/>
                  <w:sz w:val="20"/>
                  <w:lang w:eastAsia="lt-LT"/>
                </w:rPr>
              </w:pPr>
              <w:sdt>
                <w:sdtPr>
                  <w:alias w:val="Pavadinimas"/>
                  <w:tag w:val="title_ff28edfef97b4a0b981a91cff1094bca"/>
                  <w:lock w:val="sdtLocked"/>
                  <w:richText/>
                </w:sdtPr>
                <w:sdtContent>
                  <w:r>
                    <w:rPr>
                      <w:rFonts w:ascii="Arial" w:eastAsia="Arial" w:hAnsi="Arial" w:cs="Arial"/>
                      <w:b/>
                      <w:color w:val="000000"/>
                      <w:sz w:val="20"/>
                      <w:lang w:eastAsia="lt-LT"/>
                    </w:rPr>
                    <w:t>todėl Šalys sudaro šią taikos sutartį (toliau – Taikos sutartis), kuria susitaria geranoriškai užbaigti Civilinėje byloje nagrinėjamą ginčą toliau nurodytomis sąlygomis.</w:t>
                  </w:r>
                </w:sdtContent>
              </w:sdt>
            </w:p>
            <w:p>
              <w:pPr>
                <w:rPr>
                  <w:sz w:val="10"/>
                  <w:szCs w:val="10"/>
                </w:rPr>
              </w:pPr>
            </w:p>
            <w:p>
              <w:pPr>
                <w:pBdr>
                  <w:top w:val="nil"/>
                  <w:left w:val="nil"/>
                  <w:bottom w:val="nil"/>
                  <w:right w:val="nil"/>
                  <w:between w:val="nil"/>
                </w:pBdr>
                <w:tabs>
                  <w:tab w:val="left" w:pos="1843"/>
                </w:tabs>
                <w:jc w:val="both"/>
                <w:rPr>
                  <w:rFonts w:ascii="Arial" w:eastAsia="Arial" w:hAnsi="Arial" w:cs="Arial"/>
                  <w:b/>
                  <w:color w:val="000000"/>
                  <w:sz w:val="20"/>
                  <w:lang w:eastAsia="lt-LT"/>
                </w:rPr>
              </w:pPr>
            </w:p>
            <w:p>
              <w:pPr>
                <w:rPr>
                  <w:sz w:val="10"/>
                  <w:szCs w:val="10"/>
                </w:rPr>
              </w:pPr>
            </w:p>
            <w:sdt>
              <w:sdtPr>
                <w:alias w:val="1 p."/>
                <w:tag w:val="part_cb054da00fed4136a8235bac7d17b1a5"/>
                <w:lock w:val="sdtLocked"/>
                <w:richText/>
              </w:sdtPr>
              <w:sdtContent>
                <w:p>
                  <w:pPr>
                    <w:pBdr>
                      <w:top w:val="nil"/>
                      <w:left w:val="nil"/>
                      <w:bottom w:val="nil"/>
                      <w:right w:val="nil"/>
                      <w:between w:val="nil"/>
                    </w:pBdr>
                    <w:ind w:left="567" w:hanging="567"/>
                    <w:jc w:val="both"/>
                    <w:rPr>
                      <w:rFonts w:ascii="Arial" w:eastAsia="Arial" w:hAnsi="Arial" w:cs="Arial"/>
                      <w:b/>
                      <w:color w:val="000000"/>
                      <w:sz w:val="20"/>
                      <w:lang w:eastAsia="lt-LT"/>
                    </w:rPr>
                  </w:pPr>
                  <w:sdt>
                    <w:sdtPr>
                      <w:alias w:val="Numeris"/>
                      <w:tag w:val="nr_cb054da00fed4136a8235bac7d17b1a5"/>
                      <w:lock w:val="sdtLocked"/>
                      <w:richText/>
                    </w:sdtPr>
                    <w:sdtContent>
                      <w:r>
                        <w:rPr>
                          <w:rFonts w:ascii="Arial" w:eastAsia="Arial" w:hAnsi="Arial" w:cs="Arial"/>
                          <w:b/>
                          <w:color w:val="000000"/>
                          <w:sz w:val="20"/>
                          <w:lang w:eastAsia="lt-LT"/>
                        </w:rPr>
                        <w:t>1</w:t>
                      </w:r>
                    </w:sdtContent>
                  </w:sdt>
                  <w:r>
                    <w:rPr>
                      <w:rFonts w:ascii="Arial" w:eastAsia="Arial" w:hAnsi="Arial" w:cs="Arial"/>
                      <w:b/>
                      <w:color w:val="000000"/>
                      <w:sz w:val="20"/>
                      <w:lang w:eastAsia="lt-LT"/>
                    </w:rPr>
                    <w:t>.</w:t>
                    <w:tab/>
                    <w:t>Šalių patvirtinimai ir įsipareigojimai</w:t>
                  </w:r>
                </w:p>
                <w:p>
                  <w:pPr>
                    <w:rPr>
                      <w:sz w:val="10"/>
                      <w:szCs w:val="10"/>
                    </w:rPr>
                  </w:pPr>
                </w:p>
                <w:sdt>
                  <w:sdtPr>
                    <w:alias w:val="1.1 pp."/>
                    <w:tag w:val="part_0f61dad54f844ebe9959e50b5060fe10"/>
                    <w:lock w:val="sdtLocked"/>
                    <w:richText/>
                  </w:sdtPr>
                  <w:sdtContent>
                    <w:p>
                      <w:pPr>
                        <w:spacing w:line="259" w:lineRule="auto"/>
                        <w:ind w:left="567" w:hanging="567"/>
                        <w:jc w:val="both"/>
                        <w:rPr>
                          <w:rFonts w:ascii="Arial" w:eastAsia="Arial" w:hAnsi="Arial" w:cs="Arial"/>
                          <w:sz w:val="20"/>
                          <w:lang w:eastAsia="lt-LT"/>
                        </w:rPr>
                      </w:pPr>
                      <w:sdt>
                        <w:sdtPr>
                          <w:alias w:val="Numeris"/>
                          <w:tag w:val="nr_0f61dad54f844ebe9959e50b5060fe10"/>
                          <w:lock w:val="sdtLocked"/>
                          <w:richText/>
                        </w:sdtPr>
                        <w:sdtContent>
                          <w:r>
                            <w:rPr>
                              <w:rFonts w:ascii="Arial" w:eastAsia="Arial" w:hAnsi="Arial" w:cs="Arial"/>
                              <w:sz w:val="20"/>
                              <w:lang w:eastAsia="lt-LT"/>
                            </w:rPr>
                            <w:t>1.1</w:t>
                          </w:r>
                        </w:sdtContent>
                      </w:sdt>
                      <w:r>
                        <w:rPr>
                          <w:rFonts w:ascii="Arial" w:eastAsia="Arial" w:hAnsi="Arial" w:cs="Arial"/>
                          <w:sz w:val="20"/>
                          <w:lang w:eastAsia="lt-LT"/>
                        </w:rPr>
                        <w:t>.</w:t>
                        <w:tab/>
                        <w:t>Šalys pareiškia ir patvirtina, kad šia Taikos sutartimi visiškai išsprendžiamas ginčas Civilinėje byloje.</w:t>
                      </w:r>
                    </w:p>
                    <w:p>
                      <w:pPr>
                        <w:rPr>
                          <w:sz w:val="10"/>
                          <w:szCs w:val="10"/>
                        </w:rPr>
                      </w:pPr>
                    </w:p>
                  </w:sdtContent>
                </w:sdt>
                <w:sdt>
                  <w:sdtPr>
                    <w:alias w:val="1.2 pp."/>
                    <w:tag w:val="part_80d0d95b3f344ce5ae586bbd4ccfeaab"/>
                    <w:lock w:val="sdtLocked"/>
                    <w:richText/>
                  </w:sdtPr>
                  <w:sdtContent>
                    <w:p>
                      <w:pPr>
                        <w:spacing w:line="259" w:lineRule="auto"/>
                        <w:ind w:left="567" w:hanging="567"/>
                        <w:jc w:val="both"/>
                        <w:rPr>
                          <w:rFonts w:ascii="Arial" w:eastAsia="Arial" w:hAnsi="Arial" w:cs="Arial"/>
                          <w:sz w:val="20"/>
                          <w:lang w:eastAsia="lt-LT"/>
                        </w:rPr>
                      </w:pPr>
                      <w:sdt>
                        <w:sdtPr>
                          <w:alias w:val="Numeris"/>
                          <w:tag w:val="nr_80d0d95b3f344ce5ae586bbd4ccfeaab"/>
                          <w:lock w:val="sdtLocked"/>
                          <w:richText/>
                        </w:sdtPr>
                        <w:sdtContent>
                          <w:r>
                            <w:rPr>
                              <w:rFonts w:ascii="Arial" w:eastAsia="Arial" w:hAnsi="Arial" w:cs="Arial"/>
                              <w:sz w:val="20"/>
                              <w:lang w:eastAsia="lt-LT"/>
                            </w:rPr>
                            <w:t>1.2</w:t>
                          </w:r>
                        </w:sdtContent>
                      </w:sdt>
                      <w:r>
                        <w:rPr>
                          <w:rFonts w:ascii="Arial" w:eastAsia="Arial" w:hAnsi="Arial" w:cs="Arial"/>
                          <w:sz w:val="20"/>
                          <w:lang w:eastAsia="lt-LT"/>
                        </w:rPr>
                        <w:t>.</w:t>
                        <w:tab/>
                        <w:t>Ieškovas atsisako savo reikalavimų, pareikštų Civilinėje byloje. Tai yra, Ieškovas nereikalaus Atsakovo perleisti Pastato nuosavybės teisės Ieškovui, kai Atsakovas pilna apimtimi įgyvendins šioje Taikos sutartyje aprašytus Atsakovo įsipareigojimus. Ieškovas pareiškia, kad jam yra žinomos Ieškinio reikalavimų atsisakymo teisinės pasekmės, tame tarpe, kad Ieškovas nebeturės teisės reikšti teisme tapačių reikalavimų tuo pačiu pagrindu.</w:t>
                      </w:r>
                    </w:p>
                    <w:p>
                      <w:pPr>
                        <w:rPr>
                          <w:sz w:val="10"/>
                          <w:szCs w:val="10"/>
                        </w:rPr>
                      </w:pPr>
                    </w:p>
                  </w:sdtContent>
                </w:sdt>
                <w:sdt>
                  <w:sdtPr>
                    <w:alias w:val="1.3 pp."/>
                    <w:tag w:val="part_d7ee2360ce4e434cae921e08f1bd96f3"/>
                    <w:lock w:val="sdtLocked"/>
                    <w:richText/>
                  </w:sdtPr>
                  <w:sdtContent>
                    <w:p>
                      <w:pPr>
                        <w:spacing w:line="259" w:lineRule="auto"/>
                        <w:ind w:left="567" w:hanging="567"/>
                        <w:jc w:val="both"/>
                        <w:rPr>
                          <w:rFonts w:ascii="Arial" w:eastAsia="Arial" w:hAnsi="Arial" w:cs="Arial"/>
                          <w:sz w:val="20"/>
                          <w:lang w:eastAsia="lt-LT"/>
                        </w:rPr>
                      </w:pPr>
                      <w:sdt>
                        <w:sdtPr>
                          <w:alias w:val="Numeris"/>
                          <w:tag w:val="nr_d7ee2360ce4e434cae921e08f1bd96f3"/>
                          <w:lock w:val="sdtLocked"/>
                          <w:richText/>
                        </w:sdtPr>
                        <w:sdtContent>
                          <w:r>
                            <w:rPr>
                              <w:rFonts w:ascii="Arial" w:eastAsia="Arial" w:hAnsi="Arial" w:cs="Arial"/>
                              <w:sz w:val="20"/>
                              <w:lang w:eastAsia="lt-LT"/>
                            </w:rPr>
                            <w:t>1.3</w:t>
                          </w:r>
                        </w:sdtContent>
                      </w:sdt>
                      <w:r>
                        <w:rPr>
                          <w:rFonts w:ascii="Arial" w:eastAsia="Arial" w:hAnsi="Arial" w:cs="Arial"/>
                          <w:sz w:val="20"/>
                          <w:lang w:eastAsia="lt-LT"/>
                        </w:rPr>
                        <w:t>.</w:t>
                        <w:tab/>
                        <w:t xml:space="preserve">Atsakovas įsipareigoja užtikrinti, kad, laikantis Lietuvos Respublikos valstybės ir savivaldybių turto valdymo, naudojimo ir disponavimo juo įstatymo (toliau – </w:t>
                      </w:r>
                      <w:r>
                        <w:rPr>
                          <w:rFonts w:ascii="Arial" w:eastAsia="Arial" w:hAnsi="Arial" w:cs="Arial"/>
                          <w:b/>
                          <w:bCs/>
                          <w:sz w:val="20"/>
                          <w:lang w:eastAsia="lt-LT"/>
                        </w:rPr>
                        <w:t>Įstatymas</w:t>
                      </w:r>
                      <w:r>
                        <w:rPr>
                          <w:rFonts w:ascii="Arial" w:eastAsia="Arial" w:hAnsi="Arial" w:cs="Arial"/>
                          <w:sz w:val="20"/>
                          <w:lang w:eastAsia="lt-LT"/>
                        </w:rPr>
                        <w:t xml:space="preserve">) bei Radviliškio rajono savivaldybės ilgalaikio materialiojo turto viešo nuomos konkurso ir nuomos be konkurso organizavimo ir vykdymo tvarkos aprašo, patvirtinto 2019-10-24 Radviliškio rajono savivaldybės tarybos sprendimu Nr. T-116 (toliau – </w:t>
                      </w:r>
                      <w:r>
                        <w:rPr>
                          <w:rFonts w:ascii="Arial" w:eastAsia="Arial" w:hAnsi="Arial" w:cs="Arial"/>
                          <w:b/>
                          <w:bCs/>
                          <w:sz w:val="20"/>
                          <w:lang w:eastAsia="lt-LT"/>
                        </w:rPr>
                        <w:t>Aprašas</w:t>
                      </w:r>
                      <w:r>
                        <w:rPr>
                          <w:rFonts w:ascii="Arial" w:eastAsia="Arial" w:hAnsi="Arial" w:cs="Arial"/>
                          <w:sz w:val="20"/>
                          <w:lang w:eastAsia="lt-LT"/>
                        </w:rPr>
                        <w:t xml:space="preserve">), Ieškovui ne vėliau kaip šioje Taikos sutartyje nustatytais terminais ir sąlygomis be konkurso būtų išnuomotos šios Atsakovui priklausančio Pastato patalpos (toliau – </w:t>
                      </w:r>
                      <w:r>
                        <w:rPr>
                          <w:rFonts w:ascii="Arial" w:eastAsia="Arial" w:hAnsi="Arial" w:cs="Arial"/>
                          <w:b/>
                          <w:bCs/>
                          <w:sz w:val="20"/>
                          <w:lang w:eastAsia="lt-LT"/>
                        </w:rPr>
                        <w:t>Patalpos</w:t>
                      </w:r>
                      <w:r>
                        <w:rPr>
                          <w:rFonts w:ascii="Arial" w:eastAsia="Arial" w:hAnsi="Arial" w:cs="Arial"/>
                          <w:sz w:val="20"/>
                          <w:lang w:eastAsia="lt-LT"/>
                        </w:rPr>
                        <w:t>,</w:t>
                      </w:r>
                      <w:r>
                        <w:rPr>
                          <w:rFonts w:ascii="Arial" w:eastAsia="Arial" w:hAnsi="Arial" w:cs="Arial"/>
                          <w:b/>
                          <w:bCs/>
                          <w:sz w:val="20"/>
                          <w:lang w:eastAsia="lt-LT"/>
                        </w:rPr>
                        <w:t xml:space="preserve"> </w:t>
                      </w:r>
                      <w:r>
                        <w:rPr>
                          <w:rFonts w:ascii="Arial" w:eastAsia="Arial" w:hAnsi="Arial" w:cs="Arial"/>
                          <w:sz w:val="20"/>
                          <w:lang w:eastAsia="lt-LT"/>
                        </w:rPr>
                        <w:t>Priedas Nr. 1):</w:t>
                      </w:r>
                    </w:p>
                    <w:p>
                      <w:pPr>
                        <w:rPr>
                          <w:sz w:val="10"/>
                          <w:szCs w:val="10"/>
                        </w:rPr>
                      </w:pPr>
                    </w:p>
                    <w:sdt>
                      <w:sdtPr>
                        <w:alias w:val="1.3.1 pp."/>
                        <w:tag w:val="part_73e26f574db249128ca227e55aab1669"/>
                        <w:lock w:val="sdtLocked"/>
                        <w:richText/>
                      </w:sdtPr>
                      <w:sdtContent>
                        <w:p>
                          <w:pPr>
                            <w:spacing w:line="259" w:lineRule="auto"/>
                            <w:ind w:left="1134" w:hanging="567"/>
                            <w:jc w:val="both"/>
                            <w:rPr>
                              <w:rFonts w:ascii="Arial" w:eastAsia="Arial" w:hAnsi="Arial" w:cs="Arial"/>
                              <w:sz w:val="20"/>
                              <w:lang w:eastAsia="lt-LT"/>
                            </w:rPr>
                          </w:pPr>
                          <w:sdt>
                            <w:sdtPr>
                              <w:alias w:val="Numeris"/>
                              <w:tag w:val="nr_73e26f574db249128ca227e55aab1669"/>
                              <w:lock w:val="sdtLocked"/>
                              <w:richText/>
                            </w:sdtPr>
                            <w:sdtContent>
                              <w:r>
                                <w:rPr>
                                  <w:rFonts w:ascii="Arial" w:eastAsia="Arial" w:hAnsi="Arial" w:cs="Arial"/>
                                  <w:sz w:val="20"/>
                                  <w:lang w:eastAsia="lt-LT"/>
                                </w:rPr>
                                <w:t>1.3.1</w:t>
                              </w:r>
                            </w:sdtContent>
                          </w:sdt>
                          <w:r>
                            <w:rPr>
                              <w:rFonts w:ascii="Arial" w:eastAsia="Arial" w:hAnsi="Arial" w:cs="Arial"/>
                              <w:sz w:val="20"/>
                              <w:lang w:eastAsia="lt-LT"/>
                            </w:rPr>
                            <w:t>.</w:t>
                            <w:tab/>
                            <w:t>patalpos, esančios Pastato pirmame aukšte, plane pažymėtos numeriais, 1-10, 1-11 ir 1-12, turi būti išnuomotos nuolatiniam Ieškovo naudojimui ir patekimui 24 valandas per parą, 7 dienas per savaitę;</w:t>
                          </w:r>
                        </w:p>
                        <w:p>
                          <w:pPr>
                            <w:rPr>
                              <w:sz w:val="10"/>
                              <w:szCs w:val="10"/>
                            </w:rPr>
                          </w:pPr>
                        </w:p>
                      </w:sdtContent>
                    </w:sdt>
                    <w:sdt>
                      <w:sdtPr>
                        <w:alias w:val="1.3.2 pp."/>
                        <w:tag w:val="part_bd2dc8e4d5254e19bf781478cf951dea"/>
                        <w:lock w:val="sdtLocked"/>
                        <w:richText/>
                      </w:sdtPr>
                      <w:sdtContent>
                        <w:p>
                          <w:pPr>
                            <w:spacing w:line="259" w:lineRule="auto"/>
                            <w:ind w:left="1134" w:hanging="567"/>
                            <w:jc w:val="both"/>
                            <w:rPr>
                              <w:rFonts w:ascii="Arial" w:eastAsia="Arial" w:hAnsi="Arial" w:cs="Arial"/>
                              <w:sz w:val="20"/>
                              <w:lang w:eastAsia="lt-LT"/>
                            </w:rPr>
                          </w:pPr>
                          <w:sdt>
                            <w:sdtPr>
                              <w:alias w:val="Numeris"/>
                              <w:tag w:val="nr_bd2dc8e4d5254e19bf781478cf951dea"/>
                              <w:lock w:val="sdtLocked"/>
                              <w:richText/>
                            </w:sdtPr>
                            <w:sdtContent>
                              <w:r>
                                <w:rPr>
                                  <w:rFonts w:ascii="Arial" w:eastAsia="Arial" w:hAnsi="Arial" w:cs="Arial"/>
                                  <w:sz w:val="20"/>
                                  <w:lang w:eastAsia="lt-LT"/>
                                </w:rPr>
                                <w:t>1.3.2</w:t>
                              </w:r>
                            </w:sdtContent>
                          </w:sdt>
                          <w:r>
                            <w:rPr>
                              <w:rFonts w:ascii="Arial" w:eastAsia="Arial" w:hAnsi="Arial" w:cs="Arial"/>
                              <w:sz w:val="20"/>
                              <w:lang w:eastAsia="lt-LT"/>
                            </w:rPr>
                            <w:t>.</w:t>
                            <w:tab/>
                            <w:t xml:space="preserve">patalpos, esančios Pastato antrame aukšte, plane pažymėtos numeriu 2-8, turi būti išnuomotos Ieškovo naudojimui kiekvieną kalendorinį sekmadienį  nuo 9 val. iki 13:00 val., ar kitomis Ieškovo su Atsakovu žodžiu ar raštu suderintomis dienomis (pagal Ieškovo poreikį, bet neviršijant 4 val. per savaitę), sudarant galimybę Ieškovui nevaržomai patekti į Pastato antrąjį aukštą ir nurodytas patalpas.</w:t>
                          </w:r>
                        </w:p>
                        <w:p>
                          <w:pPr>
                            <w:rPr>
                              <w:sz w:val="10"/>
                              <w:szCs w:val="10"/>
                            </w:rPr>
                          </w:pPr>
                        </w:p>
                      </w:sdtContent>
                    </w:sdt>
                  </w:sdtContent>
                </w:sdt>
                <w:sdt>
                  <w:sdtPr>
                    <w:alias w:val="1.4 pp."/>
                    <w:tag w:val="part_7807836724f44e0497edcbed5e7ec72b"/>
                    <w:lock w:val="sdtLocked"/>
                    <w:richText/>
                  </w:sdtPr>
                  <w:sdtContent>
                    <w:p>
                      <w:pPr>
                        <w:spacing w:line="259" w:lineRule="auto"/>
                        <w:ind w:left="567" w:hanging="567"/>
                        <w:jc w:val="both"/>
                        <w:rPr>
                          <w:rFonts w:ascii="Arial" w:eastAsia="Arial" w:hAnsi="Arial" w:cs="Arial"/>
                          <w:sz w:val="20"/>
                          <w:lang w:eastAsia="lt-LT"/>
                        </w:rPr>
                      </w:pPr>
                      <w:sdt>
                        <w:sdtPr>
                          <w:alias w:val="Numeris"/>
                          <w:tag w:val="nr_7807836724f44e0497edcbed5e7ec72b"/>
                          <w:lock w:val="sdtLocked"/>
                          <w:richText/>
                        </w:sdtPr>
                        <w:sdtContent>
                          <w:r>
                            <w:rPr>
                              <w:rFonts w:ascii="Arial" w:eastAsia="Arial" w:hAnsi="Arial" w:cs="Arial"/>
                              <w:sz w:val="20"/>
                              <w:lang w:eastAsia="lt-LT"/>
                            </w:rPr>
                            <w:t>1.4</w:t>
                          </w:r>
                        </w:sdtContent>
                      </w:sdt>
                      <w:r>
                        <w:rPr>
                          <w:rFonts w:ascii="Arial" w:eastAsia="Arial" w:hAnsi="Arial" w:cs="Arial"/>
                          <w:sz w:val="20"/>
                          <w:lang w:eastAsia="lt-LT"/>
                        </w:rPr>
                        <w:t>.</w:t>
                        <w:tab/>
                        <w:t xml:space="preserve">Sistemiškai vertinant Aprašo 54 ir 7.5 punktus, Atsakovo ilgalaikis materialusis turtas gali būti išnuomojamas be konkurso </w:t>
                      </w:r>
                      <w:r>
                        <w:rPr>
                          <w:rFonts w:ascii="Arial" w:eastAsia="Arial" w:hAnsi="Arial" w:cs="Arial"/>
                          <w:b/>
                          <w:bCs/>
                          <w:sz w:val="20"/>
                          <w:lang w:eastAsia="lt-LT"/>
                        </w:rPr>
                        <w:t>pelno nesiekiantiems subjektams, kurių pagrindinis veiklos tikslas atitinka bent vieną Įstatymo 14 straipsnio 2 dalyje nustatytų tikslų</w:t>
                      </w:r>
                      <w:r>
                        <w:rPr>
                          <w:rFonts w:ascii="Arial" w:eastAsia="Arial" w:hAnsi="Arial" w:cs="Arial"/>
                          <w:sz w:val="20"/>
                          <w:lang w:eastAsia="lt-LT"/>
                        </w:rPr>
                        <w:t xml:space="preserve">, tarp kurių yra tikslai </w:t>
                      </w:r>
                      <w:r>
                        <w:rPr>
                          <w:rFonts w:ascii="Arial" w:eastAsia="Calibri" w:hAnsi="Arial" w:cs="Arial"/>
                          <w:color w:val="000000"/>
                          <w:sz w:val="20"/>
                          <w:lang w:eastAsia="lt-LT"/>
                        </w:rPr>
                        <w:t>užtikrinti vaiko ir (ar) šeimos gerovės ir (arba) vaiko teisių apsaugą; teikti pagalbą ir (arba) socialines paslaugas asmenims, dėl amžiaus, negalios ar kitų socialinių problemų negalintiems pasirūpinti savo asmeniniu gyvenimu ir dalyvauti visuomenės gyvenime ar patiriantiems skurdą ir socialinę atskirtį; tenkinti gyvenamosios vietovės bendruomenės viešuosius poreikius; kt.</w:t>
                      </w:r>
                    </w:p>
                    <w:p>
                      <w:pPr>
                        <w:rPr>
                          <w:sz w:val="10"/>
                          <w:szCs w:val="10"/>
                        </w:rPr>
                      </w:pPr>
                    </w:p>
                  </w:sdtContent>
                </w:sdt>
                <w:sdt>
                  <w:sdtPr>
                    <w:alias w:val="1.5 pp."/>
                    <w:tag w:val="part_1eb6e50ac0714d4d9798666334c41b30"/>
                    <w:lock w:val="sdtLocked"/>
                    <w:richText/>
                  </w:sdtPr>
                  <w:sdtContent>
                    <w:p>
                      <w:pPr>
                        <w:spacing w:line="259" w:lineRule="auto"/>
                        <w:ind w:left="567" w:hanging="567"/>
                        <w:jc w:val="both"/>
                        <w:rPr>
                          <w:rFonts w:ascii="Arial" w:eastAsia="Arial" w:hAnsi="Arial" w:cs="Arial"/>
                          <w:sz w:val="20"/>
                          <w:lang w:eastAsia="lt-LT"/>
                        </w:rPr>
                      </w:pPr>
                      <w:sdt>
                        <w:sdtPr>
                          <w:alias w:val="Numeris"/>
                          <w:tag w:val="nr_1eb6e50ac0714d4d9798666334c41b30"/>
                          <w:lock w:val="sdtLocked"/>
                          <w:richText/>
                        </w:sdtPr>
                        <w:sdtContent>
                          <w:r>
                            <w:rPr>
                              <w:rFonts w:ascii="Arial" w:eastAsia="Arial" w:hAnsi="Arial" w:cs="Arial"/>
                              <w:sz w:val="20"/>
                              <w:lang w:eastAsia="lt-LT"/>
                            </w:rPr>
                            <w:t>1.5</w:t>
                          </w:r>
                        </w:sdtContent>
                      </w:sdt>
                      <w:r>
                        <w:rPr>
                          <w:rFonts w:ascii="Arial" w:eastAsia="Arial" w:hAnsi="Arial" w:cs="Arial"/>
                          <w:sz w:val="20"/>
                          <w:lang w:eastAsia="lt-LT"/>
                        </w:rPr>
                        <w:t>.</w:t>
                        <w:tab/>
                        <w:t xml:space="preserve">Ieškovas yra pelno nesiekiantis subjektas, veikiantis Kanonų teisės kodekso pagrindu. Vadovaujantis Kanonų teisės kodekso 528-529 kanonais, parapijų klebonai ir, atitinkamai, jų parapijos, be kita ko, siekia socialinio teisingumo, rūpinasi katalikišku vaikų ir jaunimo auklėjimu, rūpinasi ištiktais nelaimių, vienišais ir turinčiais ypatingų sunkumų žmonėmis. Ieškovo vykdomą veiklą, atitinkančią Kanonų teisės kodekso jam nustatytas pareigas, patvirtina Šiaulių vyskupijos kurijos išduotas liudijimas (Priedas Nr. 2). Ieškovas nuomojamose Patalpose taip pat ketina vykdyti Kanonų teisės kodekso skatinamą visuomenei naudingą socialinę veiklą, susijusią su vaikų ir (ar) šeimos gerove bei tenkinančią bendruomenės viešuosius poreikius – socialinės pagalbos ir paramos teikimo kartu su Caritas veiklą, socialinius ir religinius švietimo projektus, bendruomenės susibūrimus ir renginius. </w:t>
                      </w:r>
                    </w:p>
                    <w:p>
                      <w:pPr>
                        <w:rPr>
                          <w:sz w:val="10"/>
                          <w:szCs w:val="10"/>
                        </w:rPr>
                      </w:pPr>
                    </w:p>
                  </w:sdtContent>
                </w:sdt>
                <w:sdt>
                  <w:sdtPr>
                    <w:alias w:val="1.6 pp."/>
                    <w:tag w:val="part_c397746e064c4922919bc9e8e7d4d0fb"/>
                    <w:lock w:val="sdtLocked"/>
                    <w:richText/>
                  </w:sdtPr>
                  <w:sdtContent>
                    <w:p>
                      <w:pPr>
                        <w:spacing w:line="259" w:lineRule="auto"/>
                        <w:ind w:left="567" w:hanging="567"/>
                        <w:jc w:val="both"/>
                        <w:rPr>
                          <w:rFonts w:ascii="Arial" w:eastAsia="Arial" w:hAnsi="Arial" w:cs="Arial"/>
                          <w:sz w:val="20"/>
                          <w:lang w:eastAsia="lt-LT"/>
                        </w:rPr>
                      </w:pPr>
                      <w:sdt>
                        <w:sdtPr>
                          <w:alias w:val="Numeris"/>
                          <w:tag w:val="nr_c397746e064c4922919bc9e8e7d4d0fb"/>
                          <w:lock w:val="sdtLocked"/>
                          <w:richText/>
                        </w:sdtPr>
                        <w:sdtContent>
                          <w:r>
                            <w:rPr>
                              <w:rFonts w:ascii="Arial" w:eastAsia="Arial" w:hAnsi="Arial" w:cs="Arial"/>
                              <w:sz w:val="20"/>
                              <w:lang w:eastAsia="lt-LT"/>
                            </w:rPr>
                            <w:t>1.6</w:t>
                          </w:r>
                        </w:sdtContent>
                      </w:sdt>
                      <w:r>
                        <w:rPr>
                          <w:rFonts w:ascii="Arial" w:eastAsia="Arial" w:hAnsi="Arial" w:cs="Arial"/>
                          <w:sz w:val="20"/>
                          <w:lang w:eastAsia="lt-LT"/>
                        </w:rPr>
                        <w:t>.</w:t>
                        <w:tab/>
                        <w:t xml:space="preserve">Patalpos turi būti išnuomotos Ieškovui maksimaliam teisės aktais leistinam terminui, t. y. </w:t>
                      </w:r>
                      <w:r>
                        <w:rPr>
                          <w:rFonts w:ascii="Arial" w:eastAsia="Arial" w:hAnsi="Arial" w:cs="Arial"/>
                          <w:b/>
                          <w:bCs/>
                          <w:sz w:val="20"/>
                          <w:lang w:eastAsia="lt-LT"/>
                        </w:rPr>
                        <w:t>10 (dešimt) metų</w:t>
                      </w:r>
                      <w:r>
                        <w:rPr>
                          <w:rFonts w:ascii="Arial" w:eastAsia="Arial" w:hAnsi="Arial" w:cs="Arial"/>
                          <w:sz w:val="20"/>
                          <w:lang w:eastAsia="lt-LT"/>
                        </w:rPr>
                        <w:t xml:space="preserve">. Jeigu Patalpų nuomos sutarties galiojimo laikotarpiu pasikeis (pailgės) teisės aktais reglamentuojamas maksimalus Atsakovo ilgalaikio materialiojo turto nuomos terminas, nuomos sutartis turi numatyti galimybę susitarti dėl Patalpų nuomos termino pakeitimo (pailginimo) arba naujos Patalpų nuomos sutarties sudarymo be konkurso, taikant naują (pailgintą) Patalpų nuomos terminą. </w:t>
                      </w:r>
                    </w:p>
                    <w:p>
                      <w:pPr>
                        <w:rPr>
                          <w:sz w:val="10"/>
                          <w:szCs w:val="10"/>
                        </w:rPr>
                      </w:pPr>
                    </w:p>
                  </w:sdtContent>
                </w:sdt>
                <w:sdt>
                  <w:sdtPr>
                    <w:alias w:val="1.7 pp."/>
                    <w:tag w:val="part_8640690ea47a4cefb0081b71385259fe"/>
                    <w:lock w:val="sdtLocked"/>
                    <w:richText/>
                  </w:sdtPr>
                  <w:sdtContent>
                    <w:p>
                      <w:pPr>
                        <w:spacing w:line="259" w:lineRule="auto"/>
                        <w:ind w:left="567" w:hanging="567"/>
                        <w:jc w:val="both"/>
                        <w:rPr>
                          <w:rFonts w:ascii="Arial" w:eastAsia="Arial" w:hAnsi="Arial" w:cs="Arial"/>
                          <w:sz w:val="20"/>
                          <w:lang w:eastAsia="lt-LT"/>
                        </w:rPr>
                      </w:pPr>
                      <w:sdt>
                        <w:sdtPr>
                          <w:alias w:val="Numeris"/>
                          <w:tag w:val="nr_8640690ea47a4cefb0081b71385259fe"/>
                          <w:lock w:val="sdtLocked"/>
                          <w:richText/>
                        </w:sdtPr>
                        <w:sdtContent>
                          <w:r>
                            <w:rPr>
                              <w:rFonts w:ascii="Arial" w:eastAsia="Arial" w:hAnsi="Arial" w:cs="Arial"/>
                              <w:sz w:val="20"/>
                              <w:lang w:eastAsia="lt-LT"/>
                            </w:rPr>
                            <w:t>1.7</w:t>
                          </w:r>
                        </w:sdtContent>
                      </w:sdt>
                      <w:r>
                        <w:rPr>
                          <w:rFonts w:ascii="Arial" w:eastAsia="Arial" w:hAnsi="Arial" w:cs="Arial"/>
                          <w:sz w:val="20"/>
                          <w:lang w:eastAsia="lt-LT"/>
                        </w:rPr>
                        <w:t>.</w:t>
                        <w:tab/>
                        <w:t xml:space="preserve">Patalpų nuomos mokestis paskaičiuojamas pagal taikytiną tvarką ir reikalavimus. </w:t>
                      </w:r>
                      <w:r>
                        <w:rPr>
                          <w:rFonts w:ascii="Arial" w:eastAsia="Arial" w:hAnsi="Arial" w:cs="Arial"/>
                          <w:b/>
                          <w:bCs/>
                          <w:sz w:val="20"/>
                          <w:lang w:eastAsia="lt-LT"/>
                        </w:rPr>
                        <w:t>Patalpų nuomos kaina per mėnesį yra 215,56 EUR (be PVM) per mėnesį</w:t>
                      </w:r>
                      <w:r>
                        <w:rPr>
                          <w:rFonts w:ascii="Arial" w:eastAsia="Arial" w:hAnsi="Arial" w:cs="Arial"/>
                          <w:sz w:val="20"/>
                          <w:lang w:eastAsia="lt-LT"/>
                        </w:rPr>
                        <w:t>. Nuomos mokestis visą nuomos laikotarpį nebus indeksuojamas ar kitaip keičiamas.</w:t>
                      </w:r>
                    </w:p>
                    <w:p>
                      <w:pPr>
                        <w:rPr>
                          <w:sz w:val="10"/>
                          <w:szCs w:val="10"/>
                        </w:rPr>
                      </w:pPr>
                    </w:p>
                  </w:sdtContent>
                </w:sdt>
                <w:sdt>
                  <w:sdtPr>
                    <w:alias w:val="1.8 pp."/>
                    <w:tag w:val="part_3014e66ee54c4c4c984f709bdea71d9d"/>
                    <w:lock w:val="sdtLocked"/>
                    <w:richText/>
                  </w:sdtPr>
                  <w:sdtContent>
                    <w:p>
                      <w:pPr>
                        <w:spacing w:line="259" w:lineRule="auto"/>
                        <w:ind w:left="567" w:hanging="567"/>
                        <w:jc w:val="both"/>
                        <w:rPr>
                          <w:rFonts w:ascii="Arial" w:eastAsia="Arial" w:hAnsi="Arial" w:cs="Arial"/>
                          <w:sz w:val="20"/>
                          <w:lang w:eastAsia="lt-LT"/>
                        </w:rPr>
                      </w:pPr>
                      <w:sdt>
                        <w:sdtPr>
                          <w:alias w:val="Numeris"/>
                          <w:tag w:val="nr_3014e66ee54c4c4c984f709bdea71d9d"/>
                          <w:lock w:val="sdtLocked"/>
                          <w:richText/>
                        </w:sdtPr>
                        <w:sdtContent>
                          <w:r>
                            <w:rPr>
                              <w:rFonts w:ascii="Arial" w:eastAsia="Arial" w:hAnsi="Arial" w:cs="Arial"/>
                              <w:sz w:val="20"/>
                              <w:lang w:eastAsia="lt-LT"/>
                            </w:rPr>
                            <w:t>1.8</w:t>
                          </w:r>
                        </w:sdtContent>
                      </w:sdt>
                      <w:r>
                        <w:rPr>
                          <w:rFonts w:ascii="Arial" w:eastAsia="Arial" w:hAnsi="Arial" w:cs="Arial"/>
                          <w:sz w:val="20"/>
                          <w:lang w:eastAsia="lt-LT"/>
                        </w:rPr>
                        <w:t>.</w:t>
                        <w:tab/>
                        <w:t>Į Patalpų nuomos kainą įeina ir mokestis už Patalpoms suteiktas komunalines paslaugas, todėl jokie kiti mokesčiai ar mokėjimai Atsakovui nebus atliekami, nebent Patalpų nuomos sutartyje bus susitarta kitaip.</w:t>
                      </w:r>
                    </w:p>
                    <w:p>
                      <w:pPr>
                        <w:rPr>
                          <w:sz w:val="10"/>
                          <w:szCs w:val="10"/>
                        </w:rPr>
                      </w:pPr>
                    </w:p>
                  </w:sdtContent>
                </w:sdt>
                <w:sdt>
                  <w:sdtPr>
                    <w:alias w:val="1.9 pp."/>
                    <w:tag w:val="part_bbc94a4fa0834b20ba73693a8f451ccd"/>
                    <w:lock w:val="sdtLocked"/>
                    <w:richText/>
                  </w:sdtPr>
                  <w:sdtContent>
                    <w:p>
                      <w:pPr>
                        <w:spacing w:line="259" w:lineRule="auto"/>
                        <w:ind w:left="567" w:hanging="567"/>
                        <w:jc w:val="both"/>
                        <w:rPr>
                          <w:rFonts w:ascii="Arial" w:eastAsia="Arial" w:hAnsi="Arial" w:cs="Arial"/>
                          <w:sz w:val="20"/>
                          <w:lang w:eastAsia="lt-LT"/>
                        </w:rPr>
                      </w:pPr>
                      <w:sdt>
                        <w:sdtPr>
                          <w:alias w:val="Numeris"/>
                          <w:tag w:val="nr_bbc94a4fa0834b20ba73693a8f451ccd"/>
                          <w:lock w:val="sdtLocked"/>
                          <w:richText/>
                        </w:sdtPr>
                        <w:sdtContent>
                          <w:r>
                            <w:rPr>
                              <w:rFonts w:ascii="Arial" w:eastAsia="Arial" w:hAnsi="Arial" w:cs="Arial"/>
                              <w:sz w:val="20"/>
                              <w:lang w:eastAsia="lt-LT"/>
                            </w:rPr>
                            <w:t>1.9</w:t>
                          </w:r>
                        </w:sdtContent>
                      </w:sdt>
                      <w:r>
                        <w:rPr>
                          <w:rFonts w:ascii="Arial" w:eastAsia="Arial" w:hAnsi="Arial" w:cs="Arial"/>
                          <w:sz w:val="20"/>
                          <w:lang w:eastAsia="lt-LT"/>
                        </w:rPr>
                        <w:t>.</w:t>
                        <w:tab/>
                        <w:t xml:space="preserve">Patalpų nuomos sutartis turi būti sudaryta ir Patalpos turi būti perduotos Ieškovo naudojimui ne vėliau kaip iki </w:t>
                      </w:r>
                      <w:r>
                        <w:rPr>
                          <w:rFonts w:ascii="Arial" w:eastAsia="Arial" w:hAnsi="Arial" w:cs="Arial"/>
                          <w:b/>
                          <w:bCs/>
                          <w:sz w:val="20"/>
                          <w:lang w:eastAsia="lt-LT"/>
                        </w:rPr>
                        <w:t>2026 m. sausio 1 d</w:t>
                      </w:r>
                      <w:r>
                        <w:rPr>
                          <w:rFonts w:ascii="Arial" w:eastAsia="Arial" w:hAnsi="Arial" w:cs="Arial"/>
                          <w:sz w:val="20"/>
                          <w:lang w:eastAsia="lt-LT"/>
                        </w:rPr>
                        <w:t>. Tai reiškia, kad iki šios datos Atsakovas privalo užtikrinti, kad būtų tinkamai įgyvendintos visos Atsakovo ilgalaikio materialiojo turto išnuomojimo be konkurso procedūros ir sąlygos, nurodytos Apraše, Įstatyme ir kituose taikytinuose teisės aktuose (jei aktualu).</w:t>
                      </w:r>
                    </w:p>
                    <w:p>
                      <w:pPr>
                        <w:rPr>
                          <w:sz w:val="10"/>
                          <w:szCs w:val="10"/>
                        </w:rPr>
                      </w:pPr>
                    </w:p>
                  </w:sdtContent>
                </w:sdt>
                <w:sdt>
                  <w:sdtPr>
                    <w:alias w:val="1.10 pp."/>
                    <w:tag w:val="part_04bae531d2c24d1a959e09315ec2f585"/>
                    <w:lock w:val="sdtLocked"/>
                    <w:richText/>
                  </w:sdtPr>
                  <w:sdtContent>
                    <w:p>
                      <w:pPr>
                        <w:spacing w:line="259" w:lineRule="auto"/>
                        <w:ind w:left="567" w:hanging="567"/>
                        <w:jc w:val="both"/>
                        <w:rPr>
                          <w:rFonts w:ascii="Arial" w:eastAsia="Arial" w:hAnsi="Arial" w:cs="Arial"/>
                          <w:sz w:val="20"/>
                          <w:lang w:eastAsia="lt-LT"/>
                        </w:rPr>
                      </w:pPr>
                      <w:sdt>
                        <w:sdtPr>
                          <w:alias w:val="Numeris"/>
                          <w:tag w:val="nr_04bae531d2c24d1a959e09315ec2f585"/>
                          <w:lock w:val="sdtLocked"/>
                          <w:richText/>
                        </w:sdtPr>
                        <w:sdtContent>
                          <w:r>
                            <w:rPr>
                              <w:rFonts w:ascii="Arial" w:eastAsia="Arial" w:hAnsi="Arial" w:cs="Arial"/>
                              <w:sz w:val="20"/>
                              <w:lang w:eastAsia="lt-LT"/>
                            </w:rPr>
                            <w:t>1.10</w:t>
                          </w:r>
                        </w:sdtContent>
                      </w:sdt>
                      <w:r>
                        <w:rPr>
                          <w:rFonts w:ascii="Arial" w:eastAsia="Arial" w:hAnsi="Arial" w:cs="Arial"/>
                          <w:sz w:val="20"/>
                          <w:lang w:eastAsia="lt-LT"/>
                        </w:rPr>
                        <w:t>.</w:t>
                        <w:tab/>
                        <w:t>Atsakovas įsipareigoja ne vėliau nei Patalpų nuomos sutarties pasirašymo dieną sudaryti su Ieškovu nuomos sutartį, kuria Atsakovas analogiškam Patalpų nuomos terminui išsinuomotų iš Ieškovo žemės sklypą,</w:t>
                      </w:r>
                      <w:r>
                        <w:rPr>
                          <w:rFonts w:ascii="Arial" w:eastAsia="Calibri" w:hAnsi="Arial" w:cs="Arial"/>
                          <w:color w:val="000000"/>
                          <w:sz w:val="20"/>
                          <w:shd w:val="clear" w:color="auto" w:fill="FAFAFA"/>
                          <w:lang w:eastAsia="lt-LT"/>
                        </w:rPr>
                        <w:t xml:space="preserve"> unikalus Nr. 4400-1162-6258,</w:t>
                      </w:r>
                      <w:r>
                        <w:rPr>
                          <w:rFonts w:ascii="Arial" w:eastAsia="Arial" w:hAnsi="Arial" w:cs="Arial"/>
                          <w:sz w:val="20"/>
                          <w:lang w:eastAsia="lt-LT"/>
                        </w:rPr>
                        <w:t xml:space="preserve"> kuriame stovi Pastatas. Ieškovas sutinka, kad Žemės sklypo mėnesio nuomos kaina visą nuomos laikotarpį atitinka Patalpų mėnesio nuomos kaina, t. y. </w:t>
                      </w:r>
                      <w:r>
                        <w:rPr>
                          <w:rFonts w:ascii="Arial" w:eastAsia="Arial" w:hAnsi="Arial" w:cs="Arial"/>
                          <w:b/>
                          <w:bCs/>
                          <w:sz w:val="20"/>
                          <w:lang w:eastAsia="lt-LT"/>
                        </w:rPr>
                        <w:t>215,56 EUR (be PVM) per mėnesį</w:t>
                      </w:r>
                      <w:r>
                        <w:rPr>
                          <w:rFonts w:ascii="Arial" w:eastAsia="Arial" w:hAnsi="Arial" w:cs="Arial"/>
                          <w:sz w:val="20"/>
                          <w:lang w:eastAsia="lt-LT"/>
                        </w:rPr>
                        <w:t>. Žemės sklypo nuomos sąlygos Šalių derinamos atskirai.</w:t>
                      </w:r>
                    </w:p>
                    <w:p>
                      <w:pPr>
                        <w:rPr>
                          <w:sz w:val="10"/>
                          <w:szCs w:val="10"/>
                        </w:rPr>
                      </w:pPr>
                    </w:p>
                  </w:sdtContent>
                </w:sdt>
                <w:sdt>
                  <w:sdtPr>
                    <w:alias w:val="1.11 pp."/>
                    <w:tag w:val="part_5f61b35e9b3c485eb169873ea42d5286"/>
                    <w:lock w:val="sdtLocked"/>
                    <w:richText/>
                  </w:sdtPr>
                  <w:sdtContent>
                    <w:p>
                      <w:pPr>
                        <w:spacing w:line="259" w:lineRule="auto"/>
                        <w:ind w:left="567" w:hanging="567"/>
                        <w:jc w:val="both"/>
                        <w:rPr>
                          <w:rFonts w:ascii="Arial" w:eastAsia="Arial" w:hAnsi="Arial" w:cs="Arial"/>
                          <w:sz w:val="20"/>
                          <w:lang w:eastAsia="lt-LT"/>
                        </w:rPr>
                      </w:pPr>
                      <w:sdt>
                        <w:sdtPr>
                          <w:alias w:val="Numeris"/>
                          <w:tag w:val="nr_5f61b35e9b3c485eb169873ea42d5286"/>
                          <w:lock w:val="sdtLocked"/>
                          <w:richText/>
                        </w:sdtPr>
                        <w:sdtContent>
                          <w:r>
                            <w:rPr>
                              <w:rFonts w:ascii="Arial" w:eastAsia="Arial" w:hAnsi="Arial" w:cs="Arial"/>
                              <w:sz w:val="20"/>
                              <w:lang w:eastAsia="lt-LT"/>
                            </w:rPr>
                            <w:t>1.11</w:t>
                          </w:r>
                        </w:sdtContent>
                      </w:sdt>
                      <w:r>
                        <w:rPr>
                          <w:rFonts w:ascii="Arial" w:eastAsia="Arial" w:hAnsi="Arial" w:cs="Arial"/>
                          <w:sz w:val="20"/>
                          <w:lang w:eastAsia="lt-LT"/>
                        </w:rPr>
                        <w:t>.</w:t>
                        <w:tab/>
                        <w:t>Atsakovas ir Ieškovas patvirtina, kad yra pajėgūs įvykdyti šia Taikos sutartimi prisiimamus įsipareigojimus.</w:t>
                      </w:r>
                    </w:p>
                    <w:p>
                      <w:pPr>
                        <w:rPr>
                          <w:sz w:val="10"/>
                          <w:szCs w:val="10"/>
                        </w:rPr>
                      </w:pPr>
                    </w:p>
                  </w:sdtContent>
                </w:sdt>
                <w:sdt>
                  <w:sdtPr>
                    <w:alias w:val="1.12 pp."/>
                    <w:tag w:val="part_2e0b9c7ac963450aaa2255f0b2f9b939"/>
                    <w:lock w:val="sdtLocked"/>
                    <w:richText/>
                  </w:sdtPr>
                  <w:sdtContent>
                    <w:p>
                      <w:pPr>
                        <w:spacing w:line="259" w:lineRule="auto"/>
                        <w:ind w:left="567" w:hanging="567"/>
                        <w:jc w:val="both"/>
                        <w:rPr>
                          <w:rFonts w:ascii="Arial" w:eastAsia="Arial" w:hAnsi="Arial" w:cs="Arial"/>
                          <w:sz w:val="20"/>
                          <w:lang w:eastAsia="lt-LT"/>
                        </w:rPr>
                      </w:pPr>
                      <w:sdt>
                        <w:sdtPr>
                          <w:alias w:val="Numeris"/>
                          <w:tag w:val="nr_2e0b9c7ac963450aaa2255f0b2f9b939"/>
                          <w:lock w:val="sdtLocked"/>
                          <w:richText/>
                        </w:sdtPr>
                        <w:sdtContent>
                          <w:r>
                            <w:rPr>
                              <w:rFonts w:ascii="Arial" w:eastAsia="Arial" w:hAnsi="Arial" w:cs="Arial"/>
                              <w:sz w:val="20"/>
                              <w:lang w:eastAsia="lt-LT"/>
                            </w:rPr>
                            <w:t>1.12</w:t>
                          </w:r>
                        </w:sdtContent>
                      </w:sdt>
                      <w:r>
                        <w:rPr>
                          <w:rFonts w:ascii="Arial" w:eastAsia="Arial" w:hAnsi="Arial" w:cs="Arial"/>
                          <w:sz w:val="20"/>
                          <w:lang w:eastAsia="lt-LT"/>
                        </w:rPr>
                        <w:t>.</w:t>
                        <w:tab/>
                        <w:t xml:space="preserve">Atsakovas patvirtina ir garantuoja, kad apie šios Taikos sutarties sudarymą ir jos sąlygas yra informuotas Pastatą patikėjimo teise valdantis Radviliškio parapijos bendruomenės socialinių paslaugų centras, juridinio asmens kodas 302580487 (toliau – </w:t>
                      </w:r>
                      <w:r>
                        <w:rPr>
                          <w:rFonts w:ascii="Arial" w:eastAsia="Arial" w:hAnsi="Arial" w:cs="Arial"/>
                          <w:b/>
                          <w:bCs/>
                          <w:sz w:val="20"/>
                          <w:lang w:eastAsia="lt-LT"/>
                        </w:rPr>
                        <w:t>Centras</w:t>
                      </w:r>
                      <w:r>
                        <w:rPr>
                          <w:rFonts w:ascii="Arial" w:eastAsia="Arial" w:hAnsi="Arial" w:cs="Arial"/>
                          <w:sz w:val="20"/>
                          <w:lang w:eastAsia="lt-LT"/>
                        </w:rPr>
                        <w:t>). Atsakovas garantuoja, kad Centras sutinka ir neprieštarauja, jog Patalpos būtų išnuomotos Ieškovui. Atsakovas įsipareigoja užtikrinti, kad Centras imtųsi visų jo valioje esančių veiksmų, kad šioje Taikos sutartyje nustatytu terminu būtų sudaryta Patalpų nuomos sutartis.</w:t>
                      </w:r>
                    </w:p>
                    <w:p>
                      <w:pPr>
                        <w:rPr>
                          <w:sz w:val="10"/>
                          <w:szCs w:val="10"/>
                        </w:rPr>
                      </w:pPr>
                    </w:p>
                  </w:sdtContent>
                </w:sdt>
                <w:sdt>
                  <w:sdtPr>
                    <w:alias w:val="1.13 pp."/>
                    <w:tag w:val="part_e06663cf6dd04d2ba7ce653ef8e94868"/>
                    <w:lock w:val="sdtLocked"/>
                    <w:richText/>
                  </w:sdtPr>
                  <w:sdtContent>
                    <w:p>
                      <w:pPr>
                        <w:spacing w:line="259" w:lineRule="auto"/>
                        <w:ind w:left="567" w:hanging="567"/>
                        <w:jc w:val="both"/>
                        <w:rPr>
                          <w:rFonts w:ascii="Arial" w:eastAsia="Arial" w:hAnsi="Arial" w:cs="Arial"/>
                          <w:sz w:val="20"/>
                          <w:lang w:eastAsia="lt-LT"/>
                        </w:rPr>
                      </w:pPr>
                      <w:sdt>
                        <w:sdtPr>
                          <w:alias w:val="Numeris"/>
                          <w:tag w:val="nr_e06663cf6dd04d2ba7ce653ef8e94868"/>
                          <w:lock w:val="sdtLocked"/>
                          <w:richText/>
                        </w:sdtPr>
                        <w:sdtContent>
                          <w:r>
                            <w:rPr>
                              <w:rFonts w:ascii="Arial" w:eastAsia="Arial" w:hAnsi="Arial" w:cs="Arial"/>
                              <w:sz w:val="20"/>
                              <w:lang w:eastAsia="lt-LT"/>
                            </w:rPr>
                            <w:t>1.13</w:t>
                          </w:r>
                        </w:sdtContent>
                      </w:sdt>
                      <w:r>
                        <w:rPr>
                          <w:rFonts w:ascii="Arial" w:eastAsia="Arial" w:hAnsi="Arial" w:cs="Arial"/>
                          <w:sz w:val="20"/>
                          <w:lang w:eastAsia="lt-LT"/>
                        </w:rPr>
                        <w:t>.</w:t>
                        <w:tab/>
                        <w:t>Atsakovas patvirtina, kad prieš sudarant šią Taikos sutartį buvo išsiaiškintos visos Patalpų nuomos be konkurso sąlygos, procedūriniai ir subjektiniai reikalavimai ir garantuoja, kad nėra kliūčių sudaryti Patalpų nuomos sutartį be konkurso šioje Taikos sutartyje nustatytomis esminėmis sąlygomis.</w:t>
                      </w:r>
                    </w:p>
                    <w:p>
                      <w:pPr>
                        <w:rPr>
                          <w:sz w:val="10"/>
                          <w:szCs w:val="10"/>
                        </w:rPr>
                      </w:pPr>
                    </w:p>
                  </w:sdtContent>
                </w:sdt>
                <w:sdt>
                  <w:sdtPr>
                    <w:alias w:val="1.14 pp."/>
                    <w:tag w:val="part_47f88308570a469e9ddbb04644772edf"/>
                    <w:lock w:val="sdtLocked"/>
                    <w:richText/>
                  </w:sdtPr>
                  <w:sdtContent>
                    <w:p>
                      <w:pPr>
                        <w:spacing w:line="259" w:lineRule="auto"/>
                        <w:ind w:left="567" w:hanging="567"/>
                        <w:jc w:val="both"/>
                        <w:rPr>
                          <w:rFonts w:ascii="Arial" w:eastAsia="Arial" w:hAnsi="Arial" w:cs="Arial"/>
                          <w:sz w:val="20"/>
                          <w:lang w:eastAsia="lt-LT"/>
                        </w:rPr>
                      </w:pPr>
                      <w:sdt>
                        <w:sdtPr>
                          <w:alias w:val="Numeris"/>
                          <w:tag w:val="nr_47f88308570a469e9ddbb04644772edf"/>
                          <w:lock w:val="sdtLocked"/>
                          <w:richText/>
                        </w:sdtPr>
                        <w:sdtContent>
                          <w:r>
                            <w:rPr>
                              <w:rFonts w:ascii="Arial" w:eastAsia="Arial" w:hAnsi="Arial" w:cs="Arial"/>
                              <w:sz w:val="20"/>
                              <w:lang w:eastAsia="lt-LT"/>
                            </w:rPr>
                            <w:t>1.14</w:t>
                          </w:r>
                        </w:sdtContent>
                      </w:sdt>
                      <w:r>
                        <w:rPr>
                          <w:rFonts w:ascii="Arial" w:eastAsia="Arial" w:hAnsi="Arial" w:cs="Arial"/>
                          <w:sz w:val="20"/>
                          <w:lang w:eastAsia="lt-LT"/>
                        </w:rPr>
                        <w:t>.</w:t>
                        <w:tab/>
                        <w:t>Atsakovas patvirtina, kad šios Taikos sutarties sudarymui yra gauti visi Atsakovui taikytini ir reikalingi sutikimai, įgaliojimai ir pritarimai (jei taikoma).</w:t>
                      </w:r>
                    </w:p>
                    <w:p>
                      <w:pPr>
                        <w:rPr>
                          <w:sz w:val="10"/>
                          <w:szCs w:val="10"/>
                        </w:rPr>
                      </w:pPr>
                    </w:p>
                  </w:sdtContent>
                </w:sdt>
                <w:sdt>
                  <w:sdtPr>
                    <w:alias w:val="1.15 pp."/>
                    <w:tag w:val="part_9342a8e7c89a4f84912081a7f3030d2a"/>
                    <w:lock w:val="sdtLocked"/>
                    <w:richText/>
                  </w:sdtPr>
                  <w:sdtContent>
                    <w:p>
                      <w:pPr>
                        <w:spacing w:line="259" w:lineRule="auto"/>
                        <w:ind w:left="567" w:hanging="567"/>
                        <w:jc w:val="both"/>
                        <w:rPr>
                          <w:rFonts w:ascii="Arial" w:eastAsia="Arial" w:hAnsi="Arial" w:cs="Arial"/>
                          <w:sz w:val="20"/>
                          <w:lang w:eastAsia="lt-LT"/>
                        </w:rPr>
                      </w:pPr>
                      <w:sdt>
                        <w:sdtPr>
                          <w:alias w:val="Numeris"/>
                          <w:tag w:val="nr_9342a8e7c89a4f84912081a7f3030d2a"/>
                          <w:lock w:val="sdtLocked"/>
                          <w:richText/>
                        </w:sdtPr>
                        <w:sdtContent>
                          <w:r>
                            <w:rPr>
                              <w:rFonts w:ascii="Arial" w:eastAsia="Arial" w:hAnsi="Arial" w:cs="Arial"/>
                              <w:sz w:val="20"/>
                              <w:lang w:eastAsia="lt-LT"/>
                            </w:rPr>
                            <w:t>1.15</w:t>
                          </w:r>
                        </w:sdtContent>
                      </w:sdt>
                      <w:r>
                        <w:rPr>
                          <w:rFonts w:ascii="Arial" w:eastAsia="Arial" w:hAnsi="Arial" w:cs="Arial"/>
                          <w:sz w:val="20"/>
                          <w:lang w:eastAsia="lt-LT"/>
                        </w:rPr>
                        <w:t>.</w:t>
                        <w:tab/>
                        <w:t>Šalys patvirtina, kad kiekviena Šalis savo sąskaita padengia savo turėtas bylinėjimosi išlaidas, patirtas Civilinės bylos nagrinėjimo metu, ir nereikalauja jų atlyginimo iš kitos Civilinės bylos Šalies.</w:t>
                      </w:r>
                    </w:p>
                    <w:p>
                      <w:pPr>
                        <w:rPr>
                          <w:sz w:val="10"/>
                          <w:szCs w:val="10"/>
                        </w:rPr>
                      </w:pPr>
                    </w:p>
                  </w:sdtContent>
                </w:sdt>
              </w:sdtContent>
            </w:sdt>
            <w:sdt>
              <w:sdtPr>
                <w:alias w:val="2 p."/>
                <w:tag w:val="part_ecb680178b2641dbbd2ffe534515cc73"/>
                <w:lock w:val="sdtLocked"/>
                <w:richText/>
              </w:sdtPr>
              <w:sdtContent>
                <w:p>
                  <w:pPr>
                    <w:pBdr>
                      <w:top w:val="nil"/>
                      <w:left w:val="nil"/>
                      <w:bottom w:val="nil"/>
                      <w:right w:val="nil"/>
                      <w:between w:val="nil"/>
                    </w:pBdr>
                    <w:ind w:left="567" w:hanging="567"/>
                    <w:jc w:val="both"/>
                    <w:rPr>
                      <w:rFonts w:ascii="Arial" w:eastAsia="Arial" w:hAnsi="Arial" w:cs="Arial"/>
                      <w:b/>
                      <w:color w:val="000000"/>
                      <w:sz w:val="20"/>
                      <w:lang w:eastAsia="lt-LT"/>
                    </w:rPr>
                  </w:pPr>
                  <w:sdt>
                    <w:sdtPr>
                      <w:alias w:val="Numeris"/>
                      <w:tag w:val="nr_ecb680178b2641dbbd2ffe534515cc73"/>
                      <w:lock w:val="sdtLocked"/>
                      <w:richText/>
                    </w:sdtPr>
                    <w:sdtContent>
                      <w:r>
                        <w:rPr>
                          <w:rFonts w:ascii="Arial" w:eastAsia="Arial" w:hAnsi="Arial" w:cs="Arial"/>
                          <w:b/>
                          <w:color w:val="000000"/>
                          <w:sz w:val="20"/>
                          <w:lang w:eastAsia="lt-LT"/>
                        </w:rPr>
                        <w:t>2</w:t>
                      </w:r>
                    </w:sdtContent>
                  </w:sdt>
                  <w:r>
                    <w:rPr>
                      <w:rFonts w:ascii="Arial" w:eastAsia="Arial" w:hAnsi="Arial" w:cs="Arial"/>
                      <w:b/>
                      <w:color w:val="000000"/>
                      <w:sz w:val="20"/>
                      <w:lang w:eastAsia="lt-LT"/>
                    </w:rPr>
                    <w:t>.</w:t>
                    <w:tab/>
                    <w:t>Taikos sutarties galiojimas ir tvirtinimas teisme</w:t>
                  </w:r>
                </w:p>
                <w:p>
                  <w:pPr>
                    <w:rPr>
                      <w:sz w:val="10"/>
                      <w:szCs w:val="10"/>
                    </w:rPr>
                  </w:pPr>
                </w:p>
                <w:sdt>
                  <w:sdtPr>
                    <w:alias w:val="2.1 pp."/>
                    <w:tag w:val="part_76fbc20727c141cdbc033ceff2c401bb"/>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76fbc20727c141cdbc033ceff2c401bb"/>
                          <w:lock w:val="sdtLocked"/>
                          <w:richText/>
                        </w:sdtPr>
                        <w:sdtContent>
                          <w:r>
                            <w:rPr>
                              <w:rFonts w:ascii="Arial" w:eastAsia="Arial" w:hAnsi="Arial" w:cs="Arial"/>
                              <w:color w:val="000000"/>
                              <w:sz w:val="20"/>
                              <w:lang w:eastAsia="lt-LT"/>
                            </w:rPr>
                            <w:t>2.1</w:t>
                          </w:r>
                        </w:sdtContent>
                      </w:sdt>
                      <w:r>
                        <w:rPr>
                          <w:rFonts w:ascii="Arial" w:eastAsia="Arial" w:hAnsi="Arial" w:cs="Arial"/>
                          <w:color w:val="000000"/>
                          <w:sz w:val="20"/>
                          <w:lang w:eastAsia="lt-LT"/>
                        </w:rPr>
                        <w:t>.</w:t>
                        <w:tab/>
                        <w:t>Ši Taikos sutartis įsigalioja nuo jos pasirašymo dienos ir turi būti teikiama teismui tvirtinti Civilinėje byloje, o priverstinai vykdytino dokumento galią įgyja ją patvirtinus Šiaulių apylinkės teismo Radviliškio rūmams.</w:t>
                      </w:r>
                    </w:p>
                    <w:p>
                      <w:pPr>
                        <w:rPr>
                          <w:sz w:val="10"/>
                          <w:szCs w:val="10"/>
                        </w:rPr>
                      </w:pPr>
                    </w:p>
                  </w:sdtContent>
                </w:sdt>
                <w:sdt>
                  <w:sdtPr>
                    <w:alias w:val="2.2 pp."/>
                    <w:tag w:val="part_9578fcbb379f45688877fab5fd40624b"/>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9578fcbb379f45688877fab5fd40624b"/>
                          <w:lock w:val="sdtLocked"/>
                          <w:richText/>
                        </w:sdtPr>
                        <w:sdtContent>
                          <w:r>
                            <w:rPr>
                              <w:rFonts w:ascii="Arial" w:eastAsia="Arial" w:hAnsi="Arial" w:cs="Arial"/>
                              <w:color w:val="000000"/>
                              <w:sz w:val="20"/>
                              <w:lang w:eastAsia="lt-LT"/>
                            </w:rPr>
                            <w:t>2.2</w:t>
                          </w:r>
                        </w:sdtContent>
                      </w:sdt>
                      <w:r>
                        <w:rPr>
                          <w:rFonts w:ascii="Arial" w:eastAsia="Arial" w:hAnsi="Arial" w:cs="Arial"/>
                          <w:color w:val="000000"/>
                          <w:sz w:val="20"/>
                          <w:lang w:eastAsia="lt-LT"/>
                        </w:rPr>
                        <w:t>.</w:t>
                        <w:tab/>
                        <w:t>Šią Taikos sutartį tvirtinimui turi teisę pateikti bet kuri iš Šalių.</w:t>
                      </w:r>
                    </w:p>
                    <w:p>
                      <w:pPr>
                        <w:rPr>
                          <w:sz w:val="10"/>
                          <w:szCs w:val="10"/>
                        </w:rPr>
                      </w:pPr>
                    </w:p>
                  </w:sdtContent>
                </w:sdt>
                <w:sdt>
                  <w:sdtPr>
                    <w:alias w:val="2.3 pp."/>
                    <w:tag w:val="part_dd23ed34fc104393bb47ce60708bed48"/>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dd23ed34fc104393bb47ce60708bed48"/>
                          <w:lock w:val="sdtLocked"/>
                          <w:richText/>
                        </w:sdtPr>
                        <w:sdtContent>
                          <w:r>
                            <w:rPr>
                              <w:rFonts w:ascii="Arial" w:eastAsia="Arial" w:hAnsi="Arial" w:cs="Arial"/>
                              <w:color w:val="000000"/>
                              <w:sz w:val="20"/>
                              <w:lang w:eastAsia="lt-LT"/>
                            </w:rPr>
                            <w:t>2.3</w:t>
                          </w:r>
                        </w:sdtContent>
                      </w:sdt>
                      <w:r>
                        <w:rPr>
                          <w:rFonts w:ascii="Arial" w:eastAsia="Arial" w:hAnsi="Arial" w:cs="Arial"/>
                          <w:color w:val="000000"/>
                          <w:sz w:val="20"/>
                          <w:lang w:eastAsia="lt-LT"/>
                        </w:rPr>
                        <w:t>.</w:t>
                        <w:tab/>
                        <w:t xml:space="preserve">Šalys prašo gerb. Teismo šios Taikos sutarties patvirtinimo klausimą nagrinėti rašytinio proceso tvarka, nepranešus ir nedalyvaujant Šalims ir jų atstovams. </w:t>
                      </w:r>
                    </w:p>
                    <w:p>
                      <w:pPr>
                        <w:rPr>
                          <w:sz w:val="10"/>
                          <w:szCs w:val="10"/>
                        </w:rPr>
                      </w:pPr>
                    </w:p>
                  </w:sdtContent>
                </w:sdt>
                <w:sdt>
                  <w:sdtPr>
                    <w:alias w:val="2.4 pp."/>
                    <w:tag w:val="part_37237500ed45486e8ea31fbd6bf4c595"/>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37237500ed45486e8ea31fbd6bf4c595"/>
                          <w:lock w:val="sdtLocked"/>
                          <w:richText/>
                        </w:sdtPr>
                        <w:sdtContent>
                          <w:r>
                            <w:rPr>
                              <w:rFonts w:ascii="Arial" w:eastAsia="Arial" w:hAnsi="Arial" w:cs="Arial"/>
                              <w:color w:val="000000"/>
                              <w:sz w:val="20"/>
                              <w:lang w:eastAsia="lt-LT"/>
                            </w:rPr>
                            <w:t>2.4</w:t>
                          </w:r>
                        </w:sdtContent>
                      </w:sdt>
                      <w:r>
                        <w:rPr>
                          <w:rFonts w:ascii="Arial" w:eastAsia="Arial" w:hAnsi="Arial" w:cs="Arial"/>
                          <w:color w:val="000000"/>
                          <w:sz w:val="20"/>
                          <w:lang w:eastAsia="lt-LT"/>
                        </w:rPr>
                        <w:t>.</w:t>
                        <w:tab/>
                        <w:t>Šalys susitaria, kad viena kitos neprašys išlaidų, susijusių su šios Taikos sutarties pasirašymu ir tvirtinimu, atlyginimo.</w:t>
                      </w:r>
                    </w:p>
                    <w:p>
                      <w:pPr>
                        <w:rPr>
                          <w:sz w:val="10"/>
                          <w:szCs w:val="10"/>
                        </w:rPr>
                      </w:pPr>
                    </w:p>
                  </w:sdtContent>
                </w:sdt>
                <w:sdt>
                  <w:sdtPr>
                    <w:alias w:val="2.5 pp."/>
                    <w:tag w:val="part_7d56e0f4e3d24e4ca4ac365e69e26ef8"/>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7d56e0f4e3d24e4ca4ac365e69e26ef8"/>
                          <w:lock w:val="sdtLocked"/>
                          <w:richText/>
                        </w:sdtPr>
                        <w:sdtContent>
                          <w:r>
                            <w:rPr>
                              <w:rFonts w:ascii="Arial" w:eastAsia="Arial" w:hAnsi="Arial" w:cs="Arial"/>
                              <w:color w:val="000000"/>
                              <w:sz w:val="20"/>
                              <w:lang w:eastAsia="lt-LT"/>
                            </w:rPr>
                            <w:t>2.5</w:t>
                          </w:r>
                        </w:sdtContent>
                      </w:sdt>
                      <w:r>
                        <w:rPr>
                          <w:rFonts w:ascii="Arial" w:eastAsia="Arial" w:hAnsi="Arial" w:cs="Arial"/>
                          <w:color w:val="000000"/>
                          <w:sz w:val="20"/>
                          <w:lang w:eastAsia="lt-LT"/>
                        </w:rPr>
                        <w:t>.</w:t>
                        <w:tab/>
                        <w:t>Šalys susitaria, kad Šiaulių apylinkės teismo Radviliškio rūmų išlaidas, susijusias su šios Civilinės bylos nagrinėjimu ir priteistas valstybės biudžetui, padengs Atsakovas.</w:t>
                      </w:r>
                    </w:p>
                    <w:p>
                      <w:pPr>
                        <w:rPr>
                          <w:sz w:val="10"/>
                          <w:szCs w:val="10"/>
                        </w:rPr>
                      </w:pPr>
                    </w:p>
                  </w:sdtContent>
                </w:sdt>
                <w:sdt>
                  <w:sdtPr>
                    <w:alias w:val="2.6 pp."/>
                    <w:tag w:val="part_a26fc84aac3a4b58bd401e934827fe9f"/>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a26fc84aac3a4b58bd401e934827fe9f"/>
                          <w:lock w:val="sdtLocked"/>
                          <w:richText/>
                        </w:sdtPr>
                        <w:sdtContent>
                          <w:r>
                            <w:rPr>
                              <w:rFonts w:ascii="Arial" w:eastAsia="Arial" w:hAnsi="Arial" w:cs="Arial"/>
                              <w:color w:val="000000"/>
                              <w:sz w:val="20"/>
                              <w:lang w:eastAsia="lt-LT"/>
                            </w:rPr>
                            <w:t>2.6</w:t>
                          </w:r>
                        </w:sdtContent>
                      </w:sdt>
                      <w:r>
                        <w:rPr>
                          <w:rFonts w:ascii="Arial" w:eastAsia="Arial" w:hAnsi="Arial" w:cs="Arial"/>
                          <w:color w:val="000000"/>
                          <w:sz w:val="20"/>
                          <w:lang w:eastAsia="lt-LT"/>
                        </w:rPr>
                        <w:t>.</w:t>
                        <w:tab/>
                        <w:t>Vadovaudamasis CPK 87 str. 2 d., Ieškovas prašo Teismo grąžinti Ieškovui 75 proc. sumokėto žyminio mokesčio Civilinėje byloje.</w:t>
                      </w:r>
                    </w:p>
                    <w:p>
                      <w:pPr>
                        <w:rPr>
                          <w:sz w:val="10"/>
                          <w:szCs w:val="10"/>
                        </w:rPr>
                      </w:pPr>
                    </w:p>
                  </w:sdtContent>
                </w:sdt>
              </w:sdtContent>
            </w:sdt>
            <w:sdt>
              <w:sdtPr>
                <w:alias w:val="3 p."/>
                <w:tag w:val="part_60be9f767d094963a9215e797371ca30"/>
                <w:lock w:val="sdtLocked"/>
                <w:richText/>
              </w:sdtPr>
              <w:sdtContent>
                <w:p>
                  <w:pPr>
                    <w:pBdr>
                      <w:top w:val="nil"/>
                      <w:left w:val="nil"/>
                      <w:bottom w:val="nil"/>
                      <w:right w:val="nil"/>
                      <w:between w:val="nil"/>
                    </w:pBdr>
                    <w:ind w:left="567" w:hanging="567"/>
                    <w:jc w:val="both"/>
                    <w:rPr>
                      <w:rFonts w:ascii="Arial" w:eastAsia="Arial" w:hAnsi="Arial" w:cs="Arial"/>
                      <w:b/>
                      <w:color w:val="000000"/>
                      <w:sz w:val="20"/>
                      <w:lang w:eastAsia="lt-LT"/>
                    </w:rPr>
                  </w:pPr>
                  <w:sdt>
                    <w:sdtPr>
                      <w:alias w:val="Numeris"/>
                      <w:tag w:val="nr_60be9f767d094963a9215e797371ca30"/>
                      <w:lock w:val="sdtLocked"/>
                      <w:richText/>
                    </w:sdtPr>
                    <w:sdtContent>
                      <w:r>
                        <w:rPr>
                          <w:rFonts w:ascii="Arial" w:eastAsia="Arial" w:hAnsi="Arial" w:cs="Arial"/>
                          <w:b/>
                          <w:color w:val="000000"/>
                          <w:sz w:val="20"/>
                          <w:lang w:eastAsia="lt-LT"/>
                        </w:rPr>
                        <w:t>3</w:t>
                      </w:r>
                    </w:sdtContent>
                  </w:sdt>
                  <w:r>
                    <w:rPr>
                      <w:rFonts w:ascii="Arial" w:eastAsia="Arial" w:hAnsi="Arial" w:cs="Arial"/>
                      <w:b/>
                      <w:color w:val="000000"/>
                      <w:sz w:val="20"/>
                      <w:lang w:eastAsia="lt-LT"/>
                    </w:rPr>
                    <w:t>.</w:t>
                    <w:tab/>
                    <w:t>Baigiamosios nuostatos</w:t>
                  </w:r>
                </w:p>
                <w:p>
                  <w:pPr>
                    <w:rPr>
                      <w:sz w:val="10"/>
                      <w:szCs w:val="10"/>
                    </w:rPr>
                  </w:pPr>
                </w:p>
                <w:sdt>
                  <w:sdtPr>
                    <w:alias w:val="3.1 pp."/>
                    <w:tag w:val="part_cf6f7392f6994ca4b0c721782167a26d"/>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cf6f7392f6994ca4b0c721782167a26d"/>
                          <w:lock w:val="sdtLocked"/>
                          <w:richText/>
                        </w:sdtPr>
                        <w:sdtContent>
                          <w:r>
                            <w:rPr>
                              <w:rFonts w:ascii="Arial" w:eastAsia="Arial" w:hAnsi="Arial" w:cs="Arial"/>
                              <w:color w:val="000000"/>
                              <w:sz w:val="20"/>
                              <w:lang w:eastAsia="lt-LT"/>
                            </w:rPr>
                            <w:t>3.1</w:t>
                          </w:r>
                        </w:sdtContent>
                      </w:sdt>
                      <w:r>
                        <w:rPr>
                          <w:rFonts w:ascii="Arial" w:eastAsia="Arial" w:hAnsi="Arial" w:cs="Arial"/>
                          <w:color w:val="000000"/>
                          <w:sz w:val="20"/>
                          <w:lang w:eastAsia="lt-LT"/>
                        </w:rPr>
                        <w:t>.</w:t>
                        <w:tab/>
                        <w:t>Šalys pareiškia ir patvirtina savo atžvilgiu, kad (1) su šios Taikos sutarties sąlygomis susipažino, jos Šalims yra aiškios, suprantamos ir priimtinos bei aptartos individualiai; (2) šios Taikos sutarties pasirašymas nepažeidžia jokių kitų Šalių sudarytų sutarčių ar joms taikomų teisės aktų nuostatų, taip pat jokių kitų trečiųjų asmenų teisių ir interesų bei neprieštarauja imperatyvioms įstatymo normoms bei viešajam interesui, Sutartį pasirašančios Šalys turi visus tam reikiamus leidimus ir įgaliojimus; (3) šią Taikos sutartį pasirašo savo laisvu apsisprendimu ir valia.</w:t>
                      </w:r>
                    </w:p>
                    <w:p>
                      <w:pPr>
                        <w:rPr>
                          <w:sz w:val="10"/>
                          <w:szCs w:val="10"/>
                        </w:rPr>
                      </w:pPr>
                    </w:p>
                  </w:sdtContent>
                </w:sdt>
                <w:sdt>
                  <w:sdtPr>
                    <w:alias w:val="3.2 pp."/>
                    <w:tag w:val="part_130f7ca83de74f438a7ad01fdd70b8b3"/>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130f7ca83de74f438a7ad01fdd70b8b3"/>
                          <w:lock w:val="sdtLocked"/>
                          <w:richText/>
                        </w:sdtPr>
                        <w:sdtContent>
                          <w:r>
                            <w:rPr>
                              <w:rFonts w:ascii="Arial" w:eastAsia="Arial" w:hAnsi="Arial" w:cs="Arial"/>
                              <w:color w:val="000000"/>
                              <w:sz w:val="20"/>
                              <w:lang w:eastAsia="lt-LT"/>
                            </w:rPr>
                            <w:t>3.2</w:t>
                          </w:r>
                        </w:sdtContent>
                      </w:sdt>
                      <w:r>
                        <w:rPr>
                          <w:rFonts w:ascii="Arial" w:eastAsia="Arial" w:hAnsi="Arial" w:cs="Arial"/>
                          <w:color w:val="000000"/>
                          <w:sz w:val="20"/>
                          <w:lang w:eastAsia="lt-LT"/>
                        </w:rPr>
                        <w:t>.</w:t>
                        <w:tab/>
                        <w:t>Šalys patvirtina, kad joms yra žinomos ir suprantamos visos Lietuvos Respublikos civilinio kodekso 6.985 straipsnyje bei Lietuvos Respublikos civilinio proceso kodekso 137 straipsnio 2 dalies 4 punkte, 140 straipsnio 3 dalyje bei 293–294 straipsniuose numatytos taikos sutarties sudarymo pasekmės, t. y. teismo patvirtinta taikos sutartis jos šalims turi galutinio teismo sprendimo (</w:t>
                      </w:r>
                      <w:r>
                        <w:rPr>
                          <w:rFonts w:ascii="Arial" w:eastAsia="Arial" w:hAnsi="Arial" w:cs="Arial"/>
                          <w:i/>
                          <w:iCs/>
                          <w:color w:val="000000"/>
                          <w:sz w:val="20"/>
                          <w:lang w:eastAsia="lt-LT"/>
                        </w:rPr>
                        <w:t>res judicata</w:t>
                      </w:r>
                      <w:r>
                        <w:rPr>
                          <w:rFonts w:ascii="Arial" w:eastAsia="Arial" w:hAnsi="Arial" w:cs="Arial"/>
                          <w:color w:val="000000"/>
                          <w:sz w:val="20"/>
                          <w:lang w:eastAsia="lt-LT"/>
                        </w:rPr>
                        <w:t>) galią. Šios teisinės pasekmės atitinka tikrąją šalių valią, išreiškiamą sudarant Taikos sutartį.</w:t>
                      </w:r>
                    </w:p>
                    <w:p>
                      <w:pPr>
                        <w:rPr>
                          <w:sz w:val="10"/>
                          <w:szCs w:val="10"/>
                        </w:rPr>
                      </w:pPr>
                    </w:p>
                  </w:sdtContent>
                </w:sdt>
                <w:sdt>
                  <w:sdtPr>
                    <w:alias w:val="3.3 pp."/>
                    <w:tag w:val="part_46b3f8e7a90b438da424646e0a464274"/>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46b3f8e7a90b438da424646e0a464274"/>
                          <w:lock w:val="sdtLocked"/>
                          <w:richText/>
                        </w:sdtPr>
                        <w:sdtContent>
                          <w:r>
                            <w:rPr>
                              <w:rFonts w:ascii="Arial" w:eastAsia="Arial" w:hAnsi="Arial" w:cs="Arial"/>
                              <w:color w:val="000000"/>
                              <w:sz w:val="20"/>
                              <w:lang w:eastAsia="lt-LT"/>
                            </w:rPr>
                            <w:t>3.3</w:t>
                          </w:r>
                        </w:sdtContent>
                      </w:sdt>
                      <w:r>
                        <w:rPr>
                          <w:rFonts w:ascii="Arial" w:eastAsia="Arial" w:hAnsi="Arial" w:cs="Arial"/>
                          <w:color w:val="000000"/>
                          <w:sz w:val="20"/>
                          <w:lang w:eastAsia="lt-LT"/>
                        </w:rPr>
                        <w:t>.</w:t>
                        <w:tab/>
                        <w:t>Šalys patvirtina, kad joms yra žinoma ir suprantama, jog Taikos sutarties sudarymo faktas, šiame Susitarime išdėstytos sąlygos ir su jomis susijusi informacija yra konfidenciali.</w:t>
                      </w:r>
                    </w:p>
                    <w:p>
                      <w:pPr>
                        <w:rPr>
                          <w:sz w:val="10"/>
                          <w:szCs w:val="10"/>
                        </w:rPr>
                      </w:pPr>
                    </w:p>
                  </w:sdtContent>
                </w:sdt>
                <w:sdt>
                  <w:sdtPr>
                    <w:alias w:val="3.4 pp."/>
                    <w:tag w:val="part_d0c78c34da24481293089139598a266e"/>
                    <w:lock w:val="sdtLocked"/>
                    <w:richText/>
                  </w:sdtPr>
                  <w:sdtContent>
                    <w:p>
                      <w:pPr>
                        <w:pBdr>
                          <w:top w:val="nil"/>
                          <w:left w:val="nil"/>
                          <w:bottom w:val="nil"/>
                          <w:right w:val="nil"/>
                          <w:between w:val="nil"/>
                        </w:pBdr>
                        <w:ind w:left="567" w:hanging="567"/>
                        <w:jc w:val="both"/>
                        <w:rPr>
                          <w:rFonts w:ascii="Arial" w:eastAsia="Arial" w:hAnsi="Arial" w:cs="Arial"/>
                          <w:color w:val="000000"/>
                          <w:sz w:val="20"/>
                          <w:lang w:eastAsia="lt-LT"/>
                        </w:rPr>
                      </w:pPr>
                      <w:sdt>
                        <w:sdtPr>
                          <w:alias w:val="Numeris"/>
                          <w:tag w:val="nr_d0c78c34da24481293089139598a266e"/>
                          <w:lock w:val="sdtLocked"/>
                          <w:richText/>
                        </w:sdtPr>
                        <w:sdtContent>
                          <w:r>
                            <w:rPr>
                              <w:rFonts w:ascii="Arial" w:eastAsia="Arial" w:hAnsi="Arial" w:cs="Arial"/>
                              <w:color w:val="000000"/>
                              <w:sz w:val="20"/>
                              <w:lang w:eastAsia="lt-LT"/>
                            </w:rPr>
                            <w:t>3.4</w:t>
                          </w:r>
                        </w:sdtContent>
                      </w:sdt>
                      <w:r>
                        <w:rPr>
                          <w:rFonts w:ascii="Arial" w:eastAsia="Arial" w:hAnsi="Arial" w:cs="Arial"/>
                          <w:color w:val="000000"/>
                          <w:sz w:val="20"/>
                          <w:lang w:eastAsia="lt-LT"/>
                        </w:rPr>
                        <w:t>.</w:t>
                        <w:tab/>
                        <w:t>Ši Taikos sutartis sudaroma 2 (dviem) vienodą juridinę galią turinčiais egzemplioriais, po vieną kiekvienai Šaliai. Taikos sutartį pasirašant kvalifikuotu elektroniniu parašu, sudaromas tik vienas Taikos sutarties egzempliorius.</w:t>
                      </w:r>
                    </w:p>
                    <w:p>
                      <w:pPr>
                        <w:rPr>
                          <w:sz w:val="10"/>
                          <w:szCs w:val="10"/>
                        </w:rPr>
                      </w:pPr>
                    </w:p>
                  </w:sdtContent>
                </w:sdt>
                <w:sdt>
                  <w:sdtPr>
                    <w:alias w:val="3.5 pp."/>
                    <w:tag w:val="part_7403d751a5204b0cbc15dc93ed3bd5dd"/>
                    <w:lock w:val="sdtLocked"/>
                    <w:richText/>
                  </w:sdtPr>
                  <w:sdtContent>
                    <w:p>
                      <w:pPr>
                        <w:pBdr>
                          <w:top w:val="nil"/>
                          <w:left w:val="nil"/>
                          <w:bottom w:val="nil"/>
                          <w:right w:val="nil"/>
                          <w:between w:val="nil"/>
                        </w:pBdr>
                        <w:ind w:left="567" w:hanging="567"/>
                        <w:jc w:val="both"/>
                        <w:rPr>
                          <w:rFonts w:ascii="Arial" w:eastAsia="Arial" w:hAnsi="Arial" w:cs="Arial"/>
                          <w:b/>
                          <w:bCs/>
                          <w:color w:val="000000"/>
                          <w:sz w:val="20"/>
                          <w:lang w:eastAsia="lt-LT"/>
                        </w:rPr>
                      </w:pPr>
                      <w:sdt>
                        <w:sdtPr>
                          <w:alias w:val="Numeris"/>
                          <w:tag w:val="nr_7403d751a5204b0cbc15dc93ed3bd5dd"/>
                          <w:lock w:val="sdtLocked"/>
                          <w:richText/>
                        </w:sdtPr>
                        <w:sdtContent>
                          <w:r>
                            <w:rPr>
                              <w:rFonts w:ascii="Arial" w:eastAsia="Arial" w:hAnsi="Arial" w:cs="Arial"/>
                              <w:b/>
                              <w:bCs/>
                              <w:color w:val="000000"/>
                              <w:sz w:val="20"/>
                              <w:lang w:eastAsia="lt-LT"/>
                            </w:rPr>
                            <w:t>3.5</w:t>
                          </w:r>
                        </w:sdtContent>
                      </w:sdt>
                      <w:r>
                        <w:rPr>
                          <w:rFonts w:ascii="Arial" w:eastAsia="Arial" w:hAnsi="Arial" w:cs="Arial"/>
                          <w:b/>
                          <w:bCs/>
                          <w:color w:val="000000"/>
                          <w:sz w:val="20"/>
                          <w:lang w:eastAsia="lt-LT"/>
                        </w:rPr>
                        <w:t>.</w:t>
                        <w:tab/>
                        <w:t xml:space="preserve">PRIEDAI: </w:t>
                      </w:r>
                    </w:p>
                    <w:p>
                      <w:pPr>
                        <w:rPr>
                          <w:sz w:val="10"/>
                          <w:szCs w:val="10"/>
                        </w:rPr>
                      </w:pPr>
                    </w:p>
                    <w:sdt>
                      <w:sdtPr>
                        <w:alias w:val="3.5.1 pp."/>
                        <w:tag w:val="part_3b6f8db5765b43059820e4ddcf06d7c5"/>
                        <w:lock w:val="sdtLocked"/>
                        <w:richText/>
                      </w:sdtPr>
                      <w:sdtContent>
                        <w:p>
                          <w:pPr>
                            <w:pBdr>
                              <w:top w:val="nil"/>
                              <w:left w:val="nil"/>
                              <w:bottom w:val="nil"/>
                              <w:right w:val="nil"/>
                              <w:between w:val="nil"/>
                            </w:pBdr>
                            <w:ind w:left="1134" w:hanging="567"/>
                            <w:jc w:val="both"/>
                            <w:rPr>
                              <w:rFonts w:ascii="Arial" w:eastAsia="Arial" w:hAnsi="Arial" w:cs="Arial"/>
                              <w:color w:val="000000"/>
                              <w:sz w:val="20"/>
                              <w:lang w:eastAsia="lt-LT"/>
                            </w:rPr>
                          </w:pPr>
                          <w:sdt>
                            <w:sdtPr>
                              <w:alias w:val="Numeris"/>
                              <w:tag w:val="nr_3b6f8db5765b43059820e4ddcf06d7c5"/>
                              <w:lock w:val="sdtLocked"/>
                              <w:richText/>
                            </w:sdtPr>
                            <w:sdtContent>
                              <w:r>
                                <w:rPr>
                                  <w:rFonts w:ascii="Arial" w:eastAsia="Arial" w:hAnsi="Arial" w:cs="Arial"/>
                                  <w:color w:val="000000"/>
                                  <w:sz w:val="20"/>
                                  <w:lang w:eastAsia="lt-LT"/>
                                </w:rPr>
                                <w:t>3.5.1</w:t>
                              </w:r>
                            </w:sdtContent>
                          </w:sdt>
                          <w:r>
                            <w:rPr>
                              <w:rFonts w:ascii="Arial" w:eastAsia="Arial" w:hAnsi="Arial" w:cs="Arial"/>
                              <w:color w:val="000000"/>
                              <w:sz w:val="20"/>
                              <w:lang w:eastAsia="lt-LT"/>
                            </w:rPr>
                            <w:t>.</w:t>
                            <w:tab/>
                            <w:t>Priedas Nr. 1 - patalpų planas;</w:t>
                          </w:r>
                        </w:p>
                        <w:p>
                          <w:pPr>
                            <w:rPr>
                              <w:sz w:val="10"/>
                              <w:szCs w:val="10"/>
                            </w:rPr>
                          </w:pPr>
                        </w:p>
                      </w:sdtContent>
                    </w:sdt>
                    <w:sdt>
                      <w:sdtPr>
                        <w:alias w:val="3.5.2 pp."/>
                        <w:tag w:val="part_de16b43a91c04a2abefe9611e99908e8"/>
                        <w:lock w:val="sdtLocked"/>
                        <w:richText/>
                      </w:sdtPr>
                      <w:sdtContent>
                        <w:p>
                          <w:pPr>
                            <w:pBdr>
                              <w:top w:val="nil"/>
                              <w:left w:val="nil"/>
                              <w:bottom w:val="nil"/>
                              <w:right w:val="nil"/>
                              <w:between w:val="nil"/>
                            </w:pBdr>
                            <w:ind w:left="1134" w:hanging="567"/>
                            <w:jc w:val="both"/>
                            <w:rPr>
                              <w:rFonts w:ascii="Arial" w:eastAsia="Arial" w:hAnsi="Arial" w:cs="Arial"/>
                              <w:color w:val="000000"/>
                              <w:sz w:val="20"/>
                              <w:lang w:eastAsia="lt-LT"/>
                            </w:rPr>
                          </w:pPr>
                          <w:sdt>
                            <w:sdtPr>
                              <w:alias w:val="Numeris"/>
                              <w:tag w:val="nr_de16b43a91c04a2abefe9611e99908e8"/>
                              <w:lock w:val="sdtLocked"/>
                              <w:richText/>
                            </w:sdtPr>
                            <w:sdtContent>
                              <w:r>
                                <w:rPr>
                                  <w:rFonts w:ascii="Arial" w:eastAsia="Arial" w:hAnsi="Arial" w:cs="Arial"/>
                                  <w:color w:val="000000"/>
                                  <w:sz w:val="20"/>
                                  <w:lang w:eastAsia="lt-LT"/>
                                </w:rPr>
                                <w:t>3.5.2</w:t>
                              </w:r>
                            </w:sdtContent>
                          </w:sdt>
                          <w:r>
                            <w:rPr>
                              <w:rFonts w:ascii="Arial" w:eastAsia="Arial" w:hAnsi="Arial" w:cs="Arial"/>
                              <w:color w:val="000000"/>
                              <w:sz w:val="20"/>
                              <w:lang w:eastAsia="lt-LT"/>
                            </w:rPr>
                            <w:t>.</w:t>
                            <w:tab/>
                            <w:t>Priedas Nr. 2 – Šiaulių vyskupijos kurijos liudijimas;</w:t>
                          </w:r>
                        </w:p>
                        <w:p>
                          <w:pPr>
                            <w:rPr>
                              <w:sz w:val="10"/>
                              <w:szCs w:val="10"/>
                            </w:rPr>
                          </w:pPr>
                        </w:p>
                      </w:sdtContent>
                    </w:sdt>
                    <w:sdt>
                      <w:sdtPr>
                        <w:alias w:val="3.5.3 pp."/>
                        <w:tag w:val="part_184d053cfbdb45bf966a0e3d255ab7d9"/>
                        <w:lock w:val="sdtLocked"/>
                        <w:richText/>
                      </w:sdtPr>
                      <w:sdtContent>
                        <w:p>
                          <w:pPr>
                            <w:pBdr>
                              <w:top w:val="nil"/>
                              <w:left w:val="nil"/>
                              <w:bottom w:val="nil"/>
                              <w:right w:val="nil"/>
                              <w:between w:val="nil"/>
                            </w:pBdr>
                            <w:ind w:left="1134" w:hanging="567"/>
                            <w:jc w:val="both"/>
                            <w:rPr>
                              <w:rFonts w:ascii="Arial" w:eastAsia="Arial" w:hAnsi="Arial" w:cs="Arial"/>
                              <w:color w:val="000000"/>
                              <w:sz w:val="20"/>
                              <w:lang w:eastAsia="lt-LT"/>
                            </w:rPr>
                          </w:pPr>
                          <w:sdt>
                            <w:sdtPr>
                              <w:alias w:val="Numeris"/>
                              <w:tag w:val="nr_184d053cfbdb45bf966a0e3d255ab7d9"/>
                              <w:lock w:val="sdtLocked"/>
                              <w:richText/>
                            </w:sdtPr>
                            <w:sdtContent>
                              <w:r>
                                <w:rPr>
                                  <w:rFonts w:ascii="Arial" w:eastAsia="Arial" w:hAnsi="Arial" w:cs="Arial"/>
                                  <w:color w:val="000000"/>
                                  <w:sz w:val="20"/>
                                  <w:lang w:eastAsia="lt-LT"/>
                                </w:rPr>
                                <w:t>3.5.3</w:t>
                              </w:r>
                            </w:sdtContent>
                          </w:sdt>
                          <w:r>
                            <w:rPr>
                              <w:rFonts w:ascii="Arial" w:eastAsia="Arial" w:hAnsi="Arial" w:cs="Arial"/>
                              <w:color w:val="000000"/>
                              <w:sz w:val="20"/>
                              <w:lang w:eastAsia="lt-LT"/>
                            </w:rPr>
                            <w:t>.</w:t>
                            <w:tab/>
                            <w:t xml:space="preserve">Priedas Nr. 3 – Radviliškio rajono savivaldybės tarybos 2025 m. lapkričio </w:t>
                          </w:r>
                          <w:r>
                            <w:rPr>
                              <w:rFonts w:ascii="Arial" w:eastAsia="Arial" w:hAnsi="Arial" w:cs="Arial"/>
                              <w:color w:val="000000"/>
                              <w:sz w:val="20"/>
                              <w:highlight w:val="yellow"/>
                              <w:lang w:eastAsia="lt-LT"/>
                            </w:rPr>
                            <w:t>__</w:t>
                          </w:r>
                          <w:r>
                            <w:rPr>
                              <w:rFonts w:ascii="Arial" w:eastAsia="Arial" w:hAnsi="Arial" w:cs="Arial"/>
                              <w:color w:val="000000"/>
                              <w:sz w:val="20"/>
                              <w:lang w:eastAsia="lt-LT"/>
                            </w:rPr>
                            <w:t xml:space="preserve"> d.  sprendimas Nr. </w:t>
                          </w:r>
                          <w:r>
                            <w:rPr>
                              <w:rFonts w:ascii="Arial" w:eastAsia="Arial" w:hAnsi="Arial" w:cs="Arial"/>
                              <w:color w:val="000000"/>
                              <w:sz w:val="20"/>
                              <w:highlight w:val="yellow"/>
                              <w:lang w:eastAsia="lt-LT"/>
                            </w:rPr>
                            <w:t>____</w:t>
                          </w:r>
                          <w:r>
                            <w:rPr>
                              <w:rFonts w:ascii="Arial" w:eastAsia="Arial" w:hAnsi="Arial" w:cs="Arial"/>
                              <w:color w:val="000000"/>
                              <w:sz w:val="20"/>
                              <w:lang w:eastAsia="lt-LT"/>
                            </w:rPr>
                            <w:t>.</w:t>
                          </w:r>
                        </w:p>
                        <w:p>
                          <w:pPr>
                            <w:rPr>
                              <w:sz w:val="10"/>
                              <w:szCs w:val="10"/>
                            </w:rPr>
                          </w:pPr>
                        </w:p>
                        <w:p>
                          <w:pPr>
                            <w:pBdr>
                              <w:top w:val="nil"/>
                              <w:left w:val="nil"/>
                              <w:bottom w:val="nil"/>
                              <w:right w:val="nil"/>
                              <w:between w:val="nil"/>
                            </w:pBdr>
                            <w:jc w:val="both"/>
                            <w:rPr>
                              <w:rFonts w:ascii="Arial" w:eastAsia="Arial" w:hAnsi="Arial" w:cs="Arial"/>
                              <w:b/>
                              <w:sz w:val="20"/>
                              <w:lang w:eastAsia="lt-LT"/>
                            </w:rPr>
                          </w:pPr>
                        </w:p>
                        <w:p>
                          <w:pPr>
                            <w:rPr>
                              <w:sz w:val="10"/>
                              <w:szCs w:val="10"/>
                            </w:rPr>
                          </w:pPr>
                        </w:p>
                        <w:p>
                          <w:pPr>
                            <w:pBdr>
                              <w:top w:val="nil"/>
                              <w:left w:val="nil"/>
                              <w:bottom w:val="nil"/>
                              <w:right w:val="nil"/>
                              <w:between w:val="nil"/>
                            </w:pBdr>
                            <w:jc w:val="both"/>
                            <w:rPr>
                              <w:rFonts w:ascii="Arial" w:eastAsia="Arial" w:hAnsi="Arial" w:cs="Arial"/>
                              <w:b/>
                              <w:sz w:val="20"/>
                              <w:lang w:eastAsia="lt-LT"/>
                            </w:rPr>
                          </w:pPr>
                        </w:p>
                        <w:p>
                          <w:pPr>
                            <w:rPr>
                              <w:sz w:val="10"/>
                              <w:szCs w:val="10"/>
                            </w:rPr>
                          </w:pPr>
                        </w:p>
                        <w:sdt>
                          <w:sdtPr>
                            <w:alias w:val="lentele"/>
                            <w:tag w:val="part_d73ab6fd351f43fbbfca72dd0e066eb3"/>
                            <w:lock w:val="sdtLocked"/>
                            <w:richText/>
                          </w:sdtPr>
                          <w:sdtContent>
                            <w:p>
                              <w:pPr>
                                <w:pBdr>
                                  <w:top w:val="nil"/>
                                  <w:left w:val="nil"/>
                                  <w:bottom w:val="nil"/>
                                  <w:right w:val="nil"/>
                                  <w:between w:val="nil"/>
                                </w:pBdr>
                                <w:jc w:val="both"/>
                                <w:rPr>
                                  <w:rFonts w:ascii="Arial" w:eastAsia="Arial" w:hAnsi="Arial" w:cs="Arial"/>
                                  <w:color w:val="000000"/>
                                  <w:sz w:val="20"/>
                                  <w:lang w:eastAsia="lt-LT"/>
                                </w:rPr>
                              </w:pPr>
                              <w:sdt>
                                <w:sdtPr>
                                  <w:alias w:val="Pavadinimas"/>
                                  <w:tag w:val="title_d73ab6fd351f43fbbfca72dd0e066eb3"/>
                                  <w:lock w:val="sdtLocked"/>
                                  <w:richText/>
                                </w:sdtPr>
                                <w:sdtContent>
                                  <w:r>
                                    <w:rPr>
                                      <w:rFonts w:ascii="Arial" w:eastAsia="Arial" w:hAnsi="Arial" w:cs="Arial"/>
                                      <w:b/>
                                      <w:sz w:val="20"/>
                                      <w:lang w:eastAsia="lt-LT"/>
                                    </w:rPr>
                                    <w:t>Atsižvelgdamos į aukščiau nurodytą, Šalys susitaria ir prašo Teismo patvirtinti Taikos sutartį ir Civilinę bylą nutraukti:</w:t>
                                  </w:r>
                                </w:sdtContent>
                              </w:sdt>
                            </w:p>
                            <w:p>
                              <w:pPr>
                                <w:rPr>
                                  <w:sz w:val="10"/>
                                  <w:szCs w:val="10"/>
                                </w:rPr>
                              </w:pPr>
                            </w:p>
                            <w:p>
                              <w:pPr>
                                <w:spacing w:line="276" w:lineRule="auto"/>
                                <w:jc w:val="both"/>
                                <w:rPr>
                                  <w:rFonts w:ascii="Arial" w:eastAsia="Arial" w:hAnsi="Arial" w:cs="Arial"/>
                                  <w:b/>
                                  <w:sz w:val="20"/>
                                  <w:lang w:eastAsia="lt-LT"/>
                                </w:rPr>
                              </w:pPr>
                            </w:p>
                            <w:p>
                              <w:pPr>
                                <w:rPr>
                                  <w:sz w:val="10"/>
                                  <w:szCs w:val="10"/>
                                </w:rPr>
                              </w:pPr>
                            </w:p>
                            <w:tbl>
                              <w:tblPr>
                                <w:tblW w:w="10348" w:type="dxa"/>
                                <w:tblLayout w:type="fixed"/>
                                <w:tblCellMar>
                                  <w:left w:w="115" w:type="dxa"/>
                                  <w:right w:w="115" w:type="dxa"/>
                                </w:tblCellMar>
                                <w:tblLook w:val="0000" w:firstRow="0" w:lastRow="0" w:firstColumn="0" w:lastColumn="0" w:noHBand="0" w:noVBand="0"/>
                              </w:tblPr>
                              <w:tblGrid>
                                <w:gridCol w:w="5103"/>
                                <w:gridCol w:w="5245"/>
                              </w:tblGrid>
                              <w:tr>
                                <w:trPr>
                                  <w:trHeight w:val="375"/>
                                </w:trPr>
                                <w:tc>
                                  <w:tcPr>
                                    <w:tcW w:w="5103" w:type="dxa"/>
                                  </w:tcPr>
                                  <w:p>
                                    <w:pPr>
                                      <w:ind w:left="-26"/>
                                      <w:rPr>
                                        <w:rFonts w:ascii="Arial" w:eastAsia="Arial" w:hAnsi="Arial" w:cs="Arial"/>
                                        <w:b/>
                                        <w:sz w:val="20"/>
                                        <w:lang w:eastAsia="lt-LT"/>
                                      </w:rPr>
                                    </w:pPr>
                                    <w:r>
                                      <w:rPr>
                                        <w:rFonts w:ascii="Arial" w:eastAsia="Arial" w:hAnsi="Arial" w:cs="Arial"/>
                                        <w:b/>
                                        <w:sz w:val="20"/>
                                        <w:lang w:eastAsia="lt-LT"/>
                                      </w:rPr>
                                      <w:t>Ieškovo vardu:</w:t>
                                    </w:r>
                                  </w:p>
                                </w:tc>
                                <w:tc>
                                  <w:tcPr>
                                    <w:tcW w:w="5245" w:type="dxa"/>
                                  </w:tcPr>
                                  <w:p>
                                    <w:pPr>
                                      <w:rPr>
                                        <w:rFonts w:ascii="Arial" w:eastAsia="Arial" w:hAnsi="Arial" w:cs="Arial"/>
                                        <w:b/>
                                        <w:sz w:val="20"/>
                                        <w:lang w:eastAsia="lt-LT"/>
                                      </w:rPr>
                                    </w:pPr>
                                    <w:r>
                                      <w:rPr>
                                        <w:rFonts w:ascii="Arial" w:eastAsia="Arial" w:hAnsi="Arial" w:cs="Arial"/>
                                        <w:b/>
                                        <w:sz w:val="20"/>
                                        <w:lang w:eastAsia="lt-LT"/>
                                      </w:rPr>
                                      <w:t>Atsakovo vardu:</w:t>
                                    </w:r>
                                  </w:p>
                                </w:tc>
                              </w:tr>
                              <w:tr>
                                <w:trPr>
                                  <w:trHeight w:val="389"/>
                                </w:trPr>
                                <w:tc>
                                  <w:tcPr>
                                    <w:tcW w:w="5103" w:type="dxa"/>
                                  </w:tcPr>
                                  <w:p>
                                    <w:pPr>
                                      <w:rPr>
                                        <w:rFonts w:ascii="Arial" w:eastAsia="Arial" w:hAnsi="Arial" w:cs="Arial"/>
                                        <w:color w:val="000000"/>
                                        <w:sz w:val="20"/>
                                        <w:lang w:eastAsia="lt-LT"/>
                                      </w:rPr>
                                    </w:pPr>
                                  </w:p>
                                  <w:p>
                                    <w:pPr>
                                      <w:ind w:left="-26"/>
                                      <w:rPr>
                                        <w:rFonts w:ascii="Arial" w:eastAsia="Arial" w:hAnsi="Arial" w:cs="Arial"/>
                                        <w:sz w:val="20"/>
                                        <w:lang w:eastAsia="lt-LT"/>
                                      </w:rPr>
                                    </w:pPr>
                                    <w:r>
                                      <w:rPr>
                                        <w:rFonts w:ascii="Arial" w:eastAsia="Arial" w:hAnsi="Arial" w:cs="Arial"/>
                                        <w:sz w:val="20"/>
                                        <w:lang w:eastAsia="lt-LT"/>
                                      </w:rPr>
                                      <w:t>__________________________</w:t>
                                    </w:r>
                                  </w:p>
                                  <w:p>
                                    <w:pPr>
                                      <w:ind w:left="-28"/>
                                      <w:rPr>
                                        <w:rFonts w:ascii="Arial" w:eastAsia="Arial" w:hAnsi="Arial" w:cs="Arial"/>
                                        <w:sz w:val="20"/>
                                        <w:lang w:eastAsia="lt-LT"/>
                                      </w:rPr>
                                    </w:pPr>
                                    <w:r>
                                      <w:rPr>
                                        <w:rFonts w:ascii="Arial" w:eastAsia="Arial" w:hAnsi="Arial" w:cs="Arial"/>
                                        <w:sz w:val="20"/>
                                        <w:lang w:eastAsia="lt-LT"/>
                                      </w:rPr>
                                      <w:t>Klebonas</w:t>
                                    </w:r>
                                  </w:p>
                                  <w:p>
                                    <w:pPr>
                                      <w:ind w:left="-26"/>
                                      <w:rPr>
                                        <w:rFonts w:ascii="Arial" w:eastAsia="Arial" w:hAnsi="Arial" w:cs="Arial"/>
                                        <w:sz w:val="20"/>
                                        <w:lang w:eastAsia="lt-LT"/>
                                      </w:rPr>
                                    </w:pPr>
                                    <w:r>
                                      <w:rPr>
                                        <w:rFonts w:ascii="Arial" w:eastAsia="Arial" w:hAnsi="Arial" w:cs="Arial"/>
                                        <w:sz w:val="20"/>
                                        <w:lang w:eastAsia="lt-LT"/>
                                      </w:rPr>
                                      <w:t>kun. teol. lic. Tomas Rudys</w:t>
                                    </w:r>
                                  </w:p>
                                </w:tc>
                                <w:tc>
                                  <w:tcPr>
                                    <w:tcW w:w="5245" w:type="dxa"/>
                                  </w:tcPr>
                                  <w:p>
                                    <w:pPr>
                                      <w:rPr>
                                        <w:rFonts w:ascii="Arial" w:eastAsia="Arial" w:hAnsi="Arial" w:cs="Arial"/>
                                        <w:sz w:val="20"/>
                                        <w:lang w:eastAsia="lt-LT"/>
                                      </w:rPr>
                                    </w:pPr>
                                  </w:p>
                                  <w:p>
                                    <w:pPr>
                                      <w:rPr>
                                        <w:rFonts w:ascii="Arial" w:eastAsia="Arial" w:hAnsi="Arial" w:cs="Arial"/>
                                        <w:sz w:val="20"/>
                                        <w:lang w:eastAsia="lt-LT"/>
                                      </w:rPr>
                                    </w:pPr>
                                    <w:r>
                                      <w:rPr>
                                        <w:rFonts w:ascii="Arial" w:eastAsia="Arial" w:hAnsi="Arial" w:cs="Arial"/>
                                        <w:sz w:val="20"/>
                                        <w:lang w:eastAsia="lt-LT"/>
                                      </w:rPr>
                                      <w:t>__________________________</w:t>
                                    </w:r>
                                  </w:p>
                                  <w:p>
                                    <w:pPr>
                                      <w:rPr>
                                        <w:rFonts w:ascii="Arial" w:eastAsia="Arial" w:hAnsi="Arial" w:cs="Arial"/>
                                        <w:color w:val="000000"/>
                                        <w:sz w:val="20"/>
                                        <w:lang w:eastAsia="lt-LT"/>
                                      </w:rPr>
                                    </w:pPr>
                                    <w:r>
                                      <w:rPr>
                                        <w:rFonts w:ascii="Arial" w:eastAsia="Arial" w:hAnsi="Arial" w:cs="Arial"/>
                                        <w:color w:val="000000"/>
                                        <w:sz w:val="20"/>
                                        <w:lang w:eastAsia="lt-LT"/>
                                      </w:rPr>
                                      <w:t>Savivaldybės meras</w:t>
                                    </w:r>
                                  </w:p>
                                  <w:p>
                                    <w:pPr>
                                      <w:rPr>
                                        <w:rFonts w:ascii="Arial" w:eastAsia="Arial" w:hAnsi="Arial" w:cs="Arial"/>
                                        <w:sz w:val="20"/>
                                        <w:lang w:eastAsia="lt-LT"/>
                                      </w:rPr>
                                    </w:pPr>
                                    <w:r>
                                      <w:rPr>
                                        <w:rFonts w:ascii="Arial" w:eastAsia="Arial" w:hAnsi="Arial" w:cs="Arial"/>
                                        <w:color w:val="000000"/>
                                        <w:sz w:val="20"/>
                                        <w:lang w:eastAsia="lt-LT"/>
                                      </w:rPr>
                                      <w:t>Kazimieras Račkauskis</w:t>
                                    </w:r>
                                  </w:p>
                                </w:tc>
                              </w:tr>
                            </w:tbl>
                            <w:p>
                              <w:pPr>
                                <w:spacing w:line="259" w:lineRule="auto"/>
                                <w:rPr>
                                  <w:rFonts w:ascii="Arial" w:eastAsia="Arial" w:hAnsi="Arial" w:cs="Arial"/>
                                  <w:sz w:val="20"/>
                                  <w:lang w:eastAsia="lt-LT"/>
                                </w:rPr>
                              </w:pPr>
                            </w:p>
                          </w:sdtContent>
                        </w:sdt>
                      </w:sdtContent>
                    </w:sdt>
                  </w:sdtContent>
                </w:sdt>
              </w:sdtContent>
            </w:sdt>
          </w:sdtContent>
        </w:sdt>
      </w:sdtContent>
    </w:sdt>
    <w:sectPr>
      <w:headerReference w:type="default" r:id="rId11"/>
      <w:footerReference w:type="default" r:id="rId12"/>
      <w:footerReference w:type="first" r:id="rId13"/>
      <w:pgSz w:w="12240" w:h="15840"/>
      <w:pgMar w:top="1135" w:right="1041" w:bottom="1135" w:left="1276" w:header="708" w:footer="442" w:gutter="0"/>
      <w:pgNumType w:start="1"/>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val="en-US" w:eastAsia="lt-LT"/>
        </w:rPr>
      </w:pPr>
      <w:r>
        <w:rPr>
          <w:rFonts w:ascii="Calibri" w:eastAsia="Calibri" w:hAnsi="Calibri"/>
          <w:sz w:val="22"/>
          <w:szCs w:val="22"/>
          <w:lang w:val="en-US" w:eastAsia="lt-LT"/>
        </w:rPr>
        <w:separator/>
      </w:r>
    </w:p>
  </w:endnote>
  <w:endnote w:type="continuationSeparator" w:id="0">
    <w:p>
      <w:pPr>
        <w:rPr>
          <w:rFonts w:ascii="Calibri" w:eastAsia="Calibri" w:hAnsi="Calibri"/>
          <w:sz w:val="22"/>
          <w:szCs w:val="22"/>
          <w:lang w:val="en-US" w:eastAsia="lt-LT"/>
        </w:rPr>
      </w:pPr>
      <w:r>
        <w:rPr>
          <w:rFonts w:ascii="Calibri" w:eastAsia="Calibri" w:hAnsi="Calibri"/>
          <w:sz w:val="22"/>
          <w:szCs w:val="22"/>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rFonts w:ascii="Arial" w:eastAsia="Calibri" w:hAnsi="Arial" w:cs="Arial"/>
        <w:sz w:val="20"/>
        <w:lang w:val="en-US" w:eastAsia="lt-LT"/>
      </w:rPr>
    </w:pPr>
    <w:r>
      <w:rPr>
        <w:rFonts w:ascii="Arial" w:eastAsia="Calibri" w:hAnsi="Arial" w:cs="Arial"/>
        <w:sz w:val="20"/>
        <w:lang w:val="en-US" w:eastAsia="lt-LT"/>
      </w:rPr>
      <w:fldChar w:fldCharType="begin"/>
    </w:r>
    <w:r>
      <w:rPr>
        <w:rFonts w:ascii="Arial" w:eastAsia="Calibri" w:hAnsi="Arial" w:cs="Arial"/>
        <w:sz w:val="20"/>
        <w:lang w:val="en-US" w:eastAsia="lt-LT"/>
      </w:rPr>
      <w:instrText xml:space="preserve"> PAGE </w:instrText>
    </w:r>
    <w:r>
      <w:rPr>
        <w:rFonts w:ascii="Arial" w:eastAsia="Calibri" w:hAnsi="Arial" w:cs="Arial"/>
        <w:sz w:val="20"/>
        <w:lang w:val="en-US" w:eastAsia="lt-LT"/>
      </w:rPr>
      <w:fldChar w:fldCharType="separate"/>
    </w:r>
    <w:r>
      <w:rPr>
        <w:rFonts w:ascii="Arial" w:eastAsia="Calibri" w:hAnsi="Arial" w:cs="Arial"/>
        <w:sz w:val="20"/>
        <w:lang w:val="en-US" w:eastAsia="lt-LT"/>
      </w:rPr>
      <w:t>2</w:t>
    </w:r>
    <w:r>
      <w:rPr>
        <w:rFonts w:ascii="Arial" w:eastAsia="Calibri" w:hAnsi="Arial" w:cs="Arial"/>
        <w:sz w:val="20"/>
        <w:lang w:val="en-US" w:eastAsia="lt-LT"/>
      </w:rPr>
      <w:fldChar w:fldCharType="end"/>
    </w:r>
    <w:r>
      <w:rPr>
        <w:rFonts w:ascii="Arial" w:eastAsia="Calibri" w:hAnsi="Arial" w:cs="Arial"/>
        <w:sz w:val="20"/>
        <w:lang w:val="en-US" w:eastAsia="lt-LT"/>
      </w:rPr>
      <w:t xml:space="preserve"> / 2</w:t>
    </w:r>
  </w:p>
  <w:p>
    <w:pPr>
      <w:tabs>
        <w:tab w:val="center" w:pos="4680"/>
        <w:tab w:val="right" w:pos="9360"/>
      </w:tabs>
      <w:rPr>
        <w:rFonts w:ascii="Arial" w:eastAsia="Calibri" w:hAnsi="Arial" w:cs="Arial"/>
        <w:sz w:val="20"/>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rFonts w:ascii="Arial" w:eastAsia="Calibri" w:hAnsi="Arial" w:cs="Arial"/>
        <w:sz w:val="20"/>
        <w:lang w:val="en-US" w:eastAsia="lt-LT"/>
      </w:rPr>
    </w:pPr>
    <w:r>
      <w:rPr>
        <w:rFonts w:ascii="Arial" w:eastAsia="Calibri" w:hAnsi="Arial" w:cs="Arial"/>
        <w:sz w:val="20"/>
        <w:lang w:val="en-US" w:eastAsia="lt-LT"/>
      </w:rPr>
      <w:fldChar w:fldCharType="begin"/>
    </w:r>
    <w:r>
      <w:rPr>
        <w:rFonts w:ascii="Arial" w:eastAsia="Calibri" w:hAnsi="Arial" w:cs="Arial"/>
        <w:sz w:val="20"/>
        <w:lang w:val="en-US" w:eastAsia="lt-LT"/>
      </w:rPr>
      <w:instrText xml:space="preserve"> PAGE </w:instrText>
    </w:r>
    <w:r>
      <w:rPr>
        <w:rFonts w:ascii="Arial" w:eastAsia="Calibri" w:hAnsi="Arial" w:cs="Arial"/>
        <w:sz w:val="20"/>
        <w:lang w:val="en-US" w:eastAsia="lt-LT"/>
      </w:rPr>
      <w:fldChar w:fldCharType="separate"/>
    </w:r>
    <w:r>
      <w:rPr>
        <w:rFonts w:ascii="Arial" w:eastAsia="Calibri" w:hAnsi="Arial" w:cs="Arial"/>
        <w:sz w:val="20"/>
        <w:lang w:val="en-US" w:eastAsia="lt-LT"/>
      </w:rPr>
      <w:t>2</w:t>
    </w:r>
    <w:r>
      <w:rPr>
        <w:rFonts w:ascii="Arial" w:eastAsia="Calibri" w:hAnsi="Arial" w:cs="Arial"/>
        <w:sz w:val="20"/>
        <w:lang w:val="en-US" w:eastAsia="lt-LT"/>
      </w:rPr>
      <w:fldChar w:fldCharType="end"/>
    </w:r>
    <w:r>
      <w:rPr>
        <w:rFonts w:ascii="Arial" w:eastAsia="Calibri" w:hAnsi="Arial" w:cs="Arial"/>
        <w:sz w:val="20"/>
        <w:lang w:val="en-US" w:eastAsia="lt-LT"/>
      </w:rPr>
      <w:t xml:space="preserve"> / 2</w:t>
    </w:r>
  </w:p>
  <w:p>
    <w:pPr>
      <w:tabs>
        <w:tab w:val="center" w:pos="4680"/>
        <w:tab w:val="right" w:pos="9360"/>
      </w:tabs>
      <w:rPr>
        <w:rFonts w:ascii="Arial" w:eastAsia="Calibri" w:hAnsi="Arial" w:cs="Arial"/>
        <w:sz w:val="20"/>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val="en-US" w:eastAsia="lt-LT"/>
        </w:rPr>
      </w:pPr>
      <w:r>
        <w:rPr>
          <w:rFonts w:ascii="Calibri" w:eastAsia="Calibri" w:hAnsi="Calibri"/>
          <w:sz w:val="22"/>
          <w:szCs w:val="22"/>
          <w:lang w:val="en-US" w:eastAsia="lt-LT"/>
        </w:rPr>
        <w:separator/>
      </w:r>
    </w:p>
  </w:footnote>
  <w:footnote w:type="continuationSeparator" w:id="0">
    <w:p>
      <w:pPr>
        <w:rPr>
          <w:rFonts w:ascii="Calibri" w:eastAsia="Calibri" w:hAnsi="Calibri"/>
          <w:sz w:val="22"/>
          <w:szCs w:val="22"/>
          <w:lang w:val="en-US" w:eastAsia="lt-LT"/>
        </w:rPr>
      </w:pPr>
      <w:r>
        <w:rPr>
          <w:rFonts w:ascii="Calibri" w:eastAsia="Calibri" w:hAnsi="Calibri"/>
          <w:sz w:val="22"/>
          <w:szCs w:val="22"/>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pacing w:after="160" w:line="259" w:lineRule="auto"/>
      <w:rPr>
        <w:rFonts w:ascii="Calibri" w:eastAsia="Calibri" w:hAnsi="Calibri" w:cs="Calibri"/>
        <w:color w:val="000000"/>
        <w:sz w:val="22"/>
        <w:szCs w:val="22"/>
        <w:lang w:val="en-US" w:eastAsia="lt-LT"/>
      </w:rPr>
    </w:pPr>
    <w:r>
      <w:rPr>
        <w:rFonts w:ascii="Calibri" w:eastAsia="Calibri" w:hAnsi="Calibri" w:cs="Calibri"/>
        <w:color w:val="000000"/>
        <w:sz w:val="22"/>
        <w:szCs w:val="22"/>
        <w:lang w:val="en-US" w:eastAsia="lt-LT"/>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7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6E93044-6691-4A41-9394-FD6AB742408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8522010">
      <w:bodyDiv w:val="1"/>
      <w:marLeft w:val="0"/>
      <w:marRight w:val="0"/>
      <w:marTop w:val="0"/>
      <w:marBottom w:val="0"/>
      <w:divBdr>
        <w:top w:val="none" w:sz="0" w:space="0" w:color="auto"/>
        <w:left w:val="none" w:sz="0" w:space="0" w:color="auto"/>
        <w:bottom w:val="none" w:sz="0" w:space="0" w:color="auto"/>
        <w:right w:val="none" w:sz="0" w:space="0" w:color="auto"/>
      </w:divBdr>
      <w:divsChild>
        <w:div w:id="428350712">
          <w:marLeft w:val="0"/>
          <w:marRight w:val="0"/>
          <w:marTop w:val="0"/>
          <w:marBottom w:val="0"/>
          <w:divBdr>
            <w:top w:val="none" w:sz="0" w:space="0" w:color="auto"/>
            <w:left w:val="none" w:sz="0" w:space="0" w:color="auto"/>
            <w:bottom w:val="none" w:sz="0" w:space="0" w:color="auto"/>
            <w:right w:val="none" w:sz="0" w:space="0" w:color="auto"/>
          </w:divBdr>
        </w:div>
        <w:div w:id="979923806">
          <w:marLeft w:val="0"/>
          <w:marRight w:val="0"/>
          <w:marTop w:val="0"/>
          <w:marBottom w:val="0"/>
          <w:divBdr>
            <w:top w:val="none" w:sz="0" w:space="0" w:color="auto"/>
            <w:left w:val="none" w:sz="0" w:space="0" w:color="auto"/>
            <w:bottom w:val="none" w:sz="0" w:space="0" w:color="auto"/>
            <w:right w:val="none" w:sz="0" w:space="0" w:color="auto"/>
          </w:divBdr>
        </w:div>
        <w:div w:id="1371419185">
          <w:marLeft w:val="0"/>
          <w:marRight w:val="0"/>
          <w:marTop w:val="0"/>
          <w:marBottom w:val="0"/>
          <w:divBdr>
            <w:top w:val="none" w:sz="0" w:space="0" w:color="auto"/>
            <w:left w:val="none" w:sz="0" w:space="0" w:color="auto"/>
            <w:bottom w:val="none" w:sz="0" w:space="0" w:color="auto"/>
            <w:right w:val="none" w:sz="0" w:space="0" w:color="auto"/>
          </w:divBdr>
        </w:div>
        <w:div w:id="1391542437">
          <w:marLeft w:val="0"/>
          <w:marRight w:val="0"/>
          <w:marTop w:val="0"/>
          <w:marBottom w:val="0"/>
          <w:divBdr>
            <w:top w:val="none" w:sz="0" w:space="0" w:color="auto"/>
            <w:left w:val="none" w:sz="0" w:space="0" w:color="auto"/>
            <w:bottom w:val="none" w:sz="0" w:space="0" w:color="auto"/>
            <w:right w:val="none" w:sz="0" w:space="0" w:color="auto"/>
          </w:divBdr>
        </w:div>
        <w:div w:id="1568958941">
          <w:marLeft w:val="0"/>
          <w:marRight w:val="0"/>
          <w:marTop w:val="0"/>
          <w:marBottom w:val="0"/>
          <w:divBdr>
            <w:top w:val="none" w:sz="0" w:space="0" w:color="auto"/>
            <w:left w:val="none" w:sz="0" w:space="0" w:color="auto"/>
            <w:bottom w:val="none" w:sz="0" w:space="0" w:color="auto"/>
            <w:right w:val="none" w:sz="0" w:space="0" w:color="auto"/>
          </w:divBdr>
        </w:div>
        <w:div w:id="1684241759">
          <w:marLeft w:val="0"/>
          <w:marRight w:val="0"/>
          <w:marTop w:val="0"/>
          <w:marBottom w:val="0"/>
          <w:divBdr>
            <w:top w:val="none" w:sz="0" w:space="0" w:color="auto"/>
            <w:left w:val="none" w:sz="0" w:space="0" w:color="auto"/>
            <w:bottom w:val="none" w:sz="0" w:space="0" w:color="auto"/>
            <w:right w:val="none" w:sz="0" w:space="0" w:color="auto"/>
          </w:divBdr>
        </w:div>
        <w:div w:id="1945065100">
          <w:marLeft w:val="0"/>
          <w:marRight w:val="0"/>
          <w:marTop w:val="0"/>
          <w:marBottom w:val="0"/>
          <w:divBdr>
            <w:top w:val="none" w:sz="0" w:space="0" w:color="auto"/>
            <w:left w:val="none" w:sz="0" w:space="0" w:color="auto"/>
            <w:bottom w:val="none" w:sz="0" w:space="0" w:color="auto"/>
            <w:right w:val="none" w:sz="0" w:space="0" w:color="auto"/>
          </w:divBdr>
        </w:div>
        <w:div w:id="2037080599">
          <w:marLeft w:val="0"/>
          <w:marRight w:val="0"/>
          <w:marTop w:val="0"/>
          <w:marBottom w:val="0"/>
          <w:divBdr>
            <w:top w:val="none" w:sz="0" w:space="0" w:color="auto"/>
            <w:left w:val="none" w:sz="0" w:space="0" w:color="auto"/>
            <w:bottom w:val="none" w:sz="0" w:space="0" w:color="auto"/>
            <w:right w:val="none" w:sz="0" w:space="0" w:color="auto"/>
          </w:divBdr>
        </w:div>
        <w:div w:id="2137524831">
          <w:marLeft w:val="0"/>
          <w:marRight w:val="0"/>
          <w:marTop w:val="0"/>
          <w:marBottom w:val="0"/>
          <w:divBdr>
            <w:top w:val="none" w:sz="0" w:space="0" w:color="auto"/>
            <w:left w:val="none" w:sz="0" w:space="0" w:color="auto"/>
            <w:bottom w:val="none" w:sz="0" w:space="0" w:color="auto"/>
            <w:right w:val="none" w:sz="0" w:space="0" w:color="auto"/>
          </w:divBdr>
        </w:div>
      </w:divsChild>
    </w:div>
    <w:div w:id="496306426">
      <w:bodyDiv w:val="1"/>
      <w:marLeft w:val="0"/>
      <w:marRight w:val="0"/>
      <w:marTop w:val="0"/>
      <w:marBottom w:val="0"/>
      <w:divBdr>
        <w:top w:val="none" w:sz="0" w:space="0" w:color="auto"/>
        <w:left w:val="none" w:sz="0" w:space="0" w:color="auto"/>
        <w:bottom w:val="none" w:sz="0" w:space="0" w:color="auto"/>
        <w:right w:val="none" w:sz="0" w:space="0" w:color="auto"/>
      </w:divBdr>
      <w:divsChild>
        <w:div w:id="952519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55102115">
              <w:marLeft w:val="0"/>
              <w:marRight w:val="0"/>
              <w:marTop w:val="0"/>
              <w:marBottom w:val="0"/>
              <w:divBdr>
                <w:top w:val="none" w:sz="0" w:space="0" w:color="auto"/>
                <w:left w:val="none" w:sz="0" w:space="0" w:color="auto"/>
                <w:bottom w:val="none" w:sz="0" w:space="0" w:color="auto"/>
                <w:right w:val="none" w:sz="0" w:space="0" w:color="auto"/>
              </w:divBdr>
              <w:divsChild>
                <w:div w:id="273296326">
                  <w:marLeft w:val="0"/>
                  <w:marRight w:val="0"/>
                  <w:marTop w:val="0"/>
                  <w:marBottom w:val="0"/>
                  <w:divBdr>
                    <w:top w:val="none" w:sz="0" w:space="0" w:color="auto"/>
                    <w:left w:val="none" w:sz="0" w:space="0" w:color="auto"/>
                    <w:bottom w:val="none" w:sz="0" w:space="0" w:color="auto"/>
                    <w:right w:val="none" w:sz="0" w:space="0" w:color="auto"/>
                  </w:divBdr>
                  <w:divsChild>
                    <w:div w:id="131138127">
                      <w:marLeft w:val="0"/>
                      <w:marRight w:val="0"/>
                      <w:marTop w:val="0"/>
                      <w:marBottom w:val="0"/>
                      <w:divBdr>
                        <w:top w:val="none" w:sz="0" w:space="0" w:color="auto"/>
                        <w:left w:val="none" w:sz="0" w:space="0" w:color="auto"/>
                        <w:bottom w:val="none" w:sz="0" w:space="0" w:color="auto"/>
                        <w:right w:val="none" w:sz="0" w:space="0" w:color="auto"/>
                      </w:divBdr>
                      <w:divsChild>
                        <w:div w:id="1734307211">
                          <w:marLeft w:val="0"/>
                          <w:marRight w:val="0"/>
                          <w:marTop w:val="0"/>
                          <w:marBottom w:val="0"/>
                          <w:divBdr>
                            <w:top w:val="none" w:sz="0" w:space="0" w:color="auto"/>
                            <w:left w:val="none" w:sz="0" w:space="0" w:color="auto"/>
                            <w:bottom w:val="none" w:sz="0" w:space="0" w:color="auto"/>
                            <w:right w:val="none" w:sz="0" w:space="0" w:color="auto"/>
                          </w:divBdr>
                          <w:divsChild>
                            <w:div w:id="500242776">
                              <w:marLeft w:val="0"/>
                              <w:marRight w:val="0"/>
                              <w:marTop w:val="0"/>
                              <w:marBottom w:val="0"/>
                              <w:divBdr>
                                <w:top w:val="none" w:sz="0" w:space="0" w:color="auto"/>
                                <w:left w:val="none" w:sz="0" w:space="0" w:color="auto"/>
                                <w:bottom w:val="none" w:sz="0" w:space="0" w:color="auto"/>
                                <w:right w:val="none" w:sz="0" w:space="0" w:color="auto"/>
                              </w:divBdr>
                              <w:divsChild>
                                <w:div w:id="1304042659">
                                  <w:marLeft w:val="0"/>
                                  <w:marRight w:val="0"/>
                                  <w:marTop w:val="0"/>
                                  <w:marBottom w:val="0"/>
                                  <w:divBdr>
                                    <w:top w:val="none" w:sz="0" w:space="0" w:color="auto"/>
                                    <w:left w:val="none" w:sz="0" w:space="0" w:color="auto"/>
                                    <w:bottom w:val="none" w:sz="0" w:space="0" w:color="auto"/>
                                    <w:right w:val="none" w:sz="0" w:space="0" w:color="auto"/>
                                  </w:divBdr>
                                  <w:divsChild>
                                    <w:div w:id="176648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9620350">
      <w:bodyDiv w:val="1"/>
      <w:marLeft w:val="0"/>
      <w:marRight w:val="0"/>
      <w:marTop w:val="0"/>
      <w:marBottom w:val="0"/>
      <w:divBdr>
        <w:top w:val="none" w:sz="0" w:space="0" w:color="auto"/>
        <w:left w:val="none" w:sz="0" w:space="0" w:color="auto"/>
        <w:bottom w:val="none" w:sz="0" w:space="0" w:color="auto"/>
        <w:right w:val="none" w:sz="0" w:space="0" w:color="auto"/>
      </w:divBdr>
    </w:div>
    <w:div w:id="790129502">
      <w:bodyDiv w:val="1"/>
      <w:marLeft w:val="0"/>
      <w:marRight w:val="0"/>
      <w:marTop w:val="0"/>
      <w:marBottom w:val="0"/>
      <w:divBdr>
        <w:top w:val="none" w:sz="0" w:space="0" w:color="auto"/>
        <w:left w:val="none" w:sz="0" w:space="0" w:color="auto"/>
        <w:bottom w:val="none" w:sz="0" w:space="0" w:color="auto"/>
        <w:right w:val="none" w:sz="0" w:space="0" w:color="auto"/>
      </w:divBdr>
      <w:divsChild>
        <w:div w:id="141913584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70358761">
              <w:marLeft w:val="0"/>
              <w:marRight w:val="0"/>
              <w:marTop w:val="0"/>
              <w:marBottom w:val="0"/>
              <w:divBdr>
                <w:top w:val="none" w:sz="0" w:space="0" w:color="auto"/>
                <w:left w:val="none" w:sz="0" w:space="0" w:color="auto"/>
                <w:bottom w:val="none" w:sz="0" w:space="0" w:color="auto"/>
                <w:right w:val="none" w:sz="0" w:space="0" w:color="auto"/>
              </w:divBdr>
              <w:divsChild>
                <w:div w:id="196092772">
                  <w:marLeft w:val="0"/>
                  <w:marRight w:val="0"/>
                  <w:marTop w:val="0"/>
                  <w:marBottom w:val="0"/>
                  <w:divBdr>
                    <w:top w:val="none" w:sz="0" w:space="0" w:color="auto"/>
                    <w:left w:val="none" w:sz="0" w:space="0" w:color="auto"/>
                    <w:bottom w:val="none" w:sz="0" w:space="0" w:color="auto"/>
                    <w:right w:val="none" w:sz="0" w:space="0" w:color="auto"/>
                  </w:divBdr>
                  <w:divsChild>
                    <w:div w:id="120419173">
                      <w:marLeft w:val="0"/>
                      <w:marRight w:val="0"/>
                      <w:marTop w:val="0"/>
                      <w:marBottom w:val="0"/>
                      <w:divBdr>
                        <w:top w:val="none" w:sz="0" w:space="0" w:color="auto"/>
                        <w:left w:val="none" w:sz="0" w:space="0" w:color="auto"/>
                        <w:bottom w:val="none" w:sz="0" w:space="0" w:color="auto"/>
                        <w:right w:val="none" w:sz="0" w:space="0" w:color="auto"/>
                      </w:divBdr>
                      <w:divsChild>
                        <w:div w:id="1670064061">
                          <w:marLeft w:val="0"/>
                          <w:marRight w:val="0"/>
                          <w:marTop w:val="0"/>
                          <w:marBottom w:val="0"/>
                          <w:divBdr>
                            <w:top w:val="none" w:sz="0" w:space="0" w:color="auto"/>
                            <w:left w:val="none" w:sz="0" w:space="0" w:color="auto"/>
                            <w:bottom w:val="none" w:sz="0" w:space="0" w:color="auto"/>
                            <w:right w:val="none" w:sz="0" w:space="0" w:color="auto"/>
                          </w:divBdr>
                          <w:divsChild>
                            <w:div w:id="500781768">
                              <w:marLeft w:val="0"/>
                              <w:marRight w:val="0"/>
                              <w:marTop w:val="0"/>
                              <w:marBottom w:val="0"/>
                              <w:divBdr>
                                <w:top w:val="none" w:sz="0" w:space="0" w:color="auto"/>
                                <w:left w:val="none" w:sz="0" w:space="0" w:color="auto"/>
                                <w:bottom w:val="none" w:sz="0" w:space="0" w:color="auto"/>
                                <w:right w:val="none" w:sz="0" w:space="0" w:color="auto"/>
                              </w:divBdr>
                              <w:divsChild>
                                <w:div w:id="541746200">
                                  <w:marLeft w:val="0"/>
                                  <w:marRight w:val="0"/>
                                  <w:marTop w:val="0"/>
                                  <w:marBottom w:val="0"/>
                                  <w:divBdr>
                                    <w:top w:val="none" w:sz="0" w:space="0" w:color="auto"/>
                                    <w:left w:val="none" w:sz="0" w:space="0" w:color="auto"/>
                                    <w:bottom w:val="none" w:sz="0" w:space="0" w:color="auto"/>
                                    <w:right w:val="none" w:sz="0" w:space="0" w:color="auto"/>
                                  </w:divBdr>
                                  <w:divsChild>
                                    <w:div w:id="159974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7885942">
      <w:bodyDiv w:val="1"/>
      <w:marLeft w:val="0"/>
      <w:marRight w:val="0"/>
      <w:marTop w:val="0"/>
      <w:marBottom w:val="0"/>
      <w:divBdr>
        <w:top w:val="none" w:sz="0" w:space="0" w:color="auto"/>
        <w:left w:val="none" w:sz="0" w:space="0" w:color="auto"/>
        <w:bottom w:val="none" w:sz="0" w:space="0" w:color="auto"/>
        <w:right w:val="none" w:sz="0" w:space="0" w:color="auto"/>
      </w:divBdr>
      <w:divsChild>
        <w:div w:id="505487668">
          <w:marLeft w:val="0"/>
          <w:marRight w:val="0"/>
          <w:marTop w:val="0"/>
          <w:marBottom w:val="0"/>
          <w:divBdr>
            <w:top w:val="none" w:sz="0" w:space="0" w:color="auto"/>
            <w:left w:val="none" w:sz="0" w:space="0" w:color="auto"/>
            <w:bottom w:val="none" w:sz="0" w:space="0" w:color="auto"/>
            <w:right w:val="none" w:sz="0" w:space="0" w:color="auto"/>
          </w:divBdr>
        </w:div>
        <w:div w:id="507528426">
          <w:marLeft w:val="0"/>
          <w:marRight w:val="0"/>
          <w:marTop w:val="0"/>
          <w:marBottom w:val="0"/>
          <w:divBdr>
            <w:top w:val="none" w:sz="0" w:space="0" w:color="auto"/>
            <w:left w:val="none" w:sz="0" w:space="0" w:color="auto"/>
            <w:bottom w:val="none" w:sz="0" w:space="0" w:color="auto"/>
            <w:right w:val="none" w:sz="0" w:space="0" w:color="auto"/>
          </w:divBdr>
        </w:div>
        <w:div w:id="697584963">
          <w:marLeft w:val="0"/>
          <w:marRight w:val="0"/>
          <w:marTop w:val="0"/>
          <w:marBottom w:val="0"/>
          <w:divBdr>
            <w:top w:val="none" w:sz="0" w:space="0" w:color="auto"/>
            <w:left w:val="none" w:sz="0" w:space="0" w:color="auto"/>
            <w:bottom w:val="none" w:sz="0" w:space="0" w:color="auto"/>
            <w:right w:val="none" w:sz="0" w:space="0" w:color="auto"/>
          </w:divBdr>
        </w:div>
        <w:div w:id="1216165393">
          <w:marLeft w:val="0"/>
          <w:marRight w:val="0"/>
          <w:marTop w:val="0"/>
          <w:marBottom w:val="0"/>
          <w:divBdr>
            <w:top w:val="none" w:sz="0" w:space="0" w:color="auto"/>
            <w:left w:val="none" w:sz="0" w:space="0" w:color="auto"/>
            <w:bottom w:val="none" w:sz="0" w:space="0" w:color="auto"/>
            <w:right w:val="none" w:sz="0" w:space="0" w:color="auto"/>
          </w:divBdr>
        </w:div>
        <w:div w:id="1284964456">
          <w:marLeft w:val="0"/>
          <w:marRight w:val="0"/>
          <w:marTop w:val="0"/>
          <w:marBottom w:val="0"/>
          <w:divBdr>
            <w:top w:val="none" w:sz="0" w:space="0" w:color="auto"/>
            <w:left w:val="none" w:sz="0" w:space="0" w:color="auto"/>
            <w:bottom w:val="none" w:sz="0" w:space="0" w:color="auto"/>
            <w:right w:val="none" w:sz="0" w:space="0" w:color="auto"/>
          </w:divBdr>
        </w:div>
        <w:div w:id="1535456536">
          <w:marLeft w:val="0"/>
          <w:marRight w:val="0"/>
          <w:marTop w:val="0"/>
          <w:marBottom w:val="0"/>
          <w:divBdr>
            <w:top w:val="none" w:sz="0" w:space="0" w:color="auto"/>
            <w:left w:val="none" w:sz="0" w:space="0" w:color="auto"/>
            <w:bottom w:val="none" w:sz="0" w:space="0" w:color="auto"/>
            <w:right w:val="none" w:sz="0" w:space="0" w:color="auto"/>
          </w:divBdr>
        </w:div>
        <w:div w:id="1661036612">
          <w:marLeft w:val="0"/>
          <w:marRight w:val="0"/>
          <w:marTop w:val="0"/>
          <w:marBottom w:val="0"/>
          <w:divBdr>
            <w:top w:val="none" w:sz="0" w:space="0" w:color="auto"/>
            <w:left w:val="none" w:sz="0" w:space="0" w:color="auto"/>
            <w:bottom w:val="none" w:sz="0" w:space="0" w:color="auto"/>
            <w:right w:val="none" w:sz="0" w:space="0" w:color="auto"/>
          </w:divBdr>
        </w:div>
        <w:div w:id="1686517336">
          <w:marLeft w:val="0"/>
          <w:marRight w:val="0"/>
          <w:marTop w:val="0"/>
          <w:marBottom w:val="0"/>
          <w:divBdr>
            <w:top w:val="none" w:sz="0" w:space="0" w:color="auto"/>
            <w:left w:val="none" w:sz="0" w:space="0" w:color="auto"/>
            <w:bottom w:val="none" w:sz="0" w:space="0" w:color="auto"/>
            <w:right w:val="none" w:sz="0" w:space="0" w:color="auto"/>
          </w:divBdr>
        </w:div>
        <w:div w:id="2110421222">
          <w:marLeft w:val="0"/>
          <w:marRight w:val="0"/>
          <w:marTop w:val="0"/>
          <w:marBottom w:val="0"/>
          <w:divBdr>
            <w:top w:val="none" w:sz="0" w:space="0" w:color="auto"/>
            <w:left w:val="none" w:sz="0" w:space="0" w:color="auto"/>
            <w:bottom w:val="none" w:sz="0" w:space="0" w:color="auto"/>
            <w:right w:val="none" w:sz="0" w:space="0" w:color="auto"/>
          </w:divBdr>
        </w:div>
      </w:divsChild>
    </w:div>
    <w:div w:id="9576413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uri="GoogleDocsCustomDataVersion2">
  <go:docsCustomData roundtripDataSignature="AMtx7mgb4DWb8xraAbGuDorI+5/vdFUbAQ==">CgMxLjA4AHIhMUR4QXdZOVFBWVZqQ2NIS3VLa1o4bVQtZGxmTUZ4dTEy</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af0bafd-eec5-4b7c-b93f-8c68a340c705">
      <Terms xmlns="http://schemas.microsoft.com/office/infopath/2007/PartnerControls"/>
    </lcf76f155ced4ddcb4097134ff3c332f>
    <TaxCatchAll xmlns="d95b5ece-8be9-4acf-83ec-be1246ae25a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563AA5C89453249ADBF180E01512246" ma:contentTypeVersion="18" ma:contentTypeDescription="Create a new document." ma:contentTypeScope="" ma:versionID="6e1bcff7bd34550de9fff373bafd9753">
  <xsd:schema xmlns:xsd="http://www.w3.org/2001/XMLSchema" xmlns:xs="http://www.w3.org/2001/XMLSchema" xmlns:p="http://schemas.microsoft.com/office/2006/metadata/properties" xmlns:ns2="d95b5ece-8be9-4acf-83ec-be1246ae25ac" xmlns:ns3="eaf0bafd-eec5-4b7c-b93f-8c68a340c705" targetNamespace="http://schemas.microsoft.com/office/2006/metadata/properties" ma:root="true" ma:fieldsID="f96948e39439a7d0a8f71bcac538bb40" ns2:_="" ns3:_="">
    <xsd:import namespace="d95b5ece-8be9-4acf-83ec-be1246ae25ac"/>
    <xsd:import namespace="eaf0bafd-eec5-4b7c-b93f-8c68a340c7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GenerationTime" minOccurs="0"/>
                <xsd:element ref="ns3:MediaServiceEventHashCode" minOccurs="0"/>
                <xsd:element ref="ns3:MediaLengthInSeconds" minOccurs="0"/>
                <xsd:element ref="ns3:MediaServiceDateTaken" minOccurs="0"/>
                <xsd:element ref="ns3:lcf76f155ced4ddcb4097134ff3c332f" minOccurs="0"/>
                <xsd:element ref="ns2:TaxCatchAll" minOccurs="0"/>
                <xsd:element ref="ns3:MediaServiceOCR" minOccurs="0"/>
                <xsd:element ref="ns3:MediaServiceLocation"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5b5ece-8be9-4acf-83ec-be1246ae25ac" elementFormDefault="qualified">
    <xsd:import namespace="http://schemas.microsoft.com/office/2006/documentManagement/types"/>
    <xsd:import namespace="http://schemas.microsoft.com/office/infopath/2007/PartnerControls"/>
    <xsd:element name="SharedWithUsers" ma:index="8"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83ca55e-27cc-499a-b195-284aac81fc70}" ma:internalName="TaxCatchAll" ma:showField="CatchAllData" ma:web="d95b5ece-8be9-4acf-83ec-be1246ae25a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af0bafd-eec5-4b7c-b93f-8c68a340c7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5b7e39d3-6d03-4f72-8cfd-d6d1eb4f1e71"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f623a619ebb047f18b34590f1abb5150" PartId="8aec2f7ee5214a6bb767dec585fd176f">
    <Part Type="preambule" DocPartId="3098ec2de7f34b47bd12facc296f78d6" PartId="22933fda7947485c86decbea1deda289"/>
    <Part Type="pastraipa" DocPartId="07616da4a5fa49d384f817e9318339bc" PartId="9f31171eac414248b18bea6b74993a30"/>
    <Part Type="skirsnis" Title="Atsižvelgdamos į tai, kad:" DocPartId="663d081659ad4afea33c7ce24af71e17" PartId="5c88e3bd178f4e7c8ae73a883920d46e"/>
    <Part Type="skirsnis" Title="todėl Šalys sudaro šią taikos sutartį (toliau – Taikos sutartis), kuria susitaria geranoriškai užbaigti Civilinėje byloje nagrinėjamą ginčą toliau nurodytomis sąlygomis." DocPartId="1bb88a7ad04a4a5b8704da7da41fcb49" PartId="ff28edfef97b4a0b981a91cff1094bca">
      <Part Type="punktas" Nr="1" Abbr="1 p." DocPartId="2963a102abd54125bf6738ae1e0f76d4" PartId="cb054da00fed4136a8235bac7d17b1a5">
        <Part Type="papunktis" Nr="1.1" Abbr="1.1 pp." DocPartId="855cfba0fbe24dba9fb8a1ff261a9626" PartId="0f61dad54f844ebe9959e50b5060fe10"/>
        <Part Type="papunktis" Nr="1.2" Abbr="1.2 pp." DocPartId="75fa0619e61349b79e529e80111527c1" PartId="80d0d95b3f344ce5ae586bbd4ccfeaab"/>
        <Part Type="papunktis" Nr="1.3" Abbr="1.3 pp." DocPartId="32bc26effce843a4b1835406c284de77" PartId="d7ee2360ce4e434cae921e08f1bd96f3">
          <Part Type="papunktis" Nr="1.3.1" Abbr="1.3.1 pp." DocPartId="5167d34a7d6b41808dd8920fe7534a8a" PartId="73e26f574db249128ca227e55aab1669"/>
          <Part Type="papunktis" Nr="1.3.2" Abbr="1.3.2 pp." DocPartId="36e223971b77489284f2d376058772ea" PartId="bd2dc8e4d5254e19bf781478cf951dea"/>
        </Part>
        <Part Type="papunktis" Nr="1.4" Abbr="1.4 pp." DocPartId="887c2cd2312445b49889e660f1c487fb" PartId="7807836724f44e0497edcbed5e7ec72b"/>
        <Part Type="papunktis" Nr="1.5" Abbr="1.5 pp." DocPartId="6538580f9e2f492ca1ec87bc56c3df25" PartId="1eb6e50ac0714d4d9798666334c41b30"/>
        <Part Type="papunktis" Nr="1.6" Abbr="1.6 pp." DocPartId="be964e1a4ce34c5d8bde2d26a13119e5" PartId="c397746e064c4922919bc9e8e7d4d0fb"/>
        <Part Type="papunktis" Nr="1.7" Abbr="1.7 pp." DocPartId="dbbd8ed68186455b88b816d99ddcbdf3" PartId="8640690ea47a4cefb0081b71385259fe"/>
        <Part Type="papunktis" Nr="1.8" Abbr="1.8 pp." DocPartId="8c33af620feb4cb18f8a310408510b09" PartId="3014e66ee54c4c4c984f709bdea71d9d"/>
        <Part Type="papunktis" Nr="1.9" Abbr="1.9 pp." DocPartId="9624e1e32a854d738d2db422294aeb08" PartId="bbc94a4fa0834b20ba73693a8f451ccd"/>
        <Part Type="papunktis" Nr="1.10" Abbr="1.10 pp." DocPartId="866d1bee997348e6a26e9dc43613baea" PartId="04bae531d2c24d1a959e09315ec2f585"/>
        <Part Type="papunktis" Nr="1.11" Abbr="1.11 pp." DocPartId="e1b0788fa1ac45549bbe9e44fc445402" PartId="5f61b35e9b3c485eb169873ea42d5286"/>
        <Part Type="papunktis" Nr="1.12" Abbr="1.12 pp." DocPartId="4f8e04dcac134138ae3c2e2ddc082781" PartId="2e0b9c7ac963450aaa2255f0b2f9b939"/>
        <Part Type="papunktis" Nr="1.13" Abbr="1.13 pp." DocPartId="dd221022550d433ca531e92ad5ba6fb4" PartId="e06663cf6dd04d2ba7ce653ef8e94868"/>
        <Part Type="papunktis" Nr="1.14" Abbr="1.14 pp." DocPartId="539c2880d21c4aaf9a5e56cee4e7b91b" PartId="47f88308570a469e9ddbb04644772edf"/>
        <Part Type="papunktis" Nr="1.15" Abbr="1.15 pp." DocPartId="e8b17b7f4a6a40d199ed3d8f435c33e4" PartId="9342a8e7c89a4f84912081a7f3030d2a"/>
      </Part>
      <Part Type="punktas" Nr="2" Abbr="2 p." DocPartId="d48a8240860e4e78bc92f3c965040d4f" PartId="ecb680178b2641dbbd2ffe534515cc73">
        <Part Type="papunktis" Nr="2.1" Abbr="2.1 pp." DocPartId="b2667404fbd544999812c5509c2377e3" PartId="76fbc20727c141cdbc033ceff2c401bb"/>
        <Part Type="papunktis" Nr="2.2" Abbr="2.2 pp." DocPartId="1447ba658cd94ff2aa4ac343ce1ea51e" PartId="9578fcbb379f45688877fab5fd40624b"/>
        <Part Type="papunktis" Nr="2.3" Abbr="2.3 pp." DocPartId="9995981b16a6492f86bff172bd0d1feb" PartId="dd23ed34fc104393bb47ce60708bed48"/>
        <Part Type="papunktis" Nr="2.4" Abbr="2.4 pp." DocPartId="0536bc9069bf44e591a7dfd483d8b6f4" PartId="37237500ed45486e8ea31fbd6bf4c595"/>
        <Part Type="papunktis" Nr="2.5" Abbr="2.5 pp." DocPartId="a88bd2e2d42b4b588a5fae4937da29fb" PartId="7d56e0f4e3d24e4ca4ac365e69e26ef8"/>
        <Part Type="papunktis" Nr="2.6" Abbr="2.6 pp." DocPartId="ab0a8f335d3a45d3865f1bd90fe0939c" PartId="a26fc84aac3a4b58bd401e934827fe9f"/>
      </Part>
      <Part Type="punktas" Nr="3" Abbr="3 p." DocPartId="36021ea78b1f4c4c968bf2e8904785d7" PartId="60be9f767d094963a9215e797371ca30">
        <Part Type="papunktis" Nr="3.1" Abbr="3.1 pp." DocPartId="420bca3ce27a405abab4b26956e27f22" PartId="cf6f7392f6994ca4b0c721782167a26d"/>
        <Part Type="papunktis" Nr="3.2" Abbr="3.2 pp." DocPartId="dae0c869680a41bfbf37ac1056a01147" PartId="130f7ca83de74f438a7ad01fdd70b8b3"/>
        <Part Type="papunktis" Nr="3.3" Abbr="3.3 pp." DocPartId="e883188f2aa44445be6eeb3e87c1de9c" PartId="46b3f8e7a90b438da424646e0a464274"/>
        <Part Type="papunktis" Nr="3.4" Abbr="3.4 pp." DocPartId="6d5d68c9ea65427f973db2fd41ce6f57" PartId="d0c78c34da24481293089139598a266e"/>
        <Part Type="papunktis" Nr="3.5" Abbr="3.5 pp." DocPartId="ba6b2ec0683d4174a7597dcfe3eee4d0" PartId="7403d751a5204b0cbc15dc93ed3bd5dd">
          <Part Type="papunktis" Nr="3.5.1" Abbr="3.5.1 pp." DocPartId="dec79b84b3714b218d960cdcfcca46dc" PartId="3b6f8db5765b43059820e4ddcf06d7c5"/>
          <Part Type="papunktis" Nr="3.5.2" Abbr="3.5.2 pp." DocPartId="529db727c05045789fcb0755b2a15524" PartId="de16b43a91c04a2abefe9611e99908e8"/>
          <Part Type="papunktis" Nr="3.5.3" Abbr="3.5.3 pp." DocPartId="2e13f484b34245e3993eb04cc8b7b240" PartId="184d053cfbdb45bf966a0e3d255ab7d9">
            <Part Type="lentele" Title="Atsižvelgdamos į aukščiau nurodytą, Šalys susitaria ir prašo Teismo patvirtinti Taikos sutartį ir Civilinę bylą nutraukti:" DocPartId="462103a7fa734fccaf4f0d057dc50ed4" PartId="d73ab6fd351f43fbbfca72dd0e066eb3"/>
          </Part>
        </Part>
      </Part>
    </Part>
  </Part>
</Parts>
</file>

<file path=customXml/itemProps1.xml><?xml version="1.0" encoding="utf-8"?>
<ds:datastoreItem xmlns:ds="http://schemas.openxmlformats.org/officeDocument/2006/customXml" ds:itemID="{F8A662C2-D099-4E06-A43F-AC0321901A3A}">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582ACD56-37E2-4265-BED9-B4A5530BA0C2}">
  <ds:schemaRefs>
    <ds:schemaRef ds:uri="http://schemas.microsoft.com/office/2006/metadata/properties"/>
    <ds:schemaRef ds:uri="http://schemas.microsoft.com/office/infopath/2007/PartnerControls"/>
    <ds:schemaRef ds:uri="eaf0bafd-eec5-4b7c-b93f-8c68a340c705"/>
    <ds:schemaRef ds:uri="d95b5ece-8be9-4acf-83ec-be1246ae25ac"/>
  </ds:schemaRefs>
</ds:datastoreItem>
</file>

<file path=customXml/itemProps4.xml><?xml version="1.0" encoding="utf-8"?>
<ds:datastoreItem xmlns:ds="http://schemas.openxmlformats.org/officeDocument/2006/customXml" ds:itemID="{BFB13FB3-7724-45E5-B2D0-D3BAE2101D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5b5ece-8be9-4acf-83ec-be1246ae25ac"/>
    <ds:schemaRef ds:uri="eaf0bafd-eec5-4b7c-b93f-8c68a340c7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FACE726-8477-43F2-BD54-19AA16972977}">
  <ds:schemaRefs>
    <ds:schemaRef ds:uri="http://schemas.openxmlformats.org/officeDocument/2006/bibliography"/>
  </ds:schemaRefs>
</ds:datastoreItem>
</file>

<file path=customXml/itemProps6.xml><?xml version="1.0" encoding="utf-8"?>
<ds:datastoreItem xmlns:ds="http://schemas.openxmlformats.org/officeDocument/2006/customXml" ds:itemID="{83E9A406-B0F7-46D1-B1E2-F2CB4D293E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1622</Words>
  <Characters>11001</Characters>
  <Application>Microsoft Office Word</Application>
  <DocSecurity>4</DocSecurity>
  <Lines>157</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2025-11-20T13:50:00Z</dcterms:created>
  <dc:creator>Guoda Zagorskė | WIDEN</dc:creator>
  <lastModifiedBy>adlibuser</lastModifiedBy>
  <dcterms:modified xsi:type="dcterms:W3CDTF">2025-11-20T13:50:00Z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0x0101003563AA5C89453249ADBF180E01512246</vt:lpwstr>
  </property>
</Properties>
</file>