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lentele"/>
        <w:tag w:val="part_a1e77da038a642529a44c13a56d160af"/>
        <w:lock w:val="sdtLocked"/>
        <w:richText/>
      </w:sdtPr>
      <w:sdtContent>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4817"/>
            <w:gridCol w:w="282"/>
            <w:gridCol w:w="1841"/>
            <w:gridCol w:w="565"/>
            <w:gridCol w:w="2133"/>
          </w:tblGrid>
          <w:tr>
            <w:tc>
              <w:tcPr>
                <w:tcW w:w="9638" w:type="dxa"/>
                <w:gridSpan w:val="5"/>
                <w:tcBorders>
                  <w:bottom w:val="single" w:sz="4" w:space="0" w:color="000000"/>
                </w:tcBorders>
              </w:tcPr>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szCs w:val="24"/>
                    <w:lang w:bidi="en-US"/>
                  </w:rPr>
                </w:pPr>
              </w:p>
              <w:p>
                <w:pPr>
                  <w:widowControl w:val="0"/>
                  <w:suppressLineNumbers/>
                  <w:suppressAutoHyphens/>
                  <w:jc w:val="center"/>
                  <w:rPr>
                    <w:rFonts w:eastAsia="Andale Sans UI"/>
                    <w:b/>
                    <w:bCs/>
                    <w:spacing w:val="20"/>
                    <w:sz w:val="28"/>
                    <w:szCs w:val="28"/>
                    <w:lang w:bidi="en-US"/>
                  </w:rPr>
                </w:pPr>
                <w:r>
                  <w:rPr>
                    <w:rFonts w:eastAsia="Andale Sans UI"/>
                    <w:b/>
                    <w:bCs/>
                    <w:spacing w:val="20"/>
                    <w:sz w:val="26"/>
                    <w:szCs w:val="26"/>
                    <w:lang w:val="en-US"/>
                  </w:rPr>
                  <w:drawing>
                    <wp:inline distT="0" distB="0" distL="0" distR="0" wp14:anchorId="0EB51C44" wp14:editId="550A2469">
                      <wp:extent cx="519430" cy="621665"/>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srcRect/>
                              <a:stretch>
                                <a:fillRect/>
                              </a:stretch>
                            </pic:blipFill>
                            <pic:spPr bwMode="auto">
                              <a:xfrm>
                                <a:off x="0" y="0"/>
                                <a:ext cx="519430" cy="621665"/>
                              </a:xfrm>
                              <a:prstGeom prst="rect">
                                <a:avLst/>
                              </a:prstGeom>
                              <a:solidFill>
                                <a:srgbClr val="FFFFFF">
                                  <a:alpha val="0"/>
                                </a:srgbClr>
                              </a:solidFill>
                              <a:ln w="9525">
                                <a:noFill/>
                                <a:miter lim="800000"/>
                                <a:headEnd/>
                                <a:tailEnd/>
                              </a:ln>
                            </pic:spPr>
                          </pic:pic>
                        </a:graphicData>
                      </a:graphic>
                    </wp:inline>
                  </w:drawing>
                </w:r>
              </w:p>
              <w:p>
                <w:pPr>
                  <w:rPr>
                    <w:sz w:val="10"/>
                    <w:szCs w:val="10"/>
                  </w:rPr>
                </w:pPr>
              </w:p>
              <w:p>
                <w:pPr>
                  <w:widowControl w:val="0"/>
                  <w:suppressLineNumbers/>
                  <w:suppressAutoHyphens/>
                  <w:jc w:val="center"/>
                  <w:rPr>
                    <w:rFonts w:eastAsia="Andale Sans UI"/>
                    <w:b/>
                    <w:bCs/>
                    <w:spacing w:val="20"/>
                    <w:sz w:val="28"/>
                    <w:szCs w:val="28"/>
                    <w:lang w:bidi="en-US"/>
                  </w:rPr>
                </w:pPr>
                <w:r>
                  <w:rPr>
                    <w:rFonts w:eastAsia="Andale Sans UI"/>
                    <w:b/>
                    <w:bCs/>
                    <w:spacing w:val="20"/>
                    <w:sz w:val="28"/>
                    <w:szCs w:val="28"/>
                    <w:lang w:bidi="en-US"/>
                  </w:rPr>
                  <w:t>LIETUVOS RESPUBLIKOS APLINKOS MINISTERIJA</w:t>
                </w:r>
              </w:p>
              <w:p>
                <w:pPr>
                  <w:rPr>
                    <w:sz w:val="10"/>
                    <w:szCs w:val="10"/>
                  </w:rPr>
                </w:pPr>
              </w:p>
              <w:p>
                <w:pPr>
                  <w:widowControl w:val="0"/>
                  <w:suppressLineNumbers/>
                  <w:suppressAutoHyphens/>
                  <w:jc w:val="center"/>
                  <w:rPr>
                    <w:rFonts w:eastAsia="Andale Sans UI"/>
                    <w:b/>
                    <w:bCs/>
                    <w:spacing w:val="12"/>
                    <w:sz w:val="14"/>
                    <w:szCs w:val="14"/>
                    <w:lang w:bidi="en-US"/>
                  </w:rPr>
                </w:pPr>
                <w:r>
                  <w:rPr>
                    <w:rFonts w:eastAsia="Andale Sans UI"/>
                    <w:b/>
                    <w:bCs/>
                    <w:spacing w:val="12"/>
                    <w:sz w:val="14"/>
                    <w:szCs w:val="14"/>
                    <w:lang w:bidi="en-US"/>
                  </w:rPr>
                  <w:t>Biudžetinė įstaiga, A. Jakšto g. 4, LT-01105 Vilnius,</w:t>
                </w:r>
              </w:p>
              <w:p>
                <w:pPr>
                  <w:widowControl w:val="0"/>
                  <w:suppressLineNumbers/>
                  <w:suppressAutoHyphens/>
                  <w:jc w:val="center"/>
                  <w:rPr>
                    <w:rFonts w:eastAsia="Andale Sans UI"/>
                    <w:b/>
                    <w:bCs/>
                    <w:spacing w:val="12"/>
                    <w:sz w:val="14"/>
                    <w:szCs w:val="14"/>
                    <w:lang w:bidi="en-US"/>
                  </w:rPr>
                </w:pPr>
                <w:r>
                  <w:rPr>
                    <w:rFonts w:eastAsia="Andale Sans UI"/>
                    <w:b/>
                    <w:bCs/>
                    <w:spacing w:val="12"/>
                    <w:sz w:val="14"/>
                    <w:szCs w:val="14"/>
                    <w:lang w:bidi="en-US"/>
                  </w:rPr>
                  <w:t>tel. 8 706 63661, faks. 8 706 63663, el. p. info@am.lt, http://am.lrv.lt.</w:t>
                </w:r>
              </w:p>
              <w:p>
                <w:pPr>
                  <w:widowControl w:val="0"/>
                  <w:suppressLineNumbers/>
                  <w:suppressAutoHyphens/>
                  <w:jc w:val="center"/>
                  <w:rPr>
                    <w:rFonts w:eastAsia="Andale Sans UI"/>
                    <w:b/>
                    <w:bCs/>
                    <w:spacing w:val="12"/>
                    <w:sz w:val="14"/>
                    <w:szCs w:val="14"/>
                    <w:lang w:bidi="en-US"/>
                  </w:rPr>
                </w:pPr>
                <w:r>
                  <w:rPr>
                    <w:rFonts w:eastAsia="Andale Sans UI"/>
                    <w:b/>
                    <w:bCs/>
                    <w:spacing w:val="12"/>
                    <w:sz w:val="14"/>
                    <w:szCs w:val="14"/>
                    <w:lang w:bidi="en-US"/>
                  </w:rPr>
                  <w:t>Duomenys kaupiami ir saugomi Juridinių asmenų registre, kodas 188602370</w:t>
                </w:r>
              </w:p>
            </w:tc>
          </w:tr>
          <w:tr>
            <w:tc>
              <w:tcPr>
                <w:tcW w:w="9638" w:type="dxa"/>
                <w:gridSpan w:val="5"/>
                <w:tcMar>
                  <w:top w:w="0" w:type="dxa"/>
                  <w:left w:w="0" w:type="dxa"/>
                  <w:bottom w:w="0" w:type="dxa"/>
                  <w:right w:w="0" w:type="dxa"/>
                </w:tcMar>
              </w:tcPr>
              <w:p>
                <w:pPr>
                  <w:widowControl w:val="0"/>
                  <w:suppressLineNumbers/>
                  <w:suppressAutoHyphens/>
                  <w:rPr>
                    <w:rFonts w:eastAsia="Andale Sans UI"/>
                    <w:szCs w:val="24"/>
                    <w:lang w:bidi="en-US"/>
                  </w:rPr>
                </w:pPr>
              </w:p>
            </w:tc>
          </w:tr>
          <w:tr>
            <w:trPr>
              <w:cantSplit/>
              <w:trHeight w:val="340"/>
            </w:trPr>
            <w:tc>
              <w:tcPr>
                <w:tcW w:w="4817" w:type="dxa"/>
                <w:vMerge w:val="restart"/>
                <w:tcMar>
                  <w:top w:w="0" w:type="dxa"/>
                  <w:left w:w="0" w:type="dxa"/>
                  <w:bottom w:w="0" w:type="dxa"/>
                  <w:right w:w="0" w:type="dxa"/>
                </w:tcMar>
              </w:tcPr>
              <w:p>
                <w:pPr>
                  <w:widowControl w:val="0"/>
                  <w:suppressAutoHyphens/>
                  <w:jc w:val="both"/>
                  <w:rPr>
                    <w:rFonts w:eastAsia="Andale Sans UI"/>
                    <w:szCs w:val="24"/>
                    <w:lang w:bidi="en-US"/>
                  </w:rPr>
                </w:pPr>
                <w:r>
                  <w:rPr>
                    <w:szCs w:val="24"/>
                  </w:rPr>
                  <w:t>Institucijoms pagal sąrašą</w:t>
                </w: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LineNumbers/>
                  <w:suppressAutoHyphens/>
                  <w:rPr>
                    <w:rFonts w:eastAsia="Andale Sans UI"/>
                    <w:spacing w:val="10"/>
                    <w:szCs w:val="24"/>
                    <w:lang w:bidi="en-US"/>
                  </w:rPr>
                </w:pPr>
              </w:p>
            </w:tc>
            <w:tc>
              <w:tcPr>
                <w:tcW w:w="282" w:type="dxa"/>
                <w:tcMar>
                  <w:top w:w="0" w:type="dxa"/>
                  <w:left w:w="0" w:type="dxa"/>
                  <w:bottom w:w="0" w:type="dxa"/>
                  <w:right w:w="0" w:type="dxa"/>
                </w:tcMar>
              </w:tcPr>
              <w:p>
                <w:pPr>
                  <w:widowControl w:val="0"/>
                  <w:suppressAutoHyphens/>
                  <w:ind w:right="67"/>
                  <w:jc w:val="right"/>
                  <w:rPr>
                    <w:rFonts w:eastAsia="Andale Sans UI"/>
                    <w:spacing w:val="10"/>
                    <w:szCs w:val="24"/>
                    <w:lang w:bidi="en-US"/>
                  </w:rPr>
                </w:pPr>
              </w:p>
            </w:tc>
            <w:tc>
              <w:tcPr>
                <w:tcW w:w="1841" w:type="dxa"/>
                <w:tcMar>
                  <w:top w:w="0" w:type="dxa"/>
                  <w:left w:w="0" w:type="dxa"/>
                  <w:bottom w:w="0" w:type="dxa"/>
                  <w:right w:w="0" w:type="dxa"/>
                </w:tcMar>
              </w:tcPr>
              <w:p>
                <w:pPr>
                  <w:widowControl w:val="0"/>
                  <w:suppressLineNumbers/>
                  <w:suppressAutoHyphens/>
                  <w:ind w:right="67"/>
                  <w:rPr>
                    <w:rFonts w:eastAsia="Andale Sans UI"/>
                    <w:szCs w:val="24"/>
                    <w:lang w:bidi="en-US"/>
                  </w:rPr>
                </w:pPr>
                <w:r>
                  <w:rPr>
                    <w:rFonts w:eastAsia="Andale Sans UI"/>
                    <w:szCs w:val="24"/>
                    <w:lang w:bidi="en-US"/>
                  </w:rPr>
                  <w:t>2021-05-</w:t>
                </w:r>
              </w:p>
            </w:tc>
            <w:tc>
              <w:tcPr>
                <w:tcW w:w="565" w:type="dxa"/>
              </w:tcPr>
              <w:p>
                <w:pPr>
                  <w:widowControl w:val="0"/>
                  <w:suppressAutoHyphens/>
                  <w:ind w:right="67"/>
                  <w:jc w:val="right"/>
                  <w:rPr>
                    <w:rFonts w:eastAsia="Andale Sans UI"/>
                    <w:spacing w:val="10"/>
                    <w:szCs w:val="24"/>
                    <w:lang w:bidi="en-US"/>
                  </w:rPr>
                </w:pPr>
                <w:r>
                  <w:rPr>
                    <w:rFonts w:eastAsia="Andale Sans UI"/>
                    <w:spacing w:val="10"/>
                    <w:szCs w:val="24"/>
                    <w:lang w:bidi="en-US"/>
                  </w:rPr>
                  <w:t>Nr.</w:t>
                </w:r>
              </w:p>
            </w:tc>
            <w:tc>
              <w:tcPr>
                <w:tcW w:w="2133" w:type="dxa"/>
              </w:tcPr>
              <w:p>
                <w:pPr>
                  <w:widowControl w:val="0"/>
                  <w:suppressLineNumbers/>
                  <w:suppressAutoHyphens/>
                  <w:ind w:right="67"/>
                  <w:rPr>
                    <w:rFonts w:eastAsia="Andale Sans UI"/>
                    <w:szCs w:val="24"/>
                    <w:lang w:bidi="en-US"/>
                  </w:rPr>
                </w:pPr>
                <w:r>
                  <w:rPr>
                    <w:rFonts w:eastAsia="Andale Sans UI"/>
                    <w:szCs w:val="24"/>
                    <w:lang w:bidi="en-US"/>
                  </w:rPr>
                  <w:t>(14)-D8(E)-</w:t>
                </w:r>
              </w:p>
            </w:tc>
          </w:tr>
          <w:tr>
            <w:trPr>
              <w:cantSplit/>
              <w:trHeight w:val="340"/>
            </w:trPr>
            <w:tc>
              <w:tcPr>
                <w:tcW w:w="4817" w:type="dxa"/>
                <w:vMerge/>
                <w:tcMar>
                  <w:top w:w="0" w:type="dxa"/>
                  <w:left w:w="0" w:type="dxa"/>
                  <w:bottom w:w="0" w:type="dxa"/>
                  <w:right w:w="0" w:type="dxa"/>
                </w:tcMar>
              </w:tcPr>
              <w:p/>
            </w:tc>
            <w:tc>
              <w:tcPr>
                <w:tcW w:w="282" w:type="dxa"/>
                <w:tcMar>
                  <w:top w:w="0" w:type="dxa"/>
                  <w:left w:w="0" w:type="dxa"/>
                  <w:bottom w:w="0" w:type="dxa"/>
                  <w:right w:w="0" w:type="dxa"/>
                </w:tcMar>
              </w:tcPr>
              <w:p>
                <w:pPr>
                  <w:widowControl w:val="0"/>
                  <w:tabs>
                    <w:tab w:val="left" w:pos="2869"/>
                  </w:tabs>
                  <w:suppressAutoHyphens/>
                  <w:ind w:right="67"/>
                  <w:jc w:val="right"/>
                  <w:rPr>
                    <w:rFonts w:eastAsia="Andale Sans UI"/>
                    <w:spacing w:val="10"/>
                    <w:szCs w:val="24"/>
                    <w:lang w:bidi="en-US"/>
                  </w:rPr>
                </w:pPr>
                <w:r>
                  <w:rPr>
                    <w:rFonts w:eastAsia="Andale Sans UI"/>
                    <w:spacing w:val="10"/>
                    <w:szCs w:val="24"/>
                    <w:lang w:bidi="en-US"/>
                  </w:rPr>
                  <w:t>Į</w:t>
                </w:r>
              </w:p>
            </w:tc>
            <w:tc>
              <w:tcPr>
                <w:tcW w:w="1841" w:type="dxa"/>
                <w:tcMar>
                  <w:top w:w="0" w:type="dxa"/>
                  <w:left w:w="0" w:type="dxa"/>
                  <w:bottom w:w="0" w:type="dxa"/>
                  <w:right w:w="0" w:type="dxa"/>
                </w:tcMar>
              </w:tcPr>
              <w:p>
                <w:pPr>
                  <w:widowControl w:val="0"/>
                  <w:suppressLineNumbers/>
                  <w:suppressAutoHyphens/>
                  <w:ind w:right="67"/>
                  <w:rPr>
                    <w:rFonts w:eastAsia="Andale Sans UI"/>
                    <w:szCs w:val="24"/>
                    <w:lang w:bidi="en-US"/>
                  </w:rPr>
                </w:pPr>
              </w:p>
            </w:tc>
            <w:tc>
              <w:tcPr>
                <w:tcW w:w="565" w:type="dxa"/>
              </w:tcPr>
              <w:p>
                <w:pPr>
                  <w:widowControl w:val="0"/>
                  <w:tabs>
                    <w:tab w:val="left" w:pos="2869"/>
                  </w:tabs>
                  <w:suppressAutoHyphens/>
                  <w:ind w:right="67"/>
                  <w:jc w:val="right"/>
                  <w:rPr>
                    <w:rFonts w:eastAsia="Andale Sans UI"/>
                    <w:spacing w:val="10"/>
                    <w:szCs w:val="24"/>
                    <w:lang w:bidi="en-US"/>
                  </w:rPr>
                </w:pPr>
                <w:r>
                  <w:rPr>
                    <w:rFonts w:eastAsia="Andale Sans UI"/>
                    <w:spacing w:val="10"/>
                    <w:szCs w:val="24"/>
                    <w:lang w:bidi="en-US"/>
                  </w:rPr>
                  <w:t>Nr.</w:t>
                </w:r>
              </w:p>
            </w:tc>
            <w:tc>
              <w:tcPr>
                <w:tcW w:w="2133" w:type="dxa"/>
              </w:tcPr>
              <w:p>
                <w:pPr>
                  <w:widowControl w:val="0"/>
                  <w:suppressLineNumbers/>
                  <w:suppressAutoHyphens/>
                  <w:ind w:right="67"/>
                  <w:rPr>
                    <w:rFonts w:eastAsia="Andale Sans UI"/>
                    <w:szCs w:val="24"/>
                    <w:lang w:bidi="en-US"/>
                  </w:rPr>
                </w:pPr>
              </w:p>
            </w:tc>
          </w:tr>
          <w:tr>
            <w:trPr>
              <w:cantSplit/>
            </w:trPr>
            <w:tc>
              <w:tcPr>
                <w:tcW w:w="4817" w:type="dxa"/>
                <w:vMerge/>
                <w:tcMar>
                  <w:top w:w="0" w:type="dxa"/>
                  <w:left w:w="0" w:type="dxa"/>
                  <w:bottom w:w="0" w:type="dxa"/>
                  <w:right w:w="0" w:type="dxa"/>
                </w:tcMar>
              </w:tcPr>
              <w:p/>
            </w:tc>
            <w:tc>
              <w:tcPr>
                <w:tcW w:w="4821" w:type="dxa"/>
                <w:gridSpan w:val="4"/>
                <w:tcMar>
                  <w:top w:w="0" w:type="dxa"/>
                  <w:left w:w="0" w:type="dxa"/>
                  <w:bottom w:w="0" w:type="dxa"/>
                  <w:right w:w="0" w:type="dxa"/>
                </w:tcMar>
              </w:tcPr>
              <w:p>
                <w:pPr>
                  <w:widowControl w:val="0"/>
                  <w:tabs>
                    <w:tab w:val="left" w:pos="2869"/>
                  </w:tabs>
                  <w:suppressAutoHyphens/>
                  <w:ind w:right="67"/>
                  <w:rPr>
                    <w:rFonts w:eastAsia="Andale Sans UI"/>
                    <w:spacing w:val="10"/>
                    <w:szCs w:val="24"/>
                    <w:lang w:bidi="en-US"/>
                  </w:rPr>
                </w:pPr>
              </w:p>
            </w:tc>
          </w:tr>
          <w:tr>
            <w:trPr>
              <w:trHeight w:val="340"/>
            </w:trPr>
            <w:tc>
              <w:tcPr>
                <w:tcW w:w="9638" w:type="dxa"/>
                <w:gridSpan w:val="5"/>
                <w:tcMar>
                  <w:top w:w="0" w:type="dxa"/>
                  <w:left w:w="0" w:type="dxa"/>
                  <w:bottom w:w="0" w:type="dxa"/>
                  <w:right w:w="0" w:type="dxa"/>
                </w:tcMar>
              </w:tcPr>
              <w:p>
                <w:pPr>
                  <w:widowControl w:val="0"/>
                  <w:suppressAutoHyphens/>
                  <w:jc w:val="both"/>
                  <w:rPr>
                    <w:b/>
                    <w:caps/>
                    <w:lang w:eastAsia="lt-LT"/>
                  </w:rPr>
                </w:pPr>
                <w:r>
                  <w:rPr>
                    <w:rFonts w:eastAsia="Andale Sans UI"/>
                    <w:b/>
                    <w:bCs/>
                    <w:caps/>
                    <w:szCs w:val="24"/>
                    <w:lang w:bidi="en-US"/>
                  </w:rPr>
                  <w:t xml:space="preserve">DĖL LIETUVOS RESPUBLIKOS VYRIAUSYBĖS NUTARIMO </w:t>
                </w:r>
                <w:r>
                  <w:rPr>
                    <w:b/>
                    <w:caps/>
                    <w:lang w:eastAsia="lt-LT"/>
                  </w:rPr>
                  <w:t xml:space="preserve">PROJEKTO DERINIMO </w:t>
                </w:r>
              </w:p>
              <w:p>
                <w:pPr>
                  <w:widowControl w:val="0"/>
                  <w:suppressLineNumbers/>
                  <w:suppressAutoHyphens/>
                  <w:rPr>
                    <w:rFonts w:eastAsia="Andale Sans UI"/>
                    <w:b/>
                    <w:bCs/>
                    <w:szCs w:val="24"/>
                    <w:lang w:bidi="en-US"/>
                  </w:rPr>
                </w:pPr>
              </w:p>
              <w:p>
                <w:pPr>
                  <w:widowControl w:val="0"/>
                  <w:suppressLineNumbers/>
                  <w:suppressAutoHyphens/>
                  <w:rPr>
                    <w:rFonts w:eastAsia="Andale Sans UI"/>
                    <w:b/>
                    <w:bCs/>
                    <w:szCs w:val="24"/>
                    <w:lang w:bidi="en-US"/>
                  </w:rPr>
                </w:pPr>
              </w:p>
            </w:tc>
          </w:tr>
        </w:tbl>
        <w:p/>
      </w:sdtContent>
    </w:sdt>
    <w:sdt>
      <w:sdtPr>
        <w:alias w:val="pastraipa"/>
        <w:tag w:val="part_9c18bf0d92144ae1a1bc2486d6949987"/>
        <w:lock w:val="sdtLocked"/>
        <w:richText/>
      </w:sdtPr>
      <w:sdtContent>
        <w:p>
          <w:pPr>
            <w:widowControl w:val="0"/>
            <w:suppressLineNumbers/>
            <w:suppressAutoHyphens/>
            <w:ind w:firstLine="567"/>
            <w:jc w:val="both"/>
            <w:rPr>
              <w:rFonts w:eastAsia="Andale Sans UI" w:cs="Tahoma"/>
              <w:szCs w:val="24"/>
              <w:lang w:bidi="en-US"/>
            </w:rPr>
          </w:pPr>
          <w:r>
            <w:rPr>
              <w:rFonts w:eastAsia="Andale Sans UI" w:cs="Tahoma"/>
              <w:szCs w:val="24"/>
              <w:lang w:bidi="en-US"/>
            </w:rPr>
            <w:t>Aplinkos ministerija parengė ir teikia išvadoms gauti Lietuvos Respublikos Vyriausybės</w:t>
          </w:r>
          <w:r>
            <w:rPr>
              <w:rFonts w:eastAsia="Andale Sans UI" w:cs="Tahoma"/>
              <w:color w:val="000000"/>
              <w:szCs w:val="24"/>
              <w:lang w:bidi="en-US"/>
            </w:rPr>
            <w:t xml:space="preserve"> nutarimo „Dėl </w:t>
          </w:r>
          <w:r>
            <w:rPr>
              <w:rFonts w:eastAsia="Andale Sans UI" w:cs="Tahoma"/>
              <w:szCs w:val="24"/>
              <w:lang w:bidi="en-US"/>
            </w:rPr>
            <w:t>Lietuvos Respublikos Vyriausybės</w:t>
          </w:r>
          <w:r>
            <w:rPr>
              <w:rFonts w:eastAsia="Andale Sans UI" w:cs="Tahoma"/>
              <w:color w:val="000000"/>
              <w:szCs w:val="24"/>
              <w:lang w:bidi="en-US"/>
            </w:rPr>
            <w:t xml:space="preserve"> 2013 m. gruodžio 18 d. nutarimo Nr. 1265 „Dėl Pasiūlymų teikimo dėl teritorijų planavimo proceso inicijavimo tvarkos aprašo patvirtinimo“ pakeitimo“ projektą (toliau – </w:t>
          </w:r>
          <w:r>
            <w:rPr>
              <w:rFonts w:eastAsia="Andale Sans UI" w:cs="Tahoma"/>
              <w:szCs w:val="24"/>
              <w:lang w:bidi="en-US"/>
            </w:rPr>
            <w:t>Nutarimo projektas).</w:t>
          </w:r>
        </w:p>
      </w:sdtContent>
    </w:sdt>
    <w:sdt>
      <w:sdtPr>
        <w:alias w:val="pastraipa"/>
        <w:tag w:val="part_ae6e292fd6f14469a146464ccff71d1f"/>
        <w:lock w:val="sdtLocked"/>
        <w:richText/>
      </w:sdtPr>
      <w:sdtContent>
        <w:p>
          <w:pPr>
            <w:widowControl w:val="0"/>
            <w:suppressLineNumbers/>
            <w:suppressAutoHyphens/>
            <w:ind w:firstLine="567"/>
            <w:jc w:val="both"/>
            <w:rPr>
              <w:rFonts w:eastAsia="Andale Sans UI" w:cs="Tahoma"/>
              <w:szCs w:val="24"/>
              <w:lang w:bidi="en-US"/>
            </w:rPr>
          </w:pPr>
          <w:r>
            <w:rPr>
              <w:rFonts w:eastAsia="Andale Sans UI" w:cs="Tahoma"/>
              <w:szCs w:val="24"/>
              <w:lang w:bidi="en-US"/>
            </w:rPr>
            <w:t>Pasiūlymų teikimo dėl teritorijų planavimo proceso inicijavimo tvarkos aprašas</w:t>
          </w:r>
          <w:r>
            <w:rPr>
              <w:rFonts w:eastAsia="Andale Sans UI" w:cs="Tahoma"/>
              <w:szCs w:val="24"/>
              <w:vertAlign w:val="superscript"/>
              <w:lang w:bidi="en-US"/>
            </w:rPr>
            <w:footnoteReference w:id="1"/>
          </w:r>
          <w:r>
            <w:rPr>
              <w:rFonts w:eastAsia="Andale Sans UI" w:cs="Tahoma"/>
              <w:szCs w:val="24"/>
              <w:lang w:bidi="en-US"/>
            </w:rPr>
            <w:t xml:space="preserve"> (toliau – Aprašas) – Lietuvos Respublikos teritorijų planavimo įstatymo įgyvendinamasis teisės aktas. </w:t>
          </w:r>
        </w:p>
      </w:sdtContent>
    </w:sdt>
    <w:sdt>
      <w:sdtPr>
        <w:alias w:val="pastraipa"/>
        <w:tag w:val="part_de5abe0895ee4b11809fa481c356d353"/>
        <w:lock w:val="sdtLocked"/>
        <w:richText/>
      </w:sdtPr>
      <w:sdtContent>
        <w:p>
          <w:pPr>
            <w:widowControl w:val="0"/>
            <w:suppressLineNumbers/>
            <w:suppressAutoHyphens/>
            <w:ind w:firstLine="567"/>
            <w:jc w:val="both"/>
            <w:rPr>
              <w:rFonts w:eastAsia="Andale Sans UI" w:cs="Tahoma"/>
              <w:szCs w:val="24"/>
              <w:lang w:bidi="en-US"/>
            </w:rPr>
          </w:pPr>
          <w:r>
            <w:rPr>
              <w:rFonts w:eastAsia="Andale Sans UI" w:cs="Tahoma"/>
              <w:szCs w:val="24"/>
              <w:lang w:bidi="en-US"/>
            </w:rPr>
            <w:t xml:space="preserve">Nutarimo projekto tikslas – suderinti Aprašo nuostatas su pakeistomis Teritorijų planavimo įstatymo nuostatomis. </w:t>
          </w:r>
        </w:p>
      </w:sdtContent>
    </w:sdt>
    <w:sdt>
      <w:sdtPr>
        <w:alias w:val="pastraipa"/>
        <w:tag w:val="part_e854bf480c3a493588c01d729fb239b0"/>
        <w:lock w:val="sdtLocked"/>
        <w:richText/>
      </w:sdtPr>
      <w:sdtContent>
        <w:p>
          <w:pPr>
            <w:widowControl w:val="0"/>
            <w:suppressLineNumbers/>
            <w:suppressAutoHyphens/>
            <w:ind w:firstLine="567"/>
            <w:jc w:val="both"/>
            <w:rPr>
              <w:rFonts w:eastAsia="Andale Sans UI" w:cs="Tahoma"/>
              <w:bCs/>
              <w:szCs w:val="24"/>
              <w:lang w:bidi="en-US"/>
            </w:rPr>
          </w:pPr>
          <w:r>
            <w:rPr>
              <w:rFonts w:eastAsia="Andale Sans UI" w:cs="Tahoma"/>
              <w:bCs/>
              <w:szCs w:val="24"/>
              <w:lang w:bidi="en-US"/>
            </w:rPr>
            <w:t>Nuo 2021 m. liepos 1 d. įsigaliosiančiu Lietuvos Respublikos teritorijų planavimo įstatymo Nr. I-1120 2, 3, 6, 7, 11, 13, 14, 15, 16, 17, 18, 20, 23, 25, 26, 27, 28, 30, 31, 33, 35, 37, 39, 47 ir 49 straipsnių pakeitimo įstatymu Nr. XIV-158 (toliau – TPĮ Nr. XIV-158)</w:t>
          </w:r>
          <w:r>
            <w:rPr>
              <w:rFonts w:eastAsia="Andale Sans UI" w:cs="Tahoma"/>
              <w:color w:val="C00000"/>
              <w:szCs w:val="24"/>
              <w:lang w:bidi="en-US"/>
            </w:rPr>
            <w:t xml:space="preserve"> </w:t>
          </w:r>
          <w:r>
            <w:rPr>
              <w:rFonts w:eastAsia="Andale Sans UI" w:cs="Tahoma"/>
              <w:bCs/>
              <w:szCs w:val="24"/>
              <w:lang w:bidi="en-US"/>
            </w:rPr>
            <w:t xml:space="preserve">aiškumo tikslais siekiant susieti planavimo iniciatyvos teisę su šiuo įstatymu pakeistu 28 str. (jo 7 d.), TPĮ 6 str. 3 d. papildyta, nurodant, kad ši teisė numatyta ne tik dėl </w:t>
          </w:r>
          <w:r>
            <w:rPr>
              <w:rFonts w:eastAsia="Andale Sans UI" w:cs="Tahoma"/>
              <w:bCs/>
              <w:i/>
              <w:szCs w:val="24"/>
              <w:lang w:bidi="en-US"/>
            </w:rPr>
            <w:t>vietovės lygmens</w:t>
          </w:r>
          <w:r>
            <w:rPr>
              <w:rFonts w:eastAsia="Andale Sans UI" w:cs="Tahoma"/>
              <w:bCs/>
              <w:szCs w:val="24"/>
              <w:lang w:bidi="en-US"/>
            </w:rPr>
            <w:t xml:space="preserve"> teritorijų planavimo dokumentų rengimo, keitimo ar koregavimo ir (ar) finansavimo, bet (TPĮ 28 str. 7 d. nurodytais atvejais Krašto apsaugos ministerijos ar jos įgaliotos institucijos ir</w:t>
          </w:r>
          <w:r>
            <w:rPr>
              <w:rFonts w:eastAsia="Andale Sans UI" w:cs="Tahoma"/>
              <w:b/>
              <w:bCs/>
              <w:i/>
              <w:szCs w:val="24"/>
              <w:lang w:bidi="en-US"/>
            </w:rPr>
            <w:t xml:space="preserve"> </w:t>
          </w:r>
          <w:r>
            <w:rPr>
              <w:rFonts w:eastAsia="Andale Sans UI" w:cs="Tahoma"/>
              <w:bCs/>
              <w:szCs w:val="24"/>
              <w:lang w:bidi="en-US"/>
            </w:rPr>
            <w:t xml:space="preserve">Ekonomikos ir inovacijų ministerijos ar jos įgaliotos institucijos iniciatyva) ir dėl </w:t>
          </w:r>
          <w:r>
            <w:rPr>
              <w:rFonts w:eastAsia="Andale Sans UI" w:cs="Tahoma"/>
              <w:bCs/>
              <w:i/>
              <w:szCs w:val="24"/>
              <w:lang w:bidi="en-US"/>
            </w:rPr>
            <w:t>savivaldybės lygmens</w:t>
          </w:r>
          <w:r>
            <w:rPr>
              <w:rFonts w:eastAsia="Andale Sans UI" w:cs="Tahoma"/>
              <w:bCs/>
              <w:szCs w:val="24"/>
              <w:lang w:bidi="en-US"/>
            </w:rPr>
            <w:t xml:space="preserve"> bendrųjų planų koregavimo. Atsižvelgiant į tai, Nutarimo projektu keičiamos Aprašo 1 p. nuostatos ir 13.1 p. nuostatos.</w:t>
          </w:r>
        </w:p>
      </w:sdtContent>
    </w:sdt>
    <w:sdt>
      <w:sdtPr>
        <w:alias w:val="pastraipa"/>
        <w:tag w:val="part_aec112ad9c524c38bccd3b6ce5a84dc4"/>
        <w:lock w:val="sdtLocked"/>
        <w:richText/>
      </w:sdtPr>
      <w:sdtContent>
        <w:p>
          <w:pPr>
            <w:widowControl w:val="0"/>
            <w:suppressLineNumbers/>
            <w:suppressAutoHyphens/>
            <w:ind w:firstLine="567"/>
            <w:jc w:val="both"/>
            <w:rPr>
              <w:rFonts w:eastAsia="Andale Sans UI" w:cs="Tahoma"/>
              <w:bCs/>
              <w:szCs w:val="24"/>
              <w:lang w:bidi="en-US"/>
            </w:rPr>
          </w:pPr>
          <w:r>
            <w:rPr>
              <w:rFonts w:eastAsia="Andale Sans UI" w:cs="Tahoma"/>
              <w:bCs/>
              <w:szCs w:val="24"/>
              <w:lang w:bidi="en-US"/>
            </w:rPr>
            <w:t>Siekiant didesnio teritorijų planavimo proceso inicijavimo viešumo TPĮ Nr. XIV-158 papildytos 6 str. 3 d. nuostatos, nustatant, kad „</w:t>
          </w:r>
          <w:r>
            <w:rPr>
              <w:rFonts w:eastAsia="Andale Sans UI" w:cs="Tahoma"/>
              <w:b/>
              <w:bCs/>
              <w:i/>
              <w:szCs w:val="24"/>
              <w:lang w:bidi="en-US"/>
            </w:rPr>
            <w:t>apie motyvuotą sprendimą atmesti pasiūlymą informuojamas planavimo iniciatorius ir sprendimas skelbiamas savivaldybės ar kitų įstatymų nustatytų specialiojo teritorijų planavimo organizatorių interneto svetainėse.</w:t>
          </w:r>
          <w:r>
            <w:rPr>
              <w:rFonts w:eastAsia="Andale Sans UI" w:cs="Tahoma"/>
              <w:bCs/>
              <w:szCs w:val="24"/>
              <w:lang w:bidi="en-US"/>
            </w:rPr>
            <w:t>“ Atsižvelgiant į šį pakeitimą, Nutarimo projektu keičiamos Aprašo 9 p. nuostatos.</w:t>
          </w:r>
        </w:p>
      </w:sdtContent>
    </w:sdt>
    <w:sdt>
      <w:sdtPr>
        <w:alias w:val="pastraipa"/>
        <w:tag w:val="part_c2815b27ab2041758e3e85f4da4267cd"/>
        <w:lock w:val="sdtLocked"/>
        <w:richText/>
      </w:sdtPr>
      <w:sdtContent>
        <w:p>
          <w:pPr>
            <w:widowControl w:val="0"/>
            <w:suppressLineNumbers/>
            <w:suppressAutoHyphens/>
            <w:ind w:firstLine="567"/>
            <w:jc w:val="both"/>
            <w:rPr>
              <w:rFonts w:eastAsia="Andale Sans UI" w:cs="Tahoma"/>
              <w:bCs/>
              <w:szCs w:val="24"/>
              <w:lang w:bidi="en-US"/>
            </w:rPr>
          </w:pPr>
          <w:r>
            <w:rPr>
              <w:rFonts w:eastAsia="Andale Sans UI" w:cs="Tahoma"/>
              <w:bCs/>
              <w:szCs w:val="24"/>
              <w:lang w:bidi="en-US"/>
            </w:rPr>
            <w:t xml:space="preserve">Siekiant sudaryti sąlygas socialinės atskirties mažinimui ir mišrių socialinių miesto struktūrų formavimui, racionaliam sukurtos infrastruktūros panaudojimui, TPĮ Nr. XIV-158 sudaryta galimybė miestų bendruosiuose planuose nustatyti dvi leidžiamojo užstatymo intensyvumo rodiklio reikšmes. Kai siekiama taikyti tarpines leidžiamojo užstatymo intensyvumo rodiklio reikšmes: ne mažiau kaip 20 % ir ne daugiau kaip 30 % papildomai (dėl užstatymo intensyvumo rodiklių reikšmių skirtumo) gauto šiose teritorijose pastatytų naujų pastatų naudingojo ar pagrindinio ploto kaip savivaldybės būstas ar socialinis būstas turi būti perduota savivaldybės nuosavybėn į savivaldybės būsto fondą. TPĮ Nr. XIV-158 </w:t>
          </w:r>
          <w:r>
            <w:rPr>
              <w:rFonts w:eastAsia="Andale Sans UI" w:cs="Tahoma"/>
              <w:szCs w:val="24"/>
              <w:lang w:bidi="en-US"/>
            </w:rPr>
            <w:t xml:space="preserve">įtvirtintoje 15 str. 2 d. nustatyta, jeigu vietovės lygmens kompleksinio teritorijų planavimo dokumento iniciatorius planuoja pastatų su gyvenamosios paskirties patalpomis statybą pasinaudojant tarpine (didesne už mažiausiąją, bet ne didesne už didžiausiąją) leidžiamojo užstatymo intensyvumo rodiklio reikšme, teritorijų planavimo dokumento sprendinių įgyvendinimo sutartyje turi būti susitarta dėl užstatymo intensyvumo didinimo privalomosios sąlygos – atitinkamo ploto būsto perdavimo į savivaldybės būsto fondą. Atsižvelgus į </w:t>
          </w:r>
          <w:r>
            <w:rPr>
              <w:rFonts w:eastAsia="Andale Sans UI" w:cs="Tahoma"/>
              <w:bCs/>
              <w:szCs w:val="24"/>
              <w:lang w:bidi="en-US"/>
            </w:rPr>
            <w:t>TPĮ Nr. XIV-</w:t>
          </w:r>
          <w:r>
            <w:rPr>
              <w:rFonts w:eastAsia="Andale Sans UI" w:cs="Tahoma"/>
              <w:szCs w:val="24"/>
              <w:lang w:bidi="en-US"/>
            </w:rPr>
            <w:t xml:space="preserve"> </w:t>
          </w:r>
          <w:r>
            <w:rPr>
              <w:rFonts w:eastAsia="Andale Sans UI" w:cs="Tahoma"/>
              <w:bCs/>
              <w:szCs w:val="24"/>
              <w:lang w:bidi="en-US"/>
            </w:rPr>
            <w:t xml:space="preserve">158 </w:t>
          </w:r>
          <w:r>
            <w:rPr>
              <w:rFonts w:eastAsia="Andale Sans UI" w:cs="Tahoma"/>
              <w:szCs w:val="24"/>
              <w:lang w:bidi="en-US"/>
            </w:rPr>
            <w:t xml:space="preserve">įtvirtintas 15 str. 2 d. nuostatas, šiuo įstatymu TPĮ 6 str. 4 d. papildytas teritorijų planavimo dokumento sprendinių įgyvendinimo sutarties (toliau – įgyvendinimo sutartis) sudarymo atvejų sąrašas, t. y. įgyvendinimo sutartis, </w:t>
          </w:r>
          <w:r>
            <w:rPr>
              <w:rFonts w:eastAsia="Andale Sans UI" w:cs="Tahoma"/>
              <w:i/>
              <w:szCs w:val="24"/>
              <w:lang w:bidi="en-US"/>
            </w:rPr>
            <w:t>inter alia</w:t>
          </w:r>
          <w:r>
            <w:rPr>
              <w:rFonts w:eastAsia="Andale Sans UI" w:cs="Tahoma"/>
              <w:szCs w:val="24"/>
              <w:lang w:bidi="en-US"/>
            </w:rPr>
            <w:t xml:space="preserve">, turi būti sudaroma, jeigu teritorijų planavimo dokumento sprendiniams įgyvendinti reikalingas būsto perdavimas į savivaldybės būsto fondą pagal TPĮ 15 str.2 d. Atsižvelgiant į TPĮ 15 str. 2 d. įtvirtintą naują teisinį reguliavimą ir papildytas TPĮ 6 str. 4 d. nuostatas, Nutarimo projektu atitinkamai keičiami Aprašo 4 ir 34 p., 2 priedas – </w:t>
          </w:r>
          <w:r>
            <w:rPr>
              <w:rFonts w:eastAsia="Andale Sans UI" w:cs="Tahoma"/>
              <w:bCs/>
              <w:szCs w:val="24"/>
              <w:lang w:bidi="en-US"/>
            </w:rPr>
            <w:t>Teritorijų planavimo proceso inicijavimo sutarties formos pavyzdys papildomas nauju 7</w:t>
          </w:r>
          <w:r>
            <w:rPr>
              <w:rFonts w:eastAsia="Andale Sans UI" w:cs="Tahoma"/>
              <w:bCs/>
              <w:szCs w:val="24"/>
              <w:vertAlign w:val="superscript"/>
              <w:lang w:bidi="en-US"/>
            </w:rPr>
            <w:t>1</w:t>
          </w:r>
          <w:r>
            <w:rPr>
              <w:rFonts w:eastAsia="Andale Sans UI" w:cs="Tahoma"/>
              <w:bCs/>
              <w:szCs w:val="24"/>
              <w:lang w:bidi="en-US"/>
            </w:rPr>
            <w:t xml:space="preserve"> punktu „Būsto perdavimas į savivaldybės būsto fondą“.</w:t>
          </w:r>
        </w:p>
      </w:sdtContent>
    </w:sdt>
    <w:sdt>
      <w:sdtPr>
        <w:alias w:val="pastraipa"/>
        <w:tag w:val="part_8a8acbe493c341209cce0d0672d1f6a1"/>
        <w:lock w:val="sdtLocked"/>
        <w:richText/>
      </w:sdtPr>
      <w:sdtContent>
        <w:p>
          <w:pPr>
            <w:widowControl w:val="0"/>
            <w:suppressLineNumbers/>
            <w:suppressAutoHyphens/>
            <w:ind w:firstLine="567"/>
            <w:jc w:val="both"/>
            <w:rPr>
              <w:rFonts w:eastAsia="Andale Sans UI" w:cs="Tahoma"/>
              <w:bCs/>
              <w:szCs w:val="24"/>
              <w:lang w:bidi="en-US"/>
            </w:rPr>
          </w:pPr>
          <w:r>
            <w:rPr>
              <w:rFonts w:eastAsia="Andale Sans UI" w:cs="Tahoma"/>
              <w:bCs/>
              <w:szCs w:val="24"/>
              <w:lang w:bidi="en-US"/>
            </w:rPr>
            <w:t>Pagal nuo 2014-01-01 d. įsigaliojusį teritorijų planavimo teisiniam reguliavimą rengiamai teritorijos vystymo koncepcijai (toliau – koncepcija) raštu turi pritarti planavimo organizatorius. Ši nuostata leidžia sutrumpinti teritorijų planavimo dokumento rengimo procesą, bet neaišku, kokios būtų šį dokumentą tvirtinančio subjekto galimo nesutikimo su siūloma koncepcija pasekmės. Atsižvelgus į tai, ir įvertinus, kad koncepcija turi būti rengiama, kai numatomos teritorijų planavimo dokumentų sprendinių alternatyvos (t. y. koncepcija numato planuojamos teritorijos pokyčius ir nustato jos plėtros galimybes, kurios turi būti išsamiai išnagrinėtos), TPĮ Nr. XIV-158 pakeistas TPĮ 25 str. 5 d. 2 p., pagal kurį „</w:t>
          </w:r>
          <w:r>
            <w:rPr>
              <w:rFonts w:eastAsia="Andale Sans UI" w:cs="Tahoma"/>
              <w:b/>
              <w:bCs/>
              <w:i/>
              <w:szCs w:val="24"/>
              <w:lang w:bidi="en-US"/>
            </w:rPr>
            <w:t>koncepcijai sprendimu turi pritarti teritorijų planavimo dokumentą tvirtinantis subjektas</w:t>
          </w:r>
          <w:r>
            <w:rPr>
              <w:rFonts w:eastAsia="Andale Sans UI" w:cs="Tahoma"/>
              <w:bCs/>
              <w:szCs w:val="24"/>
              <w:lang w:bidi="en-US"/>
            </w:rPr>
            <w:t>“. Pvz., vietovės lygmens kompleksinių teritorijų planavimo dokumentų rengimo organizatorius yra savivaldybės administracijos direktorius, tačiau direktorius tvirtina tik detaliuosius planus, o vietovės lygmens bendruosius planus tvirtina savivaldybės taryba. Atsižvelgiant į pakeistą TPĮ 25 str. 5 d. 2 p., atitinkamai patikslinta Aprašo 16.4 p. nuostata.</w:t>
          </w:r>
        </w:p>
      </w:sdtContent>
    </w:sdt>
    <w:sdt>
      <w:sdtPr>
        <w:alias w:val="pastraipa"/>
        <w:tag w:val="part_083f672c8567470f933cad9adabfcf31"/>
        <w:lock w:val="sdtLocked"/>
        <w:richText/>
      </w:sdtPr>
      <w:sdtContent>
        <w:p>
          <w:pPr>
            <w:widowControl w:val="0"/>
            <w:suppressLineNumbers/>
            <w:suppressAutoHyphens/>
            <w:ind w:firstLine="567"/>
            <w:jc w:val="both"/>
            <w:rPr>
              <w:rFonts w:eastAsia="Andale Sans UI" w:cs="Tahoma"/>
              <w:bCs/>
              <w:szCs w:val="24"/>
              <w:lang w:bidi="en-US"/>
            </w:rPr>
          </w:pPr>
          <w:r>
            <w:rPr>
              <w:rFonts w:eastAsia="Andale Sans UI" w:cs="Tahoma"/>
              <w:bCs/>
              <w:szCs w:val="24"/>
              <w:lang w:bidi="en-US"/>
            </w:rPr>
            <w:t>Pagal TPĮ Nr. XIV-158 Nutrimo projektu pakeistos Aprašo 1, 4, 9, 16.4 ir 34 punktų nuostatos, 2 priedas papildytas 7</w:t>
          </w:r>
          <w:r>
            <w:rPr>
              <w:rFonts w:eastAsia="Andale Sans UI" w:cs="Tahoma"/>
              <w:bCs/>
              <w:szCs w:val="24"/>
              <w:vertAlign w:val="superscript"/>
              <w:lang w:bidi="en-US"/>
            </w:rPr>
            <w:t>1</w:t>
          </w:r>
          <w:r>
            <w:rPr>
              <w:rFonts w:eastAsia="Andale Sans UI" w:cs="Tahoma"/>
              <w:bCs/>
              <w:szCs w:val="24"/>
              <w:lang w:bidi="en-US"/>
            </w:rPr>
            <w:t xml:space="preserve"> punktu.</w:t>
          </w:r>
        </w:p>
      </w:sdtContent>
    </w:sdt>
    <w:sdt>
      <w:sdtPr>
        <w:alias w:val="pastraipa"/>
        <w:tag w:val="part_314eda2b358340b4858ac2c9a71f42a8"/>
        <w:lock w:val="sdtLocked"/>
        <w:richText/>
      </w:sdtPr>
      <w:sdtContent>
        <w:p>
          <w:pPr>
            <w:widowControl w:val="0"/>
            <w:suppressLineNumbers/>
            <w:suppressAutoHyphens/>
            <w:ind w:firstLine="567"/>
            <w:jc w:val="both"/>
            <w:rPr>
              <w:rFonts w:eastAsia="Andale Sans UI" w:cs="Tahoma"/>
              <w:szCs w:val="24"/>
              <w:lang w:bidi="en-US"/>
            </w:rPr>
          </w:pPr>
          <w:r>
            <w:rPr>
              <w:rFonts w:eastAsia="Andale Sans UI" w:cs="Tahoma"/>
              <w:szCs w:val="24"/>
              <w:lang w:bidi="en-US"/>
            </w:rPr>
            <w:t xml:space="preserve">Siekiant sukurti patrauklią ir konkurencingą investicinę aplinką Lietuvoje, kurios teritorijoje būtų sudarytos palankios sąlygos įgyvendinti stambius didelę pridėtinę vertę turinčius gamybos projektus, Lietuvos Respublikos Seime 2020-06-26 priimtas atitinkamų įstatymų pakeitimų paketas. Vienas iš šio paketo įstatymų – </w:t>
          </w:r>
          <w:r>
            <w:rPr>
              <w:rFonts w:eastAsia="Andale Sans UI" w:cs="Tahoma"/>
              <w:bCs/>
              <w:szCs w:val="24"/>
              <w:lang w:bidi="en-US"/>
            </w:rPr>
            <w:t xml:space="preserve">Lietuvos Respublikos teritorijų planavimo įstatymo Nr. I-1120 2, 4, 6, 17, 20, 23 ir 28 straipsnių pakeitimo įstatymas Nr. XIII-3163 (toliau – TPĮ Nr. XIII-3163), kuriuo, </w:t>
          </w:r>
          <w:r>
            <w:rPr>
              <w:rFonts w:eastAsia="Andale Sans UI" w:cs="Tahoma"/>
              <w:bCs/>
              <w:i/>
              <w:szCs w:val="24"/>
              <w:lang w:bidi="en-US"/>
            </w:rPr>
            <w:t>inter alia</w:t>
          </w:r>
          <w:r>
            <w:rPr>
              <w:rFonts w:eastAsia="Andale Sans UI" w:cs="Tahoma"/>
              <w:bCs/>
              <w:szCs w:val="24"/>
              <w:lang w:bidi="en-US"/>
            </w:rPr>
            <w:t xml:space="preserve">, Teritorijų planavimo įstatymo (toliau – TPĮ) 6 str. 3 d. </w:t>
          </w:r>
          <w:r>
            <w:rPr>
              <w:rFonts w:eastAsia="Andale Sans UI" w:cs="Tahoma"/>
              <w:b/>
              <w:bCs/>
              <w:i/>
              <w:szCs w:val="24"/>
              <w:lang w:bidi="en-US"/>
            </w:rPr>
            <w:t>įtvirtinta išimtis, sudaranti galimybę</w:t>
          </w:r>
          <w:r>
            <w:rPr>
              <w:rFonts w:eastAsia="Andale Sans UI" w:cs="Tahoma"/>
              <w:bCs/>
              <w:szCs w:val="24"/>
              <w:lang w:bidi="en-US"/>
            </w:rPr>
            <w:t xml:space="preserve"> TPĮ </w:t>
          </w:r>
          <w:r>
            <w:rPr>
              <w:rFonts w:eastAsia="Andale Sans UI" w:cs="Tahoma"/>
              <w:b/>
              <w:bCs/>
              <w:i/>
              <w:szCs w:val="24"/>
              <w:lang w:bidi="en-US"/>
            </w:rPr>
            <w:t>28 str. nurodytais atvejais</w:t>
          </w:r>
          <w:r>
            <w:rPr>
              <w:rFonts w:eastAsia="Andale Sans UI" w:cs="Tahoma"/>
              <w:bCs/>
              <w:szCs w:val="24"/>
              <w:lang w:bidi="en-US"/>
            </w:rPr>
            <w:t xml:space="preserve"> (kai Lietuvos Respublikos investicijų įstatyme nurodytiems stambiems projektams skirtų teritorijų vystymas nenumatytas savivaldybės lygmens ar vietovės lygmens bendruosiuose planuose)</w:t>
          </w:r>
          <w:r>
            <w:rPr>
              <w:rFonts w:eastAsia="Andale Sans UI" w:cs="Tahoma"/>
              <w:color w:val="C00000"/>
              <w:szCs w:val="24"/>
              <w:lang w:bidi="en-US"/>
            </w:rPr>
            <w:t xml:space="preserve"> </w:t>
          </w:r>
          <w:r>
            <w:rPr>
              <w:rFonts w:eastAsia="Andale Sans UI" w:cs="Tahoma"/>
              <w:b/>
              <w:bCs/>
              <w:i/>
              <w:szCs w:val="24"/>
              <w:lang w:bidi="en-US"/>
            </w:rPr>
            <w:t>Ekonomikos ir inovacijų ministerijai ar jos įgaliotai institucijai inicijuoti</w:t>
          </w:r>
          <w:r>
            <w:rPr>
              <w:rFonts w:eastAsia="Andale Sans UI" w:cs="Tahoma"/>
              <w:bCs/>
              <w:szCs w:val="24"/>
              <w:lang w:bidi="en-US"/>
            </w:rPr>
            <w:t xml:space="preserve"> ne tik vietovės lygmens bendrojo plano, bet ir </w:t>
          </w:r>
          <w:r>
            <w:rPr>
              <w:rFonts w:eastAsia="Andale Sans UI" w:cs="Tahoma"/>
              <w:b/>
              <w:bCs/>
              <w:i/>
              <w:szCs w:val="24"/>
              <w:lang w:bidi="en-US"/>
            </w:rPr>
            <w:t>savivaldybės</w:t>
          </w:r>
          <w:r>
            <w:rPr>
              <w:rFonts w:eastAsia="Andale Sans UI" w:cs="Tahoma"/>
              <w:b/>
              <w:i/>
              <w:color w:val="C00000"/>
              <w:szCs w:val="24"/>
              <w:lang w:bidi="en-US"/>
            </w:rPr>
            <w:t xml:space="preserve"> </w:t>
          </w:r>
          <w:r>
            <w:rPr>
              <w:rFonts w:eastAsia="Andale Sans UI" w:cs="Tahoma"/>
              <w:b/>
              <w:bCs/>
              <w:i/>
              <w:szCs w:val="24"/>
              <w:lang w:bidi="en-US"/>
            </w:rPr>
            <w:t>lygmens bendrojo plano koregavimą</w:t>
          </w:r>
          <w:r>
            <w:rPr>
              <w:rFonts w:eastAsia="Andale Sans UI" w:cs="Tahoma"/>
              <w:bCs/>
              <w:szCs w:val="24"/>
              <w:lang w:bidi="en-US"/>
            </w:rPr>
            <w:t xml:space="preserve">. TPĮ Nr. XIII-3163 pakeistoje 6 str. 3 dalyje nustatyta, kad savivaldybės administracijos direktorius </w:t>
          </w:r>
          <w:r>
            <w:rPr>
              <w:rFonts w:eastAsia="Andale Sans UI" w:cs="Tahoma"/>
              <w:b/>
              <w:bCs/>
              <w:i/>
              <w:szCs w:val="24"/>
              <w:lang w:bidi="en-US"/>
            </w:rPr>
            <w:t xml:space="preserve">per 15 darbo dienų </w:t>
          </w:r>
          <w:r>
            <w:rPr>
              <w:rFonts w:eastAsia="Andale Sans UI" w:cs="Tahoma"/>
              <w:bCs/>
              <w:szCs w:val="24"/>
              <w:lang w:bidi="en-US"/>
            </w:rPr>
            <w:t>(5 d. d. sprendimo dėl inicijavimo priėmimas, 10 d. d. sprendimo dėl atitinkamo bendrojo plano koregavimo pradžios ir planavimo tikslų projekto viešinimas)</w:t>
          </w:r>
          <w:r>
            <w:rPr>
              <w:rFonts w:eastAsia="Andale Sans UI" w:cs="Tahoma"/>
              <w:b/>
              <w:bCs/>
              <w:i/>
              <w:szCs w:val="24"/>
              <w:lang w:bidi="en-US"/>
            </w:rPr>
            <w:t xml:space="preserve"> nuo Ekonomikos ir inovacijų ministerijos ar jos įgaliotos institucijos pasiūlymo gavimo dienos priima sprendimą dėl atitinkamo bendrojo plano koregavimo pradžios ir planavimo tikslų arba motyvuotai šį pasiūlymą atmeta</w:t>
          </w:r>
          <w:r>
            <w:rPr>
              <w:rFonts w:eastAsia="Andale Sans UI" w:cs="Tahoma"/>
              <w:bCs/>
              <w:i/>
              <w:szCs w:val="24"/>
              <w:lang w:bidi="en-US"/>
            </w:rPr>
            <w:t xml:space="preserve">. </w:t>
          </w:r>
          <w:r>
            <w:rPr>
              <w:rFonts w:eastAsia="Andale Sans UI" w:cs="Tahoma"/>
              <w:bCs/>
              <w:szCs w:val="24"/>
              <w:lang w:bidi="en-US"/>
            </w:rPr>
            <w:t>Pagal</w:t>
          </w:r>
          <w:r>
            <w:rPr>
              <w:rFonts w:eastAsia="Andale Sans UI" w:cs="Tahoma"/>
              <w:szCs w:val="24"/>
              <w:lang w:bidi="en-US"/>
            </w:rPr>
            <w:t xml:space="preserve"> </w:t>
          </w:r>
          <w:r>
            <w:rPr>
              <w:rFonts w:eastAsia="Andale Sans UI" w:cs="Tahoma"/>
              <w:bCs/>
              <w:szCs w:val="24"/>
              <w:lang w:bidi="en-US"/>
            </w:rPr>
            <w:t>TPĮ Nr. XIII-3163 pakeistas 28 str. nuostatas</w:t>
          </w:r>
          <w:r>
            <w:rPr>
              <w:rFonts w:eastAsia="Andale Sans UI" w:cs="Tahoma"/>
              <w:bCs/>
              <w:i/>
              <w:szCs w:val="24"/>
              <w:lang w:bidi="en-US"/>
            </w:rPr>
            <w:t xml:space="preserve"> </w:t>
          </w:r>
          <w:r>
            <w:rPr>
              <w:rFonts w:eastAsia="Andale Sans UI" w:cs="Tahoma"/>
              <w:bCs/>
              <w:szCs w:val="24"/>
              <w:lang w:bidi="en-US"/>
            </w:rPr>
            <w:t>Ekonomikos ir inovacijų ministerijos ar jos įgaliotos institucijos inicijuotas savivaldybės lygmens ar vietovės lygmens bendrojo plano koregavimas finansuojamas iš Ekonomikos ir inovacijų ministerijai skirtų valstybės biudžeto asignavimų.</w:t>
          </w:r>
        </w:p>
      </w:sdtContent>
    </w:sdt>
    <w:sdt>
      <w:sdtPr>
        <w:alias w:val="pastraipa"/>
        <w:tag w:val="part_6b2ce9a158984927b1959e4201a9b0f0"/>
        <w:lock w:val="sdtLocked"/>
        <w:richText/>
      </w:sdtPr>
      <w:sdtContent>
        <w:p>
          <w:pPr>
            <w:widowControl w:val="0"/>
            <w:suppressLineNumbers/>
            <w:suppressAutoHyphens/>
            <w:ind w:firstLine="567"/>
            <w:jc w:val="both"/>
            <w:rPr>
              <w:rFonts w:eastAsia="Andale Sans UI" w:cs="Tahoma"/>
              <w:bCs/>
              <w:szCs w:val="24"/>
              <w:lang w:bidi="en-US"/>
            </w:rPr>
          </w:pPr>
          <w:r>
            <w:rPr>
              <w:rFonts w:eastAsia="Andale Sans UI" w:cs="Tahoma"/>
              <w:bCs/>
              <w:szCs w:val="24"/>
              <w:lang w:bidi="en-US"/>
            </w:rPr>
            <w:t>Atsižvelgiant į TPĮ Nr. XIII-3163 įtvirtintus 6 str. 3 d. ir 28. str. pakeitimus Nutarimo projektu atitinkamai keičiamos Aprašo 9 p. nuostatos.</w:t>
          </w:r>
        </w:p>
      </w:sdtContent>
    </w:sdt>
    <w:sdt>
      <w:sdtPr>
        <w:alias w:val="pastraipa"/>
        <w:tag w:val="part_56573f86365148a7b1d86c845e39c9a9"/>
        <w:lock w:val="sdtLocked"/>
        <w:richText/>
      </w:sdtPr>
      <w:sdtContent>
        <w:p>
          <w:pPr>
            <w:widowControl w:val="0"/>
            <w:suppressLineNumbers/>
            <w:suppressAutoHyphens/>
            <w:ind w:firstLine="567"/>
            <w:jc w:val="both"/>
            <w:rPr>
              <w:rFonts w:eastAsia="Andale Sans UI" w:cs="Tahoma"/>
              <w:bCs/>
              <w:szCs w:val="24"/>
              <w:lang w:bidi="en-US"/>
            </w:rPr>
          </w:pPr>
          <w:r>
            <w:rPr>
              <w:rFonts w:eastAsia="Andale Sans UI" w:cs="Tahoma"/>
              <w:bCs/>
              <w:szCs w:val="24"/>
              <w:lang w:bidi="en-US"/>
            </w:rPr>
            <w:t>Siekiant užtikrinti</w:t>
          </w:r>
          <w:r>
            <w:rPr>
              <w:rFonts w:eastAsia="Andale Sans UI" w:cs="Tahoma"/>
              <w:szCs w:val="24"/>
              <w:lang w:eastAsia="en-GB" w:bidi="en-US"/>
            </w:rPr>
            <w:t xml:space="preserve"> </w:t>
          </w:r>
          <w:r>
            <w:rPr>
              <w:rFonts w:eastAsia="Andale Sans UI" w:cs="Tahoma"/>
              <w:bCs/>
              <w:szCs w:val="24"/>
              <w:lang w:bidi="en-US"/>
            </w:rPr>
            <w:t>savivaldybės reikmes atitinkančią savivaldybės infrastruktūros plėtrą, Seime 2020-05-07 priimtas Lietuvos Respublikos savivaldybių infrastruktūros plėtros įstatymas, reglamentuojantis savivaldybės infrastruktūros plėtrą ir jos planavimą, įgyvendinimą, finansavimą ir nustatantis savivaldybės infrastruktūros plėtroje dalyvaujančių asmenų teises ir pareigas. Pagal šio įstatymo 8 str. 3 d. 3 p. kai siekiama įrengti ar pastatyti kompleksinio ir (ar) specialiojo teritorijų planavimo dokumentuose nesuplanuotą savivaldybės infrastruktūrą, „</w:t>
          </w:r>
          <w:r>
            <w:rPr>
              <w:rFonts w:eastAsia="Andale Sans UI" w:cs="Tahoma"/>
              <w:bCs/>
              <w:i/>
              <w:szCs w:val="24"/>
              <w:lang w:bidi="en-US"/>
            </w:rPr>
            <w:t>savivaldybės infrastruktūros plėtros sutartis sudaroma tik po to, kai savivaldybės infrastruktūros plėtros iniciatorius, vadovaudamasis Teritorijų planavimo įstatymo 6 straipsnio 3 dalies nuostatomis, sudaro teritorijų planavimo proceso inicijavimo sutartį, parengia atitinkamą teritorijų planavimo dokumentą ir atitinkama institucija jį patvirtina.</w:t>
          </w:r>
          <w:r>
            <w:rPr>
              <w:rFonts w:eastAsia="Andale Sans UI" w:cs="Tahoma"/>
              <w:bCs/>
              <w:szCs w:val="24"/>
              <w:lang w:bidi="en-US"/>
            </w:rPr>
            <w:t>“ Kartu su Savivaldybių infrastruktūros plėtros įstatymu parengtas ir patvirtintas Lietuvos Respublikos teritorijų planavimo įstatymo Nr. I-1120 Nr. I-1120 2, 6, 15, 17, 18, 21, 26, 27 ir 39 straipsnių pakeitimo straipsnių pakeitimo įstatymas Nr. XIII-2896 (toliau – TPĮ Nr. XIII-2896), kuriuo TPĮ 6 str. 4 d. papildyta nuostata – „</w:t>
          </w:r>
          <w:r>
            <w:rPr>
              <w:rFonts w:eastAsia="Andale Sans UI" w:cs="Tahoma"/>
              <w:bCs/>
              <w:i/>
              <w:szCs w:val="24"/>
              <w:lang w:bidi="en-US"/>
            </w:rPr>
            <w:t>kai teritorijų planavimo dokumento sprendiniams įgyvendinti reikalinga inžinerinės ir (ar) socialinės infrastruktūros plėtra, planavimo iniciatorius, vadovaudamasis Lietuvos Respublikos savivaldybių infrastruktūros plėtros įstatymu, įsipareigoja sudaryti savivaldybės infrastruktūros plėtros sutartį.</w:t>
          </w:r>
          <w:r>
            <w:rPr>
              <w:rFonts w:eastAsia="Andale Sans UI" w:cs="Tahoma"/>
              <w:bCs/>
              <w:szCs w:val="24"/>
              <w:lang w:bidi="en-US"/>
            </w:rPr>
            <w:t>“ Atsižvelgiant į įstatymais įtvirtintą minėtą teisinį reguliavimą, Nutarimo projektu atitinkamai Aprašas papildomas 4</w:t>
          </w:r>
          <w:r>
            <w:rPr>
              <w:rFonts w:eastAsia="Andale Sans UI" w:cs="Tahoma"/>
              <w:bCs/>
              <w:szCs w:val="24"/>
              <w:vertAlign w:val="superscript"/>
              <w:lang w:bidi="en-US"/>
            </w:rPr>
            <w:t>1</w:t>
          </w:r>
          <w:r>
            <w:rPr>
              <w:rFonts w:eastAsia="Andale Sans UI" w:cs="Tahoma"/>
              <w:bCs/>
              <w:szCs w:val="24"/>
              <w:lang w:bidi="en-US"/>
            </w:rPr>
            <w:t xml:space="preserve"> p., keičiamos Aprašo 32 p. ir 2 priedo 2 punkto nuostatos.</w:t>
          </w:r>
        </w:p>
      </w:sdtContent>
    </w:sdt>
    <w:sdt>
      <w:sdtPr>
        <w:alias w:val="pastraipa"/>
        <w:tag w:val="part_d99a961f17934040a37660fab4a92490"/>
        <w:lock w:val="sdtLocked"/>
        <w:richText/>
      </w:sdtPr>
      <w:sdtContent>
        <w:p>
          <w:pPr>
            <w:widowControl w:val="0"/>
            <w:suppressLineNumbers/>
            <w:suppressAutoHyphens/>
            <w:ind w:firstLine="567"/>
            <w:jc w:val="both"/>
            <w:rPr>
              <w:rFonts w:eastAsia="Andale Sans UI" w:cs="Tahoma"/>
              <w:bCs/>
              <w:szCs w:val="24"/>
              <w:lang w:bidi="en-US"/>
            </w:rPr>
          </w:pPr>
          <w:r>
            <w:rPr>
              <w:rFonts w:eastAsia="Andale Sans UI" w:cs="Tahoma"/>
              <w:bCs/>
              <w:szCs w:val="24"/>
              <w:lang w:bidi="en-US"/>
            </w:rPr>
            <w:t>TPĮ Nr. XIII-2896 pakeista 39 str. 3 d. įtvirtinant, kad „</w:t>
          </w:r>
          <w:r>
            <w:rPr>
              <w:rFonts w:eastAsia="Andale Sans UI" w:cs="Tahoma"/>
              <w:i/>
              <w:color w:val="000000"/>
              <w:szCs w:val="24"/>
              <w:lang w:bidi="en-US"/>
            </w:rPr>
            <w:t xml:space="preserve">teritorijų planavimo dokumentai, parengti Lietuvos Respublikos teritorijų planavimo dokumentų rengimo ir teritorijų planavimo proceso valstybinės priežiūros informacinėje sistemoje, ir teisės aktai, kuriais šie dokumentai patvirtinti, </w:t>
          </w:r>
          <w:r>
            <w:rPr>
              <w:rFonts w:eastAsia="Andale Sans UI" w:cs="Tahoma"/>
              <w:b/>
              <w:i/>
              <w:color w:val="000000"/>
              <w:szCs w:val="24"/>
              <w:lang w:bidi="en-US"/>
            </w:rPr>
            <w:t xml:space="preserve">automatiškai perkeliami ir įregistruojami </w:t>
          </w:r>
          <w:r>
            <w:rPr>
              <w:rFonts w:eastAsia="Andale Sans UI" w:cs="Tahoma"/>
              <w:i/>
              <w:color w:val="000000"/>
              <w:szCs w:val="24"/>
              <w:lang w:bidi="en-US"/>
            </w:rPr>
            <w:t xml:space="preserve">Lietuvos Respublikos teritorijų planavimo dokumentų </w:t>
          </w:r>
          <w:r>
            <w:rPr>
              <w:rFonts w:eastAsia="Andale Sans UI" w:cs="Tahoma"/>
              <w:b/>
              <w:i/>
              <w:color w:val="000000"/>
              <w:szCs w:val="24"/>
              <w:lang w:bidi="en-US"/>
            </w:rPr>
            <w:t>registro duomenų bazėje</w:t>
          </w:r>
          <w:r>
            <w:rPr>
              <w:rFonts w:eastAsia="Andale Sans UI" w:cs="Tahoma"/>
              <w:i/>
              <w:color w:val="000000"/>
              <w:szCs w:val="24"/>
              <w:lang w:bidi="en-US"/>
            </w:rPr>
            <w:t xml:space="preserve"> Lietuvos Respublikos teritorijų planavimo dokumentų registro nuostatuose nustatyta tvarka.</w:t>
          </w:r>
          <w:r>
            <w:rPr>
              <w:rFonts w:eastAsia="Andale Sans UI" w:cs="Tahoma"/>
              <w:color w:val="000000"/>
              <w:szCs w:val="24"/>
              <w:lang w:bidi="en-US"/>
            </w:rPr>
            <w:t xml:space="preserve"> </w:t>
          </w:r>
          <w:r>
            <w:rPr>
              <w:rFonts w:eastAsia="Andale Sans UI" w:cs="Tahoma"/>
              <w:b/>
              <w:i/>
              <w:color w:val="000000"/>
              <w:szCs w:val="24"/>
              <w:lang w:bidi="en-US"/>
            </w:rPr>
            <w:t>Planavimo organizatoriai duomenis apie patvirtintus teritorijų planavimo dokumentus, pradėtus rengti iki</w:t>
          </w:r>
          <w:r>
            <w:rPr>
              <w:rFonts w:eastAsia="Andale Sans UI" w:cs="Tahoma"/>
              <w:color w:val="000000"/>
              <w:szCs w:val="24"/>
              <w:lang w:bidi="en-US"/>
            </w:rPr>
            <w:t xml:space="preserve"> Lietuvos Respublikos teritorijų planavimo dokumentų rengimo ir teritorijų planavimo proceso valstybinės priežiūros </w:t>
          </w:r>
          <w:r>
            <w:rPr>
              <w:rFonts w:eastAsia="Andale Sans UI" w:cs="Tahoma"/>
              <w:b/>
              <w:i/>
              <w:color w:val="000000"/>
              <w:szCs w:val="24"/>
              <w:lang w:bidi="en-US"/>
            </w:rPr>
            <w:t>informacinės sistemos sukūrimo</w:t>
          </w:r>
          <w:r>
            <w:rPr>
              <w:rFonts w:eastAsia="Andale Sans UI" w:cs="Tahoma"/>
              <w:color w:val="000000"/>
              <w:szCs w:val="24"/>
              <w:lang w:bidi="en-US"/>
            </w:rPr>
            <w:t xml:space="preserve">, ir teisės aktus, kuriais patvirtinti šie teritorijų planavimo dokumentai, Lietuvos Respublikos teritorijų planavimo dokumentų registro nuostatuose nustatyta tvarka privalomai </w:t>
          </w:r>
          <w:r>
            <w:rPr>
              <w:rFonts w:eastAsia="Andale Sans UI" w:cs="Tahoma"/>
              <w:b/>
              <w:i/>
              <w:color w:val="000000"/>
              <w:szCs w:val="24"/>
              <w:lang w:bidi="en-US"/>
            </w:rPr>
            <w:t>pateikia registruoti</w:t>
          </w:r>
          <w:r>
            <w:rPr>
              <w:rFonts w:eastAsia="Andale Sans UI" w:cs="Tahoma"/>
              <w:color w:val="000000"/>
              <w:szCs w:val="24"/>
              <w:lang w:bidi="en-US"/>
            </w:rPr>
            <w:t xml:space="preserve"> ne vėliau kaip per 5 darbo dienas nuo teritorijų planavimo dokumento patvirtinimo dienos &lt;...&gt;“. Atsižvelgiant į šiuos pakeitimus, Nutarimo projektu keičiamos Aprašo 17 p. ir 1 priedo 4.6 p. nuostatos.</w:t>
          </w:r>
        </w:p>
      </w:sdtContent>
    </w:sdt>
    <w:sdt>
      <w:sdtPr>
        <w:alias w:val="pastraipa"/>
        <w:tag w:val="part_59a1a7f492d3456abefda32a22f0e040"/>
        <w:lock w:val="sdtLocked"/>
        <w:richText/>
      </w:sdtPr>
      <w:sdtContent>
        <w:p>
          <w:pPr>
            <w:widowControl w:val="0"/>
            <w:suppressLineNumbers/>
            <w:suppressAutoHyphens/>
            <w:ind w:firstLine="567"/>
            <w:jc w:val="both"/>
            <w:rPr>
              <w:rFonts w:eastAsia="Andale Sans UI" w:cs="Tahoma"/>
              <w:bCs/>
              <w:szCs w:val="24"/>
              <w:lang w:bidi="en-US"/>
            </w:rPr>
          </w:pPr>
          <w:r>
            <w:rPr>
              <w:rFonts w:eastAsia="Andale Sans UI" w:cs="Tahoma"/>
              <w:bCs/>
              <w:szCs w:val="24"/>
              <w:lang w:bidi="en-US"/>
            </w:rPr>
            <w:t>Siekiant teisinio aiškumo, Aprašo nuostatų suderinamumo su TPĮ ir Aprašo priedų nuostatomis, Nutarimo projektu siūlytina keisti:</w:t>
          </w:r>
        </w:p>
      </w:sdtContent>
    </w:sdt>
    <w:sdt>
      <w:sdtPr>
        <w:alias w:val="pastraipa"/>
        <w:tag w:val="part_1ef259fabf6e46b18f9cf1332c05f4ff"/>
        <w:lock w:val="sdtLocked"/>
        <w:richText/>
      </w:sdtPr>
      <w:sdtContent>
        <w:p>
          <w:pPr>
            <w:widowControl w:val="0"/>
            <w:suppressLineNumbers/>
            <w:suppressAutoHyphens/>
            <w:ind w:firstLine="567"/>
            <w:jc w:val="both"/>
            <w:rPr>
              <w:rFonts w:eastAsia="Andale Sans UI" w:cs="Tahoma"/>
              <w:bCs/>
              <w:szCs w:val="24"/>
              <w:lang w:bidi="en-US"/>
            </w:rPr>
          </w:pPr>
          <w:r>
            <w:rPr>
              <w:rFonts w:eastAsia="Andale Sans UI" w:cs="Tahoma"/>
              <w:bCs/>
              <w:szCs w:val="24"/>
              <w:lang w:bidi="en-US"/>
            </w:rPr>
            <w:t>– Aprašo 16.4 p. išbraukiant planavimo organizatoriui priskirtą pareigą (teisę) „</w:t>
          </w:r>
          <w:r>
            <w:rPr>
              <w:rFonts w:eastAsia="Andale Sans UI" w:cs="Tahoma"/>
              <w:i/>
              <w:szCs w:val="24"/>
              <w:lang w:bidi="en-US"/>
            </w:rPr>
            <w:t>atsisakyti teikti tikrinti ir tvirtinti teritorijų planavimo dokumento projektą, prieštaraujantį įstatymų ir kitų teisės aktų reikalavimams</w:t>
          </w:r>
          <w:r>
            <w:rPr>
              <w:rFonts w:eastAsia="Andale Sans UI" w:cs="Tahoma"/>
              <w:szCs w:val="24"/>
              <w:lang w:bidi="en-US"/>
            </w:rPr>
            <w:t xml:space="preserve">“, nes pagal Aprašo 20 p. ir 1 priedo 4.5 p. sudarant inicijavimo sutartį, planavimo organizatorius </w:t>
          </w:r>
          <w:r>
            <w:rPr>
              <w:rFonts w:eastAsia="Andale Sans UI" w:cs="Tahoma"/>
              <w:b/>
              <w:i/>
              <w:szCs w:val="24"/>
              <w:lang w:bidi="en-US"/>
            </w:rPr>
            <w:t>suteikia planavimo iniciatoriui įgaliojimą</w:t>
          </w:r>
          <w:r>
            <w:rPr>
              <w:rFonts w:eastAsia="Andale Sans UI" w:cs="Tahoma"/>
              <w:szCs w:val="24"/>
              <w:lang w:bidi="en-US"/>
            </w:rPr>
            <w:t xml:space="preserve"> </w:t>
          </w:r>
          <w:r>
            <w:rPr>
              <w:rFonts w:eastAsia="Andale Sans UI" w:cs="Tahoma"/>
              <w:b/>
              <w:i/>
              <w:szCs w:val="24"/>
              <w:lang w:bidi="en-US"/>
            </w:rPr>
            <w:t xml:space="preserve">teikti teritorijų planavimo dokumento projektą </w:t>
          </w:r>
          <w:r>
            <w:rPr>
              <w:rFonts w:eastAsia="Andale Sans UI" w:cs="Tahoma"/>
              <w:szCs w:val="24"/>
              <w:lang w:bidi="en-US"/>
            </w:rPr>
            <w:t>viešinti, derinti,</w:t>
          </w:r>
          <w:r>
            <w:rPr>
              <w:rFonts w:eastAsia="Andale Sans UI" w:cs="Tahoma"/>
              <w:b/>
              <w:i/>
              <w:szCs w:val="24"/>
              <w:lang w:bidi="en-US"/>
            </w:rPr>
            <w:t xml:space="preserve"> tikrinti ir tvirtinti </w:t>
          </w:r>
          <w:r>
            <w:rPr>
              <w:rFonts w:eastAsia="Andale Sans UI" w:cs="Tahoma"/>
              <w:szCs w:val="24"/>
              <w:lang w:bidi="en-US"/>
            </w:rPr>
            <w:t>Teritorijų planavimo įstatymo ir kitų teisės aktų nustatyta tvarka;</w:t>
          </w:r>
        </w:p>
      </w:sdtContent>
    </w:sdt>
    <w:sdt>
      <w:sdtPr>
        <w:alias w:val="pastraipa"/>
        <w:tag w:val="part_0c910198f54747c18d3964b63bdd8b3d"/>
        <w:lock w:val="sdtLocked"/>
        <w:richText/>
      </w:sdtPr>
      <w:sdtContent>
        <w:p>
          <w:pPr>
            <w:widowControl w:val="0"/>
            <w:suppressLineNumbers/>
            <w:suppressAutoHyphens/>
            <w:ind w:firstLine="567"/>
            <w:jc w:val="both"/>
            <w:rPr>
              <w:rFonts w:eastAsia="Andale Sans UI" w:cs="Tahoma"/>
              <w:bCs/>
              <w:szCs w:val="24"/>
              <w:lang w:bidi="en-US"/>
            </w:rPr>
          </w:pPr>
          <w:r>
            <w:rPr>
              <w:rFonts w:eastAsia="Andale Sans UI" w:cs="Tahoma"/>
              <w:bCs/>
              <w:szCs w:val="24"/>
              <w:lang w:bidi="en-US"/>
            </w:rPr>
            <w:t>– Aprašo 25 ir 37 p., 1 priedo 6.4 p. ir 2 priedo 10.3 p. nuostatą nurodant, nuo kada skaičiuojamas papildomas 30 darbo dienų terminas inicijavimo ar įgyvendinimo sutarčių pažeidimams pašalinti;</w:t>
          </w:r>
        </w:p>
      </w:sdtContent>
    </w:sdt>
    <w:sdt>
      <w:sdtPr>
        <w:alias w:val="pastraipa"/>
        <w:tag w:val="part_0669bc9f190f4bf4bc82406a716e373c"/>
        <w:lock w:val="sdtLocked"/>
        <w:richText/>
      </w:sdtPr>
      <w:sdtContent>
        <w:p>
          <w:pPr>
            <w:widowControl w:val="0"/>
            <w:suppressLineNumbers/>
            <w:suppressAutoHyphens/>
            <w:ind w:firstLine="567"/>
            <w:jc w:val="both"/>
            <w:rPr>
              <w:rFonts w:eastAsia="Andale Sans UI" w:cs="Tahoma"/>
              <w:bCs/>
              <w:szCs w:val="24"/>
              <w:lang w:bidi="en-US"/>
            </w:rPr>
          </w:pPr>
          <w:r>
            <w:rPr>
              <w:rFonts w:eastAsia="Andale Sans UI" w:cs="Tahoma"/>
              <w:bCs/>
              <w:szCs w:val="24"/>
              <w:lang w:bidi="en-US"/>
            </w:rPr>
            <w:t>– Aprašo 1 priedo 3.2 ir 3.3 p., pripažįstant šiuos papunkčius netekusiais galios kaip perteklinius, nes tapačios nuostatos pakartotos atitinkamai 1 priedo 3.6 ir 3.7 p.;</w:t>
          </w:r>
        </w:p>
      </w:sdtContent>
    </w:sdt>
    <w:sdt>
      <w:sdtPr>
        <w:alias w:val="pastraipa"/>
        <w:tag w:val="part_4b74b0323631453f8396ce6815bed503"/>
        <w:lock w:val="sdtLocked"/>
        <w:richText/>
      </w:sdtPr>
      <w:sdtContent>
        <w:p>
          <w:pPr>
            <w:widowControl w:val="0"/>
            <w:suppressLineNumbers/>
            <w:suppressAutoHyphens/>
            <w:ind w:firstLine="567"/>
            <w:jc w:val="both"/>
            <w:rPr>
              <w:rFonts w:eastAsia="Andale Sans UI" w:cs="Tahoma"/>
              <w:bCs/>
              <w:szCs w:val="24"/>
              <w:lang w:bidi="en-US"/>
            </w:rPr>
          </w:pPr>
          <w:r>
            <w:rPr>
              <w:rFonts w:eastAsia="Andale Sans UI" w:cs="Tahoma"/>
              <w:bCs/>
              <w:szCs w:val="24"/>
              <w:lang w:bidi="en-US"/>
            </w:rPr>
            <w:t>– Aprašo 1 priedo 4.3 p. atsisakant šiame papunktyje planavimo organizatoriui nustatytos pareigos derinimo procedūras vykdyti laikantis TPĮ ir kituose teisės aktuose nustatytų terminų, nes pagal TPĮ 26 str. 4 d. ir 30 str. 7 d. 2 p. savivaldybės ir vietovės lygmens teritorijų planavimo dokumentų derinimą atlieka Teritorijų planavimo komisija, kurios darbą koordinuoja šios komisijos pirmininkas – savivaldybės vyriausiojo architekto funkcijas atliekantis savivaldybės administracijos valstybės tarnautojas; ir teritorijų planavimo dokumento rengimo finansavimo ar dalinio finansavimo atveju planavimo organizatoriui nustatant teisę, kaip Aprašo 16.3 p., pasirinkti šio teritorijų planavimo dokumento rengėją;</w:t>
          </w:r>
        </w:p>
      </w:sdtContent>
    </w:sdt>
    <w:sdt>
      <w:sdtPr>
        <w:alias w:val="pastraipa"/>
        <w:tag w:val="part_f45daac75dce4a9d8ca26042596f647d"/>
        <w:lock w:val="sdtLocked"/>
        <w:richText/>
      </w:sdtPr>
      <w:sdtContent>
        <w:p>
          <w:pPr>
            <w:widowControl w:val="0"/>
            <w:suppressLineNumbers/>
            <w:suppressAutoHyphens/>
            <w:ind w:firstLine="567"/>
            <w:jc w:val="both"/>
            <w:rPr>
              <w:rFonts w:eastAsia="Andale Sans UI" w:cs="Tahoma"/>
              <w:bCs/>
              <w:szCs w:val="24"/>
              <w:lang w:bidi="en-US"/>
            </w:rPr>
          </w:pPr>
          <w:r>
            <w:rPr>
              <w:rFonts w:eastAsia="Andale Sans UI" w:cs="Tahoma"/>
              <w:szCs w:val="24"/>
              <w:lang w:bidi="en-US"/>
            </w:rPr>
            <w:t>–</w:t>
          </w:r>
          <w:r>
            <w:rPr>
              <w:rFonts w:eastAsia="Andale Sans UI" w:cs="Tahoma"/>
              <w:bCs/>
              <w:szCs w:val="24"/>
              <w:lang w:bidi="en-US"/>
            </w:rPr>
            <w:t xml:space="preserve"> Aprašo 1 priedo 4.4 p. patikslinant, kad planavimo organizatorius privalo pavirtinti teritorijų planavimo dokumentą laikantis TPĮ ir kituose teisės aktuose nustatytų terminų „</w:t>
          </w:r>
          <w:r>
            <w:rPr>
              <w:rFonts w:eastAsia="Andale Sans UI" w:cs="Tahoma"/>
              <w:b/>
              <w:bCs/>
              <w:i/>
              <w:szCs w:val="24"/>
              <w:lang w:bidi="en-US"/>
            </w:rPr>
            <w:t>kai planavimo organizatorius yra šį teritorijų planavimo dokumentą tvirtintis subjektas“</w:t>
          </w:r>
          <w:r>
            <w:rPr>
              <w:rFonts w:eastAsia="Andale Sans UI" w:cs="Tahoma"/>
              <w:bCs/>
              <w:szCs w:val="24"/>
              <w:lang w:bidi="en-US"/>
            </w:rPr>
            <w:t>, nes pvz., vietovės lygmens kompleksinio teritorijų planavimo dokumentų planavimo organizatorius yra savivaldybės administracijos direktorius, tačiau jis tvirtina tik detaliuosius planus, o parengtus ar pakeistus vietovės lygmens bendruosius planus tvirtina savivaldybės taryba.</w:t>
          </w:r>
        </w:p>
      </w:sdtContent>
    </w:sdt>
    <w:sdt>
      <w:sdtPr>
        <w:alias w:val="pastraipa"/>
        <w:tag w:val="part_fb4c802ed72f46e58ab86df6c5bc78ac"/>
        <w:lock w:val="sdtLocked"/>
        <w:richText/>
      </w:sdtPr>
      <w:sdtContent>
        <w:p>
          <w:pPr>
            <w:widowControl w:val="0"/>
            <w:suppressLineNumbers/>
            <w:suppressAutoHyphens/>
            <w:ind w:firstLine="567"/>
            <w:jc w:val="both"/>
            <w:rPr>
              <w:rFonts w:eastAsia="Andale Sans UI" w:cs="Tahoma"/>
              <w:bCs/>
              <w:szCs w:val="24"/>
              <w:lang w:bidi="en-US"/>
            </w:rPr>
          </w:pPr>
          <w:r>
            <w:rPr>
              <w:rFonts w:eastAsia="Andale Sans UI" w:cs="Tahoma"/>
              <w:bCs/>
              <w:szCs w:val="24"/>
              <w:lang w:bidi="en-US"/>
            </w:rPr>
            <w:t>Nutarimo projektu</w:t>
          </w:r>
          <w:r>
            <w:rPr>
              <w:rFonts w:eastAsia="Andale Sans UI" w:cs="Tahoma"/>
              <w:bCs/>
              <w:color w:val="C00000"/>
              <w:szCs w:val="24"/>
              <w:lang w:bidi="en-US"/>
            </w:rPr>
            <w:t xml:space="preserve"> </w:t>
          </w:r>
          <w:r>
            <w:rPr>
              <w:rFonts w:eastAsia="Andale Sans UI" w:cs="Tahoma"/>
              <w:bCs/>
              <w:szCs w:val="24"/>
              <w:lang w:bidi="en-US"/>
            </w:rPr>
            <w:t>keičiamo nutarimo preambulėje, Aprašo 2, 12.1, 13.2, 13.3 ir 16 p. ištaisomos techninės klaidos.</w:t>
          </w:r>
        </w:p>
      </w:sdtContent>
    </w:sdt>
    <w:sdt>
      <w:sdtPr>
        <w:alias w:val="pastraipa"/>
        <w:tag w:val="part_3bea93774bb1408088689f514e8ceecb"/>
        <w:lock w:val="sdtLocked"/>
        <w:richText/>
      </w:sdtPr>
      <w:sdtContent>
        <w:p>
          <w:pPr>
            <w:widowControl w:val="0"/>
            <w:suppressLineNumbers/>
            <w:suppressAutoHyphens/>
            <w:ind w:firstLine="567"/>
            <w:jc w:val="both"/>
            <w:rPr>
              <w:rFonts w:eastAsia="Andale Sans UI" w:cs="Tahoma"/>
              <w:bCs/>
              <w:szCs w:val="24"/>
              <w:lang w:bidi="en-US"/>
            </w:rPr>
          </w:pPr>
          <w:r>
            <w:rPr>
              <w:rFonts w:eastAsia="Andale Sans UI" w:cs="Tahoma"/>
              <w:bCs/>
              <w:szCs w:val="24"/>
              <w:lang w:bidi="en-US"/>
            </w:rPr>
            <w:t>Nutarimo projektas parengtas įgyvendinant minėtus įstatymuose (TPĮ Nr. XIII-2896, TPĮ Nr. XIII-3163 ir TPĮ Nr. XIV-158) nustatytus pakeitimus, taip pat siekiant nuostatų nuoseklumo, aiškumo ir jų suderinamumo su teritorijų planavimo teisiniu reguliavimu.</w:t>
          </w:r>
        </w:p>
      </w:sdtContent>
    </w:sdt>
    <w:sdt>
      <w:sdtPr>
        <w:alias w:val="pastraipa"/>
        <w:tag w:val="part_a9a94c2132ad47e996b68688019e07b6"/>
        <w:lock w:val="sdtLocked"/>
        <w:richText/>
      </w:sdtPr>
      <w:sdtContent>
        <w:p>
          <w:pPr>
            <w:widowControl w:val="0"/>
            <w:suppressLineNumbers/>
            <w:suppressAutoHyphens/>
            <w:ind w:firstLine="567"/>
            <w:jc w:val="both"/>
            <w:rPr>
              <w:rFonts w:eastAsia="Andale Sans UI" w:cs="Tahoma"/>
              <w:bCs/>
              <w:szCs w:val="24"/>
              <w:lang w:bidi="en-US"/>
            </w:rPr>
          </w:pPr>
          <w:r>
            <w:rPr>
              <w:rFonts w:eastAsia="Andale Sans UI" w:cs="Tahoma"/>
              <w:bCs/>
              <w:szCs w:val="24"/>
              <w:lang w:bidi="en-US"/>
            </w:rPr>
            <w:t>Priėmus Nutarimo projektą, Nutarimo nuostatos atitiks minėtuose įstatymuose įtvirtintus pakeitimus, TPĮ ir Nutarimo nuostatos bus suderintos. Neigiamų pasekmių nenumatoma.</w:t>
          </w:r>
        </w:p>
      </w:sdtContent>
    </w:sdt>
    <w:sdt>
      <w:sdtPr>
        <w:alias w:val="pastraipa"/>
        <w:tag w:val="part_78dda41aec0d4fb4a2dbf9dffa47a7b9"/>
        <w:lock w:val="sdtLocked"/>
        <w:richText/>
      </w:sdtPr>
      <w:sdtContent>
        <w:p>
          <w:pPr>
            <w:widowControl w:val="0"/>
            <w:ind w:firstLine="567"/>
            <w:jc w:val="both"/>
            <w:rPr>
              <w:rFonts w:eastAsia="Andale Sans UI"/>
              <w:szCs w:val="24"/>
              <w:lang w:bidi="en-US"/>
            </w:rPr>
          </w:pPr>
          <w:r>
            <w:rPr>
              <w:rFonts w:eastAsia="Andale Sans UI"/>
              <w:szCs w:val="24"/>
              <w:lang w:bidi="en-US"/>
            </w:rPr>
            <w:t xml:space="preserve">Vadovaujantis </w:t>
          </w:r>
          <w:r>
            <w:rPr>
              <w:szCs w:val="24"/>
              <w:lang w:bidi="en-US"/>
            </w:rPr>
            <w:t>Lietuvos Respublikos teisėkūros pagrindų įstatymo 15 str. 1 d. ir</w:t>
          </w:r>
          <w:r>
            <w:rPr>
              <w:rFonts w:eastAsia="Andale Sans UI"/>
              <w:szCs w:val="24"/>
              <w:lang w:bidi="en-US"/>
            </w:rPr>
            <w:t xml:space="preserve"> Numatomo teisinio reguliavimo poveikio vertinimo metodikos</w:t>
          </w:r>
          <w:r>
            <w:rPr>
              <w:rFonts w:eastAsia="Andale Sans UI"/>
              <w:szCs w:val="24"/>
              <w:vertAlign w:val="superscript"/>
              <w:lang w:bidi="en-US"/>
            </w:rPr>
            <w:footnoteReference w:id="2"/>
          </w:r>
          <w:r>
            <w:rPr>
              <w:rFonts w:eastAsia="Andale Sans UI"/>
              <w:szCs w:val="24"/>
              <w:lang w:bidi="en-US"/>
            </w:rPr>
            <w:t xml:space="preserve"> 4 p., numatomo teisinio reguliavimo poveikio vertinimas neatliekamas, </w:t>
          </w:r>
          <w:r>
            <w:rPr>
              <w:szCs w:val="24"/>
            </w:rPr>
            <w:t>kadangi Nutarimo projektu nenustatomas naujas ir nekeičiamas TPĮ įtvirtintas teisinis reguliavimas</w:t>
          </w:r>
          <w:r>
            <w:rPr>
              <w:rFonts w:eastAsia="Andale Sans UI"/>
              <w:szCs w:val="24"/>
              <w:lang w:bidi="en-US"/>
            </w:rPr>
            <w:t>.</w:t>
          </w:r>
        </w:p>
      </w:sdtContent>
    </w:sdt>
    <w:sdt>
      <w:sdtPr>
        <w:alias w:val="pastraipa"/>
        <w:tag w:val="part_c868b0adc18e4576a984096b4aa860e2"/>
        <w:lock w:val="sdtLocked"/>
        <w:richText/>
      </w:sdtPr>
      <w:sdtContent>
        <w:p>
          <w:pPr>
            <w:widowControl w:val="0"/>
            <w:ind w:firstLine="567"/>
            <w:jc w:val="both"/>
            <w:rPr>
              <w:rFonts w:eastAsia="Andale Sans UI"/>
              <w:szCs w:val="24"/>
              <w:lang w:bidi="en-US"/>
            </w:rPr>
          </w:pPr>
          <w:r>
            <w:rPr>
              <w:rFonts w:eastAsia="Andale Sans UI"/>
              <w:szCs w:val="24"/>
              <w:lang w:bidi="en-US"/>
            </w:rPr>
            <w:t xml:space="preserve">Nutarimo projektas neprieštarauja Europos Sąjungos teisės aktams, </w:t>
          </w:r>
          <w:r>
            <w:rPr>
              <w:szCs w:val="24"/>
            </w:rPr>
            <w:t>neperkelia ir neįgyvendina Europos Sąjungos teisės aktų, nenotifikuotinas Europos Komisijai</w:t>
          </w:r>
          <w:r>
            <w:rPr>
              <w:rFonts w:eastAsia="Andale Sans UI"/>
              <w:szCs w:val="24"/>
              <w:lang w:bidi="en-US"/>
            </w:rPr>
            <w:t xml:space="preserve"> </w:t>
          </w:r>
          <w:r>
            <w:rPr>
              <w:szCs w:val="24"/>
            </w:rPr>
            <w:t>pagal Informacijos apie techninius reglamentus ir atitikties įvertinimo procedūras teikimo taisykles</w:t>
          </w:r>
          <w:r>
            <w:rPr>
              <w:szCs w:val="24"/>
              <w:vertAlign w:val="superscript"/>
            </w:rPr>
            <w:footnoteReference w:id="3"/>
          </w:r>
          <w:r>
            <w:rPr>
              <w:szCs w:val="24"/>
            </w:rPr>
            <w:t>.</w:t>
          </w:r>
        </w:p>
      </w:sdtContent>
    </w:sdt>
    <w:sdt>
      <w:sdtPr>
        <w:alias w:val="pastraipa"/>
        <w:tag w:val="part_9b53272f6b9b48ff91a3908849ffdcd3"/>
        <w:lock w:val="sdtLocked"/>
        <w:richText/>
      </w:sdtPr>
      <w:sdtContent>
        <w:p>
          <w:pPr>
            <w:ind w:firstLine="567"/>
            <w:jc w:val="both"/>
            <w:rPr>
              <w:szCs w:val="24"/>
            </w:rPr>
          </w:pPr>
          <w:r>
            <w:rPr>
              <w:rFonts w:eastAsia="Andale Sans UI"/>
              <w:szCs w:val="24"/>
              <w:lang w:bidi="en-US"/>
            </w:rPr>
            <w:t>Nutarimo</w:t>
          </w:r>
          <w:r>
            <w:rPr>
              <w:szCs w:val="24"/>
            </w:rPr>
            <w:t xml:space="preserve"> projektas parengtas laikantis Lietuvos Respublikos valstybinės kalbos įstatymo, Lietuvos Respublikos teisėkūros pagrindų įstatymo reikalavimų ir atitinka bendrinės lietuvių kalbos normas. Nutarimo projekte naujų terminų, vertintinų Lietuvos Respublikos terminų banko įstatymo nustatyta tvarka, nėra.</w:t>
          </w:r>
        </w:p>
      </w:sdtContent>
    </w:sdt>
    <w:sdt>
      <w:sdtPr>
        <w:alias w:val="pastraipa"/>
        <w:tag w:val="part_8e1107e606d3475b8579170d2544a318"/>
        <w:lock w:val="sdtLocked"/>
        <w:richText/>
      </w:sdtPr>
      <w:sdtContent>
        <w:p>
          <w:pPr>
            <w:ind w:firstLine="567"/>
            <w:jc w:val="both"/>
            <w:rPr>
              <w:szCs w:val="24"/>
            </w:rPr>
          </w:pPr>
          <w:r>
            <w:rPr>
              <w:szCs w:val="24"/>
            </w:rPr>
            <w:t>Nutarimo projektas neprieštarauja 18-osios Lietuvos Respublikos Vyriausybės programai.</w:t>
          </w:r>
        </w:p>
      </w:sdtContent>
    </w:sdt>
    <w:sdt>
      <w:sdtPr>
        <w:alias w:val="pastraipa"/>
        <w:tag w:val="part_ed37251db5ca49679d81b3e5a0c160db"/>
        <w:lock w:val="sdtLocked"/>
        <w:richText/>
      </w:sdtPr>
      <w:sdtContent>
        <w:p>
          <w:pPr>
            <w:ind w:firstLine="567"/>
            <w:rPr>
              <w:szCs w:val="24"/>
            </w:rPr>
          </w:pPr>
          <w:r>
            <w:rPr>
              <w:szCs w:val="24"/>
            </w:rPr>
            <w:t>Nutarimo projektui įgyvendinti papildomų valstybės biudžeto lėšų nereikės.</w:t>
          </w:r>
        </w:p>
      </w:sdtContent>
    </w:sdt>
    <w:sdt>
      <w:sdtPr>
        <w:alias w:val="pastraipa"/>
        <w:tag w:val="part_15905c2bd91e4350815f426665ead426"/>
        <w:lock w:val="sdtLocked"/>
        <w:richText/>
      </w:sdtPr>
      <w:sdtContent>
        <w:p>
          <w:pPr>
            <w:ind w:firstLine="567"/>
            <w:jc w:val="both"/>
            <w:rPr>
              <w:szCs w:val="24"/>
            </w:rPr>
          </w:pPr>
          <w:r>
            <w:rPr>
              <w:szCs w:val="24"/>
            </w:rPr>
            <w:t>Priėmus Nutarimo projektą, rengti naujų, keisti ar panaikinti galiojančių teisės aktų nereikės.</w:t>
          </w:r>
        </w:p>
      </w:sdtContent>
    </w:sdt>
    <w:sdt>
      <w:sdtPr>
        <w:alias w:val="pastraipa"/>
        <w:tag w:val="part_202f188dc36644b7be73cdca731fa0f4"/>
        <w:lock w:val="sdtLocked"/>
        <w:richText/>
      </w:sdtPr>
      <w:sdtContent>
        <w:p>
          <w:pPr>
            <w:widowControl w:val="0"/>
            <w:ind w:firstLine="567"/>
            <w:jc w:val="both"/>
            <w:rPr>
              <w:szCs w:val="24"/>
            </w:rPr>
          </w:pPr>
          <w:r>
            <w:rPr>
              <w:szCs w:val="24"/>
            </w:rPr>
            <w:t>Nutarimo projektas</w:t>
          </w:r>
          <w:r>
            <w:rPr>
              <w:rFonts w:eastAsia="Andale Sans UI" w:cs="Tahoma"/>
              <w:szCs w:val="24"/>
              <w:lang w:bidi="en-US"/>
            </w:rPr>
            <w:t xml:space="preserve"> </w:t>
          </w:r>
          <w:r>
            <w:rPr>
              <w:szCs w:val="24"/>
            </w:rPr>
            <w:t xml:space="preserve">teikiamas institucijoms ir visuomenei išvadoms gauti skelbiant jį Lietuvos Respublikos Seimo teisės aktų informacinės sistemos (TAIS) Projektų registravimo posistemėje. </w:t>
          </w:r>
        </w:p>
      </w:sdtContent>
    </w:sdt>
    <w:sdt>
      <w:sdtPr>
        <w:alias w:val="pastraipa"/>
        <w:tag w:val="part_8cb5d92520b14e158095fcbc4c3d53b0"/>
        <w:lock w:val="sdtLocked"/>
        <w:richText/>
      </w:sdtPr>
      <w:sdtContent>
        <w:p>
          <w:pPr>
            <w:widowControl w:val="0"/>
            <w:ind w:firstLine="567"/>
            <w:jc w:val="both"/>
            <w:rPr>
              <w:bCs/>
              <w:szCs w:val="24"/>
            </w:rPr>
          </w:pPr>
          <w:r>
            <w:rPr>
              <w:szCs w:val="24"/>
            </w:rPr>
            <w:t>Suinteresuotas institucijas prašome per 10 d. d. nuo Nutarimo projekto paskelbimo TAIS dienos pateikti pastabas ir pasiūlymus.</w:t>
          </w:r>
          <w:r>
            <w:rPr>
              <w:rFonts w:eastAsia="Andale Sans UI"/>
              <w:bCs/>
              <w:szCs w:val="24"/>
              <w:lang w:bidi="en-US"/>
            </w:rPr>
            <w:t xml:space="preserve"> </w:t>
          </w:r>
          <w:r>
            <w:rPr>
              <w:bCs/>
              <w:szCs w:val="24"/>
            </w:rPr>
            <w:t>Negavus argumentuotų pastabų ir pasiūlymų per nurodytą laiką, bus laikoma, kad Nutarimo projektui pritariate.</w:t>
          </w:r>
        </w:p>
      </w:sdtContent>
    </w:sdt>
    <w:sdt>
      <w:sdtPr>
        <w:alias w:val="pastraipa"/>
        <w:tag w:val="part_8deb324357714cdc959a675bc5929da3"/>
        <w:lock w:val="sdtLocked"/>
        <w:richText/>
      </w:sdtPr>
      <w:sdtContent>
        <w:p>
          <w:pPr>
            <w:widowControl w:val="0"/>
            <w:ind w:firstLine="567"/>
            <w:jc w:val="both"/>
            <w:rPr>
              <w:szCs w:val="24"/>
            </w:rPr>
          </w:pPr>
          <w:r>
            <w:rPr>
              <w:rFonts w:eastAsia="Andale Sans UI"/>
              <w:szCs w:val="24"/>
              <w:lang w:bidi="en-US"/>
            </w:rPr>
            <w:t xml:space="preserve">Nutarimo projektą parengė Aplinkos ministerijos Statybos ir teritorijų planavimo politikos grupės (vadovas Dainius Čergelis (tel. </w:t>
          </w:r>
          <w:r>
            <w:rPr>
              <w:bCs/>
              <w:szCs w:val="24"/>
            </w:rPr>
            <w:t>tel. 8 616 98137</w:t>
          </w:r>
          <w:r>
            <w:rPr>
              <w:rFonts w:eastAsia="Andale Sans UI"/>
              <w:szCs w:val="24"/>
              <w:lang w:bidi="en-US"/>
            </w:rPr>
            <w:t xml:space="preserve">, el. p. </w:t>
          </w:r>
          <w:r>
            <w:rPr>
              <w:rFonts w:eastAsia="Andale Sans UI"/>
              <w:color w:val="000000"/>
              <w:szCs w:val="24"/>
              <w:u w:val="single"/>
              <w:lang w:bidi="en-US"/>
            </w:rPr>
            <w:t>dainius.cergelis@am.lt</w:t>
          </w:r>
          <w:r>
            <w:rPr>
              <w:rFonts w:eastAsia="Andale Sans UI"/>
              <w:color w:val="000000"/>
              <w:szCs w:val="24"/>
              <w:lang w:bidi="en-US"/>
            </w:rPr>
            <w:t xml:space="preserve">), </w:t>
          </w:r>
          <w:r>
            <w:rPr>
              <w:rFonts w:eastAsia="Andale Sans UI"/>
              <w:szCs w:val="24"/>
              <w:lang w:bidi="en-US"/>
            </w:rPr>
            <w:t xml:space="preserve">vyriausioji patarėja Algė Staniūnaitė-Tonkich (tel. 8 695 17731, el. p. alge.staniunaite-tonkich@am.lt) vyriausioji specialistė Laima Skaisgirienė (tel. </w:t>
          </w:r>
          <w:r>
            <w:rPr>
              <w:szCs w:val="24"/>
            </w:rPr>
            <w:t>8 686 01341</w:t>
          </w:r>
          <w:r>
            <w:rPr>
              <w:rFonts w:eastAsia="Andale Sans UI"/>
              <w:szCs w:val="24"/>
              <w:lang w:bidi="en-US"/>
            </w:rPr>
            <w:t xml:space="preserve">, el. p. laima.skaisgiriene@am.lt). </w:t>
          </w:r>
        </w:p>
      </w:sdtContent>
    </w:sdt>
    <w:sdt>
      <w:sdtPr>
        <w:alias w:val="pastraipa"/>
        <w:tag w:val="part_14a1076ad9f7470f9d1f01a0966df1f6"/>
        <w:lock w:val="sdtLocked"/>
        <w:richText/>
      </w:sdtPr>
      <w:sdtContent>
        <w:p>
          <w:pPr>
            <w:widowControl w:val="0"/>
            <w:ind w:firstLine="567"/>
            <w:jc w:val="both"/>
            <w:rPr>
              <w:rFonts w:eastAsia="Andale Sans UI"/>
              <w:szCs w:val="24"/>
              <w:lang w:bidi="en-US"/>
            </w:rPr>
          </w:pPr>
          <w:r>
            <w:rPr>
              <w:rFonts w:eastAsia="Andale Sans UI"/>
              <w:szCs w:val="24"/>
              <w:lang w:bidi="en-US"/>
            </w:rPr>
            <w:t>PRIDEDAMA:</w:t>
          </w:r>
        </w:p>
        <w:sdt>
          <w:sdtPr>
            <w:alias w:val="1 p."/>
            <w:tag w:val="part_4845c653f4384df28c8a86b57dbed7cc"/>
            <w:lock w:val="sdtLocked"/>
            <w:richText/>
          </w:sdtPr>
          <w:sdtContent>
            <w:p>
              <w:pPr>
                <w:widowControl w:val="0"/>
                <w:ind w:firstLine="567"/>
                <w:jc w:val="both"/>
                <w:rPr>
                  <w:rFonts w:eastAsia="Andale Sans UI"/>
                  <w:szCs w:val="24"/>
                  <w:lang w:bidi="en-US"/>
                </w:rPr>
              </w:pPr>
              <w:sdt>
                <w:sdtPr>
                  <w:alias w:val="Numeris"/>
                  <w:tag w:val="nr_4845c653f4384df28c8a86b57dbed7cc"/>
                  <w:lock w:val="sdtLocked"/>
                  <w:richText/>
                </w:sdtPr>
                <w:sdtContent>
                  <w:r>
                    <w:rPr>
                      <w:rFonts w:eastAsia="Andale Sans UI"/>
                      <w:szCs w:val="24"/>
                      <w:lang w:bidi="en-US"/>
                    </w:rPr>
                    <w:t>1</w:t>
                  </w:r>
                </w:sdtContent>
              </w:sdt>
              <w:r>
                <w:rPr>
                  <w:rFonts w:eastAsia="Andale Sans UI"/>
                  <w:szCs w:val="24"/>
                  <w:lang w:bidi="en-US"/>
                </w:rPr>
                <w:t>. Nutarimo projektas, 5 lapai.</w:t>
              </w:r>
            </w:p>
          </w:sdtContent>
        </w:sdt>
        <w:sdt>
          <w:sdtPr>
            <w:alias w:val="2 p."/>
            <w:tag w:val="part_43be94976c2c4c679ad89656df264350"/>
            <w:lock w:val="sdtLocked"/>
            <w:richText/>
          </w:sdtPr>
          <w:sdtContent>
            <w:p>
              <w:pPr>
                <w:widowControl w:val="0"/>
                <w:ind w:firstLine="567"/>
                <w:jc w:val="both"/>
                <w:rPr>
                  <w:rFonts w:eastAsia="Andale Sans UI"/>
                  <w:szCs w:val="24"/>
                  <w:lang w:bidi="en-US"/>
                </w:rPr>
              </w:pPr>
              <w:sdt>
                <w:sdtPr>
                  <w:alias w:val="Numeris"/>
                  <w:tag w:val="nr_43be94976c2c4c679ad89656df264350"/>
                  <w:lock w:val="sdtLocked"/>
                  <w:richText/>
                </w:sdtPr>
                <w:sdtContent>
                  <w:r>
                    <w:rPr>
                      <w:rFonts w:eastAsia="Andale Sans UI"/>
                      <w:szCs w:val="24"/>
                      <w:lang w:bidi="en-US"/>
                    </w:rPr>
                    <w:t>2</w:t>
                  </w:r>
                </w:sdtContent>
              </w:sdt>
              <w:r>
                <w:rPr>
                  <w:rFonts w:eastAsia="Andale Sans UI"/>
                  <w:szCs w:val="24"/>
                  <w:lang w:bidi="en-US"/>
                </w:rPr>
                <w:t xml:space="preserve">. Nutarimo projekto lyginamasis variantas, 6 lapai. </w:t>
              </w:r>
            </w:p>
          </w:sdtContent>
        </w:sdt>
        <w:sdt>
          <w:sdtPr>
            <w:alias w:val="3 p."/>
            <w:tag w:val="part_93e87b7b96684944951081d701a94cc7"/>
            <w:lock w:val="sdtLocked"/>
            <w:richText/>
          </w:sdtPr>
          <w:sdtContent>
            <w:p>
              <w:pPr>
                <w:ind w:firstLine="567"/>
                <w:jc w:val="both"/>
              </w:pPr>
              <w:sdt>
                <w:sdtPr>
                  <w:alias w:val="Numeris"/>
                  <w:tag w:val="nr_93e87b7b96684944951081d701a94cc7"/>
                  <w:lock w:val="sdtLocked"/>
                  <w:richText/>
                </w:sdtPr>
                <w:sdtContent>
                  <w:r>
                    <w:t>3</w:t>
                  </w:r>
                </w:sdtContent>
              </w:sdt>
              <w:r>
                <w:t>. Antikorupcinio vertinimo pažyma, 12 lapų.</w:t>
              </w:r>
            </w:p>
            <w:p>
              <w:pPr>
                <w:widowControl w:val="0"/>
                <w:suppressAutoHyphens/>
                <w:ind w:firstLine="567"/>
                <w:jc w:val="both"/>
                <w:rPr>
                  <w:rFonts w:eastAsia="Andale Sans UI"/>
                  <w:szCs w:val="24"/>
                  <w:lang w:bidi="en-US"/>
                </w:rPr>
              </w:pPr>
            </w:p>
            <w:p>
              <w:pPr>
                <w:widowControl w:val="0"/>
                <w:suppressAutoHyphens/>
                <w:ind w:firstLine="567"/>
                <w:jc w:val="both"/>
                <w:rPr>
                  <w:rFonts w:eastAsia="Andale Sans UI"/>
                  <w:szCs w:val="24"/>
                  <w:lang w:bidi="en-US"/>
                </w:rPr>
              </w:pPr>
            </w:p>
            <w:p>
              <w:pPr>
                <w:widowControl w:val="0"/>
                <w:suppressAutoHyphens/>
                <w:ind w:firstLine="567"/>
                <w:jc w:val="both"/>
                <w:rPr>
                  <w:rFonts w:eastAsia="Andale Sans UI"/>
                  <w:szCs w:val="24"/>
                  <w:lang w:bidi="en-US"/>
                </w:rPr>
              </w:pPr>
            </w:p>
            <w:p>
              <w:pPr>
                <w:widowControl w:val="0"/>
                <w:suppressAutoHyphens/>
                <w:ind w:firstLine="567"/>
                <w:jc w:val="both"/>
                <w:rPr>
                  <w:rFonts w:eastAsia="Andale Sans UI"/>
                  <w:szCs w:val="24"/>
                  <w:lang w:bidi="en-US"/>
                </w:rPr>
              </w:pPr>
            </w:p>
            <w:p>
              <w:pPr>
                <w:widowControl w:val="0"/>
                <w:suppressAutoHyphens/>
                <w:ind w:firstLine="567"/>
                <w:jc w:val="both"/>
                <w:rPr>
                  <w:rFonts w:eastAsia="Andale Sans UI"/>
                  <w:szCs w:val="24"/>
                  <w:lang w:bidi="en-US"/>
                </w:rPr>
              </w:pPr>
            </w:p>
            <w:p>
              <w:pPr>
                <w:widowControl w:val="0"/>
                <w:suppressAutoHyphens/>
                <w:ind w:firstLine="567"/>
                <w:jc w:val="both"/>
                <w:rPr>
                  <w:rFonts w:eastAsia="Andale Sans UI"/>
                  <w:szCs w:val="24"/>
                  <w:lang w:bidi="en-US"/>
                </w:rPr>
              </w:pPr>
            </w:p>
            <w:p>
              <w:pPr>
                <w:widowControl w:val="0"/>
                <w:suppressAutoHyphens/>
                <w:ind w:firstLine="567"/>
                <w:jc w:val="both"/>
                <w:rPr>
                  <w:rFonts w:eastAsia="Andale Sans UI"/>
                  <w:szCs w:val="24"/>
                  <w:lang w:bidi="en-US"/>
                </w:rPr>
              </w:pPr>
            </w:p>
            <w:p>
              <w:pPr>
                <w:widowControl w:val="0"/>
                <w:suppressAutoHyphens/>
                <w:ind w:firstLine="567"/>
                <w:jc w:val="both"/>
                <w:rPr>
                  <w:rFonts w:eastAsia="Andale Sans UI"/>
                  <w:szCs w:val="24"/>
                  <w:lang w:bidi="en-US"/>
                </w:rPr>
              </w:pPr>
            </w:p>
            <w:p>
              <w:pPr>
                <w:widowControl w:val="0"/>
                <w:suppressAutoHyphens/>
                <w:ind w:firstLine="567"/>
                <w:jc w:val="both"/>
                <w:rPr>
                  <w:rFonts w:eastAsia="Andale Sans UI"/>
                  <w:szCs w:val="24"/>
                  <w:lang w:bidi="en-US"/>
                </w:rPr>
              </w:pPr>
            </w:p>
            <w:p>
              <w:pPr>
                <w:widowControl w:val="0"/>
                <w:suppressAutoHyphens/>
                <w:ind w:firstLine="567"/>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ind w:firstLine="567"/>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jc w:val="both"/>
                <w:rPr>
                  <w:rFonts w:eastAsia="Andale Sans UI"/>
                  <w:szCs w:val="24"/>
                  <w:lang w:bidi="en-US"/>
                </w:rPr>
              </w:pPr>
            </w:p>
            <w:p>
              <w:pPr>
                <w:widowControl w:val="0"/>
                <w:suppressAutoHyphens/>
                <w:ind w:firstLine="567"/>
                <w:jc w:val="both"/>
                <w:rPr>
                  <w:rFonts w:eastAsia="Andale Sans UI"/>
                  <w:szCs w:val="24"/>
                  <w:lang w:bidi="en-US"/>
                </w:rPr>
              </w:pPr>
            </w:p>
            <w:sdt>
              <w:sdtPr>
                <w:alias w:val="skirsnis"/>
                <w:tag w:val="part_4b9f15a1a8484677b6e9a9e576158c75"/>
                <w:lock w:val="sdtLocked"/>
                <w:richText/>
              </w:sdtPr>
              <w:sdtContent>
                <w:p>
                  <w:pPr>
                    <w:widowControl w:val="0"/>
                    <w:tabs>
                      <w:tab w:val="left" w:pos="3802"/>
                    </w:tabs>
                    <w:suppressAutoHyphens/>
                    <w:jc w:val="center"/>
                    <w:rPr>
                      <w:szCs w:val="24"/>
                      <w:lang w:bidi="en-US"/>
                    </w:rPr>
                  </w:pPr>
                  <w:sdt>
                    <w:sdtPr>
                      <w:alias w:val="Pavadinimas"/>
                      <w:tag w:val="title_4b9f15a1a8484677b6e9a9e576158c75"/>
                      <w:lock w:val="sdtLocked"/>
                      <w:richText/>
                    </w:sdtPr>
                    <w:sdtContent>
                      <w:r>
                        <w:rPr>
                          <w:szCs w:val="24"/>
                          <w:lang w:bidi="en-US"/>
                        </w:rPr>
                        <w:t>INSTITUCIJŲ SĄRAŠAS</w:t>
                      </w:r>
                    </w:sdtContent>
                  </w:sdt>
                </w:p>
                <w:p>
                  <w:pPr>
                    <w:widowControl w:val="0"/>
                    <w:tabs>
                      <w:tab w:val="left" w:pos="3802"/>
                    </w:tabs>
                    <w:suppressAutoHyphens/>
                    <w:jc w:val="center"/>
                    <w:rPr>
                      <w:szCs w:val="24"/>
                      <w:lang w:bidi="en-US"/>
                    </w:rPr>
                  </w:pPr>
                </w:p>
              </w:sdtContent>
            </w:sdt>
          </w:sdtContent>
        </w:sdt>
        <w:sdt>
          <w:sdtPr>
            <w:alias w:val="1 p."/>
            <w:tag w:val="part_31198b348ae1417c8d4dc5009dc9b2a3"/>
            <w:lock w:val="sdtLocked"/>
            <w:richText/>
          </w:sdtPr>
          <w:sdtContent>
            <w:p>
              <w:pPr>
                <w:widowControl w:val="0"/>
                <w:tabs>
                  <w:tab w:val="left" w:pos="3802"/>
                </w:tabs>
                <w:suppressAutoHyphens/>
                <w:jc w:val="both"/>
                <w:rPr>
                  <w:rFonts w:eastAsia="Andale Sans UI" w:cs="Tahoma"/>
                  <w:szCs w:val="24"/>
                  <w:lang w:bidi="en-US"/>
                </w:rPr>
              </w:pPr>
              <w:sdt>
                <w:sdtPr>
                  <w:alias w:val="Numeris"/>
                  <w:tag w:val="nr_31198b348ae1417c8d4dc5009dc9b2a3"/>
                  <w:lock w:val="sdtLocked"/>
                  <w:richText/>
                </w:sdtPr>
                <w:sdtContent>
                  <w:r>
                    <w:rPr>
                      <w:rFonts w:eastAsia="Andale Sans UI" w:cs="Tahoma"/>
                      <w:szCs w:val="24"/>
                      <w:lang w:bidi="en-US"/>
                    </w:rPr>
                    <w:t>1</w:t>
                  </w:r>
                </w:sdtContent>
              </w:sdt>
              <w:r>
                <w:rPr>
                  <w:rFonts w:eastAsia="Andale Sans UI" w:cs="Tahoma"/>
                  <w:szCs w:val="24"/>
                  <w:lang w:bidi="en-US"/>
                </w:rPr>
                <w:t>. Lietuvos Respublikos ekonomikos ir inovacijų ministerijai</w:t>
              </w:r>
            </w:p>
          </w:sdtContent>
        </w:sdt>
        <w:sdt>
          <w:sdtPr>
            <w:alias w:val="2 p."/>
            <w:tag w:val="part_8f9438a2059447c5a8ed7d3e212f44dd"/>
            <w:lock w:val="sdtLocked"/>
            <w:richText/>
          </w:sdtPr>
          <w:sdtContent>
            <w:p>
              <w:pPr>
                <w:widowControl w:val="0"/>
                <w:tabs>
                  <w:tab w:val="left" w:pos="3802"/>
                </w:tabs>
                <w:suppressAutoHyphens/>
                <w:jc w:val="both"/>
                <w:rPr>
                  <w:rFonts w:eastAsia="Andale Sans UI" w:cs="Tahoma"/>
                  <w:szCs w:val="24"/>
                  <w:lang w:bidi="en-US"/>
                </w:rPr>
              </w:pPr>
              <w:sdt>
                <w:sdtPr>
                  <w:alias w:val="Numeris"/>
                  <w:tag w:val="nr_8f9438a2059447c5a8ed7d3e212f44dd"/>
                  <w:lock w:val="sdtLocked"/>
                  <w:richText/>
                </w:sdtPr>
                <w:sdtContent>
                  <w:r>
                    <w:rPr>
                      <w:rFonts w:eastAsia="Andale Sans UI" w:cs="Tahoma"/>
                      <w:szCs w:val="24"/>
                      <w:lang w:bidi="en-US"/>
                    </w:rPr>
                    <w:t>2</w:t>
                  </w:r>
                </w:sdtContent>
              </w:sdt>
              <w:r>
                <w:rPr>
                  <w:rFonts w:eastAsia="Andale Sans UI" w:cs="Tahoma"/>
                  <w:szCs w:val="24"/>
                  <w:lang w:bidi="en-US"/>
                </w:rPr>
                <w:t>. Lietuvos Respublikos energetikos ministerijai</w:t>
              </w:r>
            </w:p>
          </w:sdtContent>
        </w:sdt>
        <w:sdt>
          <w:sdtPr>
            <w:alias w:val="3 p."/>
            <w:tag w:val="part_68c7fc57342c4cb49ed09ca121159930"/>
            <w:lock w:val="sdtLocked"/>
            <w:richText/>
          </w:sdtPr>
          <w:sdtContent>
            <w:p>
              <w:pPr>
                <w:tabs>
                  <w:tab w:val="left" w:pos="3802"/>
                </w:tabs>
                <w:jc w:val="both"/>
              </w:pPr>
              <w:sdt>
                <w:sdtPr>
                  <w:alias w:val="Numeris"/>
                  <w:tag w:val="nr_68c7fc57342c4cb49ed09ca121159930"/>
                  <w:lock w:val="sdtLocked"/>
                  <w:richText/>
                </w:sdtPr>
                <w:sdtContent>
                  <w:r>
                    <w:rPr>
                      <w:rFonts w:eastAsia="Andale Sans UI" w:cs="Tahoma"/>
                      <w:szCs w:val="24"/>
                      <w:lang w:bidi="en-US"/>
                    </w:rPr>
                    <w:t>3</w:t>
                  </w:r>
                </w:sdtContent>
              </w:sdt>
              <w:r>
                <w:rPr>
                  <w:rFonts w:eastAsia="Andale Sans UI" w:cs="Tahoma"/>
                  <w:szCs w:val="24"/>
                  <w:lang w:bidi="en-US"/>
                </w:rPr>
                <w:t>. Lietuvos Respublikos krašto apsaugos ministerijai</w:t>
              </w:r>
            </w:p>
          </w:sdtContent>
        </w:sdt>
        <w:sdt>
          <w:sdtPr>
            <w:alias w:val="4 p."/>
            <w:tag w:val="part_6268182c7e874ebb9906b2b56de3f3a4"/>
            <w:lock w:val="sdtLocked"/>
            <w:richText/>
          </w:sdtPr>
          <w:sdtContent>
            <w:p>
              <w:pPr>
                <w:widowControl w:val="0"/>
                <w:tabs>
                  <w:tab w:val="left" w:pos="3802"/>
                </w:tabs>
                <w:suppressAutoHyphens/>
                <w:jc w:val="both"/>
                <w:rPr>
                  <w:rFonts w:eastAsia="Andale Sans UI" w:cs="Tahoma"/>
                  <w:szCs w:val="24"/>
                  <w:lang w:bidi="en-US"/>
                </w:rPr>
              </w:pPr>
              <w:sdt>
                <w:sdtPr>
                  <w:alias w:val="Numeris"/>
                  <w:tag w:val="nr_6268182c7e874ebb9906b2b56de3f3a4"/>
                  <w:lock w:val="sdtLocked"/>
                  <w:richText/>
                </w:sdtPr>
                <w:sdtContent>
                  <w:r>
                    <w:t>4</w:t>
                  </w:r>
                </w:sdtContent>
              </w:sdt>
              <w:r>
                <w:rPr>
                  <w:rFonts w:eastAsia="Andale Sans UI" w:cs="Tahoma"/>
                  <w:szCs w:val="24"/>
                  <w:lang w:bidi="en-US"/>
                </w:rPr>
                <w:t>. Lietuvos Respublikos kultūros ministerijai</w:t>
              </w:r>
            </w:p>
          </w:sdtContent>
        </w:sdt>
        <w:sdt>
          <w:sdtPr>
            <w:alias w:val="5 p."/>
            <w:tag w:val="part_bd6660daee7d465486b8f52fb9052d0f"/>
            <w:lock w:val="sdtLocked"/>
            <w:richText/>
          </w:sdtPr>
          <w:sdtContent>
            <w:p>
              <w:pPr>
                <w:widowControl w:val="0"/>
                <w:tabs>
                  <w:tab w:val="left" w:pos="3802"/>
                </w:tabs>
                <w:suppressAutoHyphens/>
                <w:jc w:val="both"/>
                <w:rPr>
                  <w:rFonts w:eastAsia="Andale Sans UI" w:cs="Tahoma"/>
                  <w:szCs w:val="24"/>
                  <w:lang w:bidi="en-US"/>
                </w:rPr>
              </w:pPr>
              <w:sdt>
                <w:sdtPr>
                  <w:alias w:val="Numeris"/>
                  <w:tag w:val="nr_bd6660daee7d465486b8f52fb9052d0f"/>
                  <w:lock w:val="sdtLocked"/>
                  <w:richText/>
                </w:sdtPr>
                <w:sdtContent>
                  <w:r>
                    <w:t>5</w:t>
                  </w:r>
                </w:sdtContent>
              </w:sdt>
              <w:r>
                <w:rPr>
                  <w:rFonts w:eastAsia="Andale Sans UI" w:cs="Tahoma"/>
                  <w:szCs w:val="24"/>
                  <w:lang w:bidi="en-US"/>
                </w:rPr>
                <w:t>. Lietuvos Respublikos susisiekimo ministerijai</w:t>
              </w:r>
            </w:p>
          </w:sdtContent>
        </w:sdt>
        <w:sdt>
          <w:sdtPr>
            <w:alias w:val="6 p."/>
            <w:tag w:val="part_ffda419d1420459396637ac29aa65fd0"/>
            <w:lock w:val="sdtLocked"/>
            <w:richText/>
          </w:sdtPr>
          <w:sdtContent>
            <w:p>
              <w:pPr>
                <w:widowControl w:val="0"/>
                <w:tabs>
                  <w:tab w:val="left" w:pos="3802"/>
                </w:tabs>
                <w:suppressAutoHyphens/>
                <w:jc w:val="both"/>
                <w:rPr>
                  <w:rFonts w:eastAsia="Andale Sans UI" w:cs="Tahoma"/>
                  <w:szCs w:val="24"/>
                  <w:lang w:bidi="en-US"/>
                </w:rPr>
              </w:pPr>
              <w:sdt>
                <w:sdtPr>
                  <w:alias w:val="Numeris"/>
                  <w:tag w:val="nr_ffda419d1420459396637ac29aa65fd0"/>
                  <w:lock w:val="sdtLocked"/>
                  <w:richText/>
                </w:sdtPr>
                <w:sdtContent>
                  <w:r>
                    <w:t>6</w:t>
                  </w:r>
                </w:sdtContent>
              </w:sdt>
              <w:r>
                <w:rPr>
                  <w:rFonts w:eastAsia="Andale Sans UI" w:cs="Tahoma"/>
                  <w:szCs w:val="24"/>
                  <w:lang w:bidi="en-US"/>
                </w:rPr>
                <w:t>. Lietuvos Respublikos sveikatos apsaugos ministerijai</w:t>
              </w:r>
            </w:p>
          </w:sdtContent>
        </w:sdt>
        <w:sdt>
          <w:sdtPr>
            <w:alias w:val="7 p."/>
            <w:tag w:val="part_960bd95b5bca4c30b22da09e47a511b5"/>
            <w:lock w:val="sdtLocked"/>
            <w:richText/>
          </w:sdtPr>
          <w:sdtContent>
            <w:p>
              <w:pPr>
                <w:widowControl w:val="0"/>
                <w:tabs>
                  <w:tab w:val="left" w:pos="3802"/>
                </w:tabs>
                <w:suppressAutoHyphens/>
                <w:jc w:val="both"/>
                <w:rPr>
                  <w:rFonts w:eastAsia="Andale Sans UI" w:cs="Tahoma"/>
                  <w:szCs w:val="24"/>
                  <w:lang w:bidi="en-US"/>
                </w:rPr>
              </w:pPr>
              <w:sdt>
                <w:sdtPr>
                  <w:alias w:val="Numeris"/>
                  <w:tag w:val="nr_960bd95b5bca4c30b22da09e47a511b5"/>
                  <w:lock w:val="sdtLocked"/>
                  <w:richText/>
                </w:sdtPr>
                <w:sdtContent>
                  <w:r>
                    <w:t>7</w:t>
                  </w:r>
                </w:sdtContent>
              </w:sdt>
              <w:r>
                <w:rPr>
                  <w:rFonts w:eastAsia="Andale Sans UI" w:cs="Tahoma"/>
                  <w:szCs w:val="24"/>
                  <w:lang w:bidi="en-US"/>
                </w:rPr>
                <w:t>. Lietuvos Respublikos teisingumo ministerijai</w:t>
              </w:r>
            </w:p>
          </w:sdtContent>
        </w:sdt>
        <w:sdt>
          <w:sdtPr>
            <w:alias w:val="8 p."/>
            <w:tag w:val="part_b7898b775c4f4c7ba79a0efa32800446"/>
            <w:lock w:val="sdtLocked"/>
            <w:richText/>
          </w:sdtPr>
          <w:sdtContent>
            <w:p>
              <w:pPr>
                <w:widowControl w:val="0"/>
                <w:tabs>
                  <w:tab w:val="left" w:pos="3802"/>
                </w:tabs>
                <w:suppressAutoHyphens/>
                <w:jc w:val="both"/>
                <w:rPr>
                  <w:rFonts w:eastAsia="Andale Sans UI" w:cs="Tahoma"/>
                  <w:szCs w:val="24"/>
                  <w:lang w:bidi="en-US"/>
                </w:rPr>
              </w:pPr>
              <w:sdt>
                <w:sdtPr>
                  <w:alias w:val="Numeris"/>
                  <w:tag w:val="nr_b7898b775c4f4c7ba79a0efa32800446"/>
                  <w:lock w:val="sdtLocked"/>
                  <w:richText/>
                </w:sdtPr>
                <w:sdtContent>
                  <w:r>
                    <w:t>8</w:t>
                  </w:r>
                </w:sdtContent>
              </w:sdt>
              <w:r>
                <w:rPr>
                  <w:rFonts w:eastAsia="Andale Sans UI" w:cs="Tahoma"/>
                  <w:szCs w:val="24"/>
                  <w:lang w:bidi="en-US"/>
                </w:rPr>
                <w:t>. Lietuvos Respublikos vidaus reikalų ministerijai</w:t>
              </w:r>
            </w:p>
          </w:sdtContent>
        </w:sdt>
        <w:sdt>
          <w:sdtPr>
            <w:alias w:val="9 p."/>
            <w:tag w:val="part_75ae4731f9ac4f34abf869889e168c7d"/>
            <w:lock w:val="sdtLocked"/>
            <w:richText/>
          </w:sdtPr>
          <w:sdtContent>
            <w:p>
              <w:pPr>
                <w:widowControl w:val="0"/>
                <w:tabs>
                  <w:tab w:val="left" w:pos="3802"/>
                </w:tabs>
                <w:suppressAutoHyphens/>
                <w:jc w:val="both"/>
                <w:rPr>
                  <w:rFonts w:eastAsia="Andale Sans UI" w:cs="Tahoma"/>
                  <w:szCs w:val="24"/>
                  <w:lang w:bidi="en-US"/>
                </w:rPr>
              </w:pPr>
              <w:sdt>
                <w:sdtPr>
                  <w:alias w:val="Numeris"/>
                  <w:tag w:val="nr_75ae4731f9ac4f34abf869889e168c7d"/>
                  <w:lock w:val="sdtLocked"/>
                  <w:richText/>
                </w:sdtPr>
                <w:sdtContent>
                  <w:r>
                    <w:t>9</w:t>
                  </w:r>
                </w:sdtContent>
              </w:sdt>
              <w:r>
                <w:rPr>
                  <w:rFonts w:eastAsia="Andale Sans UI" w:cs="Tahoma"/>
                  <w:szCs w:val="24"/>
                  <w:lang w:bidi="en-US"/>
                </w:rPr>
                <w:t>. Lietuvos Respublikos žemės ūkio ministerijai</w:t>
              </w:r>
            </w:p>
          </w:sdtContent>
        </w:sdt>
        <w:sdt>
          <w:sdtPr>
            <w:alias w:val="10 p."/>
            <w:tag w:val="part_5fbb034d31e54d2898e85e310aad1d21"/>
            <w:lock w:val="sdtLocked"/>
            <w:richText/>
          </w:sdtPr>
          <w:sdtContent>
            <w:p>
              <w:pPr>
                <w:widowControl w:val="0"/>
                <w:tabs>
                  <w:tab w:val="left" w:pos="3802"/>
                </w:tabs>
                <w:suppressAutoHyphens/>
                <w:jc w:val="both"/>
                <w:rPr>
                  <w:szCs w:val="24"/>
                  <w:lang w:bidi="en-US"/>
                </w:rPr>
              </w:pPr>
              <w:sdt>
                <w:sdtPr>
                  <w:alias w:val="Numeris"/>
                  <w:tag w:val="nr_5fbb034d31e54d2898e85e310aad1d21"/>
                  <w:lock w:val="sdtLocked"/>
                  <w:richText/>
                </w:sdtPr>
                <w:sdtContent>
                  <w:r>
                    <w:rPr>
                      <w:szCs w:val="24"/>
                      <w:lang w:bidi="en-US"/>
                    </w:rPr>
                    <w:t>1</w:t>
                  </w:r>
                  <w:r>
                    <w:t>0</w:t>
                  </w:r>
                </w:sdtContent>
              </w:sdt>
              <w:r>
                <w:rPr>
                  <w:szCs w:val="24"/>
                  <w:lang w:bidi="en-US"/>
                </w:rPr>
                <w:t>. Valstybinei teritorijų planavimo ir statybos inspekcijai prie Aplinkos ministerijos</w:t>
              </w:r>
            </w:p>
          </w:sdtContent>
        </w:sdt>
        <w:sdt>
          <w:sdtPr>
            <w:alias w:val="11 p."/>
            <w:tag w:val="part_fce991ca66474d56b15cf7bf39dbb192"/>
            <w:lock w:val="sdtLocked"/>
            <w:richText/>
          </w:sdtPr>
          <w:sdtContent>
            <w:p>
              <w:pPr>
                <w:widowControl w:val="0"/>
                <w:tabs>
                  <w:tab w:val="left" w:pos="3802"/>
                </w:tabs>
                <w:suppressAutoHyphens/>
                <w:jc w:val="both"/>
                <w:rPr>
                  <w:szCs w:val="24"/>
                  <w:lang w:bidi="en-US"/>
                </w:rPr>
              </w:pPr>
              <w:sdt>
                <w:sdtPr>
                  <w:alias w:val="Numeris"/>
                  <w:tag w:val="nr_fce991ca66474d56b15cf7bf39dbb192"/>
                  <w:lock w:val="sdtLocked"/>
                  <w:richText/>
                </w:sdtPr>
                <w:sdtContent>
                  <w:r>
                    <w:t>11</w:t>
                  </w:r>
                </w:sdtContent>
              </w:sdt>
              <w:r>
                <w:rPr>
                  <w:szCs w:val="24"/>
                  <w:lang w:bidi="en-US"/>
                </w:rPr>
                <w:t>. Valstybinei saugomų teritorijų tarnybai prie Aplinkos ministerijos</w:t>
              </w:r>
            </w:p>
          </w:sdtContent>
        </w:sdt>
        <w:sdt>
          <w:sdtPr>
            <w:alias w:val="12 p."/>
            <w:tag w:val="part_1ad3cb18ca8b42caa4ca9f72387367a4"/>
            <w:lock w:val="sdtLocked"/>
            <w:richText/>
          </w:sdtPr>
          <w:sdtContent>
            <w:p>
              <w:pPr>
                <w:widowControl w:val="0"/>
                <w:tabs>
                  <w:tab w:val="left" w:pos="3802"/>
                </w:tabs>
                <w:suppressAutoHyphens/>
                <w:jc w:val="both"/>
                <w:rPr>
                  <w:szCs w:val="24"/>
                  <w:lang w:bidi="en-US"/>
                </w:rPr>
              </w:pPr>
              <w:sdt>
                <w:sdtPr>
                  <w:alias w:val="Numeris"/>
                  <w:tag w:val="nr_1ad3cb18ca8b42caa4ca9f72387367a4"/>
                  <w:lock w:val="sdtLocked"/>
                  <w:richText/>
                </w:sdtPr>
                <w:sdtContent>
                  <w:r>
                    <w:t>12</w:t>
                  </w:r>
                </w:sdtContent>
              </w:sdt>
              <w:r>
                <w:rPr>
                  <w:szCs w:val="24"/>
                  <w:lang w:bidi="en-US"/>
                </w:rPr>
                <w:t>. Lietuvos Respublikos specialiųjų tyrimų tarnybai</w:t>
              </w:r>
            </w:p>
          </w:sdtContent>
        </w:sdt>
        <w:sdt>
          <w:sdtPr>
            <w:alias w:val="13 p."/>
            <w:tag w:val="part_499ebffa6ebd43b6b9409a27e0e21349"/>
            <w:lock w:val="sdtLocked"/>
            <w:richText/>
          </w:sdtPr>
          <w:sdtContent>
            <w:p>
              <w:pPr>
                <w:widowControl w:val="0"/>
                <w:tabs>
                  <w:tab w:val="left" w:pos="3802"/>
                </w:tabs>
                <w:suppressAutoHyphens/>
                <w:jc w:val="both"/>
                <w:rPr>
                  <w:szCs w:val="24"/>
                  <w:lang w:bidi="en-US"/>
                </w:rPr>
              </w:pPr>
              <w:sdt>
                <w:sdtPr>
                  <w:alias w:val="Numeris"/>
                  <w:tag w:val="nr_499ebffa6ebd43b6b9409a27e0e21349"/>
                  <w:lock w:val="sdtLocked"/>
                  <w:richText/>
                </w:sdtPr>
                <w:sdtContent>
                  <w:r>
                    <w:t>13</w:t>
                  </w:r>
                </w:sdtContent>
              </w:sdt>
              <w:r>
                <w:rPr>
                  <w:szCs w:val="24"/>
                  <w:lang w:bidi="en-US"/>
                </w:rPr>
                <w:t xml:space="preserve">. </w:t>
              </w:r>
              <w:r>
                <w:rPr>
                  <w:rFonts w:eastAsia="Andale Sans UI" w:cs="Tahoma"/>
                  <w:szCs w:val="24"/>
                  <w:lang w:bidi="en-US"/>
                </w:rPr>
                <w:t>Lietuvos Respublikos valstybės kontrolei</w:t>
              </w:r>
            </w:p>
          </w:sdtContent>
        </w:sdt>
        <w:sdt>
          <w:sdtPr>
            <w:alias w:val="14 p."/>
            <w:tag w:val="part_e631db6698294a06bc046a3fd7bcc6e3"/>
            <w:lock w:val="sdtLocked"/>
            <w:richText/>
          </w:sdtPr>
          <w:sdtContent>
            <w:p>
              <w:pPr>
                <w:widowControl w:val="0"/>
                <w:tabs>
                  <w:tab w:val="left" w:pos="3802"/>
                </w:tabs>
                <w:suppressAutoHyphens/>
                <w:jc w:val="both"/>
                <w:rPr>
                  <w:szCs w:val="24"/>
                  <w:lang w:val="en-GB" w:bidi="en-US"/>
                </w:rPr>
              </w:pPr>
              <w:sdt>
                <w:sdtPr>
                  <w:alias w:val="Numeris"/>
                  <w:tag w:val="nr_e631db6698294a06bc046a3fd7bcc6e3"/>
                  <w:lock w:val="sdtLocked"/>
                  <w:richText/>
                </w:sdtPr>
                <w:sdtContent>
                  <w:r>
                    <w:t>14</w:t>
                  </w:r>
                </w:sdtContent>
              </w:sdt>
              <w:r>
                <w:rPr>
                  <w:szCs w:val="24"/>
                  <w:lang w:bidi="en-US"/>
                </w:rPr>
                <w:t>. Nacionalinei žemės tarnybai prie Žemės ūkio ministerijos</w:t>
              </w:r>
            </w:p>
          </w:sdtContent>
        </w:sdt>
        <w:sdt>
          <w:sdtPr>
            <w:alias w:val="15 p."/>
            <w:tag w:val="part_626089c24b6a4a948deed31976b92d42"/>
            <w:lock w:val="sdtLocked"/>
            <w:richText/>
          </w:sdtPr>
          <w:sdtContent>
            <w:p>
              <w:pPr>
                <w:widowControl w:val="0"/>
                <w:tabs>
                  <w:tab w:val="left" w:pos="3802"/>
                </w:tabs>
                <w:suppressAutoHyphens/>
                <w:jc w:val="both"/>
                <w:rPr>
                  <w:rFonts w:eastAsia="Andale Sans UI" w:cs="Tahoma"/>
                  <w:szCs w:val="24"/>
                  <w:lang w:bidi="en-US"/>
                </w:rPr>
              </w:pPr>
              <w:sdt>
                <w:sdtPr>
                  <w:alias w:val="Numeris"/>
                  <w:tag w:val="nr_626089c24b6a4a948deed31976b92d42"/>
                  <w:lock w:val="sdtLocked"/>
                  <w:richText/>
                </w:sdtPr>
                <w:sdtContent>
                  <w:r>
                    <w:t>15</w:t>
                  </w:r>
                </w:sdtContent>
              </w:sdt>
              <w:r>
                <w:rPr>
                  <w:szCs w:val="24"/>
                  <w:lang w:bidi="en-US"/>
                </w:rPr>
                <w:t xml:space="preserve">. </w:t>
              </w:r>
              <w:r>
                <w:rPr>
                  <w:rFonts w:eastAsia="Andale Sans UI" w:cs="Tahoma"/>
                  <w:szCs w:val="24"/>
                  <w:lang w:bidi="en-US"/>
                </w:rPr>
                <w:t>Lietuvos savivaldybių asociacijai</w:t>
              </w:r>
            </w:p>
          </w:sdtContent>
        </w:sdt>
        <w:sdt>
          <w:sdtPr>
            <w:alias w:val="16 p."/>
            <w:tag w:val="part_5cb984918832481abaf035a7d96f6d49"/>
            <w:lock w:val="sdtLocked"/>
            <w:richText/>
          </w:sdtPr>
          <w:sdtContent>
            <w:p>
              <w:pPr>
                <w:widowControl w:val="0"/>
                <w:tabs>
                  <w:tab w:val="left" w:pos="3802"/>
                </w:tabs>
                <w:suppressAutoHyphens/>
                <w:jc w:val="both"/>
                <w:rPr>
                  <w:rFonts w:eastAsia="Andale Sans UI" w:cs="Tahoma"/>
                  <w:szCs w:val="24"/>
                  <w:lang w:bidi="en-US"/>
                </w:rPr>
              </w:pPr>
              <w:sdt>
                <w:sdtPr>
                  <w:alias w:val="Numeris"/>
                  <w:tag w:val="nr_5cb984918832481abaf035a7d96f6d49"/>
                  <w:lock w:val="sdtLocked"/>
                  <w:richText/>
                </w:sdtPr>
                <w:sdtContent>
                  <w:r>
                    <w:t>16</w:t>
                  </w:r>
                </w:sdtContent>
              </w:sdt>
              <w:r>
                <w:rPr>
                  <w:rFonts w:eastAsia="Andale Sans UI" w:cs="Tahoma"/>
                  <w:szCs w:val="24"/>
                  <w:lang w:bidi="en-US"/>
                </w:rPr>
                <w:t>. Lietuvos architektų rūmams</w:t>
              </w:r>
            </w:p>
          </w:sdtContent>
        </w:sdt>
        <w:sdt>
          <w:sdtPr>
            <w:alias w:val="17 p."/>
            <w:tag w:val="part_a0705814e67e427d889c0795ad462f8e"/>
            <w:lock w:val="sdtLocked"/>
            <w:richText/>
          </w:sdtPr>
          <w:sdtContent>
            <w:p>
              <w:pPr>
                <w:widowControl w:val="0"/>
                <w:tabs>
                  <w:tab w:val="left" w:pos="3802"/>
                </w:tabs>
                <w:suppressAutoHyphens/>
                <w:jc w:val="both"/>
                <w:rPr>
                  <w:rFonts w:eastAsia="Andale Sans UI" w:cs="Tahoma"/>
                  <w:szCs w:val="24"/>
                  <w:lang w:bidi="en-US"/>
                </w:rPr>
              </w:pPr>
              <w:sdt>
                <w:sdtPr>
                  <w:alias w:val="Numeris"/>
                  <w:tag w:val="nr_a0705814e67e427d889c0795ad462f8e"/>
                  <w:lock w:val="sdtLocked"/>
                  <w:richText/>
                </w:sdtPr>
                <w:sdtContent>
                  <w:r>
                    <w:t>17</w:t>
                  </w:r>
                </w:sdtContent>
              </w:sdt>
              <w:r>
                <w:rPr>
                  <w:rFonts w:eastAsia="Andale Sans UI" w:cs="Tahoma"/>
                  <w:szCs w:val="24"/>
                  <w:lang w:bidi="en-US"/>
                </w:rPr>
                <w:t>. Kultūros paveldo departamentui prie Kultūros ministerijos</w:t>
              </w:r>
            </w:p>
          </w:sdtContent>
        </w:sdt>
        <w:sdt>
          <w:sdtPr>
            <w:alias w:val="18 p."/>
            <w:tag w:val="part_c3950f6e8da246ffb1a9df2cfe59113b"/>
            <w:lock w:val="sdtLocked"/>
            <w:richText/>
          </w:sdtPr>
          <w:sdtContent>
            <w:p>
              <w:pPr>
                <w:widowControl w:val="0"/>
                <w:tabs>
                  <w:tab w:val="left" w:pos="3802"/>
                </w:tabs>
                <w:suppressAutoHyphens/>
                <w:jc w:val="both"/>
                <w:rPr>
                  <w:rFonts w:eastAsia="Andale Sans UI" w:cs="Tahoma"/>
                  <w:szCs w:val="24"/>
                  <w:lang w:bidi="en-US"/>
                </w:rPr>
              </w:pPr>
              <w:sdt>
                <w:sdtPr>
                  <w:alias w:val="Numeris"/>
                  <w:tag w:val="nr_c3950f6e8da246ffb1a9df2cfe59113b"/>
                  <w:lock w:val="sdtLocked"/>
                  <w:richText/>
                </w:sdtPr>
                <w:sdtContent>
                  <w:r>
                    <w:t>18</w:t>
                  </w:r>
                </w:sdtContent>
              </w:sdt>
              <w:r>
                <w:rPr>
                  <w:rFonts w:eastAsia="Andale Sans UI" w:cs="Tahoma"/>
                  <w:szCs w:val="24"/>
                  <w:lang w:bidi="en-US"/>
                </w:rPr>
                <w:t>. Lietuvos Respublikos valstybės saugumo departamentui</w:t>
              </w:r>
            </w:p>
          </w:sdtContent>
        </w:sdt>
        <w:sdt>
          <w:sdtPr>
            <w:alias w:val="19 p."/>
            <w:tag w:val="part_9215fba38de24625885fd960e5a4d7b8"/>
            <w:lock w:val="sdtLocked"/>
            <w:richText/>
          </w:sdtPr>
          <w:sdtContent>
            <w:p>
              <w:pPr>
                <w:widowControl w:val="0"/>
                <w:tabs>
                  <w:tab w:val="left" w:pos="3802"/>
                </w:tabs>
                <w:suppressAutoHyphens/>
                <w:jc w:val="both"/>
                <w:rPr>
                  <w:rFonts w:eastAsia="Andale Sans UI" w:cs="Tahoma"/>
                  <w:szCs w:val="24"/>
                  <w:lang w:bidi="en-US"/>
                </w:rPr>
              </w:pPr>
              <w:sdt>
                <w:sdtPr>
                  <w:alias w:val="Numeris"/>
                  <w:tag w:val="nr_9215fba38de24625885fd960e5a4d7b8"/>
                  <w:lock w:val="sdtLocked"/>
                  <w:richText/>
                </w:sdtPr>
                <w:sdtContent>
                  <w:r>
                    <w:rPr>
                      <w:rFonts w:eastAsia="Andale Sans UI" w:cs="Tahoma"/>
                      <w:szCs w:val="24"/>
                      <w:lang w:bidi="en-US"/>
                    </w:rPr>
                    <w:t>19</w:t>
                  </w:r>
                </w:sdtContent>
              </w:sdt>
              <w:r>
                <w:rPr>
                  <w:rFonts w:eastAsia="Andale Sans UI" w:cs="Tahoma"/>
                  <w:szCs w:val="24"/>
                  <w:lang w:bidi="en-US"/>
                </w:rPr>
                <w:t>. Lietuvos projektavimo įmonių asociacijai</w:t>
              </w:r>
            </w:p>
          </w:sdtContent>
        </w:sdt>
        <w:sdt>
          <w:sdtPr>
            <w:alias w:val="20 p."/>
            <w:tag w:val="part_568e4cfe2f8b4eacbea4165db5ebe8e0"/>
            <w:lock w:val="sdtLocked"/>
            <w:richText/>
          </w:sdtPr>
          <w:sdtContent>
            <w:p>
              <w:pPr>
                <w:widowControl w:val="0"/>
                <w:tabs>
                  <w:tab w:val="left" w:pos="3802"/>
                </w:tabs>
                <w:suppressAutoHyphens/>
                <w:jc w:val="both"/>
                <w:rPr>
                  <w:rFonts w:eastAsia="Andale Sans UI" w:cs="Tahoma"/>
                  <w:szCs w:val="24"/>
                  <w:lang w:bidi="en-US"/>
                </w:rPr>
              </w:pPr>
              <w:sdt>
                <w:sdtPr>
                  <w:alias w:val="Numeris"/>
                  <w:tag w:val="nr_568e4cfe2f8b4eacbea4165db5ebe8e0"/>
                  <w:lock w:val="sdtLocked"/>
                  <w:richText/>
                </w:sdtPr>
                <w:sdtContent>
                  <w:r>
                    <w:t>20</w:t>
                  </w:r>
                </w:sdtContent>
              </w:sdt>
              <w:r>
                <w:rPr>
                  <w:rFonts w:eastAsia="Andale Sans UI" w:cs="Tahoma"/>
                  <w:szCs w:val="24"/>
                  <w:lang w:bidi="en-US"/>
                </w:rPr>
                <w:t>. Lietuvos nekilnojamojo turto plėtros asociacijai</w:t>
              </w:r>
            </w:p>
          </w:sdtContent>
        </w:sdt>
        <w:sdt>
          <w:sdtPr>
            <w:alias w:val="21 p."/>
            <w:tag w:val="part_b4d61e924ffe41e7a5808e1a06eddf33"/>
            <w:lock w:val="sdtLocked"/>
            <w:richText/>
          </w:sdtPr>
          <w:sdtContent>
            <w:p>
              <w:pPr>
                <w:widowControl w:val="0"/>
                <w:tabs>
                  <w:tab w:val="left" w:pos="3802"/>
                </w:tabs>
                <w:suppressAutoHyphens/>
                <w:jc w:val="both"/>
                <w:rPr>
                  <w:rFonts w:eastAsia="Andale Sans UI" w:cs="Tahoma"/>
                  <w:szCs w:val="24"/>
                  <w:lang w:bidi="en-US"/>
                </w:rPr>
              </w:pPr>
              <w:sdt>
                <w:sdtPr>
                  <w:alias w:val="Numeris"/>
                  <w:tag w:val="nr_b4d61e924ffe41e7a5808e1a06eddf33"/>
                  <w:lock w:val="sdtLocked"/>
                  <w:richText/>
                </w:sdtPr>
                <w:sdtContent>
                  <w:r>
                    <w:rPr>
                      <w:rFonts w:eastAsia="Andale Sans UI" w:cs="Tahoma"/>
                      <w:szCs w:val="24"/>
                      <w:lang w:bidi="en-US"/>
                    </w:rPr>
                    <w:t>2</w:t>
                  </w:r>
                  <w:r>
                    <w:t>1</w:t>
                  </w:r>
                </w:sdtContent>
              </w:sdt>
              <w:r>
                <w:rPr>
                  <w:rFonts w:eastAsia="Andale Sans UI" w:cs="Tahoma"/>
                  <w:szCs w:val="24"/>
                  <w:lang w:bidi="en-US"/>
                </w:rPr>
                <w:t>. VšĮ „Investuok Lietuvoje“</w:t>
              </w:r>
            </w:p>
            <w:p>
              <w:pPr>
                <w:widowControl w:val="0"/>
                <w:suppressAutoHyphens/>
                <w:ind w:firstLine="567"/>
                <w:jc w:val="both"/>
                <w:rPr>
                  <w:rFonts w:eastAsia="Andale Sans UI"/>
                  <w:szCs w:val="24"/>
                  <w:lang w:bidi="en-US"/>
                </w:rPr>
              </w:pPr>
            </w:p>
          </w:sdtContent>
        </w:sdt>
      </w:sdtContent>
    </w:sdt>
    <w:sectPr>
      <w:headerReference w:type="even" r:id="rId13"/>
      <w:headerReference w:type="default" r:id="rId14"/>
      <w:footerReference w:type="even" r:id="rId15"/>
      <w:footerReference w:type="default" r:id="rId16"/>
      <w:headerReference w:type="first" r:id="rId17"/>
      <w:footerReference w:type="first" r:id="rId18"/>
      <w:footnotePr>
        <w:pos w:val="beneathText"/>
        <w:numRestart w:val="eachPage"/>
      </w:footnotePr>
      <w:endnotePr>
        <w:numFmt w:val="decimal"/>
      </w:endnotePr>
      <w:pgSz w:w="11905" w:h="16837"/>
      <w:pgMar w:top="671" w:right="567" w:bottom="1089" w:left="1701" w:header="567" w:footer="230" w:gutter="0"/>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widowControl w:val="0"/>
        <w:suppressAutoHyphens/>
        <w:rPr>
          <w:rFonts w:eastAsia="Andale Sans UI" w:cs="Tahoma"/>
          <w:szCs w:val="24"/>
          <w:lang w:bidi="en-US"/>
        </w:rPr>
      </w:pPr>
      <w:r>
        <w:rPr>
          <w:rFonts w:eastAsia="Andale Sans UI" w:cs="Tahoma"/>
          <w:szCs w:val="24"/>
          <w:lang w:bidi="en-US"/>
        </w:rPr>
        <w:separator/>
      </w:r>
    </w:p>
  </w:endnote>
  <w:end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ndale Sans UI">
    <w:altName w:val="Times New Roman"/>
    <w:charset w:val="BA"/>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ascii="Arial" w:eastAsia="Andale Sans UI" w:hAnsi="Arial" w:cs="Tahoma"/>
        <w:sz w:val="10"/>
        <w:szCs w:val="24"/>
        <w:lang w:val="en-US" w:bidi="en-US"/>
      </w:rPr>
    </w:pPr>
  </w:p>
  <w:p>
    <w:pPr>
      <w:widowControl w:val="0"/>
      <w:suppressLineNumbers/>
      <w:tabs>
        <w:tab w:val="center" w:pos="4800"/>
        <w:tab w:val="right" w:pos="9601"/>
      </w:tabs>
      <w:suppressAutoHyphens/>
      <w:jc w:val="right"/>
      <w:rPr>
        <w:rFonts w:eastAsia="Andale Sans UI" w:cs="Tahoma"/>
        <w:szCs w:val="24"/>
        <w:lang w:bidi="en-US"/>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jc w:val="right"/>
      <w:rPr>
        <w:rFonts w:eastAsia="Andale Sans UI" w:cs="Tahoma"/>
        <w:szCs w:val="24"/>
        <w:lang w:bidi="en-US"/>
      </w:rPr>
    </w:pPr>
    <w:r>
      <w:rPr>
        <w:rFonts w:eastAsia="Andale Sans UI" w:cs="Tahoma"/>
        <w:szCs w:val="24"/>
        <w:lang w:val="en-US"/>
      </w:rPr>
      <w:drawing>
        <wp:inline distT="0" distB="0" distL="0" distR="0" wp14:anchorId="5B5032B1" wp14:editId="2EB59E39">
          <wp:extent cx="467995" cy="775335"/>
          <wp:effectExtent l="19050" t="0" r="8255" b="0"/>
          <wp:docPr id="2" name="Picture 2" descr="emas_zenklas_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as_zenklas_grey"/>
                  <pic:cNvPicPr>
                    <a:picLocks noChangeAspect="1" noChangeArrowheads="1"/>
                  </pic:cNvPicPr>
                </pic:nvPicPr>
                <pic:blipFill>
                  <a:blip r:embed="rId1"/>
                  <a:srcRect/>
                  <a:stretch>
                    <a:fillRect/>
                  </a:stretch>
                </pic:blipFill>
                <pic:spPr bwMode="auto">
                  <a:xfrm>
                    <a:off x="0" y="0"/>
                    <a:ext cx="467995" cy="775335"/>
                  </a:xfrm>
                  <a:prstGeom prst="rect">
                    <a:avLst/>
                  </a:prstGeom>
                  <a:noFill/>
                  <a:ln w="9525">
                    <a:noFill/>
                    <a:miter lim="800000"/>
                    <a:headEnd/>
                    <a:tailEnd/>
                  </a:ln>
                </pic:spPr>
              </pic:pic>
            </a:graphicData>
          </a:graphic>
        </wp:inline>
      </w:drawing>
    </w: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widowControl w:val="0"/>
        <w:suppressAutoHyphens/>
        <w:rPr>
          <w:rFonts w:eastAsia="Andale Sans UI" w:cs="Tahoma"/>
          <w:szCs w:val="24"/>
          <w:lang w:bidi="en-US"/>
        </w:rPr>
      </w:pPr>
      <w:r>
        <w:rPr>
          <w:rFonts w:eastAsia="Andale Sans UI" w:cs="Tahoma"/>
          <w:szCs w:val="24"/>
          <w:lang w:bidi="en-US"/>
        </w:rPr>
        <w:separator/>
      </w:r>
    </w:p>
  </w:footnote>
  <w:foot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footnote>
  <w:footnote w:id="1">
    <w:p>
      <w:pPr>
        <w:jc w:val="both"/>
        <w:rPr>
          <w:sz w:val="20"/>
          <w:lang w:val="en-GB"/>
        </w:rPr>
      </w:pPr>
      <w:r>
        <w:rPr>
          <w:sz w:val="20"/>
          <w:vertAlign w:val="superscript"/>
        </w:rPr>
        <w:footnoteRef/>
      </w:r>
      <w:r>
        <w:rPr>
          <w:sz w:val="20"/>
        </w:rPr>
        <w:t xml:space="preserve"> Patvirtintas Vyriausybės 2013-12-18 nutarimu Nr. 1265 „Dėl Pasiūlymų teikimo dėl teritorijų planavimo proceso inicijavimo tvarkos aprašo patvirtinimo“.</w:t>
      </w:r>
    </w:p>
  </w:footnote>
  <w:footnote w:id="2">
    <w:p>
      <w:pPr>
        <w:jc w:val="both"/>
        <w:rPr>
          <w:sz w:val="20"/>
        </w:rPr>
      </w:pPr>
      <w:r>
        <w:rPr>
          <w:sz w:val="20"/>
          <w:vertAlign w:val="superscript"/>
        </w:rPr>
        <w:footnoteRef/>
      </w:r>
      <w:r>
        <w:rPr>
          <w:sz w:val="20"/>
        </w:rPr>
        <w:t>Patvirtintos Vyriausybės 2003-02-26 nutarimu Nr. 276 „Dėl Numatomo teisinio reguliavimo poveikio vertinimo metodikos patvirtinimo“.</w:t>
      </w:r>
    </w:p>
  </w:footnote>
  <w:footnote w:id="3">
    <w:p>
      <w:pPr>
        <w:jc w:val="both"/>
        <w:rPr>
          <w:sz w:val="20"/>
        </w:rPr>
      </w:pPr>
      <w:r>
        <w:rPr>
          <w:sz w:val="20"/>
          <w:vertAlign w:val="superscript"/>
        </w:rPr>
        <w:footnoteRef/>
      </w:r>
      <w:r>
        <w:rPr>
          <w:sz w:val="20"/>
        </w:rPr>
        <w:t>Patvirtintas Vyriausybės 1999-05-20 nutarimu Nr. 617 „Dėl Informacijos apie techninius reglamentus ir atitikties įvertinimo procedūras teikimo taisyklių patvirtinimo“.</w:t>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separate"/>
    </w:r>
    <w:r>
      <w:rPr>
        <w:rFonts w:eastAsia="Andale Sans UI" w:cs="Tahoma"/>
        <w:szCs w:val="24"/>
        <w:lang w:bidi="en-US"/>
      </w:rPr>
      <w:t>5</w: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rPr>
        <w:rFonts w:eastAsia="Andale Sans UI"/>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114689"/>
  </w:hdrShapeDefaults>
  <w:footnotePr>
    <w:pos w:val="beneathText"/>
    <w:numRestart w:val="eachPage"/>
    <w:footnote w:id="-1"/>
    <w:footnote w:id="0"/>
  </w:footnotePr>
  <w:endnotePr>
    <w:numFmt w:val="decimal"/>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4C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4689"/>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480847882">
      <w:bodyDiv w:val="1"/>
      <w:marLeft w:val="0"/>
      <w:marRight w:val="0"/>
      <w:marTop w:val="0"/>
      <w:marBottom w:val="0"/>
      <w:divBdr>
        <w:top w:val="none" w:sz="0" w:space="0" w:color="auto"/>
        <w:left w:val="none" w:sz="0" w:space="0" w:color="auto"/>
        <w:bottom w:val="none" w:sz="0" w:space="0" w:color="auto"/>
        <w:right w:val="none" w:sz="0" w:space="0" w:color="auto"/>
      </w:divBdr>
    </w:div>
    <w:div w:id="719673367">
      <w:bodyDiv w:val="1"/>
      <w:marLeft w:val="0"/>
      <w:marRight w:val="0"/>
      <w:marTop w:val="0"/>
      <w:marBottom w:val="0"/>
      <w:divBdr>
        <w:top w:val="none" w:sz="0" w:space="0" w:color="auto"/>
        <w:left w:val="none" w:sz="0" w:space="0" w:color="auto"/>
        <w:bottom w:val="none" w:sz="0" w:space="0" w:color="auto"/>
        <w:right w:val="none" w:sz="0" w:space="0" w:color="auto"/>
      </w:divBdr>
    </w:div>
    <w:div w:id="798064510">
      <w:bodyDiv w:val="1"/>
      <w:marLeft w:val="0"/>
      <w:marRight w:val="0"/>
      <w:marTop w:val="0"/>
      <w:marBottom w:val="0"/>
      <w:divBdr>
        <w:top w:val="none" w:sz="0" w:space="0" w:color="auto"/>
        <w:left w:val="none" w:sz="0" w:space="0" w:color="auto"/>
        <w:bottom w:val="none" w:sz="0" w:space="0" w:color="auto"/>
        <w:right w:val="none" w:sz="0" w:space="0" w:color="auto"/>
      </w:divBdr>
      <w:divsChild>
        <w:div w:id="732775904">
          <w:marLeft w:val="0"/>
          <w:marRight w:val="0"/>
          <w:marTop w:val="0"/>
          <w:marBottom w:val="0"/>
          <w:divBdr>
            <w:top w:val="none" w:sz="0" w:space="0" w:color="auto"/>
            <w:left w:val="none" w:sz="0" w:space="0" w:color="auto"/>
            <w:bottom w:val="none" w:sz="0" w:space="0" w:color="auto"/>
            <w:right w:val="none" w:sz="0" w:space="0" w:color="auto"/>
          </w:divBdr>
        </w:div>
      </w:divsChild>
    </w:div>
    <w:div w:id="848908890">
      <w:bodyDiv w:val="1"/>
      <w:marLeft w:val="0"/>
      <w:marRight w:val="0"/>
      <w:marTop w:val="0"/>
      <w:marBottom w:val="0"/>
      <w:divBdr>
        <w:top w:val="none" w:sz="0" w:space="0" w:color="auto"/>
        <w:left w:val="none" w:sz="0" w:space="0" w:color="auto"/>
        <w:bottom w:val="none" w:sz="0" w:space="0" w:color="auto"/>
        <w:right w:val="none" w:sz="0" w:space="0" w:color="auto"/>
      </w:divBdr>
      <w:divsChild>
        <w:div w:id="1286307661">
          <w:marLeft w:val="0"/>
          <w:marRight w:val="0"/>
          <w:marTop w:val="0"/>
          <w:marBottom w:val="0"/>
          <w:divBdr>
            <w:top w:val="none" w:sz="0" w:space="0" w:color="auto"/>
            <w:left w:val="none" w:sz="0" w:space="0" w:color="auto"/>
            <w:bottom w:val="none" w:sz="0" w:space="0" w:color="auto"/>
            <w:right w:val="none" w:sz="0" w:space="0" w:color="auto"/>
          </w:divBdr>
        </w:div>
        <w:div w:id="1262957860">
          <w:marLeft w:val="0"/>
          <w:marRight w:val="0"/>
          <w:marTop w:val="0"/>
          <w:marBottom w:val="0"/>
          <w:divBdr>
            <w:top w:val="none" w:sz="0" w:space="0" w:color="auto"/>
            <w:left w:val="none" w:sz="0" w:space="0" w:color="auto"/>
            <w:bottom w:val="none" w:sz="0" w:space="0" w:color="auto"/>
            <w:right w:val="none" w:sz="0" w:space="0" w:color="auto"/>
          </w:divBdr>
        </w:div>
      </w:divsChild>
    </w:div>
    <w:div w:id="13615128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image" Target="media/image1.png"/>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_rels/footer3.xml.rels><?xml version="1.0" encoding="UTF-8"?>

<Relationships xmlns="http://schemas.openxmlformats.org/package/2006/relationships">
  <Relationship Id="rId1" Type="http://schemas.openxmlformats.org/officeDocument/2006/relationships/image" Target="media/image2.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Laima Skaisgirienė</DisplayName>
        <AccountId>160</AccountId>
        <AccountType/>
      </UserInfo>
    </SharedWithUser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AA351E0ECF89C14A900DE8C04996CFDF" ma:contentTypeVersion="16" ma:contentTypeDescription="Create a new document." ma:contentTypeScope="" ma:versionID="cbed51abb3ebb5562d1b12ae17bcdfec">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cb53de2b7ada3bdcc52ae469c3d73a7b"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Rating (0-5)" ma:decimals="2" ma:description="Average value of all the ratings that have been submitted" ma:internalName="AverageRating" ma:readOnly="true">
      <xsd:simpleType>
        <xsd:restriction base="dms:Number"/>
      </xsd:simpleType>
    </xsd:element>
    <xsd:element name="RatingCount" ma:index="17" nillable="true" ma:displayName="Number of Ratings" ma:decimals="0" ma:description="Number of ratings submitted" ma:internalName="RatingCount" ma:readOnly="true">
      <xsd:simpleType>
        <xsd:restriction base="dms:Number"/>
      </xsd:simpleType>
    </xsd:element>
    <xsd:element name="RatedBy" ma:index="18" nillable="true" ma:displayName="Rated By" ma:description="Users rated the item."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User ratings" ma:description="User ratings for the item" ma:hidden="true" ma:internalName="Ratings">
      <xsd:simpleType>
        <xsd:restriction base="dms:Note"/>
      </xsd:simpleType>
    </xsd:element>
    <xsd:element name="LikesCount" ma:index="20" nillable="true" ma:displayName="Number of Likes" ma:internalName="LikesCount">
      <xsd:simpleType>
        <xsd:restriction base="dms:Unknown"/>
      </xsd:simpleType>
    </xsd:element>
    <xsd:element name="LikedBy" ma:index="21" nillable="true" ma:displayName="Liked By"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lentele" DocPartId="78d1db93f33246dabab205b5c8c802ec" PartId="a1e77da038a642529a44c13a56d160af"/>
  <Part Type="pastraipa" DocPartId="4a28b0752add4d068f608d984c20d7d5" PartId="9c18bf0d92144ae1a1bc2486d6949987"/>
  <Part Type="pastraipa" DocPartId="ebc6805618d0410187a4bce01e51aaae" PartId="ae6e292fd6f14469a146464ccff71d1f"/>
  <Part Type="pastraipa" DocPartId="2dadba907dea46198bc064033f83a2fc" PartId="de5abe0895ee4b11809fa481c356d353"/>
  <Part Type="pastraipa" DocPartId="8c43443982ae4f1799c4735a9a2f033d" PartId="e854bf480c3a493588c01d729fb239b0"/>
  <Part Type="pastraipa" DocPartId="0e6250d0da6646a89c4942867f06465d" PartId="aec112ad9c524c38bccd3b6ce5a84dc4"/>
  <Part Type="pastraipa" DocPartId="facf8d0829e04d98ac74c2cafef3a7a2" PartId="c2815b27ab2041758e3e85f4da4267cd"/>
  <Part Type="pastraipa" DocPartId="f05f7c24518b4af289705ffaf743ed0b" PartId="8a8acbe493c341209cce0d0672d1f6a1"/>
  <Part Type="pastraipa" DocPartId="4314b1e5a6a448a593e5e7a21ade375f" PartId="083f672c8567470f933cad9adabfcf31"/>
  <Part Type="pastraipa" DocPartId="c784bcc94d8f4ef6aaee1fbf7fde7d07" PartId="314eda2b358340b4858ac2c9a71f42a8"/>
  <Part Type="pastraipa" DocPartId="d5cbaa9161a447d5a40661f28ef1e022" PartId="6b2ce9a158984927b1959e4201a9b0f0"/>
  <Part Type="pastraipa" DocPartId="af0f7f0ba26e4541b0c55e0a538f5681" PartId="56573f86365148a7b1d86c845e39c9a9"/>
  <Part Type="pastraipa" DocPartId="ff58376fd4984fd2af1eb1e6460292cc" PartId="d99a961f17934040a37660fab4a92490"/>
  <Part Type="pastraipa" DocPartId="30d7be1c40aa4e7dbb31369594e5ecd9" PartId="59a1a7f492d3456abefda32a22f0e040"/>
  <Part Type="pastraipa" DocPartId="47fc0a58ebdd46b5957a23e59830f6bd" PartId="1ef259fabf6e46b18f9cf1332c05f4ff"/>
  <Part Type="pastraipa" DocPartId="a676b033846f4c7c8ef8d0d50663768c" PartId="0c910198f54747c18d3964b63bdd8b3d"/>
  <Part Type="pastraipa" DocPartId="49043075b76340cebbfec811b6d4cbe3" PartId="0669bc9f190f4bf4bc82406a716e373c"/>
  <Part Type="pastraipa" DocPartId="6c435cc274d2456485643276d0ab4b39" PartId="4b74b0323631453f8396ce6815bed503"/>
  <Part Type="pastraipa" DocPartId="2c3a7ceed201401586bfee9770e8576c" PartId="f45daac75dce4a9d8ca26042596f647d"/>
  <Part Type="pastraipa" DocPartId="7e50e0606d254a839f2d28ca43b66743" PartId="fb4c802ed72f46e58ab86df6c5bc78ac"/>
  <Part Type="pastraipa" DocPartId="62915bbcf4d2467c98ee890c92c7109b" PartId="3bea93774bb1408088689f514e8ceecb"/>
  <Part Type="pastraipa" DocPartId="844dcfa5f53a45799bf47012e242e821" PartId="a9a94c2132ad47e996b68688019e07b6"/>
  <Part Type="pastraipa" DocPartId="09d9908aadc148b882130566b880bb40" PartId="78dda41aec0d4fb4a2dbf9dffa47a7b9"/>
  <Part Type="pastraipa" DocPartId="6c1ba5f2353349de8b00b4359d2dc3d1" PartId="c868b0adc18e4576a984096b4aa860e2"/>
  <Part Type="pastraipa" DocPartId="d2360b98066641b197cebdfd4ad6af99" PartId="9b53272f6b9b48ff91a3908849ffdcd3"/>
  <Part Type="pastraipa" DocPartId="1d320f381246463dbae5d454507f5673" PartId="8e1107e606d3475b8579170d2544a318"/>
  <Part Type="pastraipa" DocPartId="5aad18b4f6a94da3b1fd2a8b9c6e3837" PartId="ed37251db5ca49679d81b3e5a0c160db"/>
  <Part Type="pastraipa" DocPartId="c03fefd39a094f5ab5d12af235bd80c7" PartId="15905c2bd91e4350815f426665ead426"/>
  <Part Type="pastraipa" DocPartId="4bc420aa7d274c34bcb1e26e3d3979ad" PartId="202f188dc36644b7be73cdca731fa0f4"/>
  <Part Type="pastraipa" DocPartId="06cab9e40a634e17a3838c960c55a3bc" PartId="8cb5d92520b14e158095fcbc4c3d53b0"/>
  <Part Type="pastraipa" DocPartId="653457dcade84ac39a1c71b33773b0c1" PartId="8deb324357714cdc959a675bc5929da3"/>
  <Part Type="pastraipa" DocPartId="f30d4005a82f43db8895376a19d50d2e" PartId="14a1076ad9f7470f9d1f01a0966df1f6">
    <Part Type="punktas" Nr="1" Abbr="1 p." DocPartId="c4dfdbcaf30840c089af868d4ae308d1" PartId="4845c653f4384df28c8a86b57dbed7cc"/>
    <Part Type="punktas" Nr="2" Abbr="2 p." DocPartId="8405f83d43e34ce8963e1b5807a7e073" PartId="43be94976c2c4c679ad89656df264350"/>
    <Part Type="punktas" Nr="3" Abbr="3 p." DocPartId="41cb5c79844a4533a29653cd57e91c0e" PartId="93e87b7b96684944951081d701a94cc7">
      <Part Type="skirsnis" Title="INSTITUCIJŲ SĄRAŠAS" DocPartId="6da211b015174c638f20683dd3d606d9" PartId="4b9f15a1a8484677b6e9a9e576158c75"/>
    </Part>
    <Part Type="punktas" Nr="1" Abbr="1 p." Notes="Numeris ne iš eilės. Trūksta dalių? [DocDalys]" DocPartId="3eb9b3cd279c46eaac51911d254c73cb" PartId="31198b348ae1417c8d4dc5009dc9b2a3"/>
    <Part Type="punktas" Nr="2" Abbr="2 p." DocPartId="e6e0d579685c4dc2b875acf76bff6b8c" PartId="8f9438a2059447c5a8ed7d3e212f44dd"/>
    <Part Type="punktas" Nr="3" Abbr="3 p." DocPartId="8eacde4720714a969a4ddda7ec2a73d8" PartId="68c7fc57342c4cb49ed09ca121159930"/>
    <Part Type="punktas" Nr="4" Abbr="4 p." DocPartId="aa45313ab0ef49458782745de942a8a4" PartId="6268182c7e874ebb9906b2b56de3f3a4"/>
    <Part Type="punktas" Nr="5" Abbr="5 p." DocPartId="a31db8825d0949258a0c1039207ebbdb" PartId="bd6660daee7d465486b8f52fb9052d0f"/>
    <Part Type="punktas" Nr="6" Abbr="6 p." DocPartId="90fe5cdbecf94e17923f687d773dab37" PartId="ffda419d1420459396637ac29aa65fd0"/>
    <Part Type="punktas" Nr="7" Abbr="7 p." DocPartId="69cb17d6a52f4876927f5ac9cb59d005" PartId="960bd95b5bca4c30b22da09e47a511b5"/>
    <Part Type="punktas" Nr="8" Abbr="8 p." DocPartId="2ef8a937db68422a8daf3d9c55a4a19f" PartId="b7898b775c4f4c7ba79a0efa32800446"/>
    <Part Type="punktas" Nr="9" Abbr="9 p." DocPartId="206f6855837e424180095838606204fb" PartId="75ae4731f9ac4f34abf869889e168c7d"/>
    <Part Type="punktas" Nr="10" Abbr="10 p." DocPartId="c682a7c804b04344aec3ff31078ba4ce" PartId="5fbb034d31e54d2898e85e310aad1d21"/>
    <Part Type="punktas" Nr="11" Abbr="11 p." DocPartId="3141dcdb003742c59848579aa383ca4e" PartId="fce991ca66474d56b15cf7bf39dbb192"/>
    <Part Type="punktas" Nr="12" Abbr="12 p." DocPartId="0ba72e37ca6f49b596c55e41c0ad9863" PartId="1ad3cb18ca8b42caa4ca9f72387367a4"/>
    <Part Type="punktas" Nr="13" Abbr="13 p." DocPartId="f80ce21961b4436eb4243134176eb3d6" PartId="499ebffa6ebd43b6b9409a27e0e21349"/>
    <Part Type="punktas" Nr="14" Abbr="14 p." DocPartId="8006c116e75c43d9b7c4cf1fdd1e8155" PartId="e631db6698294a06bc046a3fd7bcc6e3"/>
    <Part Type="punktas" Nr="15" Abbr="15 p." DocPartId="7ab2564db89f4ae483409a416c317582" PartId="626089c24b6a4a948deed31976b92d42"/>
    <Part Type="punktas" Nr="16" Abbr="16 p." DocPartId="f5921929aefe4742b4a4ca7bbf4607c1" PartId="5cb984918832481abaf035a7d96f6d49"/>
    <Part Type="punktas" Nr="17" Abbr="17 p." DocPartId="56486a08bcfd4959861502cdaa27cb0d" PartId="a0705814e67e427d889c0795ad462f8e"/>
    <Part Type="punktas" Nr="18" Abbr="18 p." DocPartId="d831980ff9c442649688133aa5a46768" PartId="c3950f6e8da246ffb1a9df2cfe59113b"/>
    <Part Type="punktas" Nr="19" Abbr="19 p." DocPartId="b2ea530533e640349f25f21b94f050ad" PartId="9215fba38de24625885fd960e5a4d7b8"/>
    <Part Type="punktas" Nr="20" Abbr="20 p." DocPartId="7c24193281f3462596bc14ca05579cab" PartId="568e4cfe2f8b4eacbea4165db5ebe8e0"/>
    <Part Type="punktas" Nr="21" Abbr="21 p." DocPartId="c0f083d5f22746c89acf8be6392e7430" PartId="b4d61e924ffe41e7a5808e1a06eddf33"/>
  </Part>
</Parts>
</file>

<file path=customXml/itemProps1.xml><?xml version="1.0" encoding="utf-8"?>
<ds:datastoreItem xmlns:ds="http://schemas.openxmlformats.org/officeDocument/2006/customXml" ds:itemID="{0A9E71EE-9EEA-468A-AB5F-E36BCA91EAA5}">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purl.org/dc/term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57957D40-DF47-4140-B5E5-AA7CE0B665C5}">
  <ds:schemaRefs>
    <ds:schemaRef ds:uri="http://schemas.microsoft.com/sharepoint/v3/contenttype/forms"/>
  </ds:schemaRefs>
</ds:datastoreItem>
</file>

<file path=customXml/itemProps3.xml><?xml version="1.0" encoding="utf-8"?>
<ds:datastoreItem xmlns:ds="http://schemas.openxmlformats.org/officeDocument/2006/customXml" ds:itemID="{3DE8DC0E-66B3-4EDE-A712-8781F138953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30CBB6C-D633-4E46-8218-1EA2F3027129}">
  <ds:schemaRefs>
    <ds:schemaRef ds:uri="http://schemas.openxmlformats.org/officeDocument/2006/bibliography"/>
  </ds:schemaRefs>
</ds:datastoreItem>
</file>

<file path=customXml/itemProps5.xml><?xml version="1.0" encoding="utf-8"?>
<ds:datastoreItem xmlns:ds="http://schemas.openxmlformats.org/officeDocument/2006/customXml" ds:itemID="{D14701E5-99F7-464D-8641-C72979000E6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2031</Words>
  <Characters>14401</Characters>
  <Application>Microsoft Office Word</Application>
  <DocSecurity>4</DocSecurity>
  <Lines>240</Lines>
  <Paragraphs>76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LinksUpToDate>false</LinksUpToDate>
  <CharactersWithSpaces>16356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2021-05-05T12:15:00Z</dcterms:created>
  <dcterms:modified xsi:type="dcterms:W3CDTF">2021-05-05T12:15:00Z</dcterms:modified>
  <revision>1</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