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bcf946464548889dc9928045500285"/>
        <w:lock w:val="sdtLocked"/>
        <w:richText/>
      </w:sdtPr>
      <w:sdtContent>
        <w:p w14:paraId="7E889896"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d94d6093485e4a62bbb6b528d8b58329"/>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28692D27">
              <w:pPr>
                <w:suppressAutoHyphens/>
                <w:ind w:right="-87"/>
                <w:jc w:val="center"/>
                <w:rPr>
                  <w:b/>
                  <w:bCs/>
                  <w:sz w:val="22"/>
                  <w:szCs w:val="22"/>
                  <w:shd w:val="clear" w:color="auto" w:fill="FFFFFF"/>
                </w:rPr>
              </w:pPr>
              <w:sdt>
                <w:sdtPr>
                  <w:alias w:val="Pavadinimas"/>
                  <w:tag w:val="title_d94d6093485e4a62bbb6b528d8b58329"/>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BALTUPĖNŲ G. 1, ŠIAULIŲ MIESTE“ </w:t>
                  </w:r>
                </w:sdtContent>
              </w:sdt>
            </w:p>
            <w:p w14:paraId="7D0F4C89" w14:textId="77777777">
              <w:pPr>
                <w:suppressAutoHyphens/>
                <w:ind w:right="-87"/>
                <w:jc w:val="center"/>
                <w:rPr>
                  <w:b/>
                  <w:sz w:val="22"/>
                  <w:szCs w:val="22"/>
                  <w:lang w:eastAsia="lt-LT"/>
                </w:rPr>
              </w:pPr>
            </w:p>
            <w:sdt>
              <w:sdtPr>
                <w:alias w:val="poskyris"/>
                <w:tag w:val="part_c012c93ae76540a99faa538d898ccf99"/>
                <w:lock w:val="sdtLocked"/>
                <w:richText/>
              </w:sdtPr>
              <w:sdtContent>
                <w:p w14:paraId="17BCAA1F" w14:textId="77777777">
                  <w:pPr>
                    <w:tabs>
                      <w:tab w:val="left" w:pos="851"/>
                    </w:tabs>
                    <w:suppressAutoHyphens/>
                    <w:jc w:val="center"/>
                    <w:rPr>
                      <w:b/>
                      <w:sz w:val="22"/>
                      <w:szCs w:val="22"/>
                      <w:lang w:eastAsia="lt-LT"/>
                    </w:rPr>
                  </w:pPr>
                  <w:sdt>
                    <w:sdtPr>
                      <w:alias w:val="Pavadinimas"/>
                      <w:tag w:val="title_c012c93ae76540a99faa538d898ccf9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f042a279a2440dd8ec324298329aba9"/>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3f042a279a2440dd8ec324298329aba9"/>
                      <w:lock w:val="sdtLocked"/>
                      <w:richText/>
                    </w:sdtPr>
                    <w:sdtContent>
                      <w:r>
                        <w:rPr>
                          <w:b/>
                          <w:bCs/>
                          <w:sz w:val="22"/>
                          <w:szCs w:val="22"/>
                          <w:lang w:eastAsia="lt-LT"/>
                        </w:rPr>
                        <w:t>Parengto sprendimo projekto tikslai ir uždaviniai:</w:t>
                      </w:r>
                    </w:sdtContent>
                  </w:sdt>
                </w:p>
                <w:p w14:paraId="182EBC96" w14:textId="0218404F">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Baltupėnų g. 1, Šiaulių mieste.</w:t>
                  </w:r>
                </w:p>
              </w:sdtContent>
            </w:sdt>
            <w:sdt>
              <w:sdtPr>
                <w:alias w:val="poskyris"/>
                <w:tag w:val="part_ecd9ebca046f4d5bbd036c208f7552e1"/>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ecd9ebca046f4d5bbd036c208f7552e1"/>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2C7314FC" w14:textId="77777777">
                  <w:pPr>
                    <w:suppressAutoHyphens/>
                    <w:ind w:firstLine="851"/>
                    <w:jc w:val="both"/>
                    <w:rPr>
                      <w:bCs/>
                      <w:sz w:val="22"/>
                      <w:szCs w:val="22"/>
                      <w:lang w:eastAsia="lt-LT"/>
                    </w:rPr>
                  </w:pPr>
                  <w:r>
                    <w:rPr>
                      <w:bCs/>
                      <w:sz w:val="22"/>
                      <w:szCs w:val="22"/>
                      <w:lang w:eastAsia="lt-LT"/>
                    </w:rPr>
                    <w:t xml:space="preserve">Taisyklių 39.7 papunktyje nurodyta, kad </w:t>
                  </w:r>
                  <w:r>
                    <w:rPr>
                      <w:bCs/>
                      <w:i/>
                      <w:iCs/>
                      <w:sz w:val="22"/>
                      <w:szCs w:val="22"/>
                      <w:lang w:eastAsia="lt-LT"/>
                    </w:rPr>
                    <w:t>valstybinės žemės nuomotojui nustačius, kad galima sudaryti valstybinės žemės nuomos sutartį Žemės įstatymuose 9 straipsnio 23 ir 26 (</w:t>
                  </w:r>
                  <w:r>
                    <w:rPr>
                      <w:bCs/>
                      <w:sz w:val="22"/>
                      <w:szCs w:val="22"/>
                      <w:lang w:eastAsia="lt-LT"/>
                    </w:rPr>
                    <w:t xml:space="preserve">išnuomojamas valstybinės žemės sklypas statiniams ir (ar) įrenginiams eksploatuoti, kurių paskirtis neatitinka valstybinės žemės sklypo pagrindinės žemės naudojimo paskirties ir (ar) naudojimo būdo) </w:t>
                  </w:r>
                  <w:r>
                    <w:rPr>
                      <w:bCs/>
                      <w:i/>
                      <w:iCs/>
                      <w:sz w:val="22"/>
                      <w:szCs w:val="22"/>
                      <w:lang w:eastAsia="lt-LT"/>
                    </w:rPr>
                    <w:t>dalyse nurodytais atvejais arba pašalinus neatitikimus, – valstybinės žemės nuomotojas užsako pagal šiuos papunkčius pageidaujamo išsinuomoti žemės sklypo individualųjį vertinimą;</w:t>
                  </w:r>
                </w:p>
                <w:p w14:paraId="622B1905" w14:textId="674FCD7E">
                  <w:pPr>
                    <w:suppressAutoHyphens/>
                    <w:ind w:firstLine="851"/>
                    <w:jc w:val="both"/>
                    <w:rPr>
                      <w:bCs/>
                      <w:sz w:val="22"/>
                      <w:szCs w:val="22"/>
                      <w:lang w:eastAsia="lt-LT"/>
                    </w:rPr>
                  </w:pPr>
                  <w:r>
                    <w:rPr>
                      <w:bCs/>
                      <w:sz w:val="22"/>
                      <w:szCs w:val="22"/>
                      <w:lang w:eastAsia="lt-LT"/>
                    </w:rPr>
                    <w:t xml:space="preserve">Žemės sklype yra pastatai, kurių paskirtis – gamybos, pramonės ir garažų, o žemės sklypo naudojimo būdas – komercinės paskirties objektų teritorijos, todėl vertė, nuo kurios skaičiuojamas žemės nuomos mokestis, nustatyta atlikus individualų turto vertinimą. </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5D214494" w14:textId="77777777">
                  <w:pPr>
                    <w:widowControl w:val="0"/>
                    <w:suppressAutoHyphens/>
                    <w:ind w:firstLine="851"/>
                    <w:jc w:val="both"/>
                    <w:rPr>
                      <w:sz w:val="22"/>
                      <w:szCs w:val="22"/>
                      <w:lang w:eastAsia="lt-LT"/>
                    </w:rPr>
                  </w:pPr>
                  <w:r>
                    <w:rPr>
                      <w:sz w:val="22"/>
                      <w:szCs w:val="22"/>
                      <w:lang w:eastAsia="lt-LT"/>
                    </w:rPr>
                    <w:t xml:space="preserve">Nuomos terminas paskaičiuotas atsižvelgiant į trumpiausią nuomojame žemės sklype esančių statinių eksploatavimui apskaičiuotą terminą. </w:t>
                  </w:r>
                </w:p>
                <w:p w14:paraId="0A912757" w14:textId="731A5A80">
                  <w:pPr>
                    <w:widowControl w:val="0"/>
                    <w:suppressAutoHyphens/>
                    <w:ind w:firstLine="851"/>
                    <w:jc w:val="both"/>
                    <w:rPr>
                      <w:sz w:val="22"/>
                      <w:szCs w:val="22"/>
                      <w:lang w:eastAsia="lt-LT"/>
                    </w:rPr>
                  </w:pPr>
                  <w:r>
                    <w:rPr>
                      <w:sz w:val="22"/>
                      <w:szCs w:val="22"/>
                      <w:lang w:eastAsia="lt-LT"/>
                    </w:rPr>
                    <w:t>Pastato 2G1p</w:t>
                  </w:r>
                  <w:r>
                    <w:rPr>
                      <w:bCs/>
                      <w:sz w:val="22"/>
                      <w:szCs w:val="22"/>
                    </w:rPr>
                    <w:t xml:space="preserve"> (unikalus Nr. 2990-0000-3024) </w:t>
                  </w:r>
                  <w:r>
                    <w:rPr>
                      <w:sz w:val="22"/>
                      <w:szCs w:val="22"/>
                      <w:lang w:eastAsia="lt-LT"/>
                    </w:rPr>
                    <w:t>statybos pabaigos metai yra 1965 m. Vadovaujantis STR 1.12.06:2002 9.1 papunkčiu, plytų mūro statinių, kurių paskirtis – garažų, ekonomiškai pagrįstas naudojimo terminas yra 60 metų.</w:t>
                  </w:r>
                </w:p>
                <w:p w14:paraId="7D9EF1E5" w14:textId="77777777">
                  <w:pPr>
                    <w:suppressAutoHyphens/>
                    <w:ind w:firstLine="851"/>
                    <w:jc w:val="both"/>
                    <w:rPr>
                      <w:sz w:val="22"/>
                      <w:szCs w:val="22"/>
                      <w:lang w:eastAsia="lt-LT"/>
                    </w:rPr>
                  </w:pPr>
                  <w:r>
                    <w:rPr>
                      <w:sz w:val="22"/>
                      <w:szCs w:val="22"/>
                      <w:lang w:eastAsia="lt-LT"/>
                    </w:rPr>
                    <w:t>T = S – (S x (N / 100)) + M</w:t>
                  </w:r>
                </w:p>
                <w:p w14:paraId="55B2CE5C"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7A3761D" w14:textId="317AC97E">
                  <w:pPr>
                    <w:suppressAutoHyphens/>
                    <w:ind w:firstLine="851"/>
                    <w:jc w:val="both"/>
                    <w:rPr>
                      <w:sz w:val="22"/>
                      <w:szCs w:val="22"/>
                      <w:lang w:eastAsia="lt-LT"/>
                    </w:rPr>
                  </w:pPr>
                  <w:r>
                    <w:rPr>
                      <w:sz w:val="22"/>
                      <w:szCs w:val="22"/>
                      <w:lang w:eastAsia="lt-LT"/>
                    </w:rPr>
                    <w:t>T = 60 – (60 x (36/100)) +1995 = 2033-2025= 8 metai.</w:t>
                  </w:r>
                </w:p>
                <w:p w14:paraId="4D02A75F" w14:textId="77777777">
                  <w:pPr>
                    <w:tabs>
                      <w:tab w:val="left" w:pos="570"/>
                    </w:tabs>
                    <w:suppressAutoHyphens/>
                    <w:ind w:firstLine="851"/>
                    <w:jc w:val="both"/>
                    <w:rPr>
                      <w:bCs/>
                      <w:i/>
                      <w:iCs/>
                      <w:sz w:val="22"/>
                      <w:szCs w:val="22"/>
                      <w:lang w:eastAsia="lt-LT"/>
                    </w:rPr>
                  </w:pPr>
                  <w:r>
                    <w:rPr>
                      <w:bCs/>
                      <w:sz w:val="22"/>
                      <w:szCs w:val="22"/>
                      <w:lang w:eastAsia="lt-LT"/>
                    </w:rPr>
                    <w:t xml:space="preserve">Taisyklių 44 punkte nurodyta, </w:t>
                  </w:r>
                  <w:r>
                    <w:rPr>
                      <w:bCs/>
                      <w:i/>
                      <w:iCs/>
                      <w:sz w:val="22"/>
                      <w:szCs w:val="22"/>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79DBC89E" w14:textId="77777777">
                  <w:pPr>
                    <w:tabs>
                      <w:tab w:val="left" w:pos="570"/>
                    </w:tabs>
                    <w:suppressAutoHyphens/>
                    <w:ind w:firstLine="851"/>
                    <w:jc w:val="both"/>
                    <w:rPr>
                      <w:bCs/>
                      <w:i/>
                      <w:iCs/>
                      <w:sz w:val="22"/>
                      <w:szCs w:val="22"/>
                      <w:lang w:eastAsia="lt-LT"/>
                    </w:rPr>
                  </w:pPr>
                  <w:r>
                    <w:rPr>
                      <w:bCs/>
                      <w:i/>
                      <w:iCs/>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64EB9A2D" w14:textId="77777777">
                  <w:pPr>
                    <w:tabs>
                      <w:tab w:val="left" w:pos="570"/>
                    </w:tabs>
                    <w:suppressAutoHyphens/>
                    <w:ind w:firstLine="851"/>
                    <w:jc w:val="both"/>
                    <w:rPr>
                      <w:bCs/>
                      <w:sz w:val="22"/>
                      <w:szCs w:val="22"/>
                      <w:lang w:eastAsia="lt-LT"/>
                    </w:rPr>
                  </w:pPr>
                  <w:r>
                    <w:rPr>
                      <w:bCs/>
                      <w:sz w:val="22"/>
                      <w:szCs w:val="22"/>
                      <w:lang w:eastAsia="lt-LT"/>
                    </w:rPr>
                    <w:t xml:space="preserve">Pasirašydamas sutarties projekte nuomininkas patvirtino, kad sutinka su sutarties projekte išdėstytomis žemės sklypo nuomos sąlygomis. </w:t>
                  </w:r>
                </w:p>
                <w:p w14:paraId="3D868C49" w14:textId="77777777">
                  <w:pPr>
                    <w:tabs>
                      <w:tab w:val="left" w:pos="570"/>
                    </w:tabs>
                    <w:suppressAutoHyphens/>
                    <w:ind w:firstLine="851"/>
                    <w:jc w:val="both"/>
                    <w:rPr>
                      <w:bCs/>
                      <w:sz w:val="22"/>
                      <w:szCs w:val="22"/>
                      <w:lang w:eastAsia="lt-LT"/>
                    </w:rPr>
                  </w:pPr>
                  <w:r>
                    <w:rPr>
                      <w:bCs/>
                      <w:sz w:val="22"/>
                      <w:szCs w:val="22"/>
                      <w:lang w:eastAsia="lt-LT"/>
                    </w:rPr>
                    <w:t>Nuomos sutarties projektas saugomas Žemės valdymo skyriuje.</w:t>
                  </w:r>
                </w:p>
                <w:p w14:paraId="6871C4F8" w14:textId="19A2943C">
                  <w:pPr>
                    <w:tabs>
                      <w:tab w:val="left" w:pos="570"/>
                    </w:tabs>
                    <w:suppressAutoHyphens/>
                    <w:ind w:firstLine="851"/>
                    <w:jc w:val="both"/>
                    <w:rPr>
                      <w:bCs/>
                      <w:sz w:val="22"/>
                      <w:szCs w:val="22"/>
                      <w:lang w:eastAsia="lt-LT"/>
                    </w:rPr>
                  </w:pPr>
                  <w:r>
                    <w:rPr>
                      <w:bCs/>
                      <w:sz w:val="22"/>
                      <w:szCs w:val="22"/>
                      <w:lang w:eastAsia="lt-LT"/>
                    </w:rPr>
                    <w:t xml:space="preserve">2025-11-26 atlikus faktinių duomenų patikrinimą vietoje (akto Nr. ŽV-381) nustatyta, kad statiniai naudojami pagal Nekilnojamojo turto registre įregistruotą jų tiesioginę paskirtį. </w:t>
                  </w:r>
                </w:p>
                <w:p w14:paraId="74D0488E" w14:textId="77777777">
                  <w:pPr>
                    <w:suppressAutoHyphens/>
                    <w:ind w:firstLine="851"/>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 punktu, mažiausias valstybinės žemės sklypo dydis gali būti padidinamas realiu valstybinės žemės ploto naudojimu. Atlikus faktinių duomenų patikrinimą nustatyta, kad žemės sklypas naudojamas visa apimtimi.</w:t>
                  </w:r>
                </w:p>
              </w:sdtContent>
            </w:sdt>
            <w:sdt>
              <w:sdtPr>
                <w:alias w:val="poskyris"/>
                <w:tag w:val="part_07ca72c041424b6e91feb82dbc476187"/>
                <w:lock w:val="sdtLocked"/>
                <w:richText/>
              </w:sdtPr>
              <w:sdtContent>
                <w:p w14:paraId="47BC02CD" w14:textId="77777777">
                  <w:pPr>
                    <w:tabs>
                      <w:tab w:val="left" w:pos="570"/>
                    </w:tabs>
                    <w:suppressAutoHyphens/>
                    <w:ind w:firstLine="851"/>
                    <w:jc w:val="both"/>
                    <w:rPr>
                      <w:b/>
                      <w:bCs/>
                      <w:sz w:val="22"/>
                      <w:szCs w:val="22"/>
                      <w:lang w:eastAsia="lt-LT"/>
                    </w:rPr>
                  </w:pPr>
                  <w:sdt>
                    <w:sdtPr>
                      <w:alias w:val="Pavadinimas"/>
                      <w:tag w:val="title_07ca72c041424b6e91feb82dbc476187"/>
                      <w:lock w:val="sdtLocked"/>
                      <w:richText/>
                    </w:sdtPr>
                    <w:sdtContent>
                      <w:r>
                        <w:rPr>
                          <w:b/>
                          <w:bCs/>
                          <w:sz w:val="22"/>
                          <w:szCs w:val="22"/>
                          <w:lang w:eastAsia="lt-LT"/>
                        </w:rPr>
                        <w:t>Sprendimo projekte numatytos naujos teisinio reglamentavimo nuostatos:</w:t>
                      </w:r>
                    </w:sdtContent>
                  </w:sdt>
                </w:p>
                <w:p w14:paraId="12C44A71" w14:textId="77777777">
                  <w:pPr>
                    <w:tabs>
                      <w:tab w:val="left" w:pos="570"/>
                    </w:tabs>
                    <w:suppressAutoHyphens/>
                    <w:ind w:firstLine="851"/>
                    <w:jc w:val="both"/>
                    <w:rPr>
                      <w:bCs/>
                      <w:sz w:val="22"/>
                      <w:szCs w:val="22"/>
                      <w:lang w:eastAsia="lt-LT"/>
                    </w:rPr>
                  </w:pPr>
                  <w:r>
                    <w:rPr>
                      <w:bCs/>
                      <w:sz w:val="22"/>
                      <w:szCs w:val="22"/>
                      <w:lang w:eastAsia="lt-LT"/>
                    </w:rPr>
                    <w:t>Nenumatoma</w:t>
                  </w:r>
                </w:p>
              </w:sdtContent>
            </w:sdt>
            <w:sdt>
              <w:sdtPr>
                <w:alias w:val="poskyris"/>
                <w:tag w:val="part_c4305e9666844568bfbb5c4e2c01d851"/>
                <w:lock w:val="sdtLocked"/>
                <w:richText/>
              </w:sdtPr>
              <w:sdtContent>
                <w:p w14:paraId="0F688DF9" w14:textId="77777777">
                  <w:pPr>
                    <w:tabs>
                      <w:tab w:val="left" w:pos="570"/>
                    </w:tabs>
                    <w:suppressAutoHyphens/>
                    <w:ind w:firstLine="851"/>
                    <w:jc w:val="both"/>
                    <w:rPr>
                      <w:bCs/>
                      <w:sz w:val="22"/>
                      <w:szCs w:val="22"/>
                      <w:lang w:eastAsia="lt-LT"/>
                    </w:rPr>
                  </w:pPr>
                  <w:sdt>
                    <w:sdtPr>
                      <w:alias w:val="Pavadinimas"/>
                      <w:tag w:val="title_c4305e9666844568bfbb5c4e2c01d851"/>
                      <w:lock w:val="sdtLocked"/>
                      <w:richText/>
                    </w:sdtPr>
                    <w:sdtContent>
                      <w:r>
                        <w:rPr>
                          <w:b/>
                          <w:bCs/>
                          <w:sz w:val="22"/>
                          <w:szCs w:val="22"/>
                          <w:lang w:eastAsia="lt-LT"/>
                        </w:rPr>
                        <w:t>Priėmus sprendimą, galimos pasekmės (tiek teigiamos, tiek neigiamos).</w:t>
                      </w:r>
                    </w:sdtContent>
                  </w:sdt>
                </w:p>
                <w:p w14:paraId="391B306C" w14:textId="77777777">
                  <w:pPr>
                    <w:tabs>
                      <w:tab w:val="left" w:pos="570"/>
                    </w:tabs>
                    <w:suppressAutoHyphens/>
                    <w:ind w:firstLine="851"/>
                    <w:jc w:val="both"/>
                    <w:rPr>
                      <w:bCs/>
                      <w:sz w:val="22"/>
                      <w:szCs w:val="22"/>
                      <w:lang w:eastAsia="lt-LT"/>
                    </w:rPr>
                  </w:pPr>
                  <w:r>
                    <w:rPr>
                      <w:bCs/>
                      <w:sz w:val="22"/>
                      <w:szCs w:val="22"/>
                      <w:lang w:eastAsia="lt-LT"/>
                    </w:rPr>
                    <w:t>Teigiamos pasekmės – priėmus sprendimą teigiamų pasekmių nenumatoma.</w:t>
                  </w:r>
                </w:p>
                <w:p w14:paraId="631D6417" w14:textId="77777777">
                  <w:pPr>
                    <w:tabs>
                      <w:tab w:val="left" w:pos="570"/>
                    </w:tabs>
                    <w:suppressAutoHyphens/>
                    <w:ind w:firstLine="851"/>
                    <w:jc w:val="both"/>
                    <w:rPr>
                      <w:bCs/>
                      <w:sz w:val="22"/>
                      <w:szCs w:val="22"/>
                      <w:lang w:eastAsia="lt-LT"/>
                    </w:rPr>
                  </w:pPr>
                  <w:r>
                    <w:rPr>
                      <w:bCs/>
                      <w:sz w:val="22"/>
                      <w:szCs w:val="22"/>
                      <w:lang w:eastAsia="lt-LT"/>
                    </w:rPr>
                    <w:t xml:space="preserve">Neigiamos pasekmės – priėmus sprendimą neigiamų pasekmių nenumatoma. </w:t>
                  </w:r>
                </w:p>
              </w:sdtContent>
            </w:sdt>
            <w:sdt>
              <w:sdtPr>
                <w:alias w:val="poskyris"/>
                <w:tag w:val="part_ded5f3940c424235b89da585e3e541d9"/>
                <w:lock w:val="sdtLocked"/>
                <w:richText/>
              </w:sdtPr>
              <w:sdtContent>
                <w:p w14:paraId="7995C3C8" w14:textId="77777777">
                  <w:pPr>
                    <w:tabs>
                      <w:tab w:val="left" w:pos="570"/>
                    </w:tabs>
                    <w:suppressAutoHyphens/>
                    <w:ind w:firstLine="851"/>
                    <w:jc w:val="both"/>
                    <w:rPr>
                      <w:b/>
                      <w:bCs/>
                      <w:sz w:val="22"/>
                      <w:szCs w:val="22"/>
                      <w:lang w:eastAsia="lt-LT"/>
                    </w:rPr>
                  </w:pPr>
                  <w:sdt>
                    <w:sdtPr>
                      <w:alias w:val="Pavadinimas"/>
                      <w:tag w:val="title_ded5f3940c424235b89da585e3e541d9"/>
                      <w:lock w:val="sdtLocked"/>
                      <w:richText/>
                    </w:sdtPr>
                    <w:sdtContent>
                      <w:r>
                        <w:rPr>
                          <w:b/>
                          <w:bCs/>
                          <w:sz w:val="22"/>
                          <w:szCs w:val="22"/>
                          <w:lang w:eastAsia="lt-LT"/>
                        </w:rPr>
                        <w:t>Priėmus sprendimą, keičiami ar pripažįstami negaliojančiais teisės aktai.</w:t>
                      </w:r>
                    </w:sdtContent>
                  </w:sdt>
                </w:p>
                <w:p w14:paraId="0184D269" w14:textId="77777777">
                  <w:pPr>
                    <w:tabs>
                      <w:tab w:val="left" w:pos="570"/>
                    </w:tabs>
                    <w:suppressAutoHyphens/>
                    <w:ind w:firstLine="851"/>
                    <w:jc w:val="both"/>
                    <w:rPr>
                      <w:bCs/>
                      <w:sz w:val="22"/>
                      <w:szCs w:val="22"/>
                      <w:lang w:eastAsia="lt-LT"/>
                    </w:rPr>
                  </w:pPr>
                  <w:r>
                    <w:rPr>
                      <w:bCs/>
                      <w:sz w:val="22"/>
                      <w:szCs w:val="22"/>
                      <w:lang w:eastAsia="lt-LT"/>
                    </w:rPr>
                    <w:t>Priėmus sprendimą, teisės aktai nekeičiami ir nepripažįstami negaliojančiais.</w:t>
                  </w:r>
                </w:p>
              </w:sdtContent>
            </w:sdt>
            <w:sdt>
              <w:sdtPr>
                <w:alias w:val="poskyris"/>
                <w:tag w:val="part_b6d8ba795b0b473c8985d5e6194ae800"/>
                <w:lock w:val="sdtLocked"/>
                <w:richText/>
              </w:sdtPr>
              <w:sdtContent>
                <w:p w14:paraId="5F88B845" w14:textId="77777777">
                  <w:pPr>
                    <w:tabs>
                      <w:tab w:val="left" w:pos="570"/>
                    </w:tabs>
                    <w:suppressAutoHyphens/>
                    <w:ind w:firstLine="851"/>
                    <w:jc w:val="both"/>
                    <w:rPr>
                      <w:b/>
                      <w:bCs/>
                      <w:sz w:val="22"/>
                      <w:szCs w:val="22"/>
                      <w:lang w:eastAsia="lt-LT"/>
                    </w:rPr>
                  </w:pPr>
                  <w:sdt>
                    <w:sdtPr>
                      <w:alias w:val="Pavadinimas"/>
                      <w:tag w:val="title_b6d8ba795b0b473c8985d5e6194ae800"/>
                      <w:lock w:val="sdtLocked"/>
                      <w:richText/>
                    </w:sdtPr>
                    <w:sdtContent>
                      <w:r>
                        <w:rPr>
                          <w:b/>
                          <w:bCs/>
                          <w:sz w:val="22"/>
                          <w:szCs w:val="22"/>
                          <w:lang w:eastAsia="lt-LT"/>
                        </w:rPr>
                        <w:t>Sprendimui įgyvendinti reikalingi priimti papildomi teisės aktai.</w:t>
                      </w:r>
                    </w:sdtContent>
                  </w:sdt>
                </w:p>
                <w:p w14:paraId="1B121CC4" w14:textId="77777777">
                  <w:pPr>
                    <w:tabs>
                      <w:tab w:val="left" w:pos="570"/>
                    </w:tabs>
                    <w:suppressAutoHyphens/>
                    <w:ind w:firstLine="851"/>
                    <w:jc w:val="both"/>
                    <w:rPr>
                      <w:bCs/>
                      <w:sz w:val="22"/>
                      <w:szCs w:val="22"/>
                      <w:lang w:eastAsia="lt-LT"/>
                    </w:rPr>
                  </w:pPr>
                  <w:r>
                    <w:rPr>
                      <w:bCs/>
                      <w:sz w:val="22"/>
                      <w:szCs w:val="22"/>
                      <w:lang w:eastAsia="lt-LT"/>
                    </w:rPr>
                    <w:t>Sprendimui įgyvendinti priimti papildomų teisės aktų nereikia.</w:t>
                  </w:r>
                </w:p>
              </w:sdtContent>
            </w:sdt>
            <w:sdt>
              <w:sdtPr>
                <w:alias w:val="poskyris"/>
                <w:tag w:val="part_af7fea33a17b49d48acdc7a0f7a6f904"/>
                <w:lock w:val="sdtLocked"/>
                <w:richText/>
              </w:sdtPr>
              <w:sdtContent>
                <w:p w14:paraId="20E64726" w14:textId="77777777">
                  <w:pPr>
                    <w:tabs>
                      <w:tab w:val="left" w:pos="570"/>
                    </w:tabs>
                    <w:suppressAutoHyphens/>
                    <w:ind w:firstLine="851"/>
                    <w:jc w:val="both"/>
                    <w:rPr>
                      <w:b/>
                      <w:bCs/>
                      <w:sz w:val="22"/>
                      <w:szCs w:val="22"/>
                      <w:lang w:eastAsia="lt-LT"/>
                    </w:rPr>
                  </w:pPr>
                  <w:sdt>
                    <w:sdtPr>
                      <w:alias w:val="Pavadinimas"/>
                      <w:tag w:val="title_af7fea33a17b49d48acdc7a0f7a6f904"/>
                      <w:lock w:val="sdtLocked"/>
                      <w:richText/>
                    </w:sdtPr>
                    <w:sdtContent>
                      <w:r>
                        <w:rPr>
                          <w:b/>
                          <w:bCs/>
                          <w:sz w:val="22"/>
                          <w:szCs w:val="22"/>
                          <w:lang w:eastAsia="lt-LT"/>
                        </w:rPr>
                        <w:t>Sprendimui įgyvendinti reikalingos lėšos.</w:t>
                      </w:r>
                    </w:sdtContent>
                  </w:sdt>
                </w:p>
                <w:p w14:paraId="3D443C45" w14:textId="77777777">
                  <w:pPr>
                    <w:tabs>
                      <w:tab w:val="left" w:pos="570"/>
                    </w:tabs>
                    <w:suppressAutoHyphens/>
                    <w:ind w:firstLine="851"/>
                    <w:jc w:val="both"/>
                    <w:rPr>
                      <w:bCs/>
                      <w:sz w:val="22"/>
                      <w:szCs w:val="22"/>
                      <w:lang w:eastAsia="lt-LT"/>
                    </w:rPr>
                  </w:pPr>
                  <w:r>
                    <w:rPr>
                      <w:bCs/>
                      <w:sz w:val="22"/>
                      <w:szCs w:val="22"/>
                      <w:lang w:eastAsia="lt-LT"/>
                    </w:rPr>
                    <w:t xml:space="preserve">Sprendimo projekto įgyvendinimui papildomos lėšos nebus reikalingos. </w:t>
                  </w:r>
                </w:p>
              </w:sdtContent>
            </w:sdt>
            <w:sdt>
              <w:sdtPr>
                <w:alias w:val="poskyris"/>
                <w:tag w:val="part_63671c48d5ca448b9e81fdb2bb2b45de"/>
                <w:lock w:val="sdtLocked"/>
                <w:richText/>
              </w:sdtPr>
              <w:sdtContent>
                <w:p w14:paraId="7DC8F722" w14:textId="77777777">
                  <w:pPr>
                    <w:tabs>
                      <w:tab w:val="left" w:pos="570"/>
                    </w:tabs>
                    <w:suppressAutoHyphens/>
                    <w:ind w:firstLine="851"/>
                    <w:jc w:val="both"/>
                    <w:rPr>
                      <w:b/>
                      <w:bCs/>
                      <w:sz w:val="22"/>
                      <w:szCs w:val="22"/>
                      <w:lang w:eastAsia="lt-LT"/>
                    </w:rPr>
                  </w:pPr>
                  <w:sdt>
                    <w:sdtPr>
                      <w:alias w:val="Pavadinimas"/>
                      <w:tag w:val="title_63671c48d5ca448b9e81fdb2bb2b45de"/>
                      <w:lock w:val="sdtLocked"/>
                      <w:richText/>
                    </w:sdtPr>
                    <w:sdtContent>
                      <w:r>
                        <w:rPr>
                          <w:b/>
                          <w:bCs/>
                          <w:sz w:val="22"/>
                          <w:szCs w:val="22"/>
                          <w:lang w:eastAsia="lt-LT"/>
                        </w:rPr>
                        <w:t>Sprendimo projekto antikorupcinis vertinimas.</w:t>
                      </w:r>
                    </w:sdtContent>
                  </w:sdt>
                </w:p>
                <w:p w14:paraId="21BDCBEA" w14:textId="77777777">
                  <w:pPr>
                    <w:tabs>
                      <w:tab w:val="left" w:pos="570"/>
                    </w:tabs>
                    <w:suppressAutoHyphens/>
                    <w:ind w:firstLine="851"/>
                    <w:jc w:val="both"/>
                    <w:rPr>
                      <w:bCs/>
                      <w:sz w:val="22"/>
                      <w:szCs w:val="22"/>
                      <w:lang w:eastAsia="lt-LT"/>
                    </w:rPr>
                  </w:pPr>
                  <w:r>
                    <w:rPr>
                      <w:bCs/>
                      <w:sz w:val="22"/>
                      <w:szCs w:val="22"/>
                      <w:lang w:eastAsia="lt-LT"/>
                    </w:rPr>
                    <w:t>Antikorupcinio vertinimo pažyma nepridedama.</w:t>
                  </w:r>
                </w:p>
                <w:p w14:paraId="09448D87" w14:textId="77777777">
                  <w:pPr>
                    <w:tabs>
                      <w:tab w:val="left" w:pos="570"/>
                    </w:tabs>
                    <w:suppressAutoHyphens/>
                    <w:ind w:firstLine="851"/>
                    <w:jc w:val="both"/>
                    <w:rPr>
                      <w:bCs/>
                      <w:sz w:val="22"/>
                      <w:szCs w:val="22"/>
                      <w:lang w:eastAsia="lt-LT"/>
                    </w:rPr>
                  </w:pPr>
                  <w:r>
                    <w:rPr>
                      <w:b/>
                      <w:bCs/>
                      <w:sz w:val="22"/>
                      <w:szCs w:val="22"/>
                      <w:lang w:eastAsia="lt-LT"/>
                    </w:rPr>
                    <w:t xml:space="preserve">Sprendimo projektą parengė </w:t>
                  </w:r>
                  <w:r>
                    <w:rPr>
                      <w:bCs/>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12e2112d3acc434091e85cc4c44aa80a"/>
                <w:lock w:val="sdtLocked"/>
                <w:richText/>
              </w:sdtPr>
              <w:sdtContent>
                <w:p w14:paraId="25F62C64" w14:textId="77777777">
                  <w:pPr>
                    <w:tabs>
                      <w:tab w:val="left" w:pos="570"/>
                    </w:tabs>
                    <w:suppressAutoHyphens/>
                    <w:ind w:firstLine="851"/>
                    <w:jc w:val="both"/>
                    <w:rPr>
                      <w:b/>
                      <w:bCs/>
                      <w:sz w:val="22"/>
                      <w:szCs w:val="22"/>
                      <w:lang w:eastAsia="lt-LT"/>
                    </w:rPr>
                  </w:pPr>
                  <w:sdt>
                    <w:sdtPr>
                      <w:alias w:val="Pavadinimas"/>
                      <w:tag w:val="title_12e2112d3acc434091e85cc4c44aa80a"/>
                      <w:lock w:val="sdtLocked"/>
                      <w:richText/>
                    </w:sdtPr>
                    <w:sdtContent>
                      <w:r>
                        <w:rPr>
                          <w:b/>
                          <w:bCs/>
                          <w:sz w:val="22"/>
                          <w:szCs w:val="22"/>
                          <w:lang w:eastAsia="lt-LT"/>
                        </w:rPr>
                        <w:t>Numatomo teisinio reguliavimo poveikio vertinimo rezultatai.</w:t>
                      </w:r>
                    </w:sdtContent>
                  </w:sdt>
                </w:p>
                <w:p w14:paraId="7011C294" w14:textId="77777777">
                  <w:pPr>
                    <w:tabs>
                      <w:tab w:val="left" w:pos="570"/>
                    </w:tabs>
                    <w:suppressAutoHyphens/>
                    <w:ind w:firstLine="851"/>
                    <w:jc w:val="both"/>
                    <w:rPr>
                      <w:bCs/>
                      <w:sz w:val="22"/>
                      <w:szCs w:val="22"/>
                      <w:lang w:eastAsia="lt-LT"/>
                    </w:rPr>
                  </w:pPr>
                  <w:r>
                    <w:rPr>
                      <w:bCs/>
                      <w:sz w:val="22"/>
                      <w:szCs w:val="22"/>
                      <w:lang w:eastAsia="lt-LT"/>
                    </w:rPr>
                    <w:t xml:space="preserve">Numatomo teisinio reguliavimo poveikio vertinimas neatliekamas, nes sprendimo projektu nėra numatoma reglamentuoti iki tol nereglamentuotus santykius ar iš esmės keisti teisinį reguliavimą. </w:t>
                  </w:r>
                </w:p>
                <w:p w14:paraId="4BDF89F8" w14:textId="77777777">
                  <w:pPr>
                    <w:tabs>
                      <w:tab w:val="left" w:pos="570"/>
                    </w:tabs>
                    <w:suppressAutoHyphens/>
                    <w:ind w:firstLine="851"/>
                    <w:jc w:val="both"/>
                    <w:rPr>
                      <w:sz w:val="22"/>
                      <w:szCs w:val="22"/>
                    </w:rPr>
                  </w:pPr>
                </w:p>
                <w:p w14:paraId="3A9B6EB7" w14:textId="77777777">
                  <w:pPr>
                    <w:tabs>
                      <w:tab w:val="left" w:pos="570"/>
                    </w:tabs>
                    <w:suppressAutoHyphens/>
                    <w:ind w:firstLine="851"/>
                    <w:jc w:val="both"/>
                    <w:rPr>
                      <w:sz w:val="22"/>
                      <w:szCs w:val="22"/>
                    </w:rPr>
                  </w:pPr>
                </w:p>
              </w:sdtContent>
            </w:sdt>
          </w:sdtContent>
        </w:sdt>
        <w:sdt>
          <w:sdtPr>
            <w:alias w:val="signatura"/>
            <w:tag w:val="part_9432b216d57e46c5821d573a11b8096f"/>
            <w:lock w:val="sdtLocked"/>
            <w:richText/>
          </w:sdtPr>
          <w:sdtContent>
            <w:p w14:paraId="36E8A9E1" w14:textId="77777777">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p w14:paraId="17BCAA43" w14:textId="071F5150">
              <w:pPr>
                <w:tabs>
                  <w:tab w:val="left" w:pos="697"/>
                </w:tabs>
                <w:suppressAutoHyphens/>
                <w:ind w:firstLine="851"/>
                <w:jc w:val="both"/>
                <w:rPr>
                  <w:sz w:val="22"/>
                  <w:szCs w:val="22"/>
                </w:rPr>
              </w:pPr>
            </w:p>
            <w:p w14:paraId="3CB00417" w14:textId="77777777">
              <w:pPr>
                <w:tabs>
                  <w:tab w:val="left" w:pos="697"/>
                </w:tabs>
                <w:suppressAutoHyphens/>
                <w:ind w:firstLine="851"/>
                <w:jc w:val="both"/>
                <w:rPr>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6E0EC2" w14:textId="77777777">
      <w:pPr>
        <w:suppressAutoHyphens/>
      </w:pPr>
      <w:r>
        <w:separator/>
      </w:r>
    </w:p>
  </w:endnote>
  <w:endnote w:type="continuationSeparator" w:id="0">
    <w:p w14:paraId="0D4AB35A"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E659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ECDC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43A582" w14:textId="77777777">
      <w:pPr>
        <w:suppressAutoHyphens/>
      </w:pPr>
      <w:r>
        <w:separator/>
      </w:r>
    </w:p>
  </w:footnote>
  <w:footnote w:type="continuationSeparator" w:id="0">
    <w:p w14:paraId="0A2EADC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673EC"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7A45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6426387">
      <w:bodyDiv w:val="1"/>
      <w:marLeft w:val="0"/>
      <w:marRight w:val="0"/>
      <w:marTop w:val="0"/>
      <w:marBottom w:val="0"/>
      <w:divBdr>
        <w:top w:val="none" w:sz="0" w:space="0" w:color="auto"/>
        <w:left w:val="none" w:sz="0" w:space="0" w:color="auto"/>
        <w:bottom w:val="none" w:sz="0" w:space="0" w:color="auto"/>
        <w:right w:val="none" w:sz="0" w:space="0" w:color="auto"/>
      </w:divBdr>
    </w:div>
    <w:div w:id="722950298">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300502609">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85418442">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a7640da4c9041d79c7c581d98ceaa9d" PartId="d9bcf946464548889dc9928045500285">
    <Part Type="skyrius" Nr="999" Title="SPRENDIMO PROJEKTO „DĖL PRITARIMO IŠNUOMOTI VALSTYBINĖS ŽEMĖS SKLYPĄ BALTUPĖNŲ G. 1, ŠIAULIŲ MIESTE“" DocPartId="fbf2ae04804d4cb085553a516e504e8a" PartId="d94d6093485e4a62bbb6b528d8b58329">
      <Part Type="poskyris" Title="AIŠKINAMASIS RAŠTAS" DocPartId="6ca4b9c8f7424a048c330db22e8ff4d3" PartId="c012c93ae76540a99faa538d898ccf99"/>
      <Part Type="poskyris" Title="Parengto sprendimo projekto tikslai ir uždaviniai:" DocPartId="5b1cda6b7ef8467fa01192cd74c6bd83" PartId="3f042a279a2440dd8ec324298329aba9"/>
      <Part Type="poskyris" Title="Dabartinis sprendimo projekte aptariamų klausimų reguliavimas:" DocPartId="554c17502a4b4faaad5361a608524406" PartId="ecd9ebca046f4d5bbd036c208f7552e1"/>
      <Part Type="poskyris" Title="Sprendimo projekte numatytos naujos teisinio reglamentavimo nuostatos:" DocPartId="bafa827360f14742a53d70866a3a8de4" PartId="07ca72c041424b6e91feb82dbc476187"/>
      <Part Type="poskyris" Title="Priėmus sprendimą, galimos pasekmės (tiek teigiamos, tiek neigiamos)." DocPartId="36f0bc1580ea44f4b6b8e30313592218" PartId="c4305e9666844568bfbb5c4e2c01d851"/>
      <Part Type="poskyris" Title="Priėmus sprendimą, keičiami ar pripažįstami negaliojančiais teisės aktai." DocPartId="556d4be6706343269897fcc96e82daf5" PartId="ded5f3940c424235b89da585e3e541d9"/>
      <Part Type="poskyris" Title="Sprendimui įgyvendinti reikalingi priimti papildomi teisės aktai." DocPartId="73f933a6e0be410ea197502045b8f8a4" PartId="b6d8ba795b0b473c8985d5e6194ae800"/>
      <Part Type="poskyris" Title="Sprendimui įgyvendinti reikalingos lėšos." DocPartId="90ffcc6890c04a928c95c1babd79d7c8" PartId="af7fea33a17b49d48acdc7a0f7a6f904"/>
      <Part Type="poskyris" Title="Sprendimo projekto antikorupcinis vertinimas." DocPartId="66c190c4b50d4418bc0408256473aca9" PartId="63671c48d5ca448b9e81fdb2bb2b45de"/>
      <Part Type="poskyris" Title="Numatomo teisinio reguliavimo poveikio vertinimo rezultatai." DocPartId="5c9a7f8218c1467f8d540620b47cc4c2" PartId="12e2112d3acc434091e85cc4c44aa80a"/>
    </Part>
    <Part Type="signatura" DocPartId="8f0ef76aee324cfd9afbca79837c18ca" PartId="9432b216d57e46c5821d573a11b8096f"/>
  </Part>
</Parts>
</file>

<file path=customXml/itemProps1.xml><?xml version="1.0" encoding="utf-8"?>
<ds:datastoreItem xmlns:ds="http://schemas.openxmlformats.org/officeDocument/2006/customXml" ds:itemID="{640B45F3-5490-4DBA-B027-3DE9CD3D5E4C}">
  <ds:schemaRefs>
    <ds:schemaRef ds:uri="http://schemas.openxmlformats.org/officeDocument/2006/bibliography"/>
  </ds:schemaRefs>
</ds:datastoreItem>
</file>

<file path=customXml/itemProps2.xml><?xml version="1.0" encoding="utf-8"?>
<ds:datastoreItem xmlns:ds="http://schemas.openxmlformats.org/officeDocument/2006/customXml" ds:itemID="{4283E72C-9998-47FE-8A3A-191C98E4E6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739</Words>
  <Characters>5357</Characters>
  <Application>Microsoft Office Word</Application>
  <DocSecurity>4</DocSecurity>
  <Lines>87</Lines>
  <Paragraphs>47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6049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2025-11-27T14:51:00Z</dcterms:created>
  <dc:creator>Žyvilė Rimšienė</dc:creator>
  <dc:language>en-GB</dc:language>
  <lastModifiedBy>adlibuser</lastModifiedBy>
  <lastPrinted>2025-07-24T05:25:00Z</lastPrinted>
  <dcterms:modified xsi:type="dcterms:W3CDTF">2025-11-27T14:51:00Z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