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a000dc9c6f949ee9ebc45db767f5785"/>
        <w:lock w:val="sdtLocked"/>
        <w:richText/>
      </w:sdtPr>
      <w:sdtContent>
        <w:p>
          <w:pPr>
            <w:spacing w:line="276" w:lineRule="auto"/>
            <w:jc w:val="center"/>
            <w:rPr>
              <w:rFonts w:eastAsia="Calibri"/>
              <w:b/>
              <w:color w:val="000000"/>
              <w:szCs w:val="24"/>
            </w:rPr>
          </w:pPr>
          <w:r>
            <w:rPr>
              <w:rFonts w:eastAsia="Calibri"/>
              <w:b/>
              <w:color w:val="000000"/>
              <w:szCs w:val="24"/>
            </w:rPr>
            <w:t>NUMATOMO TEISINIO REGULIAVIMO POVEIKIO VERTINIMO PAŽYMA</w:t>
          </w:r>
        </w:p>
        <w:p>
          <w:pPr>
            <w:spacing w:line="276" w:lineRule="auto"/>
            <w:jc w:val="center"/>
            <w:rPr>
              <w:rFonts w:eastAsia="Calibri"/>
              <w:b/>
              <w:color w:val="000000"/>
              <w:szCs w:val="24"/>
            </w:rPr>
          </w:pPr>
        </w:p>
        <w:tbl>
          <w:tblPr>
            <w:tblW w:w="9782" w:type="dxa"/>
            <w:jc w:val="center"/>
            <w:tblLook w:val="00A0" w:firstRow="1" w:lastRow="0" w:firstColumn="1" w:lastColumn="0" w:noHBand="0" w:noVBand="0"/>
          </w:tblPr>
          <w:tblGrid>
            <w:gridCol w:w="2268"/>
            <w:gridCol w:w="7371"/>
            <w:gridCol w:w="143"/>
          </w:tblGrid>
          <w:tr>
            <w:trPr>
              <w:gridAfter w:val="1"/>
              <w:wAfter w:w="143" w:type="dxa"/>
              <w:jc w:val="center"/>
            </w:trPr>
            <w:tc>
              <w:tcPr>
                <w:tcW w:w="2268" w:type="dxa"/>
                <w:shd w:val="clear" w:color="auto" w:fill="auto"/>
                <w:hideMark/>
              </w:tcPr>
              <w:p>
                <w:pPr>
                  <w:spacing w:line="276" w:lineRule="auto"/>
                  <w:rPr>
                    <w:rFonts w:eastAsia="Calibri"/>
                    <w:szCs w:val="24"/>
                    <w:shd w:val="clear" w:color="auto" w:fill="DBE5F1"/>
                  </w:rPr>
                </w:pPr>
                <w:r>
                  <w:rPr>
                    <w:rFonts w:eastAsia="Calibri"/>
                    <w:b/>
                    <w:szCs w:val="24"/>
                  </w:rPr>
                  <w:t>Projekto</w:t>
                </w:r>
                <w:r>
                  <w:rPr>
                    <w:rFonts w:eastAsia="Calibri"/>
                    <w:b/>
                    <w:szCs w:val="24"/>
                    <w:shd w:val="clear" w:color="auto" w:fill="DBE5F1"/>
                  </w:rPr>
                  <w:t xml:space="preserve"> </w:t>
                </w:r>
                <w:r>
                  <w:rPr>
                    <w:rFonts w:eastAsia="Calibri"/>
                    <w:b/>
                    <w:szCs w:val="24"/>
                  </w:rPr>
                  <w:t>pavadinimas</w:t>
                </w:r>
              </w:p>
            </w:tc>
            <w:tc>
              <w:tcPr>
                <w:tcW w:w="7371" w:type="dxa"/>
                <w:shd w:val="clear" w:color="auto" w:fill="auto"/>
              </w:tcPr>
              <w:p>
                <w:pPr>
                  <w:spacing w:line="276" w:lineRule="auto"/>
                  <w:jc w:val="both"/>
                  <w:rPr>
                    <w:rFonts w:eastAsia="Calibri"/>
                    <w:szCs w:val="24"/>
                  </w:rPr>
                </w:pPr>
                <w:r>
                  <w:rPr>
                    <w:rFonts w:eastAsia="Calibri"/>
                    <w:szCs w:val="24"/>
                  </w:rPr>
                  <w:t xml:space="preserve">Lietuvos Respublikos aplinkos ministro 2009 m. gegužės 27 d. įsakymo Nr. D1-291 „Dėl Gamintojų ir importuotojų registravimo taisyklių patvirtinimo“ ir Lietuvos Respublikos aplinkos ministro 2002 m. birželio 27 d. įsakymo Nr. 348 „Dėl Pakuočių ir pakuočių atliekų tvarkymo taisyklių patvirtinimo“ pakeitimo projektai (toliau </w:t>
                </w:r>
                <w:r>
                  <w:rPr>
                    <w:rFonts w:eastAsia="Calibri"/>
                    <w:szCs w:val="22"/>
                  </w:rPr>
                  <w:t>– Projektai)</w:t>
                </w:r>
                <w:r>
                  <w:rPr>
                    <w:rFonts w:eastAsia="Calibri"/>
                    <w:szCs w:val="24"/>
                  </w:rPr>
                  <w:t>.</w:t>
                </w:r>
              </w:p>
            </w:tc>
          </w:tr>
          <w:tr>
            <w:trPr>
              <w:gridAfter w:val="1"/>
              <w:wAfter w:w="143" w:type="dxa"/>
              <w:jc w:val="center"/>
            </w:trPr>
            <w:tc>
              <w:tcPr>
                <w:tcW w:w="2268" w:type="dxa"/>
                <w:shd w:val="clear" w:color="auto" w:fill="auto"/>
                <w:hideMark/>
              </w:tcPr>
              <w:p>
                <w:pPr>
                  <w:shd w:val="clear" w:color="auto" w:fill="FFFFFF"/>
                  <w:spacing w:line="276" w:lineRule="auto"/>
                  <w:rPr>
                    <w:rFonts w:eastAsia="Calibri"/>
                    <w:szCs w:val="24"/>
                  </w:rPr>
                </w:pPr>
                <w:r>
                  <w:rPr>
                    <w:rFonts w:eastAsia="Calibri"/>
                    <w:b/>
                    <w:szCs w:val="24"/>
                  </w:rPr>
                  <w:t>Projekto rengėjas</w:t>
                </w:r>
              </w:p>
            </w:tc>
            <w:tc>
              <w:tcPr>
                <w:tcW w:w="7371" w:type="dxa"/>
                <w:shd w:val="clear" w:color="auto" w:fill="auto"/>
                <w:hideMark/>
              </w:tcPr>
              <w:p>
                <w:pPr>
                  <w:shd w:val="clear" w:color="auto" w:fill="FFFFFF"/>
                  <w:spacing w:line="276" w:lineRule="auto"/>
                  <w:jc w:val="both"/>
                  <w:rPr>
                    <w:rFonts w:eastAsia="Calibri"/>
                    <w:b/>
                    <w:szCs w:val="24"/>
                  </w:rPr>
                </w:pPr>
                <w:r>
                  <w:rPr>
                    <w:rFonts w:eastAsia="Calibri"/>
                    <w:szCs w:val="24"/>
                  </w:rPr>
                  <w:t>Lietuvos Respublikos aplinkos ministerija</w:t>
                </w:r>
              </w:p>
            </w:tc>
          </w:tr>
          <w:tr>
            <w:trPr>
              <w:jc w:val="center"/>
            </w:trPr>
            <w:tc>
              <w:tcPr>
                <w:tcW w:w="2268" w:type="dxa"/>
                <w:shd w:val="clear" w:color="auto" w:fill="auto"/>
                <w:hideMark/>
              </w:tcPr>
              <w:p>
                <w:pPr>
                  <w:spacing w:line="276" w:lineRule="auto"/>
                  <w:rPr>
                    <w:rFonts w:eastAsia="Calibri"/>
                    <w:b/>
                    <w:szCs w:val="24"/>
                  </w:rPr>
                </w:pPr>
                <w:r>
                  <w:rPr>
                    <w:rFonts w:eastAsia="Calibri"/>
                    <w:b/>
                    <w:szCs w:val="24"/>
                  </w:rPr>
                  <w:t>Projekto tikslas</w:t>
                </w:r>
              </w:p>
            </w:tc>
            <w:tc>
              <w:tcPr>
                <w:tcW w:w="7514" w:type="dxa"/>
                <w:gridSpan w:val="2"/>
                <w:shd w:val="clear" w:color="auto" w:fill="auto"/>
                <w:hideMark/>
              </w:tcPr>
              <w:p>
                <w:pPr>
                  <w:spacing w:line="276" w:lineRule="auto"/>
                  <w:jc w:val="both"/>
                  <w:rPr>
                    <w:rFonts w:eastAsia="Calibri"/>
                    <w:szCs w:val="24"/>
                  </w:rPr>
                </w:pPr>
                <w:r>
                  <w:rPr>
                    <w:rFonts w:eastAsia="Calibri"/>
                    <w:bCs/>
                    <w:szCs w:val="24"/>
                  </w:rPr>
                  <w:t xml:space="preserve">Suteikti daugiau laiko rinkos dalyviams prisitaikyti prie naujų pokyčių įgyvendinant 2018 m. gegužės 30 d. Europos Parlamento ir Tarybos direktyvos (ES) 2018/851, kuria iš dalies keičiama Direktyva </w:t>
                </w:r>
                <w:fldSimple w:instr="HYPERLINK http://eur-lex.europa.eu/legal-content/LIT/TXT/?uri=CELEX:32008L0098&amp;locale=lt \t _blank">
                  <w:r>
                    <w:rPr>
                      <w:rFonts w:eastAsia="Calibri"/>
                      <w:bCs/>
                      <w:szCs w:val="24"/>
                      <w:u w:val="single"/>
                      <w:color w:val="0000FF" w:themeColor="hyperlink"/>
                    </w:rPr>
                    <w:t>2008/98/EB</w:t>
                  </w:r>
                </w:fldSimple>
                <w:r>
                  <w:rPr>
                    <w:rFonts w:eastAsia="Calibri"/>
                    <w:bCs/>
                    <w:szCs w:val="24"/>
                  </w:rPr>
                  <w:t xml:space="preserve"> dėl atliekų, </w:t>
                </w:r>
                <w:r>
                  <w:rPr>
                    <w:rFonts w:eastAsia="Calibri"/>
                    <w:color w:val="000000"/>
                    <w:szCs w:val="24"/>
                    <w:lang w:eastAsia="lt-LT"/>
                  </w:rPr>
                  <w:t xml:space="preserve">2018 m. gegužės 30 d. </w:t>
                </w:r>
                <w:r>
                  <w:rPr>
                    <w:rFonts w:eastAsia="Calibri"/>
                    <w:szCs w:val="24"/>
                  </w:rPr>
                  <w:t xml:space="preserve">Europos Parlamento ir Tarybos direktyvos (ES) 2018/852, kuria iš dalies keičiama Direktyva </w:t>
                </w:r>
                <w:fldSimple w:instr="HYPERLINK http://eur-lex.europa.eu/legal-content/LIT/TXT/?uri=CELEX:31994L0062&amp;locale=lt \t _blank">
                  <w:r>
                    <w:rPr>
                      <w:rFonts w:eastAsia="Calibri"/>
                      <w:szCs w:val="24"/>
                      <w:u w:val="single"/>
                      <w:color w:val="0000FF" w:themeColor="hyperlink"/>
                    </w:rPr>
                    <w:t>94/62/EB</w:t>
                  </w:r>
                </w:fldSimple>
                <w:r>
                  <w:rPr>
                    <w:rFonts w:eastAsia="Calibri"/>
                    <w:szCs w:val="24"/>
                  </w:rPr>
                  <w:t xml:space="preserve"> dėl pakuočių ir pakuočių atliekų </w:t>
                </w:r>
                <w:r>
                  <w:rPr>
                    <w:rFonts w:eastAsia="Calibri"/>
                    <w:bCs/>
                    <w:szCs w:val="24"/>
                  </w:rPr>
                  <w:t xml:space="preserve">ir 2019 m. birželio 7 d. Komisijos įgyvendinimo sprendimo (ES) 2019/1004, kuriuo pagal Europos Parlamento ir Tarybos direktyvą </w:t>
                </w:r>
                <w:fldSimple w:instr="HYPERLINK http://eur-lex.europa.eu/legal-content/LIT/TXT/?uri=CELEX:32008L0098&amp;locale=lt \t _blank">
                  <w:r>
                    <w:rPr>
                      <w:rFonts w:eastAsia="Calibri"/>
                      <w:bCs/>
                      <w:szCs w:val="24"/>
                      <w:u w:val="single"/>
                      <w:color w:val="0000FF" w:themeColor="hyperlink"/>
                    </w:rPr>
                    <w:t>2008/98/EB</w:t>
                  </w:r>
                </w:fldSimple>
                <w:r>
                  <w:rPr>
                    <w:rFonts w:eastAsia="Calibri"/>
                    <w:bCs/>
                    <w:szCs w:val="24"/>
                  </w:rPr>
                  <w:t xml:space="preserve"> nustatomos duomenų apie atliekas skaičiavimo, tikrinimo ir teikimo taisyklės</w:t>
                </w:r>
                <w:r>
                  <w:rPr>
                    <w:rFonts w:eastAsia="Calibri"/>
                    <w:szCs w:val="24"/>
                  </w:rPr>
                  <w:t>,</w:t>
                </w:r>
                <w:r>
                  <w:rPr>
                    <w:rFonts w:eastAsia="Calibri"/>
                    <w:kern w:val="1"/>
                    <w:szCs w:val="24"/>
                    <w:lang w:eastAsia="lt-LT"/>
                  </w:rPr>
                  <w:t xml:space="preserve"> </w:t>
                </w:r>
                <w:r>
                  <w:rPr>
                    <w:rFonts w:eastAsia="Calibri"/>
                    <w:szCs w:val="24"/>
                  </w:rPr>
                  <w:t xml:space="preserve">reikalavimus teikti duomenis apie tiekiamas rinkai naujų rūšių alyvas (variklio ir pavarų dėžės alyvos, pramoninės alyvos, pramoninės alyvos (tik emulsija)) ir </w:t>
                </w:r>
                <w:r>
                  <w:rPr>
                    <w:rFonts w:eastAsia="Calibri"/>
                    <w:bCs/>
                    <w:szCs w:val="24"/>
                  </w:rPr>
                  <w:t>metalines pakuotes (išskiriant į juodųjų metalų ir aliuminio pakuotes)</w:t>
                </w:r>
                <w:r>
                  <w:rPr>
                    <w:rFonts w:eastAsia="Calibri"/>
                    <w:szCs w:val="24"/>
                  </w:rPr>
                  <w:t>. Šie nauji duomenys būtų teikiami nuo 2022 m. sausio 1 d.</w:t>
                </w:r>
              </w:p>
            </w:tc>
          </w:tr>
        </w:tbl>
        <w:p>
          <w:pPr>
            <w:spacing w:line="276" w:lineRule="auto"/>
            <w:rPr>
              <w:rFonts w:eastAsia="Calibri"/>
              <w:szCs w:val="24"/>
            </w:rPr>
          </w:pPr>
        </w:p>
        <w:p>
          <w:pPr>
            <w:rPr>
              <w:sz w:val="4"/>
              <w:szCs w:val="4"/>
            </w:rPr>
          </w:pPr>
        </w:p>
        <w:tbl>
          <w:tblPr>
            <w:tblW w:w="9639" w:type="dxa"/>
            <w:jc w:val="center"/>
            <w:tblLook w:val="00A0" w:firstRow="1" w:lastRow="0" w:firstColumn="1" w:lastColumn="0" w:noHBand="0" w:noVBand="0"/>
          </w:tblPr>
          <w:tblGrid>
            <w:gridCol w:w="2268"/>
            <w:gridCol w:w="7371"/>
          </w:tblGrid>
          <w:tr>
            <w:trPr>
              <w:trHeight w:val="415"/>
              <w:jc w:val="center"/>
            </w:trPr>
            <w:tc>
              <w:tcPr>
                <w:tcW w:w="2268" w:type="dxa"/>
                <w:shd w:val="clear" w:color="auto" w:fill="FFFFFF"/>
              </w:tcPr>
              <w:p>
                <w:pPr>
                  <w:shd w:val="clear" w:color="auto" w:fill="FFFFFF"/>
                  <w:spacing w:line="276" w:lineRule="auto"/>
                  <w:rPr>
                    <w:rFonts w:eastAsia="Calibri"/>
                    <w:szCs w:val="24"/>
                  </w:rPr>
                </w:pPr>
              </w:p>
            </w:tc>
            <w:tc>
              <w:tcPr>
                <w:tcW w:w="7371" w:type="dxa"/>
                <w:shd w:val="clear" w:color="auto" w:fill="FFFFFF"/>
                <w:hideMark/>
              </w:tcPr>
              <w:p>
                <w:pPr>
                  <w:shd w:val="clear" w:color="auto" w:fill="FFFFFF"/>
                  <w:spacing w:line="276" w:lineRule="auto"/>
                  <w:jc w:val="center"/>
                  <w:rPr>
                    <w:rFonts w:eastAsia="Calibri"/>
                    <w:b/>
                    <w:szCs w:val="24"/>
                  </w:rPr>
                </w:pPr>
                <w:r>
                  <w:rPr>
                    <w:rFonts w:eastAsia="Calibri"/>
                    <w:b/>
                    <w:szCs w:val="24"/>
                  </w:rPr>
                  <w:t xml:space="preserve">Siūlomo projekto poveikio įvertinimas </w:t>
                </w:r>
              </w:p>
            </w:tc>
          </w:tr>
          <w:tr>
            <w:trPr>
              <w:jc w:val="center"/>
            </w:trPr>
            <w:tc>
              <w:tcPr>
                <w:tcW w:w="2268" w:type="dxa"/>
                <w:shd w:val="clear" w:color="auto" w:fill="FFFFFF"/>
              </w:tcPr>
              <w:p>
                <w:pPr>
                  <w:spacing w:line="276" w:lineRule="auto"/>
                  <w:rPr>
                    <w:rFonts w:eastAsia="Calibri"/>
                    <w:b/>
                    <w:szCs w:val="24"/>
                  </w:rPr>
                </w:pPr>
                <w:r>
                  <w:rPr>
                    <w:rFonts w:eastAsia="Calibri"/>
                    <w:b/>
                    <w:szCs w:val="24"/>
                  </w:rPr>
                  <w:t>Poveikis aplinkai ir klimato kaitai</w:t>
                </w:r>
              </w:p>
              <w:p>
                <w:pPr>
                  <w:rPr>
                    <w:sz w:val="4"/>
                    <w:szCs w:val="4"/>
                  </w:rPr>
                </w:pPr>
              </w:p>
              <w:p>
                <w:pPr>
                  <w:spacing w:line="276" w:lineRule="auto"/>
                  <w:rPr>
                    <w:rFonts w:eastAsia="Calibri"/>
                    <w:b/>
                    <w:szCs w:val="24"/>
                  </w:rPr>
                </w:pPr>
              </w:p>
            </w:tc>
            <w:tc>
              <w:tcPr>
                <w:tcW w:w="7371" w:type="dxa"/>
                <w:shd w:val="clear" w:color="auto" w:fill="FFFFFF"/>
              </w:tcPr>
              <w:p>
                <w:pPr>
                  <w:spacing w:line="276" w:lineRule="auto"/>
                  <w:jc w:val="both"/>
                  <w:rPr>
                    <w:rFonts w:eastAsia="Calibri"/>
                    <w:szCs w:val="24"/>
                  </w:rPr>
                </w:pPr>
                <w:r>
                  <w:rPr>
                    <w:rFonts w:eastAsia="Calibri"/>
                    <w:color w:val="000000"/>
                    <w:szCs w:val="24"/>
                  </w:rPr>
                  <w:t xml:space="preserve">Teigiamas poveikis. Patvirtinus pakeitimus, siūlomus pakeitimo Projektuose, </w:t>
                </w:r>
                <w:r>
                  <w:rPr>
                    <w:rFonts w:eastAsia="Calibri"/>
                    <w:bCs/>
                    <w:szCs w:val="24"/>
                  </w:rPr>
                  <w:t xml:space="preserve">rinkos dalyviams </w:t>
                </w:r>
                <w:r>
                  <w:rPr>
                    <w:rFonts w:eastAsia="Calibri"/>
                    <w:color w:val="000000"/>
                    <w:szCs w:val="24"/>
                  </w:rPr>
                  <w:t xml:space="preserve">bus </w:t>
                </w:r>
                <w:r>
                  <w:rPr>
                    <w:rFonts w:eastAsia="Calibri"/>
                    <w:bCs/>
                    <w:szCs w:val="24"/>
                  </w:rPr>
                  <w:t xml:space="preserve">suteikiama daugiau laiko prisitaikyti prie naujų </w:t>
                </w:r>
                <w:r>
                  <w:rPr>
                    <w:rFonts w:eastAsia="Calibri"/>
                    <w:szCs w:val="24"/>
                  </w:rPr>
                  <w:t>reikalavimų teikti duomenis apie</w:t>
                </w:r>
                <w:r>
                  <w:rPr>
                    <w:rFonts w:eastAsia="Calibri"/>
                    <w:bCs/>
                    <w:szCs w:val="24"/>
                  </w:rPr>
                  <w:t xml:space="preserve"> </w:t>
                </w:r>
                <w:r>
                  <w:rPr>
                    <w:rFonts w:eastAsia="Calibri"/>
                    <w:szCs w:val="24"/>
                  </w:rPr>
                  <w:t>naujų rūšių alyvas (</w:t>
                </w:r>
                <w:r>
                  <w:rPr>
                    <w:rFonts w:eastAsia="Calibri"/>
                    <w:bCs/>
                    <w:szCs w:val="24"/>
                  </w:rPr>
                  <w:t xml:space="preserve">variklio ir pavarų dėžės alyvos, pramoninės alyvos, </w:t>
                </w:r>
                <w:r>
                  <w:rPr>
                    <w:rFonts w:eastAsia="Calibri"/>
                    <w:szCs w:val="24"/>
                  </w:rPr>
                  <w:t xml:space="preserve">pramoninės alyvos (tik emulsija)) ir metalines </w:t>
                </w:r>
                <w:r>
                  <w:rPr>
                    <w:rFonts w:eastAsia="Lucida Sans Unicode"/>
                    <w:bCs/>
                    <w:color w:val="000000"/>
                    <w:szCs w:val="22"/>
                    <w:lang w:eastAsia="lt-LT"/>
                  </w:rPr>
                  <w:t xml:space="preserve">pakuotes (skirstant į </w:t>
                </w:r>
                <w:r>
                  <w:rPr>
                    <w:rFonts w:eastAsia="Calibri"/>
                    <w:szCs w:val="22"/>
                  </w:rPr>
                  <w:t>juodųjų metalų ir aliuminio pakuotes)</w:t>
                </w:r>
                <w:r>
                  <w:rPr>
                    <w:rFonts w:eastAsia="Calibri"/>
                    <w:szCs w:val="24"/>
                  </w:rPr>
                  <w:t>.</w:t>
                </w:r>
              </w:p>
              <w:p>
                <w:pPr>
                  <w:spacing w:line="276" w:lineRule="auto"/>
                  <w:jc w:val="both"/>
                  <w:rPr>
                    <w:rFonts w:eastAsia="Calibri"/>
                    <w:szCs w:val="24"/>
                  </w:rPr>
                </w:pPr>
                <w:r>
                  <w:rPr>
                    <w:rFonts w:eastAsia="Calibri"/>
                    <w:color w:val="000000"/>
                    <w:szCs w:val="24"/>
                  </w:rPr>
                  <w:t>Neigiamas poveikis. Nenumatomas.</w:t>
                </w:r>
              </w:p>
            </w:tc>
          </w:tr>
          <w:tr>
            <w:trPr>
              <w:jc w:val="center"/>
            </w:trPr>
            <w:tc>
              <w:tcPr>
                <w:tcW w:w="2268" w:type="dxa"/>
                <w:shd w:val="clear" w:color="auto" w:fill="FFFFFF"/>
                <w:hideMark/>
              </w:tcPr>
              <w:p>
                <w:pPr>
                  <w:rPr>
                    <w:sz w:val="4"/>
                    <w:szCs w:val="4"/>
                  </w:rPr>
                </w:pPr>
              </w:p>
              <w:p>
                <w:pPr>
                  <w:rPr>
                    <w:rFonts w:eastAsia="Calibri"/>
                    <w:b/>
                    <w:szCs w:val="24"/>
                  </w:rPr>
                </w:pPr>
                <w:r>
                  <w:rPr>
                    <w:rFonts w:eastAsia="Calibri"/>
                    <w:b/>
                    <w:szCs w:val="24"/>
                  </w:rPr>
                  <w:t xml:space="preserve">Poveikis </w:t>
                </w:r>
              </w:p>
              <w:p>
                <w:pPr>
                  <w:rPr>
                    <w:sz w:val="4"/>
                    <w:szCs w:val="4"/>
                  </w:rPr>
                </w:pPr>
              </w:p>
              <w:p>
                <w:pPr>
                  <w:rPr>
                    <w:rFonts w:eastAsia="Calibri"/>
                    <w:b/>
                    <w:szCs w:val="24"/>
                  </w:rPr>
                </w:pPr>
                <w:r>
                  <w:rPr>
                    <w:rFonts w:eastAsia="Calibri"/>
                    <w:b/>
                    <w:szCs w:val="24"/>
                  </w:rPr>
                  <w:t>valstybės finansams</w:t>
                </w:r>
              </w:p>
            </w:tc>
            <w:tc>
              <w:tcPr>
                <w:tcW w:w="7371" w:type="dxa"/>
                <w:shd w:val="clear" w:color="auto" w:fill="auto"/>
                <w:hideMark/>
              </w:tcPr>
              <w:p>
                <w:pPr>
                  <w:rPr>
                    <w:sz w:val="4"/>
                    <w:szCs w:val="4"/>
                  </w:rPr>
                </w:pPr>
              </w:p>
              <w:p>
                <w:pPr>
                  <w:spacing w:line="276" w:lineRule="auto"/>
                  <w:jc w:val="both"/>
                  <w:rPr>
                    <w:rFonts w:eastAsia="Calibri"/>
                    <w:szCs w:val="24"/>
                  </w:rPr>
                </w:pPr>
                <w:r>
                  <w:rPr>
                    <w:rFonts w:eastAsia="Calibri"/>
                    <w:szCs w:val="24"/>
                  </w:rPr>
                  <w:t>Nenumatomas.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2268" w:type="dxa"/>
                <w:tcBorders>
                  <w:top w:val="nil"/>
                  <w:left w:val="nil"/>
                  <w:bottom w:val="nil"/>
                  <w:right w:val="nil"/>
                </w:tcBorders>
                <w:shd w:val="clear" w:color="auto" w:fill="FFFFFF"/>
              </w:tcPr>
              <w:p>
                <w:pPr>
                  <w:rPr>
                    <w:sz w:val="4"/>
                    <w:szCs w:val="4"/>
                  </w:rPr>
                </w:pPr>
              </w:p>
              <w:p>
                <w:pPr>
                  <w:rPr>
                    <w:rFonts w:eastAsia="Calibri"/>
                    <w:b/>
                    <w:szCs w:val="24"/>
                  </w:rPr>
                </w:pPr>
                <w:r>
                  <w:rPr>
                    <w:rFonts w:eastAsia="Calibri"/>
                    <w:b/>
                    <w:szCs w:val="24"/>
                  </w:rPr>
                  <w:t>Poveikis administracinei naštai</w:t>
                </w:r>
              </w:p>
            </w:tc>
            <w:tc>
              <w:tcPr>
                <w:tcW w:w="7371" w:type="dxa"/>
                <w:tcBorders>
                  <w:top w:val="nil"/>
                  <w:left w:val="nil"/>
                  <w:bottom w:val="nil"/>
                  <w:right w:val="nil"/>
                </w:tcBorders>
                <w:shd w:val="clear" w:color="auto" w:fill="FFFFFF"/>
                <w:hideMark/>
              </w:tcPr>
              <w:p>
                <w:pPr>
                  <w:rPr>
                    <w:sz w:val="4"/>
                    <w:szCs w:val="4"/>
                  </w:rPr>
                </w:pPr>
              </w:p>
              <w:p>
                <w:pPr>
                  <w:spacing w:line="276" w:lineRule="auto"/>
                  <w:jc w:val="both"/>
                  <w:rPr>
                    <w:rFonts w:eastAsia="Calibri"/>
                    <w:szCs w:val="24"/>
                  </w:rPr>
                </w:pPr>
                <w:r>
                  <w:rPr>
                    <w:rFonts w:eastAsia="Calibri"/>
                    <w:color w:val="000000"/>
                    <w:szCs w:val="24"/>
                  </w:rPr>
                  <w:t>Nenumatomas</w:t>
                </w:r>
              </w:p>
            </w:tc>
          </w:tr>
          <w:tr>
            <w:tblPrEx>
              <w:shd w:val="clear" w:color="auto" w:fill="FFFFFF"/>
            </w:tblPrEx>
            <w:trPr>
              <w:trHeight w:val="379"/>
              <w:jc w:val="center"/>
            </w:trPr>
            <w:tc>
              <w:tcPr>
                <w:tcW w:w="9639" w:type="dxa"/>
                <w:gridSpan w:val="2"/>
                <w:vMerge w:val="restart"/>
                <w:shd w:val="clear" w:color="auto" w:fill="FFFFFF"/>
                <w:hideMark/>
              </w:tcPr>
              <w:p>
                <w:pPr>
                  <w:rPr>
                    <w:sz w:val="4"/>
                    <w:szCs w:val="4"/>
                  </w:rPr>
                </w:pPr>
              </w:p>
              <w:p>
                <w:pPr>
                  <w:shd w:val="clear" w:color="auto" w:fill="FFFFFF"/>
                  <w:spacing w:line="276" w:lineRule="auto"/>
                  <w:rPr>
                    <w:rFonts w:eastAsia="Calibri"/>
                    <w:b/>
                    <w:szCs w:val="24"/>
                  </w:rPr>
                </w:pPr>
                <w:r>
                  <w:rPr>
                    <w:rFonts w:eastAsia="Calibri"/>
                    <w:b/>
                    <w:szCs w:val="24"/>
                  </w:rPr>
                  <w:t>Kita svarbi informacija</w:t>
                </w:r>
                <w:r>
                  <w:rPr>
                    <w:rFonts w:eastAsia="Calibri"/>
                    <w:szCs w:val="24"/>
                  </w:rPr>
                  <w:t xml:space="preserve"> Nėra.</w:t>
                </w:r>
              </w:p>
            </w:tc>
          </w:tr>
          <w:tr>
            <w:tblPrEx>
              <w:shd w:val="clear" w:color="auto" w:fill="FFFFFF"/>
            </w:tblPrEx>
            <w:trPr>
              <w:trHeight w:val="379"/>
              <w:jc w:val="center"/>
            </w:trPr>
            <w:tc>
              <w:tcPr>
                <w:tcW w:w="0" w:type="auto"/>
                <w:gridSpan w:val="2"/>
                <w:vMerge/>
                <w:shd w:val="clear" w:color="auto" w:fill="FFFFFF"/>
                <w:vAlign w:val="center"/>
                <w:hideMark/>
              </w:tcPr>
              <w:p>
                <w:pPr>
                  <w:spacing w:line="276" w:lineRule="auto"/>
                  <w:rPr>
                    <w:rFonts w:eastAsia="Calibri"/>
                    <w:b/>
                    <w:szCs w:val="24"/>
                  </w:rPr>
                </w:pPr>
              </w:p>
            </w:tc>
          </w:tr>
        </w:tbl>
        <w:sdt>
          <w:sdtPr>
            <w:alias w:val="lentele"/>
            <w:tag w:val="part_bb987718bab2428b9b360e480872e71e"/>
            <w:lock w:val="sdtLocked"/>
            <w:richText/>
          </w:sdtPr>
          <w:sdtContent>
            <w:p>
              <w:pPr>
                <w:spacing w:line="276" w:lineRule="auto"/>
                <w:jc w:val="both"/>
                <w:rPr>
                  <w:b/>
                  <w:szCs w:val="24"/>
                </w:rPr>
              </w:pPr>
              <w:sdt>
                <w:sdtPr>
                  <w:alias w:val="Pavadinimas"/>
                  <w:tag w:val="title_bb987718bab2428b9b360e480872e71e"/>
                  <w:lock w:val="sdtLocked"/>
                  <w:richText/>
                </w:sdtPr>
                <w:sdtContent>
                  <w:r>
                    <w:rPr>
                      <w:b/>
                      <w:szCs w:val="24"/>
                    </w:rPr>
                    <w:t>Informacija apie asmenį ir instituciją, atsakingą už poveikio vertinimą</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6804"/>
              </w:tblGrid>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Ieva Ramanauskienė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Vyriausioji specialistė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 xml:space="preserve">Lietuvos Respublikos aplinkos ministerijos </w:t>
                    </w:r>
                    <w:r>
                      <w:t>Atliekų politikos grupė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lang w:val="en-US"/>
                      </w:rPr>
                    </w:pPr>
                    <w:r>
                      <w:rPr>
                        <w:szCs w:val="24"/>
                      </w:rPr>
                      <w:t xml:space="preserve">Tel. 8 </w:t>
                    </w:r>
                    <w:r>
                      <w:rPr>
                        <w:szCs w:val="24"/>
                        <w:lang w:val="en-US"/>
                      </w:rPr>
                      <w:t>696</w:t>
                    </w:r>
                    <w:r>
                      <w:rPr>
                        <w:szCs w:val="24"/>
                      </w:rPr>
                      <w:t xml:space="preserve"> 49 647; el. paštas: ieva.ramanauskiene@am.lt</w:t>
                    </w:r>
                  </w:p>
                  <w:p>
                    <w:pPr>
                      <w:ind w:firstLine="62"/>
                      <w:rPr>
                        <w:szCs w:val="24"/>
                      </w:rPr>
                    </w:pPr>
                  </w:p>
                </w:tc>
              </w:tr>
            </w:tbl>
            <w:p/>
          </w:sdtContent>
        </w:sdt>
        <w:sdt>
          <w:sdtPr>
            <w:alias w:val="signatura"/>
            <w:tag w:val="part_856d4faef55c41aca90278f7177827a8"/>
            <w:lock w:val="sdtLocked"/>
            <w:richText/>
          </w:sdtPr>
          <w:sdtContent>
            <w:p>
              <w:pPr>
                <w:tabs>
                  <w:tab w:val="left" w:pos="6237"/>
                </w:tabs>
                <w:jc w:val="center"/>
                <w:rPr>
                  <w:szCs w:val="24"/>
                  <w:lang w:val="x-none" w:eastAsia="x-none"/>
                </w:rPr>
              </w:pPr>
              <w:r>
                <w:rPr>
                  <w:szCs w:val="24"/>
                  <w:lang w:val="x-none" w:eastAsia="x-none"/>
                </w:rPr>
                <w:t>______________</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A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93729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f0fd9ac141643bc9ee3d5a15edf3614" PartId="0a000dc9c6f949ee9ebc45db767f5785">
    <Part Type="lentele" Title="Informacija apie asmenį ir instituciją, atsakingą už poveikio vertinimą" DocPartId="bc2af9e730544eb8981037d446789203" PartId="bb987718bab2428b9b360e480872e71e"/>
    <Part Type="signatura" DocPartId="9a248cebf02b4de6a71d0920f125098d" PartId="856d4faef55c41aca90278f7177827a8"/>
  </Part>
</Parts>
</file>

<file path=customXml/itemProps1.xml><?xml version="1.0" encoding="utf-8"?>
<ds:datastoreItem xmlns:ds="http://schemas.openxmlformats.org/officeDocument/2006/customXml" ds:itemID="{552BDFC6-27D6-403E-84EE-C4372A851D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294</Words>
  <Characters>2042</Characters>
  <Application>Microsoft Office Word</Application>
  <DocSecurity>4</DocSecurity>
  <Lines>60</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2305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2021-08-18T05:53:00Z</dcterms:created>
  <dc:creator>Ieva Kazulytė - Ramanauskienė</dc:creator>
  <lastModifiedBy>adlibuser</lastModifiedBy>
  <lastPrinted>2015-09-10T11:32:00Z</lastPrinted>
  <dcterms:modified xsi:type="dcterms:W3CDTF">2021-08-18T05:53:00Z</dcterms:modified>
  <revision>2</revision>
</coreProperties>
</file>