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3f74c50c0b554936b5816765df0d54f2"/>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rPr>
              <w:trHeight w:val="1788"/>
            </w:trP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6"/>
                    <w:szCs w:val="26"/>
                    <w:lang w:val="en-US"/>
                  </w:rPr>
                </w:pPr>
              </w:p>
              <w:p>
                <w:pPr>
                  <w:widowControl w:val="0"/>
                  <w:suppressLineNumbers/>
                  <w:suppressAutoHyphens/>
                  <w:jc w:val="center"/>
                  <w:rPr>
                    <w:rFonts w:eastAsia="Andale Sans UI" w:cs="Tahoma"/>
                    <w:b/>
                    <w:bCs/>
                    <w:spacing w:val="20"/>
                    <w:sz w:val="26"/>
                    <w:szCs w:val="26"/>
                    <w:lang w:val="en-US"/>
                  </w:rPr>
                </w:pPr>
              </w:p>
              <w:p>
                <w:pPr>
                  <w:widowControl w:val="0"/>
                  <w:suppressLineNumbers/>
                  <w:suppressAutoHyphens/>
                  <w:jc w:val="center"/>
                  <w:rPr>
                    <w:rFonts w:eastAsia="Andale Sans UI" w:cs="Tahoma"/>
                    <w:b/>
                    <w:bCs/>
                    <w:spacing w:val="20"/>
                    <w:sz w:val="26"/>
                    <w:szCs w:val="26"/>
                    <w:lang w:val="en-US"/>
                  </w:rPr>
                </w:pPr>
              </w:p>
              <w:p>
                <w:pPr>
                  <w:widowControl w:val="0"/>
                  <w:suppressLineNumbers/>
                  <w:suppressAutoHyphens/>
                  <w:jc w:val="center"/>
                  <w:rPr>
                    <w:rFonts w:eastAsia="Andale Sans UI" w:cs="Tahoma"/>
                    <w:b/>
                    <w:bCs/>
                    <w:spacing w:val="20"/>
                    <w:sz w:val="26"/>
                    <w:szCs w:val="26"/>
                    <w:lang w:val="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1B71725F" wp14:editId="6A3D6BBE">
                      <wp:extent cx="523875" cy="6191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http://www.am.lrv.lt.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trHeight w:val="148"/>
            </w:trP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LineNumbers/>
                  <w:suppressAutoHyphens/>
                  <w:rPr>
                    <w:rFonts w:eastAsia="Andale Sans UI" w:cs="Tahoma"/>
                    <w:spacing w:val="10"/>
                    <w:szCs w:val="24"/>
                    <w:lang w:bidi="en-US"/>
                  </w:rPr>
                </w:pPr>
                <w:r>
                  <w:rPr>
                    <w:rFonts w:eastAsia="Andale Sans UI" w:cs="Tahoma"/>
                    <w:spacing w:val="10"/>
                    <w:szCs w:val="24"/>
                    <w:lang w:bidi="en-US"/>
                  </w:rPr>
                  <w:t>Adresatams pagal sąrašą</w:t>
                </w:r>
              </w:p>
            </w:tc>
            <w:tc>
              <w:tcPr>
                <w:tcW w:w="282" w:type="dxa"/>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w:t>
                </w:r>
                <w:r>
                  <w:rPr>
                    <w:rFonts w:eastAsia="Andale Sans UI" w:cs="Tahoma"/>
                    <w:szCs w:val="24"/>
                    <w:lang w:val="en-US" w:bidi="en-US"/>
                  </w:rPr>
                  <w:t>21</w:t>
                </w:r>
                <w:r>
                  <w:rPr>
                    <w:rFonts w:eastAsia="Andale Sans UI" w:cs="Tahoma"/>
                    <w:szCs w:val="24"/>
                    <w:lang w:bidi="en-US"/>
                  </w:rPr>
                  <w:t>-0</w:t>
                </w:r>
                <w:r>
                  <w:rPr>
                    <w:rFonts w:eastAsia="Andale Sans UI" w:cs="Tahoma"/>
                    <w:szCs w:val="24"/>
                    <w:lang w:val="en-US" w:bidi="en-US"/>
                  </w:rPr>
                  <w:t>8</w:t>
                </w:r>
                <w:r>
                  <w:rPr>
                    <w:rFonts w:eastAsia="Andale Sans UI" w:cs="Tahoma"/>
                    <w:szCs w:val="24"/>
                    <w:lang w:bidi="en-US"/>
                  </w:rPr>
                  <w:t>-</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(17)-D8-</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p>
            </w:tc>
            <w:tc>
              <w:tcPr>
                <w:tcW w:w="2133" w:type="dxa"/>
              </w:tcPr>
              <w:p>
                <w:pPr>
                  <w:widowControl w:val="0"/>
                  <w:suppressLineNumbers/>
                  <w:suppressAutoHyphens/>
                  <w:ind w:right="67"/>
                  <w:rPr>
                    <w:rFonts w:eastAsia="Andale Sans UI" w:cs="Tahoma"/>
                    <w:szCs w:val="24"/>
                    <w:lang w:bidi="en-US"/>
                  </w:rPr>
                </w:pPr>
              </w:p>
            </w:tc>
          </w:tr>
          <w:tr>
            <w:trPr>
              <w:trHeight w:val="340"/>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szCs w:val="24"/>
                    <w:lang w:bidi="en-US"/>
                  </w:rPr>
                </w:pPr>
                <w:r>
                  <w:rPr>
                    <w:rFonts w:eastAsia="Andale Sans UI" w:cs="Tahoma"/>
                    <w:b/>
                    <w:bCs/>
                    <w:caps/>
                    <w:szCs w:val="24"/>
                    <w:lang w:bidi="en-US"/>
                  </w:rPr>
                  <w:t>DĖL Aplinkos ministro įsakymų pakeitimo PROJEKTų DERINIMO</w:t>
                </w:r>
              </w:p>
            </w:tc>
          </w:tr>
        </w:tbl>
        <w:p>
          <w:pPr>
            <w:widowControl w:val="0"/>
            <w:suppressAutoHyphens/>
            <w:ind w:firstLine="567"/>
            <w:jc w:val="both"/>
            <w:rPr>
              <w:rFonts w:eastAsia="Andale Sans UI" w:cs="Tahoma"/>
              <w:szCs w:val="24"/>
              <w:lang w:bidi="en-US"/>
            </w:rPr>
          </w:pPr>
        </w:p>
      </w:sdtContent>
    </w:sdt>
    <w:sdt>
      <w:sdtPr>
        <w:alias w:val="pastraipa"/>
        <w:tag w:val="part_85494dedc6fe44418e4fac4e6de47ac6"/>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Aplinkos ministerija parengė ir teikia derinti Lietuvos Respublikos aplinkos ministro Lietuvos Respublikos aplinkos ministro 2002 m. birželio 27 d. įsakymo Nr. 348 „Dėl Pakuočių ir pakuočių atliekų tvarkymo taisyklių patvirtinimo“ pakeitimo projektą (toliau – Pakuočių taisyklių projektas) ir Lietuvos Respublikos aplinkos ministro 2009 m. gegužės 27 d. įsakymo Nr. D1-291 „Dėl Gamintojų ir importuotojų registravimo taisyklių patvirtinimo“ pakeitimo projektą (toliau – Registravimo taisyklių projektas).</w:t>
          </w:r>
        </w:p>
      </w:sdtContent>
    </w:sdt>
    <w:sdt>
      <w:sdtPr>
        <w:alias w:val="pastraipa"/>
        <w:tag w:val="part_cddf162ada644f18b5f4dada8793164e"/>
        <w:lock w:val="sdtLocked"/>
        <w:richText/>
      </w:sdtPr>
      <w:sdtContent>
        <w:p>
          <w:pPr>
            <w:widowControl w:val="0"/>
            <w:suppressAutoHyphens/>
            <w:ind w:firstLine="567"/>
            <w:jc w:val="both"/>
            <w:rPr>
              <w:rFonts w:eastAsia="Andale Sans UI" w:cs="Tahoma"/>
              <w:szCs w:val="24"/>
              <w:lang w:bidi="en-US"/>
            </w:rPr>
          </w:pPr>
          <w:r>
            <w:rPr>
              <w:rFonts w:eastAsia="Andale Sans UI"/>
              <w:szCs w:val="24"/>
              <w:lang w:bidi="en-US"/>
            </w:rPr>
            <w:t>2021 m. liepos 7 d. Lietuvos Respublikos Vyriausybės priimtu nutarimu Nr. 548 „Dėl L</w:t>
          </w:r>
          <w:r>
            <w:rPr>
              <w:rFonts w:eastAsia="Andale Sans UI"/>
              <w:bCs/>
              <w:szCs w:val="24"/>
              <w:shd w:val="clear" w:color="auto" w:fill="FFFFFF"/>
              <w:lang w:bidi="en-US"/>
            </w:rPr>
            <w:t>ietuvos Respublikos Vyriausybės</w:t>
          </w:r>
          <w:r>
            <w:rPr>
              <w:rFonts w:eastAsia="Andale Sans UI"/>
              <w:szCs w:val="24"/>
              <w:lang w:bidi="en-US"/>
            </w:rPr>
            <w:t xml:space="preserve"> nutarimo </w:t>
          </w:r>
          <w:r>
            <w:rPr>
              <w:rFonts w:eastAsia="Andale Sans UI"/>
              <w:bCs/>
              <w:szCs w:val="24"/>
              <w:shd w:val="clear" w:color="auto" w:fill="FFFFFF"/>
              <w:lang w:bidi="en-US"/>
            </w:rPr>
            <w:t xml:space="preserve">Nr. 1168 „Dėl apmokestinamųjų gaminių ir pakuočių atliekų naudojimo ir (ar) perdirbimo užduočių patvirtinimo“ pakeitimo“, kuriame nustatoma, kad </w:t>
          </w:r>
          <w:r>
            <w:rPr>
              <w:rFonts w:eastAsia="Andale Sans UI"/>
              <w:szCs w:val="24"/>
              <w:lang w:bidi="en-US"/>
            </w:rPr>
            <w:t xml:space="preserve">metalinių pakuočių užduotis išskiriama nuo </w:t>
          </w:r>
          <w:r>
            <w:rPr>
              <w:rFonts w:eastAsia="Andale Sans UI"/>
              <w:szCs w:val="24"/>
              <w:lang w:val="en-US" w:bidi="en-US"/>
            </w:rPr>
            <w:t xml:space="preserve">2022m. </w:t>
          </w:r>
          <w:r>
            <w:rPr>
              <w:rFonts w:eastAsia="Andale Sans UI"/>
              <w:szCs w:val="24"/>
              <w:lang w:bidi="en-US"/>
            </w:rPr>
            <w:t>į užduotis metalinėms (juodųjų metalų) pakuotėms ir metalinėms (aliuminio) pakuotėms. Įvertinus, kad rinkos dalyviai nespės perorientuoti veiklos, jei įpareigojimas vykdyti atskirų rūšių metalinių pakuočių (aliuminio ir juodųjų metalų) apskaitos vykdymas bus nustatytas ataskaitinio laikotarpio viduryje, nes pakuočių atliekų tvarkymo sutartys sudaromos iš anksto, kad sutartiniai įsipareigojimai būtų vykdomi nuo kalendorinių metų pradžios ir pirmą šių metų pusmetį apskaita vykdyta ir sutvarkymą įrodantys dokumentai išrašyti pagal galiojusią tvarką, neišskiriant atskirų metalinių pakuočių rūšių, ir, norint Vieningoje gaminių, pakuočių ir atliekų apskaitos informacinėje sistemoje atskirai apskaityti aliuminio ir juodųjų metalų pakuotes, naujų rūšių alyvas (</w:t>
          </w:r>
          <w:r>
            <w:rPr>
              <w:rFonts w:eastAsia="Andale Sans UI" w:cs="Tahoma"/>
              <w:szCs w:val="24"/>
              <w:lang w:bidi="en-US"/>
            </w:rPr>
            <w:t>variklio ir pavarų dėžės alyvos, pramoninės alyvos, pramoninės alyvos (tik emulsija)</w:t>
          </w:r>
          <w:r>
            <w:rPr>
              <w:rFonts w:eastAsia="Andale Sans UI"/>
              <w:szCs w:val="24"/>
              <w:lang w:bidi="en-US"/>
            </w:rPr>
            <w:t xml:space="preserve">), būtina nupirkti paslaugas atitinkamam šios sistemos atnaujinimui (įdiegti reikiamą funkcionalumą), </w:t>
          </w:r>
          <w:r>
            <w:rPr>
              <w:rFonts w:eastAsia="Andale Sans UI" w:cs="Tahoma"/>
              <w:szCs w:val="24"/>
              <w:lang w:bidi="en-US"/>
            </w:rPr>
            <w:t>Pakuočių taisyklių projekte ir Registravimo taisyklių projekte</w:t>
          </w:r>
          <w:r>
            <w:rPr>
              <w:rFonts w:eastAsia="Andale Sans UI"/>
              <w:bCs/>
              <w:szCs w:val="24"/>
              <w:lang w:bidi="en-US"/>
            </w:rPr>
            <w:t xml:space="preserve"> (toliau – projektai) siūloma numatyti, kad </w:t>
          </w:r>
          <w:r>
            <w:rPr>
              <w:rFonts w:eastAsia="Andale Sans UI" w:cs="Tahoma"/>
              <w:szCs w:val="24"/>
              <w:lang w:bidi="en-US"/>
            </w:rPr>
            <w:t>duomenys apie</w:t>
          </w:r>
          <w:r>
            <w:rPr>
              <w:rFonts w:eastAsia="Andale Sans UI" w:cs="Tahoma"/>
              <w:bCs/>
              <w:szCs w:val="24"/>
              <w:lang w:bidi="en-US"/>
            </w:rPr>
            <w:t xml:space="preserve"> minėtas </w:t>
          </w:r>
          <w:r>
            <w:rPr>
              <w:rFonts w:eastAsia="Andale Sans UI" w:cs="Tahoma"/>
              <w:szCs w:val="24"/>
              <w:lang w:bidi="en-US"/>
            </w:rPr>
            <w:t xml:space="preserve">naujų rūšių alyvas ir metalines </w:t>
          </w:r>
          <w:r>
            <w:rPr>
              <w:rFonts w:eastAsia="Lucida Sans Unicode" w:cs="Tahoma"/>
              <w:bCs/>
              <w:color w:val="000000"/>
              <w:szCs w:val="24"/>
              <w:lang w:eastAsia="lt-LT" w:bidi="en-US"/>
            </w:rPr>
            <w:t xml:space="preserve">pakuotes (skirstant į </w:t>
          </w:r>
          <w:r>
            <w:rPr>
              <w:rFonts w:eastAsia="Andale Sans UI" w:cs="Tahoma"/>
              <w:szCs w:val="24"/>
              <w:lang w:bidi="en-US"/>
            </w:rPr>
            <w:t xml:space="preserve">juodųjų metalų ir aliuminio pakuotes) būtų teikiami </w:t>
          </w:r>
          <w:r>
            <w:rPr>
              <w:rFonts w:eastAsia="Andale Sans UI"/>
              <w:bCs/>
              <w:szCs w:val="24"/>
              <w:lang w:bidi="en-US"/>
            </w:rPr>
            <w:t>nuo 2022 m.</w:t>
          </w:r>
        </w:p>
      </w:sdtContent>
    </w:sdt>
    <w:sdt>
      <w:sdtPr>
        <w:alias w:val="pastraipa"/>
        <w:tag w:val="part_70b8695d0ff443c7bffb9017e587c629"/>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Projektų tikslas – suteikti rinkos dalyviams </w:t>
          </w:r>
          <w:r>
            <w:rPr>
              <w:rFonts w:eastAsia="Andale Sans UI" w:cs="Tahoma"/>
              <w:szCs w:val="24"/>
              <w:lang w:bidi="en-US"/>
            </w:rPr>
            <w:t>daugiau</w:t>
          </w:r>
          <w:r>
            <w:rPr>
              <w:rFonts w:eastAsia="Andale Sans UI"/>
              <w:szCs w:val="24"/>
              <w:lang w:bidi="en-US"/>
            </w:rPr>
            <w:t xml:space="preserve"> laiko prisitaikyti prie reikalavimų</w:t>
          </w:r>
          <w:r>
            <w:rPr>
              <w:rFonts w:eastAsia="Andale Sans UI" w:cs="Tahoma"/>
              <w:szCs w:val="24"/>
              <w:lang w:bidi="en-US"/>
            </w:rPr>
            <w:t xml:space="preserve"> teikti duomenis apie</w:t>
          </w:r>
          <w:r>
            <w:rPr>
              <w:rFonts w:eastAsia="Andale Sans UI" w:cs="Tahoma"/>
              <w:bCs/>
              <w:szCs w:val="24"/>
              <w:lang w:bidi="en-US"/>
            </w:rPr>
            <w:t xml:space="preserve"> </w:t>
          </w:r>
          <w:r>
            <w:rPr>
              <w:rFonts w:eastAsia="Andale Sans UI" w:cs="Tahoma"/>
              <w:szCs w:val="24"/>
              <w:lang w:bidi="en-US"/>
            </w:rPr>
            <w:t xml:space="preserve">naujų rūšių alyvas ir metalines </w:t>
          </w:r>
          <w:r>
            <w:rPr>
              <w:rFonts w:eastAsia="Lucida Sans Unicode" w:cs="Tahoma"/>
              <w:bCs/>
              <w:color w:val="000000"/>
              <w:szCs w:val="24"/>
              <w:lang w:eastAsia="lt-LT" w:bidi="en-US"/>
            </w:rPr>
            <w:t>pakuotes</w:t>
          </w:r>
          <w:r>
            <w:rPr>
              <w:rFonts w:eastAsia="Andale Sans UI"/>
              <w:szCs w:val="24"/>
              <w:lang w:bidi="en-US"/>
            </w:rPr>
            <w:t>.</w:t>
          </w:r>
        </w:p>
      </w:sdtContent>
    </w:sdt>
    <w:sdt>
      <w:sdtPr>
        <w:alias w:val="pastraipa"/>
        <w:tag w:val="part_b167e6c02796478a8f1fa16fe9c70b6e"/>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P</w:t>
          </w:r>
          <w:r>
            <w:rPr>
              <w:rFonts w:eastAsia="Andale Sans UI" w:cs="Tahoma"/>
              <w:szCs w:val="24"/>
              <w:lang w:bidi="en-US"/>
            </w:rPr>
            <w:t>akuočių taisyklių p</w:t>
          </w:r>
          <w:r>
            <w:rPr>
              <w:rFonts w:eastAsia="Andale Sans UI"/>
              <w:szCs w:val="24"/>
              <w:lang w:bidi="en-US"/>
            </w:rPr>
            <w:t>rojekte siūloma nustatyti, kad:</w:t>
          </w:r>
        </w:p>
        <w:sdt>
          <w:sdtPr>
            <w:alias w:val="1 p."/>
            <w:tag w:val="part_3bf518da6c69447e8a34d3b1b7775620"/>
            <w:lock w:val="sdtLocked"/>
            <w:richText/>
          </w:sdtPr>
          <w:sdtContent>
            <w:p>
              <w:pPr>
                <w:widowControl w:val="0"/>
                <w:suppressAutoHyphens/>
                <w:ind w:firstLine="567"/>
                <w:jc w:val="both"/>
                <w:rPr>
                  <w:rFonts w:eastAsia="Andale Sans UI" w:cs="Tahoma"/>
                  <w:bCs/>
                  <w:color w:val="000000"/>
                  <w:szCs w:val="24"/>
                  <w:lang w:eastAsia="en-GB" w:bidi="en-US"/>
                </w:rPr>
              </w:pPr>
              <w:sdt>
                <w:sdtPr>
                  <w:alias w:val="Numeris"/>
                  <w:tag w:val="nr_3bf518da6c69447e8a34d3b1b7775620"/>
                  <w:lock w:val="sdtLocked"/>
                  <w:richText/>
                </w:sdtPr>
                <w:sdtContent>
                  <w:r>
                    <w:rPr>
                      <w:rFonts w:eastAsia="Andale Sans UI"/>
                      <w:szCs w:val="24"/>
                      <w:lang w:val="en-US" w:bidi="en-US"/>
                    </w:rPr>
                    <w:t>1</w:t>
                  </w:r>
                </w:sdtContent>
              </w:sdt>
              <w:r>
                <w:rPr>
                  <w:rFonts w:eastAsia="Andale Sans UI"/>
                  <w:szCs w:val="24"/>
                  <w:lang w:val="en-US" w:bidi="en-US"/>
                </w:rPr>
                <w:t>.</w:t>
              </w:r>
              <w:r>
                <w:rPr>
                  <w:rFonts w:eastAsia="Andale Sans UI"/>
                  <w:szCs w:val="24"/>
                  <w:lang w:bidi="en-US"/>
                </w:rPr>
                <w:t xml:space="preserve"> iki 2021 m. gruodžio 31 d. vykdant pakuočių apskaitą, </w:t>
              </w:r>
              <w:r>
                <w:rPr>
                  <w:rFonts w:eastAsia="Andale Sans UI" w:cs="Tahoma"/>
                  <w:color w:val="000000"/>
                  <w:szCs w:val="24"/>
                  <w:lang w:bidi="en-US"/>
                </w:rPr>
                <w:t xml:space="preserve">visos metalinės pakuotės būtų apskaitomos kaip viena metalinių  pakuočių rūšis</w:t>
              </w:r>
              <w:r>
                <w:rPr>
                  <w:rFonts w:eastAsia="Andale Sans UI" w:cs="Tahoma"/>
                  <w:bCs/>
                  <w:color w:val="000000"/>
                  <w:szCs w:val="24"/>
                  <w:lang w:eastAsia="en-GB" w:bidi="en-US"/>
                </w:rPr>
                <w:t>;</w:t>
              </w:r>
            </w:p>
          </w:sdtContent>
        </w:sdt>
        <w:sdt>
          <w:sdtPr>
            <w:alias w:val="2 p."/>
            <w:tag w:val="part_390457ecd8c54166917360e6f5b015ba"/>
            <w:lock w:val="sdtLocked"/>
            <w:richText/>
          </w:sdtPr>
          <w:sdtContent>
            <w:p>
              <w:pPr>
                <w:widowControl w:val="0"/>
                <w:suppressAutoHyphens/>
                <w:ind w:firstLine="567"/>
                <w:jc w:val="both"/>
                <w:rPr>
                  <w:rFonts w:eastAsia="Andale Sans UI" w:cs="Tahoma"/>
                  <w:color w:val="000000"/>
                  <w:szCs w:val="24"/>
                  <w:lang w:bidi="en-US"/>
                </w:rPr>
              </w:pPr>
              <w:sdt>
                <w:sdtPr>
                  <w:alias w:val="Numeris"/>
                  <w:tag w:val="nr_390457ecd8c54166917360e6f5b015ba"/>
                  <w:lock w:val="sdtLocked"/>
                  <w:richText/>
                </w:sdtPr>
                <w:sdtContent>
                  <w:r>
                    <w:rPr>
                      <w:rFonts w:eastAsia="Andale Sans UI" w:cs="Tahoma"/>
                      <w:bCs/>
                      <w:color w:val="000000"/>
                      <w:szCs w:val="24"/>
                      <w:lang w:val="en-US" w:eastAsia="en-GB" w:bidi="en-US"/>
                    </w:rPr>
                    <w:t>2</w:t>
                  </w:r>
                </w:sdtContent>
              </w:sdt>
              <w:r>
                <w:rPr>
                  <w:rFonts w:eastAsia="Andale Sans UI" w:cs="Tahoma"/>
                  <w:bCs/>
                  <w:color w:val="000000"/>
                  <w:szCs w:val="24"/>
                  <w:lang w:val="en-US" w:eastAsia="en-GB" w:bidi="en-US"/>
                </w:rPr>
                <w:t xml:space="preserve">. </w:t>
              </w:r>
              <w:r>
                <w:rPr>
                  <w:rFonts w:eastAsia="Andale Sans UI" w:cs="Tahoma"/>
                  <w:szCs w:val="24"/>
                  <w:lang w:bidi="en-US"/>
                </w:rPr>
                <w:t xml:space="preserve">nuo 2022 m. sausio 1 d. </w:t>
              </w:r>
              <w:r>
                <w:rPr>
                  <w:rFonts w:eastAsia="Andale Sans UI"/>
                  <w:szCs w:val="24"/>
                  <w:lang w:bidi="en-US"/>
                </w:rPr>
                <w:t xml:space="preserve">vykdant </w:t>
              </w:r>
              <w:r>
                <w:rPr>
                  <w:rFonts w:eastAsia="Andale Sans UI" w:cs="Tahoma"/>
                  <w:szCs w:val="24"/>
                  <w:lang w:bidi="en-US"/>
                </w:rPr>
                <w:t xml:space="preserve">pakuočių apskaitą, </w:t>
              </w:r>
              <w:r>
                <w:rPr>
                  <w:rFonts w:eastAsia="Andale Sans UI" w:cs="Tahoma"/>
                  <w:color w:val="000000"/>
                  <w:szCs w:val="24"/>
                  <w:lang w:bidi="en-US"/>
                </w:rPr>
                <w:t>metalinės pakuotės skirstomos į metalines (</w:t>
              </w:r>
              <w:r>
                <w:rPr>
                  <w:rFonts w:eastAsia="Andale Sans UI" w:cs="Tahoma"/>
                  <w:szCs w:val="24"/>
                  <w:lang w:bidi="en-US"/>
                </w:rPr>
                <w:t>juodųjų metalų) ir metalines (aliuminio)</w:t>
              </w:r>
              <w:r>
                <w:rPr>
                  <w:rFonts w:eastAsia="Andale Sans UI" w:cs="Tahoma"/>
                  <w:color w:val="000000"/>
                  <w:szCs w:val="24"/>
                  <w:lang w:bidi="en-US"/>
                </w:rPr>
                <w:t xml:space="preserve"> pakuotes. </w:t>
              </w:r>
            </w:p>
            <w:p>
              <w:pPr>
                <w:widowControl w:val="0"/>
                <w:suppressAutoHyphens/>
                <w:ind w:firstLine="567"/>
                <w:jc w:val="both"/>
                <w:rPr>
                  <w:rFonts w:eastAsia="Andale Sans UI" w:cs="Tahoma"/>
                  <w:color w:val="000000"/>
                  <w:szCs w:val="24"/>
                  <w:lang w:bidi="en-US"/>
                </w:rPr>
              </w:pPr>
              <w:r>
                <w:rPr>
                  <w:rFonts w:eastAsia="Andale Sans UI" w:cs="Tahoma"/>
                  <w:szCs w:val="24"/>
                  <w:lang w:bidi="en-US"/>
                </w:rPr>
                <w:t xml:space="preserve">Registravimo taisyklių projekte </w:t>
              </w:r>
              <w:r>
                <w:rPr>
                  <w:rFonts w:eastAsia="Andale Sans UI"/>
                  <w:szCs w:val="24"/>
                  <w:lang w:bidi="en-US"/>
                </w:rPr>
                <w:t xml:space="preserve">siūloma nustatyti, kad registruojantis Gamintojų ir importuotojų sąvade informacija apie naujų rūšių alyvas </w:t>
              </w:r>
              <w:r>
                <w:rPr>
                  <w:rFonts w:eastAsia="Andale Sans UI" w:cs="Tahoma"/>
                  <w:szCs w:val="24"/>
                  <w:lang w:bidi="en-US"/>
                </w:rPr>
                <w:t xml:space="preserve">teikiama nuo </w:t>
              </w:r>
              <w:r>
                <w:rPr>
                  <w:rFonts w:eastAsia="Andale Sans UI"/>
                  <w:bCs/>
                  <w:szCs w:val="24"/>
                  <w:lang w:bidi="en-US"/>
                </w:rPr>
                <w:t xml:space="preserve">2022 m. sausio </w:t>
              </w:r>
              <w:r>
                <w:rPr>
                  <w:rFonts w:eastAsia="Andale Sans UI"/>
                  <w:bCs/>
                  <w:szCs w:val="24"/>
                  <w:lang w:val="en-US" w:bidi="en-US"/>
                </w:rPr>
                <w:t>1 d.</w:t>
              </w:r>
            </w:p>
            <w:p>
              <w:pPr>
                <w:ind w:firstLine="567"/>
                <w:jc w:val="both"/>
                <w:rPr>
                  <w:rFonts w:eastAsia="Andale Sans UI"/>
                  <w:szCs w:val="24"/>
                  <w:lang w:eastAsia="lt-LT"/>
                </w:rPr>
              </w:pPr>
              <w:r>
                <w:rPr>
                  <w:rFonts w:eastAsia="Andale Sans UI"/>
                  <w:szCs w:val="24"/>
                  <w:lang w:eastAsia="lt-LT"/>
                </w:rPr>
                <w:t>Projektai neprieštarauja Vyriausybės programai.</w:t>
              </w:r>
            </w:p>
            <w:p>
              <w:pPr>
                <w:ind w:firstLine="567"/>
                <w:jc w:val="both"/>
                <w:rPr>
                  <w:color w:val="000000"/>
                  <w:szCs w:val="24"/>
                  <w:lang w:eastAsia="lt-LT"/>
                </w:rPr>
              </w:pPr>
              <w:r>
                <w:rPr>
                  <w:color w:val="000000"/>
                  <w:szCs w:val="24"/>
                  <w:lang w:eastAsia="lt-LT"/>
                </w:rPr>
                <w:t>Projektai nenotifikuotini Europos Komisijai pagal Lietuvos Respublikos Vyriausybės 1999 m. gegužės 20 d. nutarimo Nr. 617 „Dėl Informacijos apie techninius reglamentus ir atitikties įvertinimo procedūras teikimo taisyklių patvirtinimo“ reikalavimus.</w:t>
              </w:r>
            </w:p>
            <w:p>
              <w:pPr>
                <w:widowControl w:val="0"/>
                <w:shd w:val="clear" w:color="auto" w:fill="FFFFFF"/>
                <w:suppressAutoHyphens/>
                <w:ind w:firstLine="567"/>
                <w:jc w:val="both"/>
                <w:textAlignment w:val="center"/>
                <w:rPr>
                  <w:rFonts w:eastAsia="Andale Sans UI" w:cs="Tahoma"/>
                  <w:szCs w:val="24"/>
                  <w:lang w:bidi="en-US"/>
                </w:rPr>
              </w:pPr>
              <w:r>
                <w:rPr>
                  <w:rFonts w:eastAsia="Andale Sans UI" w:cs="Tahoma"/>
                  <w:szCs w:val="24"/>
                  <w:lang w:bidi="en-US"/>
                </w:rPr>
                <w:t>Priėmus projektus, keisti ar priimti naujų teisės aktų nereikės.</w:t>
              </w:r>
            </w:p>
            <w:p>
              <w:pPr>
                <w:widowControl w:val="0"/>
                <w:shd w:val="clear" w:color="auto" w:fill="FFFFFF"/>
                <w:suppressAutoHyphens/>
                <w:ind w:firstLine="567"/>
                <w:jc w:val="both"/>
                <w:textAlignment w:val="center"/>
                <w:rPr>
                  <w:rFonts w:eastAsia="Andale Sans UI" w:cs="Tahoma"/>
                  <w:szCs w:val="24"/>
                  <w:lang w:bidi="en-US"/>
                </w:rPr>
              </w:pPr>
              <w:r>
                <w:rPr>
                  <w:rFonts w:eastAsia="Andale Sans UI" w:cs="Tahoma"/>
                  <w:szCs w:val="24"/>
                  <w:lang w:bidi="en-US"/>
                </w:rPr>
                <w:t>Projektuose sąvokos neįtvirtinamos.</w:t>
              </w:r>
            </w:p>
            <w:p>
              <w:pPr>
                <w:widowControl w:val="0"/>
                <w:shd w:val="clear" w:color="auto" w:fill="FFFFFF"/>
                <w:suppressAutoHyphens/>
                <w:ind w:firstLine="567"/>
                <w:jc w:val="both"/>
                <w:textAlignment w:val="center"/>
                <w:rPr>
                  <w:szCs w:val="24"/>
                  <w:lang w:eastAsia="lt-LT"/>
                </w:rPr>
              </w:pPr>
              <w:r>
                <w:rPr>
                  <w:rFonts w:eastAsia="Andale Sans UI" w:cs="Tahoma"/>
                  <w:szCs w:val="24"/>
                  <w:lang w:bidi="en-US"/>
                </w:rPr>
                <w:t>Projektai</w:t>
              </w:r>
              <w:r>
                <w:rPr>
                  <w:szCs w:val="24"/>
                  <w:lang w:eastAsia="lt-LT"/>
                </w:rPr>
                <w:t xml:space="preserve"> paskelbti Seimo Teisės aktų informacinėje sistemoje (TAIS),</w:t>
              </w:r>
              <w:r>
                <w:rPr>
                  <w:rFonts w:eastAsia="Andale Sans UI" w:cs="Tahoma"/>
                  <w:szCs w:val="24"/>
                  <w:lang w:bidi="en-US"/>
                </w:rPr>
                <w:t xml:space="preserve"> kur su jais gali susipažinti suinteresuotos institucijos ir visuomenė</w:t>
              </w:r>
              <w:r>
                <w:rPr>
                  <w:szCs w:val="24"/>
                  <w:lang w:eastAsia="lt-LT"/>
                </w:rPr>
                <w:t xml:space="preserve">. </w:t>
              </w:r>
            </w:p>
            <w:p>
              <w:pPr>
                <w:widowControl w:val="0"/>
                <w:suppressAutoHyphens/>
                <w:ind w:firstLine="567"/>
                <w:jc w:val="both"/>
                <w:rPr>
                  <w:rFonts w:eastAsia="Andale Sans UI" w:cs="Tahoma"/>
                  <w:szCs w:val="24"/>
                  <w:lang w:bidi="en-US"/>
                </w:rPr>
              </w:pPr>
              <w:r>
                <w:rPr>
                  <w:rFonts w:eastAsia="Andale Sans UI" w:cs="Tahoma"/>
                  <w:szCs w:val="24"/>
                  <w:lang w:bidi="en-US"/>
                </w:rPr>
                <w:t>Pastabas ir pasiūlymus projektams prašome pateikti per 5 darbo dienas po jų paskelbimo TAIS. Per nustatytą laiką negavę pastabų ir pasiūlymų, laikysime, kad pastabų ir pasiūlymų projektams neturite.</w:t>
              </w:r>
            </w:p>
            <w:p>
              <w:pPr>
                <w:widowControl w:val="0"/>
                <w:shd w:val="clear" w:color="auto" w:fill="FFFFFF"/>
                <w:suppressAutoHyphens/>
                <w:ind w:firstLine="567"/>
                <w:jc w:val="both"/>
                <w:textAlignment w:val="center"/>
                <w:rPr>
                  <w:szCs w:val="24"/>
                  <w:lang w:eastAsia="lt-LT"/>
                </w:rPr>
              </w:pPr>
              <w:r>
                <w:rPr>
                  <w:szCs w:val="24"/>
                  <w:lang w:eastAsia="lt-LT"/>
                </w:rPr>
                <w:t>Atsižvelgiant į tai</w:t>
              </w:r>
              <w:r>
                <w:rPr>
                  <w:rFonts w:cs="Tahoma"/>
                  <w:color w:val="174E86"/>
                  <w:szCs w:val="24"/>
                  <w:lang w:eastAsia="lt-LT" w:bidi="en-US"/>
                </w:rPr>
                <w:t xml:space="preserve">, </w:t>
              </w:r>
              <w:r>
                <w:rPr>
                  <w:rFonts w:cs="Tahoma"/>
                  <w:szCs w:val="24"/>
                  <w:lang w:eastAsia="lt-LT" w:bidi="en-US"/>
                </w:rPr>
                <w:t>kad teikiami derinti labai mažos apimties projektai ir būtina neatidėliojant patvirtinti vėlesnį naujų reikalavimų įsigaliojimą</w:t>
              </w:r>
              <w:r>
                <w:rPr>
                  <w:szCs w:val="24"/>
                  <w:lang w:eastAsia="lt-LT"/>
                </w:rPr>
                <w:t xml:space="preserve">, prašome ne vėliau kaip per </w:t>
              </w:r>
              <w:r>
                <w:rPr>
                  <w:b/>
                  <w:szCs w:val="24"/>
                  <w:lang w:eastAsia="lt-LT"/>
                </w:rPr>
                <w:t xml:space="preserve">5 darbo dienas </w:t>
              </w:r>
              <w:r>
                <w:rPr>
                  <w:rFonts w:eastAsia="Andale Sans UI" w:cs="Tahoma"/>
                  <w:szCs w:val="24"/>
                  <w:lang w:bidi="en-US"/>
                </w:rPr>
                <w:t>nuo paskelbimo TAIS, pagal kompetenciją</w:t>
              </w:r>
              <w:r>
                <w:rPr>
                  <w:szCs w:val="24"/>
                  <w:lang w:eastAsia="lt-LT"/>
                </w:rPr>
                <w:t xml:space="preserve"> išnagrinėti projektus bei pateikti pastabas ir pasiūlymus. </w:t>
              </w:r>
              <w:r>
                <w:rPr>
                  <w:rFonts w:eastAsia="Andale Sans UI" w:cs="Tahoma"/>
                  <w:szCs w:val="24"/>
                  <w:lang w:bidi="en-US"/>
                </w:rPr>
                <w:t xml:space="preserve">Per nurodytą terminą negavę pastabų ir pasiūlymų, laikysime, kad pastabų ir pasiūlymų </w:t>
              </w:r>
              <w:r>
                <w:rPr>
                  <w:rFonts w:eastAsia="Andale Sans UI"/>
                  <w:szCs w:val="24"/>
                  <w:lang w:bidi="en-US"/>
                </w:rPr>
                <w:t>projektams</w:t>
              </w:r>
              <w:r>
                <w:rPr>
                  <w:rFonts w:eastAsia="Andale Sans UI" w:cs="Tahoma"/>
                  <w:szCs w:val="24"/>
                  <w:lang w:bidi="en-US"/>
                </w:rPr>
                <w:t xml:space="preserve"> neturite.</w:t>
              </w:r>
            </w:p>
            <w:p>
              <w:pPr>
                <w:widowControl w:val="0"/>
                <w:shd w:val="clear" w:color="auto" w:fill="FFFFFF"/>
                <w:suppressAutoHyphens/>
                <w:ind w:firstLine="567"/>
                <w:jc w:val="both"/>
                <w:textAlignment w:val="center"/>
                <w:rPr>
                  <w:rFonts w:eastAsia="Andale Sans UI" w:cs="Tahoma"/>
                  <w:szCs w:val="24"/>
                  <w:lang w:bidi="en-US"/>
                </w:rPr>
              </w:pPr>
              <w:r>
                <w:rPr>
                  <w:rFonts w:eastAsia="Andale Sans UI" w:cs="Tahoma"/>
                  <w:szCs w:val="24"/>
                  <w:lang w:bidi="en-US"/>
                </w:rPr>
                <w:t xml:space="preserve">Projektus parengė </w:t>
              </w:r>
              <w:r>
                <w:rPr>
                  <w:rFonts w:eastAsia="Andale Sans UI"/>
                  <w:szCs w:val="24"/>
                  <w:lang w:bidi="en-US"/>
                </w:rPr>
                <w:t xml:space="preserve">Aplinkos ministerijos Atliekų politikos grupės </w:t>
              </w:r>
              <w:r>
                <w:rPr>
                  <w:rFonts w:eastAsia="Andale Sans UI" w:cs="Tahoma"/>
                  <w:color w:val="000000"/>
                  <w:szCs w:val="24"/>
                  <w:lang w:bidi="en-US"/>
                </w:rPr>
                <w:t xml:space="preserve">(vadovė Vilma Slavinskienė, tel. 8 698 75027) vyriausioji specialistė Ieva Ramanauskienė (tel. </w:t>
              </w:r>
              <w:r>
                <w:rPr>
                  <w:szCs w:val="24"/>
                  <w:lang w:eastAsia="lt-LT"/>
                </w:rPr>
                <w:t>8 696 49647, el. p. ieva.ramanauskiene@am.lt</w:t>
              </w:r>
              <w:r>
                <w:rPr>
                  <w:rFonts w:eastAsia="Andale Sans UI" w:cs="Tahoma"/>
                  <w:szCs w:val="24"/>
                  <w:lang w:bidi="en-US"/>
                </w:rPr>
                <w:t>.</w:t>
              </w:r>
            </w:p>
            <w:p>
              <w:pPr>
                <w:widowControl w:val="0"/>
                <w:suppressAutoHyphens/>
                <w:ind w:firstLine="567"/>
                <w:jc w:val="both"/>
                <w:rPr>
                  <w:rFonts w:eastAsia="Andale Sans UI" w:cs="Tahoma"/>
                  <w:szCs w:val="24"/>
                  <w:lang w:bidi="en-US"/>
                </w:rPr>
              </w:pPr>
              <w:r>
                <w:rPr>
                  <w:rFonts w:eastAsia="Andale Sans UI" w:cs="Tahoma"/>
                  <w:szCs w:val="24"/>
                  <w:lang w:bidi="en-US"/>
                </w:rPr>
                <w:t>PRIDEDAMA:</w:t>
              </w:r>
            </w:p>
          </w:sdtContent>
        </w:sdt>
        <w:sdt>
          <w:sdtPr>
            <w:alias w:val="1 p."/>
            <w:tag w:val="part_a7b0a2ae09984537aba27d715586ae6b"/>
            <w:lock w:val="sdtLocked"/>
            <w:richText/>
          </w:sdtPr>
          <w:sdtContent>
            <w:p>
              <w:pPr>
                <w:widowControl w:val="0"/>
                <w:suppressAutoHyphens/>
                <w:ind w:firstLine="567"/>
                <w:jc w:val="both"/>
                <w:rPr>
                  <w:rFonts w:eastAsia="Andale Sans UI" w:cs="Tahoma"/>
                  <w:szCs w:val="24"/>
                  <w:lang w:bidi="en-US"/>
                </w:rPr>
              </w:pPr>
              <w:sdt>
                <w:sdtPr>
                  <w:alias w:val="Numeris"/>
                  <w:tag w:val="nr_a7b0a2ae09984537aba27d715586ae6b"/>
                  <w:lock w:val="sdtLocked"/>
                  <w:richText/>
                </w:sdtPr>
                <w:sdtContent>
                  <w:r>
                    <w:rPr>
                      <w:rFonts w:eastAsia="Andale Sans UI" w:cs="Tahoma"/>
                      <w:szCs w:val="24"/>
                      <w:lang w:bidi="en-US"/>
                    </w:rPr>
                    <w:t>1</w:t>
                  </w:r>
                </w:sdtContent>
              </w:sdt>
              <w:r>
                <w:rPr>
                  <w:rFonts w:eastAsia="Andale Sans UI" w:cs="Tahoma"/>
                  <w:szCs w:val="24"/>
                  <w:lang w:bidi="en-US"/>
                </w:rPr>
                <w:t>.</w:t>
                <w:tab/>
                <w:t xml:space="preserve">Pakuočių taisyklių  p</w:t>
              </w:r>
              <w:r>
                <w:rPr>
                  <w:rFonts w:eastAsia="Andale Sans UI" w:cs="Tahoma"/>
                  <w:bCs/>
                  <w:szCs w:val="24"/>
                  <w:lang w:bidi="en-US"/>
                </w:rPr>
                <w:t>rojektas, 1 lapas.</w:t>
              </w:r>
            </w:p>
          </w:sdtContent>
        </w:sdt>
        <w:sdt>
          <w:sdtPr>
            <w:alias w:val="2 p."/>
            <w:tag w:val="part_fcf9bb4c5a2b4902af790901c63d9abe"/>
            <w:lock w:val="sdtLocked"/>
            <w:richText/>
          </w:sdtPr>
          <w:sdtContent>
            <w:p>
              <w:pPr>
                <w:widowControl w:val="0"/>
                <w:suppressAutoHyphens/>
                <w:ind w:firstLine="567"/>
                <w:jc w:val="both"/>
                <w:rPr>
                  <w:rFonts w:eastAsia="Andale Sans UI" w:cs="Tahoma"/>
                  <w:szCs w:val="24"/>
                  <w:lang w:bidi="en-US"/>
                </w:rPr>
              </w:pPr>
              <w:sdt>
                <w:sdtPr>
                  <w:alias w:val="Numeris"/>
                  <w:tag w:val="nr_fcf9bb4c5a2b4902af790901c63d9abe"/>
                  <w:lock w:val="sdtLocked"/>
                  <w:richText/>
                </w:sdtPr>
                <w:sdtContent>
                  <w:r>
                    <w:rPr>
                      <w:rFonts w:eastAsia="Andale Sans UI" w:cs="Tahoma"/>
                      <w:szCs w:val="24"/>
                      <w:lang w:bidi="en-US"/>
                    </w:rPr>
                    <w:t>2</w:t>
                  </w:r>
                </w:sdtContent>
              </w:sdt>
              <w:r>
                <w:rPr>
                  <w:rFonts w:eastAsia="Andale Sans UI" w:cs="Tahoma"/>
                  <w:szCs w:val="24"/>
                  <w:lang w:bidi="en-US"/>
                </w:rPr>
                <w:t>.</w:t>
                <w:tab/>
                <w:t>Pakuočių taisyklių projekto lyginamasis, 1 lapas.</w:t>
              </w:r>
            </w:p>
          </w:sdtContent>
        </w:sdt>
        <w:sdt>
          <w:sdtPr>
            <w:alias w:val="3 p."/>
            <w:tag w:val="part_e8581aa87bdb4a479280cf074aac6cbb"/>
            <w:lock w:val="sdtLocked"/>
            <w:richText/>
          </w:sdtPr>
          <w:sdtContent>
            <w:p>
              <w:pPr>
                <w:widowControl w:val="0"/>
                <w:suppressAutoHyphens/>
                <w:ind w:firstLine="567"/>
                <w:jc w:val="both"/>
                <w:rPr>
                  <w:rFonts w:eastAsia="Andale Sans UI" w:cs="Tahoma"/>
                  <w:szCs w:val="24"/>
                  <w:lang w:bidi="en-US"/>
                </w:rPr>
              </w:pPr>
              <w:sdt>
                <w:sdtPr>
                  <w:alias w:val="Numeris"/>
                  <w:tag w:val="nr_e8581aa87bdb4a479280cf074aac6cbb"/>
                  <w:lock w:val="sdtLocked"/>
                  <w:richText/>
                </w:sdtPr>
                <w:sdtContent>
                  <w:r>
                    <w:rPr>
                      <w:rFonts w:eastAsia="Andale Sans UI" w:cs="Tahoma"/>
                      <w:szCs w:val="24"/>
                      <w:lang w:bidi="en-US"/>
                    </w:rPr>
                    <w:t>3</w:t>
                  </w:r>
                </w:sdtContent>
              </w:sdt>
              <w:r>
                <w:rPr>
                  <w:rFonts w:eastAsia="Andale Sans UI" w:cs="Tahoma"/>
                  <w:szCs w:val="24"/>
                  <w:lang w:bidi="en-US"/>
                </w:rPr>
                <w:t>.</w:t>
                <w:tab/>
                <w:t>Registravimo taisyklių projektas, 1 lapas.</w:t>
              </w:r>
            </w:p>
          </w:sdtContent>
        </w:sdt>
        <w:sdt>
          <w:sdtPr>
            <w:alias w:val="4 p."/>
            <w:tag w:val="part_34a9d216213742baad08716378c7dcec"/>
            <w:lock w:val="sdtLocked"/>
            <w:richText/>
          </w:sdtPr>
          <w:sdtContent>
            <w:p>
              <w:pPr>
                <w:widowControl w:val="0"/>
                <w:suppressAutoHyphens/>
                <w:ind w:firstLine="567"/>
                <w:jc w:val="both"/>
                <w:rPr>
                  <w:rFonts w:eastAsia="Andale Sans UI" w:cs="Tahoma"/>
                  <w:szCs w:val="28"/>
                  <w:lang w:bidi="en-US"/>
                </w:rPr>
              </w:pPr>
              <w:sdt>
                <w:sdtPr>
                  <w:alias w:val="Numeris"/>
                  <w:tag w:val="nr_34a9d216213742baad08716378c7dcec"/>
                  <w:lock w:val="sdtLocked"/>
                  <w:richText/>
                </w:sdtPr>
                <w:sdtContent>
                  <w:r>
                    <w:rPr>
                      <w:rFonts w:eastAsia="Andale Sans UI" w:cs="Tahoma"/>
                      <w:szCs w:val="24"/>
                      <w:lang w:bidi="en-US"/>
                    </w:rPr>
                    <w:t>4</w:t>
                  </w:r>
                </w:sdtContent>
              </w:sdt>
              <w:r>
                <w:rPr>
                  <w:rFonts w:eastAsia="Andale Sans UI" w:cs="Tahoma"/>
                  <w:szCs w:val="24"/>
                  <w:lang w:bidi="en-US"/>
                </w:rPr>
                <w:t>.</w:t>
                <w:tab/>
                <w:t xml:space="preserve">Registravimo taisyklių </w:t>
              </w:r>
              <w:r>
                <w:rPr>
                  <w:rFonts w:eastAsia="Andale Sans UI" w:cs="Tahoma"/>
                  <w:szCs w:val="28"/>
                  <w:lang w:bidi="en-US"/>
                </w:rPr>
                <w:t>projekto lyginamasis, 1 lapas.</w:t>
              </w:r>
            </w:p>
          </w:sdtContent>
        </w:sdt>
        <w:sdt>
          <w:sdtPr>
            <w:alias w:val="5 p."/>
            <w:tag w:val="part_4e329075050b41da876fe4ee4ae1de52"/>
            <w:lock w:val="sdtLocked"/>
            <w:richText/>
          </w:sdtPr>
          <w:sdtContent>
            <w:p>
              <w:pPr>
                <w:widowControl w:val="0"/>
                <w:suppressAutoHyphens/>
                <w:ind w:firstLine="567"/>
                <w:jc w:val="both"/>
                <w:rPr>
                  <w:rFonts w:eastAsia="Andale Sans UI" w:cs="Tahoma"/>
                  <w:szCs w:val="28"/>
                  <w:lang w:bidi="en-US"/>
                </w:rPr>
              </w:pPr>
              <w:sdt>
                <w:sdtPr>
                  <w:alias w:val="Numeris"/>
                  <w:tag w:val="nr_4e329075050b41da876fe4ee4ae1de52"/>
                  <w:lock w:val="sdtLocked"/>
                  <w:richText/>
                </w:sdtPr>
                <w:sdtContent>
                  <w:r>
                    <w:rPr>
                      <w:rFonts w:eastAsia="Andale Sans UI" w:cs="Tahoma"/>
                      <w:szCs w:val="24"/>
                      <w:lang w:bidi="en-US"/>
                    </w:rPr>
                    <w:t>5</w:t>
                  </w:r>
                </w:sdtContent>
              </w:sdt>
              <w:r>
                <w:rPr>
                  <w:rFonts w:eastAsia="Andale Sans UI" w:cs="Tahoma"/>
                  <w:szCs w:val="24"/>
                  <w:lang w:bidi="en-US"/>
                </w:rPr>
                <w:t>.</w:t>
                <w:tab/>
              </w:r>
              <w:r>
                <w:rPr>
                  <w:rFonts w:eastAsia="Andale Sans UI" w:cs="Tahoma"/>
                  <w:bCs/>
                  <w:szCs w:val="28"/>
                  <w:lang w:bidi="en-US"/>
                </w:rPr>
                <w:t>Numatomo teisinio reguliavimo poveikio vertinimo pažyma, 1 lapas.</w:t>
              </w:r>
            </w:p>
          </w:sdtContent>
        </w:sdt>
        <w:sdt>
          <w:sdtPr>
            <w:alias w:val="6 p."/>
            <w:tag w:val="part_1988744f2182472fa111050b8fbaf819"/>
            <w:lock w:val="sdtLocked"/>
            <w:richText/>
          </w:sdtPr>
          <w:sdtContent>
            <w:p>
              <w:pPr>
                <w:widowControl w:val="0"/>
                <w:suppressAutoHyphens/>
                <w:ind w:firstLine="567"/>
                <w:jc w:val="both"/>
                <w:rPr>
                  <w:rFonts w:eastAsia="Andale Sans UI" w:cs="Tahoma"/>
                  <w:szCs w:val="28"/>
                  <w:lang w:bidi="en-US"/>
                </w:rPr>
              </w:pPr>
              <w:sdt>
                <w:sdtPr>
                  <w:alias w:val="Numeris"/>
                  <w:tag w:val="nr_1988744f2182472fa111050b8fbaf819"/>
                  <w:lock w:val="sdtLocked"/>
                  <w:richText/>
                </w:sdtPr>
                <w:sdtContent>
                  <w:r>
                    <w:rPr>
                      <w:rFonts w:eastAsia="Andale Sans UI" w:cs="Tahoma"/>
                      <w:szCs w:val="24"/>
                      <w:lang w:bidi="en-US"/>
                    </w:rPr>
                    <w:t>6</w:t>
                  </w:r>
                </w:sdtContent>
              </w:sdt>
              <w:r>
                <w:rPr>
                  <w:rFonts w:eastAsia="Andale Sans UI" w:cs="Tahoma"/>
                  <w:szCs w:val="24"/>
                  <w:lang w:bidi="en-US"/>
                </w:rPr>
                <w:t>.</w:t>
                <w:tab/>
              </w:r>
              <w:r>
                <w:rPr>
                  <w:rFonts w:eastAsia="Andale Sans UI" w:cs="Tahoma"/>
                  <w:bCs/>
                  <w:szCs w:val="28"/>
                  <w:lang w:bidi="en-US"/>
                </w:rPr>
                <w:t xml:space="preserve">Komisijos įgyvendinimo sprendimo (ES) 2019/1044 ir </w:t>
              </w:r>
              <w:r>
                <w:rPr>
                  <w:rFonts w:eastAsia="Andale Sans UI" w:cs="Tahoma"/>
                  <w:szCs w:val="28"/>
                  <w:lang w:bidi="en-US"/>
                </w:rPr>
                <w:t>Lietuvos Respublikos aplinkos ministro 2009 m. gegužės 27 d. įsakymo Nr. D1-291 atitikties lentelė, 1 lapas.</w:t>
              </w:r>
            </w:p>
          </w:sdtContent>
        </w:sdt>
        <w:sdt>
          <w:sdtPr>
            <w:alias w:val="7 p."/>
            <w:tag w:val="part_ff7f0a4a72fa4031a7b3cf9abbed5f3e"/>
            <w:lock w:val="sdtLocked"/>
            <w:richText/>
          </w:sdtPr>
          <w:sdtContent>
            <w:p>
              <w:pPr>
                <w:widowControl w:val="0"/>
                <w:suppressAutoHyphens/>
                <w:ind w:firstLine="567"/>
                <w:jc w:val="both"/>
                <w:rPr>
                  <w:rFonts w:eastAsia="Andale Sans UI" w:cs="Tahoma"/>
                  <w:sz w:val="28"/>
                  <w:szCs w:val="28"/>
                  <w:lang w:bidi="en-US"/>
                </w:rPr>
              </w:pPr>
              <w:sdt>
                <w:sdtPr>
                  <w:alias w:val="Numeris"/>
                  <w:tag w:val="nr_ff7f0a4a72fa4031a7b3cf9abbed5f3e"/>
                  <w:lock w:val="sdtLocked"/>
                  <w:richText/>
                </w:sdtPr>
                <w:sdtContent>
                  <w:r>
                    <w:rPr>
                      <w:rFonts w:eastAsia="Andale Sans UI" w:cs="Tahoma"/>
                      <w:szCs w:val="24"/>
                      <w:lang w:bidi="en-US"/>
                    </w:rPr>
                    <w:t>7</w:t>
                  </w:r>
                </w:sdtContent>
              </w:sdt>
              <w:r>
                <w:rPr>
                  <w:rFonts w:eastAsia="Andale Sans UI" w:cs="Tahoma"/>
                  <w:szCs w:val="24"/>
                  <w:lang w:bidi="en-US"/>
                </w:rPr>
                <w:t>.</w:t>
                <w:tab/>
              </w:r>
              <w:r>
                <w:rPr>
                  <w:rFonts w:eastAsia="Andale Sans UI" w:cs="Tahoma"/>
                  <w:szCs w:val="22"/>
                  <w:lang w:bidi="en-US"/>
                </w:rPr>
                <w:t xml:space="preserve">Europos Parlamento ir Tarybos direktyvos (ES) 2018/852 ir </w:t>
              </w:r>
              <w:r>
                <w:rPr>
                  <w:rFonts w:eastAsia="Andale Sans UI" w:cs="Tahoma"/>
                  <w:szCs w:val="24"/>
                  <w:lang w:bidi="en-US"/>
                </w:rPr>
                <w:t>Lietuvos Respublikos aplinkos ministro 2002 m. birželio 27 d. įsakymo Nr. 348 atitikties lentelė, 1 lapas.</w:t>
              </w:r>
            </w:p>
            <w:p>
              <w:pPr>
                <w:widowControl w:val="0"/>
                <w:tabs>
                  <w:tab w:val="left" w:pos="567"/>
                  <w:tab w:val="left" w:pos="851"/>
                </w:tabs>
                <w:suppressAutoHyphens/>
                <w:spacing w:line="276" w:lineRule="auto"/>
                <w:jc w:val="both"/>
                <w:rPr>
                  <w:rFonts w:eastAsia="Andale Sans UI" w:cs="Tahoma"/>
                  <w:szCs w:val="24"/>
                  <w:lang w:bidi="en-US"/>
                </w:rPr>
              </w:pPr>
            </w:p>
            <w:p>
              <w:pPr>
                <w:widowControl w:val="0"/>
                <w:tabs>
                  <w:tab w:val="left" w:pos="567"/>
                  <w:tab w:val="left" w:pos="851"/>
                </w:tabs>
                <w:suppressAutoHyphens/>
                <w:spacing w:line="276" w:lineRule="auto"/>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14"/>
              </w:tblGrid>
              <w:tr>
                <w:trPr>
                  <w:trHeight w:val="340"/>
                </w:trPr>
                <w:tc>
                  <w:tcPr>
                    <w:tcW w:w="4817" w:type="dxa"/>
                    <w:vAlign w:val="bottom"/>
                  </w:tcPr>
                  <w:p>
                    <w:pPr>
                      <w:widowControl w:val="0"/>
                      <w:suppressLineNumbers/>
                      <w:suppressAutoHyphens/>
                      <w:rPr>
                        <w:rFonts w:eastAsia="Andale Sans UI" w:cs="Tahoma"/>
                        <w:szCs w:val="24"/>
                        <w:lang w:bidi="en-US"/>
                      </w:rPr>
                    </w:pPr>
                    <w:r>
                      <w:rPr>
                        <w:rFonts w:eastAsia="Andale Sans UI" w:cs="Tahoma"/>
                        <w:szCs w:val="24"/>
                        <w:lang w:bidi="en-US"/>
                      </w:rPr>
                      <w:t>Aplinkos viceministrė</w:t>
                    </w:r>
                  </w:p>
                </w:tc>
                <w:tc>
                  <w:tcPr>
                    <w:tcW w:w="4814" w:type="dxa"/>
                    <w:vAlign w:val="bottom"/>
                  </w:tcPr>
                  <w:p>
                    <w:pPr>
                      <w:widowControl w:val="0"/>
                      <w:suppressAutoHyphens/>
                      <w:ind w:right="34"/>
                      <w:jc w:val="right"/>
                      <w:rPr>
                        <w:rFonts w:eastAsia="Andale Sans UI" w:cs="Tahoma"/>
                        <w:szCs w:val="24"/>
                        <w:lang w:bidi="en-US"/>
                      </w:rPr>
                    </w:pPr>
                    <w:r>
                      <w:rPr>
                        <w:rFonts w:eastAsia="Andale Sans UI" w:cs="Tahoma"/>
                        <w:szCs w:val="24"/>
                        <w:lang w:bidi="en-US"/>
                      </w:rPr>
                      <w:t>Raminta Radavičienė</w:t>
                    </w:r>
                  </w:p>
                </w:tc>
              </w:tr>
            </w:tbl>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widowControl w:val="0"/>
                <w:suppressLineNumbers/>
                <w:suppressAutoHyphens/>
                <w:snapToGrid w:val="0"/>
                <w:rPr>
                  <w:rFonts w:eastAsia="Andale Sans UI" w:cs="Tahoma"/>
                  <w:szCs w:val="24"/>
                  <w:lang w:eastAsia="ar-SA" w:bidi="en-US"/>
                </w:rPr>
              </w:pPr>
            </w:p>
            <w:p>
              <w:pPr>
                <w:rPr>
                  <w:rFonts w:eastAsia="Andale Sans UI" w:cs="Tahoma"/>
                  <w:sz w:val="23"/>
                  <w:szCs w:val="23"/>
                  <w:lang w:bidi="en-US"/>
                </w:rPr>
              </w:pPr>
              <w:r>
                <w:rPr>
                  <w:rFonts w:eastAsia="Andale Sans UI" w:cs="Tahoma"/>
                  <w:szCs w:val="24"/>
                  <w:lang w:bidi="en-US"/>
                </w:rPr>
                <w:t xml:space="preserve">I. Ramanauskienė, </w:t>
              </w:r>
              <w:r>
                <w:rPr>
                  <w:szCs w:val="24"/>
                  <w:lang w:eastAsia="lt-LT"/>
                </w:rPr>
                <w:t>8 696 49 647</w:t>
              </w:r>
              <w:r>
                <w:rPr>
                  <w:rFonts w:eastAsia="Andale Sans UI" w:cs="Tahoma"/>
                  <w:szCs w:val="24"/>
                  <w:lang w:bidi="en-US"/>
                </w:rPr>
                <w:t xml:space="preserve">, el. p. </w:t>
              </w:r>
              <w:r>
                <w:rPr>
                  <w:szCs w:val="24"/>
                  <w:lang w:eastAsia="lt-LT"/>
                </w:rPr>
                <w:t>ieva.ramanauskiene@am.lt</w:t>
              </w:r>
            </w:p>
            <w:p>
              <w:pPr>
                <w:widowControl w:val="0"/>
                <w:suppressLineNumbers/>
                <w:suppressAutoHyphens/>
                <w:snapToGrid w:val="0"/>
                <w:rPr>
                  <w:rFonts w:eastAsia="Andale Sans UI" w:cs="Tahoma"/>
                  <w:b/>
                  <w:szCs w:val="24"/>
                  <w:lang w:bidi="en-US"/>
                </w:rPr>
              </w:pPr>
            </w:p>
            <w:p>
              <w:pPr>
                <w:widowControl w:val="0"/>
                <w:suppressLineNumbers/>
                <w:suppressAutoHyphens/>
                <w:snapToGrid w:val="0"/>
                <w:rPr>
                  <w:rFonts w:eastAsia="Andale Sans UI" w:cs="Tahoma"/>
                  <w:b/>
                  <w:szCs w:val="24"/>
                  <w:lang w:bidi="en-US"/>
                </w:rPr>
              </w:pPr>
              <w:r>
                <w:rPr>
                  <w:rFonts w:eastAsia="Andale Sans UI" w:cs="Tahoma"/>
                  <w:b/>
                  <w:szCs w:val="24"/>
                  <w:lang w:bidi="en-US"/>
                </w:rPr>
                <w:t>Adresatų sąrašas</w:t>
              </w:r>
            </w:p>
            <w:p>
              <w:pPr>
                <w:widowControl w:val="0"/>
                <w:suppressLineNumbers/>
                <w:suppressAutoHyphens/>
                <w:snapToGrid w:val="0"/>
                <w:rPr>
                  <w:rFonts w:eastAsia="Andale Sans UI" w:cs="Tahoma"/>
                  <w:szCs w:val="24"/>
                  <w:lang w:bidi="en-US"/>
                </w:rPr>
              </w:pPr>
            </w:p>
          </w:sdtContent>
        </w:sdt>
        <w:sdt>
          <w:sdtPr>
            <w:alias w:val="1 p."/>
            <w:tag w:val="part_63866174d6c145148a63df75868c3265"/>
            <w:lock w:val="sdtLocked"/>
            <w:richText/>
          </w:sdtPr>
          <w:sdtContent>
            <w:p>
              <w:pPr>
                <w:widowControl w:val="0"/>
                <w:suppressAutoHyphens/>
                <w:jc w:val="both"/>
                <w:rPr>
                  <w:rFonts w:eastAsia="Andale Sans UI" w:cs="Tahoma"/>
                  <w:szCs w:val="24"/>
                  <w:lang w:bidi="en-US"/>
                </w:rPr>
              </w:pPr>
              <w:sdt>
                <w:sdtPr>
                  <w:alias w:val="Numeris"/>
                  <w:tag w:val="nr_63866174d6c145148a63df75868c3265"/>
                  <w:lock w:val="sdtLocked"/>
                  <w:richText/>
                </w:sdtPr>
                <w:sdtContent>
                  <w:r>
                    <w:rPr>
                      <w:rFonts w:eastAsia="Andale Sans UI" w:cs="Tahoma"/>
                      <w:szCs w:val="24"/>
                      <w:lang w:bidi="en-US"/>
                    </w:rPr>
                    <w:t>1</w:t>
                  </w:r>
                </w:sdtContent>
              </w:sdt>
              <w:r>
                <w:rPr>
                  <w:rFonts w:eastAsia="Andale Sans UI" w:cs="Tahoma"/>
                  <w:szCs w:val="24"/>
                  <w:lang w:bidi="en-US"/>
                </w:rPr>
                <w:t>.</w:t>
                <w:tab/>
                <w:t>Lietuvos Respublikos ekonomikos ir inovacijų ministerija;</w:t>
              </w:r>
            </w:p>
          </w:sdtContent>
        </w:sdt>
        <w:sdt>
          <w:sdtPr>
            <w:alias w:val="2 p."/>
            <w:tag w:val="part_0672f6887b434d0c937b7e4af7d85bdd"/>
            <w:lock w:val="sdtLocked"/>
            <w:richText/>
          </w:sdtPr>
          <w:sdtContent>
            <w:p>
              <w:pPr>
                <w:widowControl w:val="0"/>
                <w:suppressAutoHyphens/>
                <w:jc w:val="both"/>
                <w:rPr>
                  <w:rFonts w:eastAsia="Andale Sans UI" w:cs="Tahoma"/>
                  <w:szCs w:val="24"/>
                  <w:lang w:bidi="en-US"/>
                </w:rPr>
              </w:pPr>
              <w:sdt>
                <w:sdtPr>
                  <w:alias w:val="Numeris"/>
                  <w:tag w:val="nr_0672f6887b434d0c937b7e4af7d85bdd"/>
                  <w:lock w:val="sdtLocked"/>
                  <w:richText/>
                </w:sdtPr>
                <w:sdtContent>
                  <w:r>
                    <w:rPr>
                      <w:rFonts w:eastAsia="Andale Sans UI" w:cs="Tahoma"/>
                      <w:szCs w:val="24"/>
                      <w:lang w:bidi="en-US"/>
                    </w:rPr>
                    <w:t>2</w:t>
                  </w:r>
                </w:sdtContent>
              </w:sdt>
              <w:r>
                <w:rPr>
                  <w:rFonts w:eastAsia="Andale Sans UI" w:cs="Tahoma"/>
                  <w:szCs w:val="24"/>
                  <w:lang w:bidi="en-US"/>
                </w:rPr>
                <w:t>.</w:t>
                <w:tab/>
                <w:t>Lietuvos Respublikos finansų ministerija;</w:t>
              </w:r>
            </w:p>
          </w:sdtContent>
        </w:sdt>
        <w:sdt>
          <w:sdtPr>
            <w:alias w:val="3 p."/>
            <w:tag w:val="part_90a6fadb76ca4c5cb1b93d7da4b6ba32"/>
            <w:lock w:val="sdtLocked"/>
            <w:richText/>
          </w:sdtPr>
          <w:sdtContent>
            <w:p>
              <w:pPr>
                <w:widowControl w:val="0"/>
                <w:suppressAutoHyphens/>
                <w:jc w:val="both"/>
                <w:rPr>
                  <w:rFonts w:eastAsia="Andale Sans UI" w:cs="Tahoma"/>
                  <w:szCs w:val="24"/>
                  <w:lang w:bidi="en-US"/>
                </w:rPr>
              </w:pPr>
              <w:sdt>
                <w:sdtPr>
                  <w:alias w:val="Numeris"/>
                  <w:tag w:val="nr_90a6fadb76ca4c5cb1b93d7da4b6ba32"/>
                  <w:lock w:val="sdtLocked"/>
                  <w:richText/>
                </w:sdtPr>
                <w:sdtContent>
                  <w:r>
                    <w:rPr>
                      <w:rFonts w:eastAsia="Andale Sans UI" w:cs="Tahoma"/>
                      <w:szCs w:val="24"/>
                      <w:lang w:bidi="en-US"/>
                    </w:rPr>
                    <w:t>3</w:t>
                  </w:r>
                </w:sdtContent>
              </w:sdt>
              <w:r>
                <w:rPr>
                  <w:rFonts w:eastAsia="Andale Sans UI" w:cs="Tahoma"/>
                  <w:szCs w:val="24"/>
                  <w:lang w:bidi="en-US"/>
                </w:rPr>
                <w:t>.</w:t>
                <w:tab/>
                <w:t>Lietuvos Respublikos susisiekimo ministerija;</w:t>
              </w:r>
            </w:p>
          </w:sdtContent>
        </w:sdt>
        <w:sdt>
          <w:sdtPr>
            <w:alias w:val="4 p."/>
            <w:tag w:val="part_1d4ad80441d84dce8612e5326d48330d"/>
            <w:lock w:val="sdtLocked"/>
            <w:richText/>
          </w:sdtPr>
          <w:sdtContent>
            <w:p>
              <w:pPr>
                <w:widowControl w:val="0"/>
                <w:suppressAutoHyphens/>
                <w:jc w:val="both"/>
                <w:rPr>
                  <w:rFonts w:eastAsia="Andale Sans UI" w:cs="Tahoma"/>
                  <w:szCs w:val="24"/>
                  <w:lang w:bidi="en-US"/>
                </w:rPr>
              </w:pPr>
              <w:sdt>
                <w:sdtPr>
                  <w:alias w:val="Numeris"/>
                  <w:tag w:val="nr_1d4ad80441d84dce8612e5326d48330d"/>
                  <w:lock w:val="sdtLocked"/>
                  <w:richText/>
                </w:sdtPr>
                <w:sdtContent>
                  <w:r>
                    <w:rPr>
                      <w:rFonts w:eastAsia="Andale Sans UI" w:cs="Tahoma"/>
                      <w:szCs w:val="24"/>
                      <w:lang w:bidi="en-US"/>
                    </w:rPr>
                    <w:t>4</w:t>
                  </w:r>
                </w:sdtContent>
              </w:sdt>
              <w:r>
                <w:rPr>
                  <w:rFonts w:eastAsia="Andale Sans UI" w:cs="Tahoma"/>
                  <w:szCs w:val="24"/>
                  <w:lang w:bidi="en-US"/>
                </w:rPr>
                <w:t>.</w:t>
                <w:tab/>
                <w:t>Lietuvos Respublikos vidaus reikalų ministerija;</w:t>
              </w:r>
            </w:p>
          </w:sdtContent>
        </w:sdt>
        <w:sdt>
          <w:sdtPr>
            <w:alias w:val="5 p."/>
            <w:tag w:val="part_b5095d0671b64f77a6c9e13d551347cc"/>
            <w:lock w:val="sdtLocked"/>
            <w:richText/>
          </w:sdtPr>
          <w:sdtContent>
            <w:p>
              <w:pPr>
                <w:widowControl w:val="0"/>
                <w:suppressAutoHyphens/>
                <w:jc w:val="both"/>
                <w:rPr>
                  <w:rFonts w:eastAsia="Andale Sans UI" w:cs="Tahoma"/>
                  <w:szCs w:val="24"/>
                  <w:lang w:bidi="en-US"/>
                </w:rPr>
              </w:pPr>
              <w:sdt>
                <w:sdtPr>
                  <w:alias w:val="Numeris"/>
                  <w:tag w:val="nr_b5095d0671b64f77a6c9e13d551347cc"/>
                  <w:lock w:val="sdtLocked"/>
                  <w:richText/>
                </w:sdtPr>
                <w:sdtContent>
                  <w:r>
                    <w:rPr>
                      <w:rFonts w:eastAsia="Andale Sans UI" w:cs="Tahoma"/>
                      <w:szCs w:val="24"/>
                      <w:lang w:bidi="en-US"/>
                    </w:rPr>
                    <w:t>5</w:t>
                  </w:r>
                </w:sdtContent>
              </w:sdt>
              <w:r>
                <w:rPr>
                  <w:rFonts w:eastAsia="Andale Sans UI" w:cs="Tahoma"/>
                  <w:szCs w:val="24"/>
                  <w:lang w:bidi="en-US"/>
                </w:rPr>
                <w:t>.</w:t>
                <w:tab/>
                <w:t>Lietuvos Respublikos teisingumo ministerija;</w:t>
              </w:r>
            </w:p>
          </w:sdtContent>
        </w:sdt>
        <w:sdt>
          <w:sdtPr>
            <w:alias w:val="6 p."/>
            <w:tag w:val="part_751e8c80ab0741dbba8c4200771208d4"/>
            <w:lock w:val="sdtLocked"/>
            <w:richText/>
          </w:sdtPr>
          <w:sdtContent>
            <w:p>
              <w:pPr>
                <w:widowControl w:val="0"/>
                <w:suppressAutoHyphens/>
                <w:jc w:val="both"/>
                <w:rPr>
                  <w:rFonts w:eastAsia="Andale Sans UI" w:cs="Tahoma"/>
                  <w:szCs w:val="24"/>
                  <w:lang w:bidi="en-US"/>
                </w:rPr>
              </w:pPr>
              <w:sdt>
                <w:sdtPr>
                  <w:alias w:val="Numeris"/>
                  <w:tag w:val="nr_751e8c80ab0741dbba8c4200771208d4"/>
                  <w:lock w:val="sdtLocked"/>
                  <w:richText/>
                </w:sdtPr>
                <w:sdtContent>
                  <w:r>
                    <w:rPr>
                      <w:rFonts w:eastAsia="Andale Sans UI" w:cs="Tahoma"/>
                      <w:szCs w:val="24"/>
                      <w:lang w:bidi="en-US"/>
                    </w:rPr>
                    <w:t>6</w:t>
                  </w:r>
                </w:sdtContent>
              </w:sdt>
              <w:r>
                <w:rPr>
                  <w:rFonts w:eastAsia="Andale Sans UI" w:cs="Tahoma"/>
                  <w:szCs w:val="24"/>
                  <w:lang w:bidi="en-US"/>
                </w:rPr>
                <w:t>.</w:t>
                <w:tab/>
                <w:t>Aplinkos apsaugos agentūra;</w:t>
              </w:r>
            </w:p>
          </w:sdtContent>
        </w:sdt>
        <w:sdt>
          <w:sdtPr>
            <w:alias w:val="7 p."/>
            <w:tag w:val="part_c35e7d407f7742ce85d151f2fb5fdf81"/>
            <w:lock w:val="sdtLocked"/>
            <w:richText/>
          </w:sdtPr>
          <w:sdtContent>
            <w:p>
              <w:pPr>
                <w:widowControl w:val="0"/>
                <w:suppressAutoHyphens/>
                <w:jc w:val="both"/>
                <w:rPr>
                  <w:rFonts w:eastAsia="Andale Sans UI" w:cs="Tahoma"/>
                  <w:szCs w:val="24"/>
                  <w:lang w:bidi="en-US"/>
                </w:rPr>
              </w:pPr>
              <w:sdt>
                <w:sdtPr>
                  <w:alias w:val="Numeris"/>
                  <w:tag w:val="nr_c35e7d407f7742ce85d151f2fb5fdf81"/>
                  <w:lock w:val="sdtLocked"/>
                  <w:richText/>
                </w:sdtPr>
                <w:sdtContent>
                  <w:r>
                    <w:rPr>
                      <w:rFonts w:eastAsia="Andale Sans UI" w:cs="Tahoma"/>
                      <w:szCs w:val="24"/>
                      <w:lang w:bidi="en-US"/>
                    </w:rPr>
                    <w:t>7</w:t>
                  </w:r>
                </w:sdtContent>
              </w:sdt>
              <w:r>
                <w:rPr>
                  <w:rFonts w:eastAsia="Andale Sans UI" w:cs="Tahoma"/>
                  <w:szCs w:val="24"/>
                  <w:lang w:bidi="en-US"/>
                </w:rPr>
                <w:t>.</w:t>
                <w:tab/>
                <w:t>Aplinkos apsaugos departamentas prie Aplinkos ministerijos;</w:t>
              </w:r>
            </w:p>
          </w:sdtContent>
        </w:sdt>
        <w:sdt>
          <w:sdtPr>
            <w:alias w:val="8 p."/>
            <w:tag w:val="part_0752546892c94ac09493decf879e2845"/>
            <w:lock w:val="sdtLocked"/>
            <w:richText/>
          </w:sdtPr>
          <w:sdtContent>
            <w:p>
              <w:pPr>
                <w:widowControl w:val="0"/>
                <w:suppressAutoHyphens/>
                <w:jc w:val="both"/>
                <w:rPr>
                  <w:rFonts w:eastAsia="Andale Sans UI" w:cs="Tahoma"/>
                  <w:szCs w:val="24"/>
                  <w:lang w:bidi="en-US"/>
                </w:rPr>
              </w:pPr>
              <w:sdt>
                <w:sdtPr>
                  <w:alias w:val="Numeris"/>
                  <w:tag w:val="nr_0752546892c94ac09493decf879e2845"/>
                  <w:lock w:val="sdtLocked"/>
                  <w:richText/>
                </w:sdtPr>
                <w:sdtContent>
                  <w:r>
                    <w:rPr>
                      <w:rFonts w:eastAsia="Andale Sans UI" w:cs="Tahoma"/>
                      <w:szCs w:val="24"/>
                      <w:lang w:bidi="en-US"/>
                    </w:rPr>
                    <w:t>8</w:t>
                  </w:r>
                </w:sdtContent>
              </w:sdt>
              <w:r>
                <w:rPr>
                  <w:rFonts w:eastAsia="Andale Sans UI" w:cs="Tahoma"/>
                  <w:szCs w:val="24"/>
                  <w:lang w:bidi="en-US"/>
                </w:rPr>
                <w:t>.</w:t>
                <w:tab/>
                <w:t>Lietuvos savivaldybių asociacija;</w:t>
              </w:r>
            </w:p>
          </w:sdtContent>
        </w:sdt>
        <w:sdt>
          <w:sdtPr>
            <w:alias w:val="9 p."/>
            <w:tag w:val="part_16304625d36d487bbe90f63c42590109"/>
            <w:lock w:val="sdtLocked"/>
            <w:richText/>
          </w:sdtPr>
          <w:sdtContent>
            <w:p>
              <w:pPr>
                <w:widowControl w:val="0"/>
                <w:suppressAutoHyphens/>
                <w:jc w:val="both"/>
                <w:rPr>
                  <w:rFonts w:eastAsia="Andale Sans UI" w:cs="Tahoma"/>
                  <w:szCs w:val="24"/>
                  <w:lang w:bidi="en-US"/>
                </w:rPr>
              </w:pPr>
              <w:sdt>
                <w:sdtPr>
                  <w:alias w:val="Numeris"/>
                  <w:tag w:val="nr_16304625d36d487bbe90f63c42590109"/>
                  <w:lock w:val="sdtLocked"/>
                  <w:richText/>
                </w:sdtPr>
                <w:sdtContent>
                  <w:r>
                    <w:rPr>
                      <w:rFonts w:eastAsia="Andale Sans UI" w:cs="Tahoma"/>
                      <w:szCs w:val="24"/>
                      <w:lang w:bidi="en-US"/>
                    </w:rPr>
                    <w:t>9</w:t>
                  </w:r>
                </w:sdtContent>
              </w:sdt>
              <w:r>
                <w:rPr>
                  <w:rFonts w:eastAsia="Andale Sans UI" w:cs="Tahoma"/>
                  <w:szCs w:val="24"/>
                  <w:lang w:bidi="en-US"/>
                </w:rPr>
                <w:t>.</w:t>
                <w:tab/>
                <w:t>Lietuvos pramonininkų konfederacija;</w:t>
              </w:r>
            </w:p>
          </w:sdtContent>
        </w:sdt>
        <w:sdt>
          <w:sdtPr>
            <w:alias w:val="10 p."/>
            <w:tag w:val="part_a10a6fbebbc94e508996c38996cf33f8"/>
            <w:lock w:val="sdtLocked"/>
            <w:richText/>
          </w:sdtPr>
          <w:sdtContent>
            <w:p>
              <w:pPr>
                <w:widowControl w:val="0"/>
                <w:suppressAutoHyphens/>
                <w:jc w:val="both"/>
                <w:rPr>
                  <w:rFonts w:eastAsia="Andale Sans UI" w:cs="Tahoma"/>
                  <w:szCs w:val="24"/>
                  <w:lang w:bidi="en-US"/>
                </w:rPr>
              </w:pPr>
              <w:sdt>
                <w:sdtPr>
                  <w:alias w:val="Numeris"/>
                  <w:tag w:val="nr_a10a6fbebbc94e508996c38996cf33f8"/>
                  <w:lock w:val="sdtLocked"/>
                  <w:richText/>
                </w:sdtPr>
                <w:sdtContent>
                  <w:r>
                    <w:rPr>
                      <w:rFonts w:eastAsia="Andale Sans UI" w:cs="Tahoma"/>
                      <w:szCs w:val="24"/>
                      <w:lang w:bidi="en-US"/>
                    </w:rPr>
                    <w:t>10</w:t>
                  </w:r>
                </w:sdtContent>
              </w:sdt>
              <w:r>
                <w:rPr>
                  <w:rFonts w:eastAsia="Andale Sans UI" w:cs="Tahoma"/>
                  <w:szCs w:val="24"/>
                  <w:lang w:bidi="en-US"/>
                </w:rPr>
                <w:t>.</w:t>
                <w:tab/>
              </w:r>
              <w:r>
                <w:rPr>
                  <w:rFonts w:eastAsia="Andale Sans UI"/>
                  <w:szCs w:val="24"/>
                  <w:lang w:bidi="en-US"/>
                </w:rPr>
                <w:t>Lietuvos verslo konfederacija;</w:t>
              </w:r>
            </w:p>
          </w:sdtContent>
        </w:sdt>
        <w:sdt>
          <w:sdtPr>
            <w:alias w:val="11 p."/>
            <w:tag w:val="part_da409208d3364adb9b1456f9ba2aefa3"/>
            <w:lock w:val="sdtLocked"/>
            <w:richText/>
          </w:sdtPr>
          <w:sdtContent>
            <w:p>
              <w:pPr>
                <w:widowControl w:val="0"/>
                <w:suppressAutoHyphens/>
                <w:jc w:val="both"/>
                <w:rPr>
                  <w:rFonts w:eastAsia="Andale Sans UI"/>
                  <w:spacing w:val="10"/>
                  <w:szCs w:val="24"/>
                  <w:lang w:bidi="en-US"/>
                </w:rPr>
              </w:pPr>
              <w:sdt>
                <w:sdtPr>
                  <w:alias w:val="Numeris"/>
                  <w:tag w:val="nr_da409208d3364adb9b1456f9ba2aefa3"/>
                  <w:lock w:val="sdtLocked"/>
                  <w:richText/>
                </w:sdtPr>
                <w:sdtContent>
                  <w:r>
                    <w:rPr>
                      <w:rFonts w:eastAsia="Andale Sans UI"/>
                      <w:spacing w:val="10"/>
                      <w:szCs w:val="24"/>
                      <w:lang w:bidi="en-US"/>
                    </w:rPr>
                    <w:t>11</w:t>
                  </w:r>
                </w:sdtContent>
              </w:sdt>
              <w:r>
                <w:rPr>
                  <w:rFonts w:eastAsia="Andale Sans UI"/>
                  <w:spacing w:val="10"/>
                  <w:szCs w:val="24"/>
                  <w:lang w:bidi="en-US"/>
                </w:rPr>
                <w:t>.</w:t>
                <w:tab/>
                <w:t>Lietuvos prekybos, pramonės ir amatų rūmų asociacija;</w:t>
              </w:r>
            </w:p>
          </w:sdtContent>
        </w:sdt>
        <w:sdt>
          <w:sdtPr>
            <w:alias w:val="12 p."/>
            <w:tag w:val="part_5bf1523298a84fd9ab5cbf0035fd1c12"/>
            <w:lock w:val="sdtLocked"/>
            <w:richText/>
          </w:sdtPr>
          <w:sdtContent>
            <w:p>
              <w:pPr>
                <w:widowControl w:val="0"/>
                <w:suppressAutoHyphens/>
                <w:jc w:val="both"/>
                <w:rPr>
                  <w:rFonts w:eastAsia="Andale Sans UI" w:cs="Tahoma"/>
                  <w:szCs w:val="24"/>
                  <w:lang w:bidi="en-US"/>
                </w:rPr>
              </w:pPr>
              <w:sdt>
                <w:sdtPr>
                  <w:alias w:val="Numeris"/>
                  <w:tag w:val="nr_5bf1523298a84fd9ab5cbf0035fd1c12"/>
                  <w:lock w:val="sdtLocked"/>
                  <w:richText/>
                </w:sdtPr>
                <w:sdtContent>
                  <w:r>
                    <w:rPr>
                      <w:rFonts w:eastAsia="Andale Sans UI" w:cs="Tahoma"/>
                      <w:szCs w:val="24"/>
                      <w:lang w:bidi="en-US"/>
                    </w:rPr>
                    <w:t>12</w:t>
                  </w:r>
                </w:sdtContent>
              </w:sdt>
              <w:r>
                <w:rPr>
                  <w:rFonts w:eastAsia="Andale Sans UI" w:cs="Tahoma"/>
                  <w:szCs w:val="24"/>
                  <w:lang w:bidi="en-US"/>
                </w:rPr>
                <w:t>.</w:t>
                <w:tab/>
              </w:r>
              <w:r>
                <w:rPr>
                  <w:rFonts w:eastAsia="Andale Sans UI" w:cs="Tahoma"/>
                  <w:color w:val="000000"/>
                  <w:szCs w:val="24"/>
                  <w:lang w:bidi="en-US"/>
                </w:rPr>
                <w:t xml:space="preserve">Lietuvos prekybos įmonių asociacija; </w:t>
              </w:r>
            </w:p>
          </w:sdtContent>
        </w:sdt>
        <w:sdt>
          <w:sdtPr>
            <w:alias w:val="13 p."/>
            <w:tag w:val="part_ab06531e54814c1f81a6e853a8603026"/>
            <w:lock w:val="sdtLocked"/>
            <w:richText/>
          </w:sdtPr>
          <w:sdtContent>
            <w:p>
              <w:pPr>
                <w:widowControl w:val="0"/>
                <w:suppressAutoHyphens/>
                <w:jc w:val="both"/>
                <w:rPr>
                  <w:rFonts w:eastAsia="Andale Sans UI" w:cs="Tahoma"/>
                  <w:szCs w:val="24"/>
                  <w:lang w:bidi="en-US"/>
                </w:rPr>
              </w:pPr>
              <w:sdt>
                <w:sdtPr>
                  <w:alias w:val="Numeris"/>
                  <w:tag w:val="nr_ab06531e54814c1f81a6e853a8603026"/>
                  <w:lock w:val="sdtLocked"/>
                  <w:richText/>
                </w:sdtPr>
                <w:sdtContent>
                  <w:r>
                    <w:rPr>
                      <w:rFonts w:eastAsia="Andale Sans UI" w:cs="Tahoma"/>
                      <w:szCs w:val="24"/>
                      <w:lang w:bidi="en-US"/>
                    </w:rPr>
                    <w:t>13</w:t>
                  </w:r>
                </w:sdtContent>
              </w:sdt>
              <w:r>
                <w:rPr>
                  <w:rFonts w:eastAsia="Andale Sans UI" w:cs="Tahoma"/>
                  <w:szCs w:val="24"/>
                  <w:lang w:bidi="en-US"/>
                </w:rPr>
                <w:t>.</w:t>
                <w:tab/>
                <w:t>Asociacija „EEPA“;</w:t>
              </w:r>
            </w:p>
          </w:sdtContent>
        </w:sdt>
        <w:sdt>
          <w:sdtPr>
            <w:alias w:val="14 p."/>
            <w:tag w:val="part_82def3788e4349b4893fc158a6ab1e5e"/>
            <w:lock w:val="sdtLocked"/>
            <w:richText/>
          </w:sdtPr>
          <w:sdtContent>
            <w:p>
              <w:pPr>
                <w:widowControl w:val="0"/>
                <w:suppressAutoHyphens/>
                <w:jc w:val="both"/>
                <w:rPr>
                  <w:rFonts w:eastAsia="Andale Sans UI" w:cs="Tahoma"/>
                  <w:szCs w:val="24"/>
                  <w:lang w:bidi="en-US"/>
                </w:rPr>
              </w:pPr>
              <w:sdt>
                <w:sdtPr>
                  <w:alias w:val="Numeris"/>
                  <w:tag w:val="nr_82def3788e4349b4893fc158a6ab1e5e"/>
                  <w:lock w:val="sdtLocked"/>
                  <w:richText/>
                </w:sdtPr>
                <w:sdtContent>
                  <w:r>
                    <w:rPr>
                      <w:rFonts w:eastAsia="Andale Sans UI" w:cs="Tahoma"/>
                      <w:szCs w:val="24"/>
                      <w:lang w:bidi="en-US"/>
                    </w:rPr>
                    <w:t>14</w:t>
                  </w:r>
                </w:sdtContent>
              </w:sdt>
              <w:r>
                <w:rPr>
                  <w:rFonts w:eastAsia="Andale Sans UI" w:cs="Tahoma"/>
                  <w:szCs w:val="24"/>
                  <w:lang w:bidi="en-US"/>
                </w:rPr>
                <w:t>.</w:t>
                <w:tab/>
                <w:t>Autogamintojų ir importuotojų asociacija;</w:t>
              </w:r>
            </w:p>
          </w:sdtContent>
        </w:sdt>
        <w:sdt>
          <w:sdtPr>
            <w:alias w:val="15 p."/>
            <w:tag w:val="part_41a0e8d5232e4cdb8becd509a8c169c8"/>
            <w:lock w:val="sdtLocked"/>
            <w:richText/>
          </w:sdtPr>
          <w:sdtContent>
            <w:p>
              <w:pPr>
                <w:widowControl w:val="0"/>
                <w:suppressAutoHyphens/>
                <w:jc w:val="both"/>
                <w:rPr>
                  <w:rFonts w:eastAsia="Andale Sans UI" w:cs="Tahoma"/>
                  <w:szCs w:val="24"/>
                  <w:lang w:bidi="en-US"/>
                </w:rPr>
              </w:pPr>
              <w:sdt>
                <w:sdtPr>
                  <w:alias w:val="Numeris"/>
                  <w:tag w:val="nr_41a0e8d5232e4cdb8becd509a8c169c8"/>
                  <w:lock w:val="sdtLocked"/>
                  <w:richText/>
                </w:sdtPr>
                <w:sdtContent>
                  <w:r>
                    <w:rPr>
                      <w:rFonts w:eastAsia="Andale Sans UI" w:cs="Tahoma"/>
                      <w:szCs w:val="24"/>
                      <w:lang w:bidi="en-US"/>
                    </w:rPr>
                    <w:t>15</w:t>
                  </w:r>
                </w:sdtContent>
              </w:sdt>
              <w:r>
                <w:rPr>
                  <w:rFonts w:eastAsia="Andale Sans UI" w:cs="Tahoma"/>
                  <w:szCs w:val="24"/>
                  <w:lang w:bidi="en-US"/>
                </w:rPr>
                <w:t>.</w:t>
                <w:tab/>
                <w:t>Gamintojų ir importuotojų asociacija;</w:t>
              </w:r>
            </w:p>
          </w:sdtContent>
        </w:sdt>
        <w:sdt>
          <w:sdtPr>
            <w:alias w:val="16 p."/>
            <w:tag w:val="part_767e2de8a15c49f381e127ff339ea8fe"/>
            <w:lock w:val="sdtLocked"/>
            <w:richText/>
          </w:sdtPr>
          <w:sdtContent>
            <w:p>
              <w:pPr>
                <w:widowControl w:val="0"/>
                <w:suppressAutoHyphens/>
                <w:jc w:val="both"/>
                <w:rPr>
                  <w:rFonts w:eastAsia="Andale Sans UI" w:cs="Tahoma"/>
                  <w:szCs w:val="24"/>
                  <w:lang w:bidi="en-US"/>
                </w:rPr>
              </w:pPr>
              <w:sdt>
                <w:sdtPr>
                  <w:alias w:val="Numeris"/>
                  <w:tag w:val="nr_767e2de8a15c49f381e127ff339ea8fe"/>
                  <w:lock w:val="sdtLocked"/>
                  <w:richText/>
                </w:sdtPr>
                <w:sdtContent>
                  <w:r>
                    <w:rPr>
                      <w:rFonts w:eastAsia="Andale Sans UI" w:cs="Tahoma"/>
                      <w:szCs w:val="24"/>
                      <w:lang w:bidi="en-US"/>
                    </w:rPr>
                    <w:t>16</w:t>
                  </w:r>
                </w:sdtContent>
              </w:sdt>
              <w:r>
                <w:rPr>
                  <w:rFonts w:eastAsia="Andale Sans UI" w:cs="Tahoma"/>
                  <w:szCs w:val="24"/>
                  <w:lang w:bidi="en-US"/>
                </w:rPr>
                <w:t>.</w:t>
                <w:tab/>
                <w:t>VšĮ „Elektronikos gamintojų ir importuotojų organizacija“;</w:t>
              </w:r>
            </w:p>
          </w:sdtContent>
        </w:sdt>
        <w:sdt>
          <w:sdtPr>
            <w:alias w:val="17 p."/>
            <w:tag w:val="part_9c7cfaee61d9475a977033ceed1058ee"/>
            <w:lock w:val="sdtLocked"/>
            <w:richText/>
          </w:sdtPr>
          <w:sdtContent>
            <w:p>
              <w:pPr>
                <w:widowControl w:val="0"/>
                <w:suppressAutoHyphens/>
                <w:jc w:val="both"/>
                <w:rPr>
                  <w:rFonts w:eastAsia="Andale Sans UI" w:cs="Tahoma"/>
                  <w:szCs w:val="24"/>
                  <w:lang w:bidi="en-US"/>
                </w:rPr>
              </w:pPr>
              <w:sdt>
                <w:sdtPr>
                  <w:alias w:val="Numeris"/>
                  <w:tag w:val="nr_9c7cfaee61d9475a977033ceed1058ee"/>
                  <w:lock w:val="sdtLocked"/>
                  <w:richText/>
                </w:sdtPr>
                <w:sdtContent>
                  <w:r>
                    <w:rPr>
                      <w:rFonts w:eastAsia="Andale Sans UI" w:cs="Tahoma"/>
                      <w:szCs w:val="24"/>
                      <w:lang w:bidi="en-US"/>
                    </w:rPr>
                    <w:t>17</w:t>
                  </w:r>
                </w:sdtContent>
              </w:sdt>
              <w:r>
                <w:rPr>
                  <w:rFonts w:eastAsia="Andale Sans UI" w:cs="Tahoma"/>
                  <w:szCs w:val="24"/>
                  <w:lang w:bidi="en-US"/>
                </w:rPr>
                <w:t>.</w:t>
                <w:tab/>
                <w:t>VšĮ „Gamtos ateitis“;</w:t>
              </w:r>
            </w:p>
          </w:sdtContent>
        </w:sdt>
        <w:sdt>
          <w:sdtPr>
            <w:alias w:val="18 p."/>
            <w:tag w:val="part_042ba53801dc4a08a422c2c9cac34b45"/>
            <w:lock w:val="sdtLocked"/>
            <w:richText/>
          </w:sdtPr>
          <w:sdtContent>
            <w:p>
              <w:pPr>
                <w:widowControl w:val="0"/>
                <w:suppressAutoHyphens/>
                <w:jc w:val="both"/>
                <w:rPr>
                  <w:rFonts w:eastAsia="Andale Sans UI" w:cs="Tahoma"/>
                  <w:szCs w:val="24"/>
                  <w:lang w:bidi="en-US"/>
                </w:rPr>
              </w:pPr>
              <w:sdt>
                <w:sdtPr>
                  <w:alias w:val="Numeris"/>
                  <w:tag w:val="nr_042ba53801dc4a08a422c2c9cac34b45"/>
                  <w:lock w:val="sdtLocked"/>
                  <w:richText/>
                </w:sdtPr>
                <w:sdtContent>
                  <w:r>
                    <w:rPr>
                      <w:rFonts w:eastAsia="Andale Sans UI" w:cs="Tahoma"/>
                      <w:szCs w:val="24"/>
                      <w:lang w:bidi="en-US"/>
                    </w:rPr>
                    <w:t>18</w:t>
                  </w:r>
                </w:sdtContent>
              </w:sdt>
              <w:r>
                <w:rPr>
                  <w:rFonts w:eastAsia="Andale Sans UI" w:cs="Tahoma"/>
                  <w:szCs w:val="24"/>
                  <w:lang w:bidi="en-US"/>
                </w:rPr>
                <w:t>.</w:t>
                <w:tab/>
                <w:t>VšĮ „Padangų importuotojų organizacija“;</w:t>
              </w:r>
            </w:p>
          </w:sdtContent>
        </w:sdt>
        <w:sdt>
          <w:sdtPr>
            <w:alias w:val="19 p."/>
            <w:tag w:val="part_ef3f0f77282e4b4b91b04c4e33789af4"/>
            <w:lock w:val="sdtLocked"/>
            <w:richText/>
          </w:sdtPr>
          <w:sdtContent>
            <w:p>
              <w:pPr>
                <w:widowControl w:val="0"/>
                <w:suppressAutoHyphens/>
                <w:jc w:val="both"/>
                <w:rPr>
                  <w:rFonts w:eastAsia="Andale Sans UI" w:cs="Tahoma"/>
                  <w:szCs w:val="24"/>
                  <w:lang w:bidi="en-US"/>
                </w:rPr>
              </w:pPr>
              <w:sdt>
                <w:sdtPr>
                  <w:alias w:val="Numeris"/>
                  <w:tag w:val="nr_ef3f0f77282e4b4b91b04c4e33789af4"/>
                  <w:lock w:val="sdtLocked"/>
                  <w:richText/>
                </w:sdtPr>
                <w:sdtContent>
                  <w:r>
                    <w:rPr>
                      <w:rFonts w:eastAsia="Andale Sans UI" w:cs="Tahoma"/>
                      <w:szCs w:val="24"/>
                      <w:lang w:bidi="en-US"/>
                    </w:rPr>
                    <w:t>19</w:t>
                  </w:r>
                </w:sdtContent>
              </w:sdt>
              <w:r>
                <w:rPr>
                  <w:rFonts w:eastAsia="Andale Sans UI" w:cs="Tahoma"/>
                  <w:szCs w:val="24"/>
                  <w:lang w:bidi="en-US"/>
                </w:rPr>
                <w:t>.</w:t>
                <w:tab/>
                <w:t>VšĮ „Pakuočių tvarkymo organizacija“;</w:t>
              </w:r>
            </w:p>
          </w:sdtContent>
        </w:sdt>
        <w:sdt>
          <w:sdtPr>
            <w:alias w:val="20 p."/>
            <w:tag w:val="part_f7c495b100cc444f8ffa7199c5f920fc"/>
            <w:lock w:val="sdtLocked"/>
            <w:richText/>
          </w:sdtPr>
          <w:sdtContent>
            <w:p>
              <w:pPr>
                <w:widowControl w:val="0"/>
                <w:suppressAutoHyphens/>
                <w:jc w:val="both"/>
                <w:rPr>
                  <w:rFonts w:eastAsia="Andale Sans UI" w:cs="Tahoma"/>
                  <w:szCs w:val="24"/>
                  <w:lang w:bidi="en-US"/>
                </w:rPr>
              </w:pPr>
              <w:sdt>
                <w:sdtPr>
                  <w:alias w:val="Numeris"/>
                  <w:tag w:val="nr_f7c495b100cc444f8ffa7199c5f920fc"/>
                  <w:lock w:val="sdtLocked"/>
                  <w:richText/>
                </w:sdtPr>
                <w:sdtContent>
                  <w:r>
                    <w:rPr>
                      <w:rFonts w:eastAsia="Andale Sans UI" w:cs="Tahoma"/>
                      <w:szCs w:val="24"/>
                      <w:lang w:bidi="en-US"/>
                    </w:rPr>
                    <w:t>20</w:t>
                  </w:r>
                </w:sdtContent>
              </w:sdt>
              <w:r>
                <w:rPr>
                  <w:rFonts w:eastAsia="Andale Sans UI" w:cs="Tahoma"/>
                  <w:szCs w:val="24"/>
                  <w:lang w:bidi="en-US"/>
                </w:rPr>
                <w:t>.</w:t>
                <w:tab/>
                <w:t>VšĮ „Žaliasis taškas“;</w:t>
              </w:r>
            </w:p>
          </w:sdtContent>
        </w:sdt>
        <w:sdt>
          <w:sdtPr>
            <w:alias w:val="21 p."/>
            <w:tag w:val="part_b3f02224d7b443469dc1d74a8773551d"/>
            <w:lock w:val="sdtLocked"/>
            <w:richText/>
          </w:sdtPr>
          <w:sdtContent>
            <w:p>
              <w:pPr>
                <w:widowControl w:val="0"/>
                <w:suppressAutoHyphens/>
                <w:jc w:val="both"/>
                <w:rPr>
                  <w:rFonts w:eastAsia="Andale Sans UI" w:cs="Tahoma"/>
                  <w:szCs w:val="24"/>
                  <w:lang w:bidi="en-US"/>
                </w:rPr>
              </w:pPr>
              <w:sdt>
                <w:sdtPr>
                  <w:alias w:val="Numeris"/>
                  <w:tag w:val="nr_b3f02224d7b443469dc1d74a8773551d"/>
                  <w:lock w:val="sdtLocked"/>
                  <w:richText/>
                </w:sdtPr>
                <w:sdtContent>
                  <w:r>
                    <w:rPr>
                      <w:rFonts w:eastAsia="Andale Sans UI" w:cs="Tahoma"/>
                      <w:szCs w:val="24"/>
                      <w:lang w:bidi="en-US"/>
                    </w:rPr>
                    <w:t>21</w:t>
                  </w:r>
                </w:sdtContent>
              </w:sdt>
              <w:r>
                <w:rPr>
                  <w:rFonts w:eastAsia="Andale Sans UI" w:cs="Tahoma"/>
                  <w:szCs w:val="24"/>
                  <w:lang w:bidi="en-US"/>
                </w:rPr>
                <w:t>.</w:t>
                <w:tab/>
                <w:t xml:space="preserve">VšĮ „Užstatas“; </w:t>
              </w:r>
            </w:p>
          </w:sdtContent>
        </w:sdt>
        <w:sdt>
          <w:sdtPr>
            <w:alias w:val="22 p."/>
            <w:tag w:val="part_7b6a37991c3147b6a3dd99bb9e77f318"/>
            <w:lock w:val="sdtLocked"/>
            <w:richText/>
          </w:sdtPr>
          <w:sdtContent>
            <w:p>
              <w:pPr>
                <w:widowControl w:val="0"/>
                <w:suppressAutoHyphens/>
                <w:jc w:val="both"/>
                <w:rPr>
                  <w:rFonts w:eastAsia="Andale Sans UI" w:cs="Tahoma"/>
                  <w:szCs w:val="24"/>
                  <w:lang w:bidi="en-US"/>
                </w:rPr>
              </w:pPr>
              <w:sdt>
                <w:sdtPr>
                  <w:alias w:val="Numeris"/>
                  <w:tag w:val="nr_7b6a37991c3147b6a3dd99bb9e77f318"/>
                  <w:lock w:val="sdtLocked"/>
                  <w:richText/>
                </w:sdtPr>
                <w:sdtContent>
                  <w:r>
                    <w:rPr>
                      <w:rFonts w:eastAsia="Andale Sans UI" w:cs="Tahoma"/>
                      <w:szCs w:val="24"/>
                      <w:lang w:bidi="en-US"/>
                    </w:rPr>
                    <w:t>22</w:t>
                  </w:r>
                </w:sdtContent>
              </w:sdt>
              <w:r>
                <w:rPr>
                  <w:rFonts w:eastAsia="Andale Sans UI" w:cs="Tahoma"/>
                  <w:szCs w:val="24"/>
                  <w:lang w:bidi="en-US"/>
                </w:rPr>
                <w:t>.</w:t>
                <w:tab/>
              </w:r>
              <w:r>
                <w:rPr>
                  <w:rFonts w:eastAsia="Andale Sans UI"/>
                  <w:szCs w:val="24"/>
                  <w:lang w:bidi="en-US"/>
                </w:rPr>
                <w:t>VšĮ „Užstato sistemos administratorius“;</w:t>
              </w:r>
            </w:p>
          </w:sdtContent>
        </w:sdt>
        <w:sdt>
          <w:sdtPr>
            <w:alias w:val="23 p."/>
            <w:tag w:val="part_d74330bfa0ef47d2b7f370f05ec1bd9f"/>
            <w:lock w:val="sdtLocked"/>
            <w:richText/>
          </w:sdtPr>
          <w:sdtContent>
            <w:p>
              <w:pPr>
                <w:widowControl w:val="0"/>
                <w:suppressAutoHyphens/>
                <w:jc w:val="both"/>
                <w:rPr>
                  <w:rFonts w:eastAsia="Andale Sans UI" w:cs="Tahoma"/>
                  <w:szCs w:val="24"/>
                  <w:lang w:bidi="en-US"/>
                </w:rPr>
              </w:pPr>
              <w:sdt>
                <w:sdtPr>
                  <w:alias w:val="Numeris"/>
                  <w:tag w:val="nr_d74330bfa0ef47d2b7f370f05ec1bd9f"/>
                  <w:lock w:val="sdtLocked"/>
                  <w:richText/>
                </w:sdtPr>
                <w:sdtContent>
                  <w:r>
                    <w:rPr>
                      <w:rFonts w:eastAsia="Andale Sans UI" w:cs="Tahoma"/>
                      <w:szCs w:val="24"/>
                      <w:lang w:bidi="en-US"/>
                    </w:rPr>
                    <w:t>23</w:t>
                  </w:r>
                </w:sdtContent>
              </w:sdt>
              <w:r>
                <w:rPr>
                  <w:rFonts w:eastAsia="Andale Sans UI" w:cs="Tahoma"/>
                  <w:szCs w:val="24"/>
                  <w:lang w:bidi="en-US"/>
                </w:rPr>
                <w:t>.</w:t>
                <w:tab/>
              </w:r>
              <w:r>
                <w:rPr>
                  <w:rFonts w:eastAsia="Andale Sans UI" w:cs="Tahoma"/>
                  <w:color w:val="000000"/>
                  <w:szCs w:val="24"/>
                  <w:lang w:bidi="en-US"/>
                </w:rPr>
                <w:t>Lietuvos pakuotojų asociacija;</w:t>
              </w:r>
              <w:r>
                <w:rPr>
                  <w:rFonts w:eastAsia="Andale Sans UI" w:cs="Tahoma"/>
                  <w:color w:val="000080"/>
                  <w:szCs w:val="24"/>
                  <w:lang w:bidi="en-US"/>
                </w:rPr>
                <w:t xml:space="preserve"> </w:t>
              </w:r>
            </w:p>
          </w:sdtContent>
        </w:sdt>
        <w:sdt>
          <w:sdtPr>
            <w:alias w:val="24 p."/>
            <w:tag w:val="part_28c51942be8a41b4904ea6f35303796d"/>
            <w:lock w:val="sdtLocked"/>
            <w:richText/>
          </w:sdtPr>
          <w:sdtContent>
            <w:p>
              <w:pPr>
                <w:widowControl w:val="0"/>
                <w:suppressAutoHyphens/>
                <w:jc w:val="both"/>
                <w:rPr>
                  <w:rFonts w:eastAsia="Andale Sans UI" w:cs="Tahoma"/>
                  <w:szCs w:val="24"/>
                  <w:lang w:bidi="en-US"/>
                </w:rPr>
              </w:pPr>
              <w:sdt>
                <w:sdtPr>
                  <w:alias w:val="Numeris"/>
                  <w:tag w:val="nr_28c51942be8a41b4904ea6f35303796d"/>
                  <w:lock w:val="sdtLocked"/>
                  <w:richText/>
                </w:sdtPr>
                <w:sdtContent>
                  <w:r>
                    <w:rPr>
                      <w:rFonts w:eastAsia="Andale Sans UI" w:cs="Tahoma"/>
                      <w:szCs w:val="24"/>
                      <w:lang w:bidi="en-US"/>
                    </w:rPr>
                    <w:t>24</w:t>
                  </w:r>
                </w:sdtContent>
              </w:sdt>
              <w:r>
                <w:rPr>
                  <w:rFonts w:eastAsia="Andale Sans UI" w:cs="Tahoma"/>
                  <w:szCs w:val="24"/>
                  <w:lang w:bidi="en-US"/>
                </w:rPr>
                <w:t>.</w:t>
                <w:tab/>
              </w:r>
              <w:r>
                <w:rPr>
                  <w:rFonts w:eastAsia="Andale Sans UI" w:cs="Tahoma"/>
                  <w:color w:val="000000"/>
                  <w:szCs w:val="24"/>
                  <w:lang w:bidi="en-US"/>
                </w:rPr>
                <w:t>Asociacija „Lietuvos maisto pramonė“;</w:t>
              </w:r>
              <w:r>
                <w:rPr>
                  <w:rFonts w:eastAsia="Andale Sans UI" w:cs="Tahoma"/>
                  <w:color w:val="000080"/>
                  <w:szCs w:val="24"/>
                  <w:lang w:bidi="en-US"/>
                </w:rPr>
                <w:t xml:space="preserve"> </w:t>
              </w:r>
            </w:p>
          </w:sdtContent>
        </w:sdt>
        <w:sdt>
          <w:sdtPr>
            <w:alias w:val="25 p."/>
            <w:tag w:val="part_47a02f0e9d65417bbf3af2a3eb3ae1e4"/>
            <w:lock w:val="sdtLocked"/>
            <w:richText/>
          </w:sdtPr>
          <w:sdtContent>
            <w:p>
              <w:pPr>
                <w:widowControl w:val="0"/>
                <w:suppressAutoHyphens/>
                <w:jc w:val="both"/>
                <w:rPr>
                  <w:rFonts w:eastAsia="Andale Sans UI" w:cs="Tahoma"/>
                  <w:szCs w:val="24"/>
                  <w:lang w:bidi="en-US"/>
                </w:rPr>
              </w:pPr>
              <w:sdt>
                <w:sdtPr>
                  <w:alias w:val="Numeris"/>
                  <w:tag w:val="nr_47a02f0e9d65417bbf3af2a3eb3ae1e4"/>
                  <w:lock w:val="sdtLocked"/>
                  <w:richText/>
                </w:sdtPr>
                <w:sdtContent>
                  <w:r>
                    <w:rPr>
                      <w:rFonts w:eastAsia="Andale Sans UI" w:cs="Tahoma"/>
                      <w:szCs w:val="24"/>
                      <w:lang w:bidi="en-US"/>
                    </w:rPr>
                    <w:t>25</w:t>
                  </w:r>
                </w:sdtContent>
              </w:sdt>
              <w:r>
                <w:rPr>
                  <w:rFonts w:eastAsia="Andale Sans UI" w:cs="Tahoma"/>
                  <w:szCs w:val="24"/>
                  <w:lang w:bidi="en-US"/>
                </w:rPr>
                <w:t>.</w:t>
                <w:tab/>
                <w:t>VšĮ „Žiedinė ekonomika“;</w:t>
              </w:r>
            </w:p>
          </w:sdtContent>
        </w:sdt>
        <w:sdt>
          <w:sdtPr>
            <w:alias w:val="26 p."/>
            <w:tag w:val="part_b35b0e199345474582c8dd681b785f17"/>
            <w:lock w:val="sdtLocked"/>
            <w:richText/>
          </w:sdtPr>
          <w:sdtContent>
            <w:p>
              <w:pPr>
                <w:widowControl w:val="0"/>
                <w:suppressAutoHyphens/>
                <w:jc w:val="both"/>
                <w:rPr>
                  <w:rFonts w:eastAsia="Andale Sans UI" w:cs="Tahoma"/>
                  <w:szCs w:val="24"/>
                  <w:lang w:bidi="en-US"/>
                </w:rPr>
              </w:pPr>
              <w:sdt>
                <w:sdtPr>
                  <w:alias w:val="Numeris"/>
                  <w:tag w:val="nr_b35b0e199345474582c8dd681b785f17"/>
                  <w:lock w:val="sdtLocked"/>
                  <w:richText/>
                </w:sdtPr>
                <w:sdtContent>
                  <w:r>
                    <w:rPr>
                      <w:rFonts w:eastAsia="Andale Sans UI" w:cs="Tahoma"/>
                      <w:szCs w:val="24"/>
                      <w:lang w:bidi="en-US"/>
                    </w:rPr>
                    <w:t>26</w:t>
                  </w:r>
                </w:sdtContent>
              </w:sdt>
              <w:r>
                <w:rPr>
                  <w:rFonts w:eastAsia="Andale Sans UI" w:cs="Tahoma"/>
                  <w:szCs w:val="24"/>
                  <w:lang w:bidi="en-US"/>
                </w:rPr>
                <w:t>.</w:t>
                <w:tab/>
                <w:t>Asociacija „Aplinkosaugos koalicija“;</w:t>
              </w:r>
            </w:p>
          </w:sdtContent>
        </w:sdt>
        <w:sdt>
          <w:sdtPr>
            <w:alias w:val="27 p."/>
            <w:tag w:val="part_d665ae5d35ee4314a37bedd2b9b49b3a"/>
            <w:lock w:val="sdtLocked"/>
            <w:richText/>
          </w:sdtPr>
          <w:sdtContent>
            <w:p>
              <w:pPr>
                <w:widowControl w:val="0"/>
                <w:suppressAutoHyphens/>
                <w:jc w:val="both"/>
                <w:rPr>
                  <w:rFonts w:eastAsia="Andale Sans UI" w:cs="Tahoma"/>
                  <w:szCs w:val="24"/>
                  <w:lang w:bidi="en-US"/>
                </w:rPr>
              </w:pPr>
              <w:sdt>
                <w:sdtPr>
                  <w:alias w:val="Numeris"/>
                  <w:tag w:val="nr_d665ae5d35ee4314a37bedd2b9b49b3a"/>
                  <w:lock w:val="sdtLocked"/>
                  <w:richText/>
                </w:sdtPr>
                <w:sdtContent>
                  <w:r>
                    <w:rPr>
                      <w:rFonts w:eastAsia="Andale Sans UI" w:cs="Tahoma"/>
                      <w:szCs w:val="24"/>
                      <w:lang w:bidi="en-US"/>
                    </w:rPr>
                    <w:t>27</w:t>
                  </w:r>
                </w:sdtContent>
              </w:sdt>
              <w:r>
                <w:rPr>
                  <w:rFonts w:eastAsia="Andale Sans UI" w:cs="Tahoma"/>
                  <w:szCs w:val="24"/>
                  <w:lang w:bidi="en-US"/>
                </w:rPr>
                <w:t>.</w:t>
                <w:tab/>
              </w:r>
              <w:r>
                <w:rPr>
                  <w:rFonts w:eastAsia="Andale Sans UI" w:cs="Tahoma"/>
                  <w:color w:val="000000"/>
                  <w:szCs w:val="24"/>
                  <w:lang w:bidi="en-US"/>
                </w:rPr>
                <w:t>Asociacija „Lietuvos gėrimai“;</w:t>
              </w:r>
            </w:p>
          </w:sdtContent>
        </w:sdt>
        <w:sdt>
          <w:sdtPr>
            <w:alias w:val="28 p."/>
            <w:tag w:val="part_0eeabf0291af4f15be6c2d9dcd490a33"/>
            <w:lock w:val="sdtLocked"/>
            <w:richText/>
          </w:sdtPr>
          <w:sdtContent>
            <w:p>
              <w:pPr>
                <w:widowControl w:val="0"/>
                <w:suppressAutoHyphens/>
                <w:jc w:val="both"/>
                <w:rPr>
                  <w:rFonts w:eastAsia="Andale Sans UI" w:cs="Tahoma"/>
                  <w:szCs w:val="24"/>
                  <w:lang w:bidi="en-US"/>
                </w:rPr>
              </w:pPr>
              <w:sdt>
                <w:sdtPr>
                  <w:alias w:val="Numeris"/>
                  <w:tag w:val="nr_0eeabf0291af4f15be6c2d9dcd490a33"/>
                  <w:lock w:val="sdtLocked"/>
                  <w:richText/>
                </w:sdtPr>
                <w:sdtContent>
                  <w:r>
                    <w:rPr>
                      <w:rFonts w:eastAsia="Andale Sans UI" w:cs="Tahoma"/>
                      <w:szCs w:val="24"/>
                      <w:lang w:bidi="en-US"/>
                    </w:rPr>
                    <w:t>28</w:t>
                  </w:r>
                </w:sdtContent>
              </w:sdt>
              <w:r>
                <w:rPr>
                  <w:rFonts w:eastAsia="Andale Sans UI" w:cs="Tahoma"/>
                  <w:szCs w:val="24"/>
                  <w:lang w:bidi="en-US"/>
                </w:rPr>
                <w:t>.</w:t>
                <w:tab/>
              </w:r>
              <w:r>
                <w:rPr>
                  <w:rFonts w:eastAsia="Andale Sans UI" w:cs="Tahoma"/>
                  <w:color w:val="000000"/>
                  <w:szCs w:val="24"/>
                  <w:lang w:bidi="en-US"/>
                </w:rPr>
                <w:t>Lietuvos autoverslininkų asociacija;</w:t>
              </w:r>
            </w:p>
          </w:sdtContent>
        </w:sdt>
        <w:sdt>
          <w:sdtPr>
            <w:alias w:val="29 p."/>
            <w:tag w:val="part_11e1ffd9d22f43eda04270ae2769d923"/>
            <w:lock w:val="sdtLocked"/>
            <w:richText/>
          </w:sdtPr>
          <w:sdtContent>
            <w:p>
              <w:pPr>
                <w:widowControl w:val="0"/>
                <w:suppressAutoHyphens/>
                <w:jc w:val="both"/>
                <w:rPr>
                  <w:rFonts w:eastAsia="Andale Sans UI" w:cs="Tahoma"/>
                  <w:szCs w:val="24"/>
                  <w:lang w:bidi="en-US"/>
                </w:rPr>
              </w:pPr>
              <w:sdt>
                <w:sdtPr>
                  <w:alias w:val="Numeris"/>
                  <w:tag w:val="nr_11e1ffd9d22f43eda04270ae2769d923"/>
                  <w:lock w:val="sdtLocked"/>
                  <w:richText/>
                </w:sdtPr>
                <w:sdtContent>
                  <w:r>
                    <w:rPr>
                      <w:rFonts w:eastAsia="Andale Sans UI" w:cs="Tahoma"/>
                      <w:szCs w:val="24"/>
                      <w:lang w:bidi="en-US"/>
                    </w:rPr>
                    <w:t>29</w:t>
                  </w:r>
                </w:sdtContent>
              </w:sdt>
              <w:r>
                <w:rPr>
                  <w:rFonts w:eastAsia="Andale Sans UI" w:cs="Tahoma"/>
                  <w:szCs w:val="24"/>
                  <w:lang w:bidi="en-US"/>
                </w:rPr>
                <w:t>.</w:t>
                <w:tab/>
              </w:r>
              <w:r>
                <w:rPr>
                  <w:rFonts w:eastAsia="Andale Sans UI" w:cs="Tahoma"/>
                  <w:color w:val="000000"/>
                  <w:szCs w:val="24"/>
                  <w:lang w:bidi="en-US"/>
                </w:rPr>
                <w:t>VšĮ „PATS LT“</w:t>
              </w:r>
              <w:r>
                <w:rPr>
                  <w:rFonts w:eastAsia="Andale Sans UI" w:cs="Tahoma"/>
                  <w:szCs w:val="24"/>
                  <w:lang w:bidi="en-US"/>
                </w:rPr>
                <w:t>.</w:t>
              </w: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0" w:right="706" w:bottom="1089" w:left="1560" w:header="567" w:footer="307"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swiss"/>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5E9CC9E2" wp14:editId="3FF9CC87">
          <wp:extent cx="327546" cy="541453"/>
          <wp:effectExtent l="0" t="0" r="0" b="0"/>
          <wp:docPr id="3" name="Picture 3"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as_zenklas_grey"/>
                  <pic:cNvPicPr>
                    <a:picLocks noChangeAspect="1" noChangeArrowheads="1"/>
                  </pic:cNvPicPr>
                </pic:nvPicPr>
                <pic:blipFill>
                  <a:blip r:embed="rId1"/>
                  <a:srcRect/>
                  <a:stretch>
                    <a:fillRect/>
                  </a:stretch>
                </pic:blipFill>
                <pic:spPr bwMode="auto">
                  <a:xfrm>
                    <a:off x="0" y="0"/>
                    <a:ext cx="327727" cy="541753"/>
                  </a:xfrm>
                  <a:prstGeom prst="rect">
                    <a:avLst/>
                  </a:prstGeom>
                  <a:noFill/>
                  <a:ln w="9525">
                    <a:noFill/>
                    <a:miter lim="800000"/>
                    <a:headEnd/>
                    <a:tailEnd/>
                  </a:ln>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53249"/>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12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783718">
      <w:bodyDiv w:val="1"/>
      <w:marLeft w:val="0"/>
      <w:marRight w:val="0"/>
      <w:marTop w:val="0"/>
      <w:marBottom w:val="0"/>
      <w:divBdr>
        <w:top w:val="none" w:sz="0" w:space="0" w:color="auto"/>
        <w:left w:val="none" w:sz="0" w:space="0" w:color="auto"/>
        <w:bottom w:val="none" w:sz="0" w:space="0" w:color="auto"/>
        <w:right w:val="none" w:sz="0" w:space="0" w:color="auto"/>
      </w:divBdr>
    </w:div>
    <w:div w:id="184833679">
      <w:bodyDiv w:val="1"/>
      <w:marLeft w:val="0"/>
      <w:marRight w:val="0"/>
      <w:marTop w:val="0"/>
      <w:marBottom w:val="0"/>
      <w:divBdr>
        <w:top w:val="none" w:sz="0" w:space="0" w:color="auto"/>
        <w:left w:val="none" w:sz="0" w:space="0" w:color="auto"/>
        <w:bottom w:val="none" w:sz="0" w:space="0" w:color="auto"/>
        <w:right w:val="none" w:sz="0" w:space="0" w:color="auto"/>
      </w:divBdr>
    </w:div>
    <w:div w:id="209994896">
      <w:bodyDiv w:val="1"/>
      <w:marLeft w:val="0"/>
      <w:marRight w:val="0"/>
      <w:marTop w:val="0"/>
      <w:marBottom w:val="0"/>
      <w:divBdr>
        <w:top w:val="none" w:sz="0" w:space="0" w:color="auto"/>
        <w:left w:val="none" w:sz="0" w:space="0" w:color="auto"/>
        <w:bottom w:val="none" w:sz="0" w:space="0" w:color="auto"/>
        <w:right w:val="none" w:sz="0" w:space="0" w:color="auto"/>
      </w:divBdr>
    </w:div>
    <w:div w:id="298340569">
      <w:bodyDiv w:val="1"/>
      <w:marLeft w:val="0"/>
      <w:marRight w:val="0"/>
      <w:marTop w:val="0"/>
      <w:marBottom w:val="0"/>
      <w:divBdr>
        <w:top w:val="none" w:sz="0" w:space="0" w:color="auto"/>
        <w:left w:val="none" w:sz="0" w:space="0" w:color="auto"/>
        <w:bottom w:val="none" w:sz="0" w:space="0" w:color="auto"/>
        <w:right w:val="none" w:sz="0" w:space="0" w:color="auto"/>
      </w:divBdr>
      <w:divsChild>
        <w:div w:id="565341739">
          <w:marLeft w:val="0"/>
          <w:marRight w:val="0"/>
          <w:marTop w:val="0"/>
          <w:marBottom w:val="0"/>
          <w:divBdr>
            <w:top w:val="none" w:sz="0" w:space="0" w:color="auto"/>
            <w:left w:val="none" w:sz="0" w:space="0" w:color="auto"/>
            <w:bottom w:val="none" w:sz="0" w:space="0" w:color="auto"/>
            <w:right w:val="none" w:sz="0" w:space="0" w:color="auto"/>
          </w:divBdr>
          <w:divsChild>
            <w:div w:id="236329586">
              <w:marLeft w:val="0"/>
              <w:marRight w:val="0"/>
              <w:marTop w:val="0"/>
              <w:marBottom w:val="0"/>
              <w:divBdr>
                <w:top w:val="none" w:sz="0" w:space="0" w:color="auto"/>
                <w:left w:val="none" w:sz="0" w:space="0" w:color="auto"/>
                <w:bottom w:val="none" w:sz="0" w:space="0" w:color="auto"/>
                <w:right w:val="none" w:sz="0" w:space="0" w:color="auto"/>
              </w:divBdr>
              <w:divsChild>
                <w:div w:id="51198673">
                  <w:marLeft w:val="0"/>
                  <w:marRight w:val="0"/>
                  <w:marTop w:val="0"/>
                  <w:marBottom w:val="0"/>
                  <w:divBdr>
                    <w:top w:val="none" w:sz="0" w:space="0" w:color="auto"/>
                    <w:left w:val="none" w:sz="0" w:space="0" w:color="auto"/>
                    <w:bottom w:val="none" w:sz="0" w:space="0" w:color="auto"/>
                    <w:right w:val="none" w:sz="0" w:space="0" w:color="auto"/>
                  </w:divBdr>
                  <w:divsChild>
                    <w:div w:id="2056347691">
                      <w:marLeft w:val="0"/>
                      <w:marRight w:val="0"/>
                      <w:marTop w:val="0"/>
                      <w:marBottom w:val="0"/>
                      <w:divBdr>
                        <w:top w:val="none" w:sz="0" w:space="0" w:color="auto"/>
                        <w:left w:val="none" w:sz="0" w:space="0" w:color="auto"/>
                        <w:bottom w:val="none" w:sz="0" w:space="0" w:color="auto"/>
                        <w:right w:val="none" w:sz="0" w:space="0" w:color="auto"/>
                      </w:divBdr>
                      <w:divsChild>
                        <w:div w:id="139732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5598009">
      <w:bodyDiv w:val="1"/>
      <w:marLeft w:val="0"/>
      <w:marRight w:val="0"/>
      <w:marTop w:val="0"/>
      <w:marBottom w:val="0"/>
      <w:divBdr>
        <w:top w:val="none" w:sz="0" w:space="0" w:color="auto"/>
        <w:left w:val="none" w:sz="0" w:space="0" w:color="auto"/>
        <w:bottom w:val="none" w:sz="0" w:space="0" w:color="auto"/>
        <w:right w:val="none" w:sz="0" w:space="0" w:color="auto"/>
      </w:divBdr>
    </w:div>
    <w:div w:id="675425693">
      <w:bodyDiv w:val="1"/>
      <w:marLeft w:val="0"/>
      <w:marRight w:val="0"/>
      <w:marTop w:val="0"/>
      <w:marBottom w:val="0"/>
      <w:divBdr>
        <w:top w:val="none" w:sz="0" w:space="0" w:color="auto"/>
        <w:left w:val="none" w:sz="0" w:space="0" w:color="auto"/>
        <w:bottom w:val="none" w:sz="0" w:space="0" w:color="auto"/>
        <w:right w:val="none" w:sz="0" w:space="0" w:color="auto"/>
      </w:divBdr>
    </w:div>
    <w:div w:id="791633339">
      <w:bodyDiv w:val="1"/>
      <w:marLeft w:val="0"/>
      <w:marRight w:val="0"/>
      <w:marTop w:val="0"/>
      <w:marBottom w:val="0"/>
      <w:divBdr>
        <w:top w:val="none" w:sz="0" w:space="0" w:color="auto"/>
        <w:left w:val="none" w:sz="0" w:space="0" w:color="auto"/>
        <w:bottom w:val="none" w:sz="0" w:space="0" w:color="auto"/>
        <w:right w:val="none" w:sz="0" w:space="0" w:color="auto"/>
      </w:divBdr>
    </w:div>
    <w:div w:id="811825903">
      <w:bodyDiv w:val="1"/>
      <w:marLeft w:val="0"/>
      <w:marRight w:val="0"/>
      <w:marTop w:val="0"/>
      <w:marBottom w:val="0"/>
      <w:divBdr>
        <w:top w:val="none" w:sz="0" w:space="0" w:color="auto"/>
        <w:left w:val="none" w:sz="0" w:space="0" w:color="auto"/>
        <w:bottom w:val="none" w:sz="0" w:space="0" w:color="auto"/>
        <w:right w:val="none" w:sz="0" w:space="0" w:color="auto"/>
      </w:divBdr>
    </w:div>
    <w:div w:id="907495419">
      <w:bodyDiv w:val="1"/>
      <w:marLeft w:val="0"/>
      <w:marRight w:val="0"/>
      <w:marTop w:val="0"/>
      <w:marBottom w:val="0"/>
      <w:divBdr>
        <w:top w:val="none" w:sz="0" w:space="0" w:color="auto"/>
        <w:left w:val="none" w:sz="0" w:space="0" w:color="auto"/>
        <w:bottom w:val="none" w:sz="0" w:space="0" w:color="auto"/>
        <w:right w:val="none" w:sz="0" w:space="0" w:color="auto"/>
      </w:divBdr>
    </w:div>
    <w:div w:id="930744032">
      <w:bodyDiv w:val="1"/>
      <w:marLeft w:val="0"/>
      <w:marRight w:val="0"/>
      <w:marTop w:val="0"/>
      <w:marBottom w:val="0"/>
      <w:divBdr>
        <w:top w:val="none" w:sz="0" w:space="0" w:color="auto"/>
        <w:left w:val="none" w:sz="0" w:space="0" w:color="auto"/>
        <w:bottom w:val="none" w:sz="0" w:space="0" w:color="auto"/>
        <w:right w:val="none" w:sz="0" w:space="0" w:color="auto"/>
      </w:divBdr>
    </w:div>
    <w:div w:id="1266496515">
      <w:bodyDiv w:val="1"/>
      <w:marLeft w:val="0"/>
      <w:marRight w:val="0"/>
      <w:marTop w:val="0"/>
      <w:marBottom w:val="0"/>
      <w:divBdr>
        <w:top w:val="none" w:sz="0" w:space="0" w:color="auto"/>
        <w:left w:val="none" w:sz="0" w:space="0" w:color="auto"/>
        <w:bottom w:val="none" w:sz="0" w:space="0" w:color="auto"/>
        <w:right w:val="none" w:sz="0" w:space="0" w:color="auto"/>
      </w:divBdr>
      <w:divsChild>
        <w:div w:id="257298927">
          <w:marLeft w:val="0"/>
          <w:marRight w:val="0"/>
          <w:marTop w:val="0"/>
          <w:marBottom w:val="0"/>
          <w:divBdr>
            <w:top w:val="none" w:sz="0" w:space="0" w:color="auto"/>
            <w:left w:val="none" w:sz="0" w:space="0" w:color="auto"/>
            <w:bottom w:val="none" w:sz="0" w:space="0" w:color="auto"/>
            <w:right w:val="none" w:sz="0" w:space="0" w:color="auto"/>
          </w:divBdr>
          <w:divsChild>
            <w:div w:id="1864400071">
              <w:marLeft w:val="0"/>
              <w:marRight w:val="0"/>
              <w:marTop w:val="0"/>
              <w:marBottom w:val="0"/>
              <w:divBdr>
                <w:top w:val="none" w:sz="0" w:space="0" w:color="auto"/>
                <w:left w:val="none" w:sz="0" w:space="0" w:color="auto"/>
                <w:bottom w:val="none" w:sz="0" w:space="0" w:color="auto"/>
                <w:right w:val="none" w:sz="0" w:space="0" w:color="auto"/>
              </w:divBdr>
              <w:divsChild>
                <w:div w:id="7393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8070600">
          <w:marLeft w:val="0"/>
          <w:marRight w:val="0"/>
          <w:marTop w:val="0"/>
          <w:marBottom w:val="0"/>
          <w:divBdr>
            <w:top w:val="none" w:sz="0" w:space="0" w:color="auto"/>
            <w:left w:val="none" w:sz="0" w:space="0" w:color="auto"/>
            <w:bottom w:val="none" w:sz="0" w:space="0" w:color="auto"/>
            <w:right w:val="none" w:sz="0" w:space="0" w:color="auto"/>
          </w:divBdr>
          <w:divsChild>
            <w:div w:id="1694650440">
              <w:marLeft w:val="0"/>
              <w:marRight w:val="0"/>
              <w:marTop w:val="0"/>
              <w:marBottom w:val="0"/>
              <w:divBdr>
                <w:top w:val="none" w:sz="0" w:space="0" w:color="auto"/>
                <w:left w:val="none" w:sz="0" w:space="0" w:color="auto"/>
                <w:bottom w:val="none" w:sz="0" w:space="0" w:color="auto"/>
                <w:right w:val="none" w:sz="0" w:space="0" w:color="auto"/>
              </w:divBdr>
              <w:divsChild>
                <w:div w:id="210849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165824">
      <w:bodyDiv w:val="1"/>
      <w:marLeft w:val="0"/>
      <w:marRight w:val="0"/>
      <w:marTop w:val="0"/>
      <w:marBottom w:val="0"/>
      <w:divBdr>
        <w:top w:val="none" w:sz="0" w:space="0" w:color="auto"/>
        <w:left w:val="none" w:sz="0" w:space="0" w:color="auto"/>
        <w:bottom w:val="none" w:sz="0" w:space="0" w:color="auto"/>
        <w:right w:val="none" w:sz="0" w:space="0" w:color="auto"/>
      </w:divBdr>
    </w:div>
    <w:div w:id="1335303576">
      <w:bodyDiv w:val="1"/>
      <w:marLeft w:val="0"/>
      <w:marRight w:val="0"/>
      <w:marTop w:val="0"/>
      <w:marBottom w:val="0"/>
      <w:divBdr>
        <w:top w:val="none" w:sz="0" w:space="0" w:color="auto"/>
        <w:left w:val="none" w:sz="0" w:space="0" w:color="auto"/>
        <w:bottom w:val="none" w:sz="0" w:space="0" w:color="auto"/>
        <w:right w:val="none" w:sz="0" w:space="0" w:color="auto"/>
      </w:divBdr>
      <w:divsChild>
        <w:div w:id="1296259958">
          <w:marLeft w:val="0"/>
          <w:marRight w:val="0"/>
          <w:marTop w:val="0"/>
          <w:marBottom w:val="0"/>
          <w:divBdr>
            <w:top w:val="none" w:sz="0" w:space="0" w:color="auto"/>
            <w:left w:val="none" w:sz="0" w:space="0" w:color="auto"/>
            <w:bottom w:val="none" w:sz="0" w:space="0" w:color="auto"/>
            <w:right w:val="none" w:sz="0" w:space="0" w:color="auto"/>
          </w:divBdr>
          <w:divsChild>
            <w:div w:id="1013843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955184">
      <w:bodyDiv w:val="1"/>
      <w:marLeft w:val="0"/>
      <w:marRight w:val="0"/>
      <w:marTop w:val="0"/>
      <w:marBottom w:val="0"/>
      <w:divBdr>
        <w:top w:val="none" w:sz="0" w:space="0" w:color="auto"/>
        <w:left w:val="none" w:sz="0" w:space="0" w:color="auto"/>
        <w:bottom w:val="none" w:sz="0" w:space="0" w:color="auto"/>
        <w:right w:val="none" w:sz="0" w:space="0" w:color="auto"/>
      </w:divBdr>
    </w:div>
    <w:div w:id="1792165918">
      <w:bodyDiv w:val="1"/>
      <w:marLeft w:val="0"/>
      <w:marRight w:val="0"/>
      <w:marTop w:val="0"/>
      <w:marBottom w:val="0"/>
      <w:divBdr>
        <w:top w:val="none" w:sz="0" w:space="0" w:color="auto"/>
        <w:left w:val="none" w:sz="0" w:space="0" w:color="auto"/>
        <w:bottom w:val="none" w:sz="0" w:space="0" w:color="auto"/>
        <w:right w:val="none" w:sz="0" w:space="0" w:color="auto"/>
      </w:divBdr>
    </w:div>
    <w:div w:id="1851723061">
      <w:bodyDiv w:val="1"/>
      <w:marLeft w:val="0"/>
      <w:marRight w:val="0"/>
      <w:marTop w:val="0"/>
      <w:marBottom w:val="0"/>
      <w:divBdr>
        <w:top w:val="none" w:sz="0" w:space="0" w:color="auto"/>
        <w:left w:val="none" w:sz="0" w:space="0" w:color="auto"/>
        <w:bottom w:val="none" w:sz="0" w:space="0" w:color="auto"/>
        <w:right w:val="none" w:sz="0" w:space="0" w:color="auto"/>
      </w:divBdr>
      <w:divsChild>
        <w:div w:id="816842536">
          <w:marLeft w:val="0"/>
          <w:marRight w:val="0"/>
          <w:marTop w:val="0"/>
          <w:marBottom w:val="0"/>
          <w:divBdr>
            <w:top w:val="none" w:sz="0" w:space="0" w:color="auto"/>
            <w:left w:val="none" w:sz="0" w:space="0" w:color="auto"/>
            <w:bottom w:val="none" w:sz="0" w:space="0" w:color="auto"/>
            <w:right w:val="none" w:sz="0" w:space="0" w:color="auto"/>
          </w:divBdr>
        </w:div>
        <w:div w:id="51731262">
          <w:marLeft w:val="0"/>
          <w:marRight w:val="0"/>
          <w:marTop w:val="0"/>
          <w:marBottom w:val="0"/>
          <w:divBdr>
            <w:top w:val="none" w:sz="0" w:space="0" w:color="auto"/>
            <w:left w:val="none" w:sz="0" w:space="0" w:color="auto"/>
            <w:bottom w:val="none" w:sz="0" w:space="0" w:color="auto"/>
            <w:right w:val="none" w:sz="0" w:space="0" w:color="auto"/>
          </w:divBdr>
        </w:div>
      </w:divsChild>
    </w:div>
    <w:div w:id="2013485384">
      <w:bodyDiv w:val="1"/>
      <w:marLeft w:val="0"/>
      <w:marRight w:val="0"/>
      <w:marTop w:val="0"/>
      <w:marBottom w:val="0"/>
      <w:divBdr>
        <w:top w:val="none" w:sz="0" w:space="0" w:color="auto"/>
        <w:left w:val="none" w:sz="0" w:space="0" w:color="auto"/>
        <w:bottom w:val="none" w:sz="0" w:space="0" w:color="auto"/>
        <w:right w:val="none" w:sz="0" w:space="0" w:color="auto"/>
      </w:divBdr>
    </w:div>
    <w:div w:id="2062559875">
      <w:bodyDiv w:val="1"/>
      <w:marLeft w:val="0"/>
      <w:marRight w:val="0"/>
      <w:marTop w:val="0"/>
      <w:marBottom w:val="0"/>
      <w:divBdr>
        <w:top w:val="none" w:sz="0" w:space="0" w:color="auto"/>
        <w:left w:val="none" w:sz="0" w:space="0" w:color="auto"/>
        <w:bottom w:val="none" w:sz="0" w:space="0" w:color="auto"/>
        <w:right w:val="none" w:sz="0" w:space="0" w:color="auto"/>
      </w:divBdr>
    </w:div>
    <w:div w:id="2069645562">
      <w:bodyDiv w:val="1"/>
      <w:marLeft w:val="0"/>
      <w:marRight w:val="0"/>
      <w:marTop w:val="0"/>
      <w:marBottom w:val="0"/>
      <w:divBdr>
        <w:top w:val="none" w:sz="0" w:space="0" w:color="auto"/>
        <w:left w:val="none" w:sz="0" w:space="0" w:color="auto"/>
        <w:bottom w:val="none" w:sz="0" w:space="0" w:color="auto"/>
        <w:right w:val="none" w:sz="0" w:space="0" w:color="auto"/>
      </w:divBdr>
      <w:divsChild>
        <w:div w:id="81876868">
          <w:marLeft w:val="0"/>
          <w:marRight w:val="0"/>
          <w:marTop w:val="0"/>
          <w:marBottom w:val="0"/>
          <w:divBdr>
            <w:top w:val="none" w:sz="0" w:space="0" w:color="auto"/>
            <w:left w:val="none" w:sz="0" w:space="0" w:color="auto"/>
            <w:bottom w:val="none" w:sz="0" w:space="0" w:color="auto"/>
            <w:right w:val="none" w:sz="0" w:space="0" w:color="auto"/>
          </w:divBdr>
          <w:divsChild>
            <w:div w:id="1011638933">
              <w:marLeft w:val="0"/>
              <w:marRight w:val="0"/>
              <w:marTop w:val="0"/>
              <w:marBottom w:val="0"/>
              <w:divBdr>
                <w:top w:val="none" w:sz="0" w:space="0" w:color="auto"/>
                <w:left w:val="none" w:sz="0" w:space="0" w:color="auto"/>
                <w:bottom w:val="none" w:sz="0" w:space="0" w:color="auto"/>
                <w:right w:val="none" w:sz="0" w:space="0" w:color="auto"/>
              </w:divBdr>
              <w:divsChild>
                <w:div w:id="538202429">
                  <w:marLeft w:val="0"/>
                  <w:marRight w:val="0"/>
                  <w:marTop w:val="0"/>
                  <w:marBottom w:val="0"/>
                  <w:divBdr>
                    <w:top w:val="none" w:sz="0" w:space="0" w:color="auto"/>
                    <w:left w:val="none" w:sz="0" w:space="0" w:color="auto"/>
                    <w:bottom w:val="none" w:sz="0" w:space="0" w:color="auto"/>
                    <w:right w:val="none" w:sz="0" w:space="0" w:color="auto"/>
                  </w:divBdr>
                  <w:divsChild>
                    <w:div w:id="1965038331">
                      <w:marLeft w:val="0"/>
                      <w:marRight w:val="0"/>
                      <w:marTop w:val="0"/>
                      <w:marBottom w:val="0"/>
                      <w:divBdr>
                        <w:top w:val="none" w:sz="0" w:space="0" w:color="auto"/>
                        <w:left w:val="none" w:sz="0" w:space="0" w:color="auto"/>
                        <w:bottom w:val="none" w:sz="0" w:space="0" w:color="auto"/>
                        <w:right w:val="none" w:sz="0" w:space="0" w:color="auto"/>
                      </w:divBdr>
                      <w:divsChild>
                        <w:div w:id="19145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Ieva Kazulytė - Ramanauskienė</DisplayName>
        <AccountId>286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10b26f58e6c244478f0a4d8f08ae62b3" PartId="3f74c50c0b554936b5816765df0d54f2"/>
  <Part Type="pastraipa" DocPartId="00f4c1cb41ca490c96d7318d145d8e50" PartId="85494dedc6fe44418e4fac4e6de47ac6"/>
  <Part Type="pastraipa" DocPartId="58a1f599bb1342ec8ba6a547ea66e849" PartId="cddf162ada644f18b5f4dada8793164e"/>
  <Part Type="pastraipa" DocPartId="c5363baed49e4d8b97fc796385b24955" PartId="70b8695d0ff443c7bffb9017e587c629"/>
  <Part Type="pastraipa" DocPartId="9678708f556146a4b99f1fb9fa9e2582" PartId="b167e6c02796478a8f1fa16fe9c70b6e">
    <Part Type="punktas" Nr="1" Abbr="1 p." DocPartId="c74da0426bf140e8871c968da3c440bc" PartId="3bf518da6c69447e8a34d3b1b7775620"/>
    <Part Type="punktas" Nr="2" Abbr="2 p." DocPartId="515b003e9fa54790a998561bd15a6bef" PartId="390457ecd8c54166917360e6f5b015ba"/>
    <Part Type="punktas" Nr="1" Abbr="1 p." Notes="Numeris ne iš eilės. Trūksta dalių? [DocDalys]" DocPartId="5a0f6fab7bf84b69b7298c86fb4bf3b9" PartId="a7b0a2ae09984537aba27d715586ae6b"/>
    <Part Type="punktas" Nr="2" Abbr="2 p." DocPartId="eca2ede6cdae420482f79e1ad8260496" PartId="fcf9bb4c5a2b4902af790901c63d9abe"/>
    <Part Type="punktas" Nr="3" Abbr="3 p." DocPartId="e23a73f51644442cbe60fbfb3513a33c" PartId="e8581aa87bdb4a479280cf074aac6cbb"/>
    <Part Type="punktas" Nr="4" Abbr="4 p." DocPartId="7b0da3ecf1744894bef381640cfa3b68" PartId="34a9d216213742baad08716378c7dcec"/>
    <Part Type="punktas" Nr="5" Abbr="5 p." DocPartId="924363437ff648688c9a102158eeb0b2" PartId="4e329075050b41da876fe4ee4ae1de52"/>
    <Part Type="punktas" Nr="6" Abbr="6 p." DocPartId="8d39cdf7860e4a6ba52c863cc8ccb0b4" PartId="1988744f2182472fa111050b8fbaf819"/>
    <Part Type="punktas" Nr="7" Abbr="7 p." DocPartId="18ee845fdd224f998b1e41a48cf19b57" PartId="ff7f0a4a72fa4031a7b3cf9abbed5f3e"/>
    <Part Type="punktas" Nr="1" Abbr="1 p." Notes="Numeris ne iš eilės. Trūksta dalių? [DocDalys]" DocPartId="d69badef10044114a8cda5351fa1c284" PartId="63866174d6c145148a63df75868c3265"/>
    <Part Type="punktas" Nr="2" Abbr="2 p." DocPartId="230c6770199b4cdd8ffc73f6b6526f34" PartId="0672f6887b434d0c937b7e4af7d85bdd"/>
    <Part Type="punktas" Nr="3" Abbr="3 p." DocPartId="ebff7a9018e749f6905f4005cd245cd5" PartId="90a6fadb76ca4c5cb1b93d7da4b6ba32"/>
    <Part Type="punktas" Nr="4" Abbr="4 p." DocPartId="bbf30f97eb5a4101a167faf5403b5f37" PartId="1d4ad80441d84dce8612e5326d48330d"/>
    <Part Type="punktas" Nr="5" Abbr="5 p." DocPartId="057bd877e1fe44798499e30006b373b5" PartId="b5095d0671b64f77a6c9e13d551347cc"/>
    <Part Type="punktas" Nr="6" Abbr="6 p." DocPartId="fe598df20f0f47b5a69b4ca5472dd2aa" PartId="751e8c80ab0741dbba8c4200771208d4"/>
    <Part Type="punktas" Nr="7" Abbr="7 p." DocPartId="3e0a7bdd09084a6280b75dabfab97ff8" PartId="c35e7d407f7742ce85d151f2fb5fdf81"/>
    <Part Type="punktas" Nr="8" Abbr="8 p." DocPartId="8ba90886e6164f0e9e0fbc6b7eff8264" PartId="0752546892c94ac09493decf879e2845"/>
    <Part Type="punktas" Nr="9" Abbr="9 p." DocPartId="c582bb7c26eb414e9a641303647bc217" PartId="16304625d36d487bbe90f63c42590109"/>
    <Part Type="punktas" Nr="10" Abbr="10 p." DocPartId="f113831bec80476198c4d845dd01c3a2" PartId="a10a6fbebbc94e508996c38996cf33f8"/>
    <Part Type="punktas" Nr="11" Abbr="11 p." DocPartId="44fb66f98f3f4c8da8da577253601004" PartId="da409208d3364adb9b1456f9ba2aefa3"/>
    <Part Type="punktas" Nr="12" Abbr="12 p." DocPartId="de0433b77aca460cae0feeafdb42f945" PartId="5bf1523298a84fd9ab5cbf0035fd1c12"/>
    <Part Type="punktas" Nr="13" Abbr="13 p." DocPartId="a3a1868851df4aa68580e0323e066d76" PartId="ab06531e54814c1f81a6e853a8603026"/>
    <Part Type="punktas" Nr="14" Abbr="14 p." DocPartId="63b96c5fdd9f4f88921c5b1dbf295b8c" PartId="82def3788e4349b4893fc158a6ab1e5e"/>
    <Part Type="punktas" Nr="15" Abbr="15 p." DocPartId="250ca2fe65f047e3827b1805edded406" PartId="41a0e8d5232e4cdb8becd509a8c169c8"/>
    <Part Type="punktas" Nr="16" Abbr="16 p." DocPartId="f2d60c8db35a48fe94631fd4244173a5" PartId="767e2de8a15c49f381e127ff339ea8fe"/>
    <Part Type="punktas" Nr="17" Abbr="17 p." DocPartId="2ab3085a35ed4fd0ba0554404931d6b7" PartId="9c7cfaee61d9475a977033ceed1058ee"/>
    <Part Type="punktas" Nr="18" Abbr="18 p." DocPartId="7b75cdb5184a4417b6d76d539ff6525e" PartId="042ba53801dc4a08a422c2c9cac34b45"/>
    <Part Type="punktas" Nr="19" Abbr="19 p." DocPartId="50eaca87e335429ca01be38b553b0793" PartId="ef3f0f77282e4b4b91b04c4e33789af4"/>
    <Part Type="punktas" Nr="20" Abbr="20 p." DocPartId="d97073fdc1ed40f1a818d63ffacfacf5" PartId="f7c495b100cc444f8ffa7199c5f920fc"/>
    <Part Type="punktas" Nr="21" Abbr="21 p." DocPartId="d56711a57b7f40b5b9cd8344c6a25e61" PartId="b3f02224d7b443469dc1d74a8773551d"/>
    <Part Type="punktas" Nr="22" Abbr="22 p." DocPartId="a4165470fab0479e9451441999e57073" PartId="7b6a37991c3147b6a3dd99bb9e77f318"/>
    <Part Type="punktas" Nr="23" Abbr="23 p." DocPartId="a4a84b32b121487e991a0a69bea0aac6" PartId="d74330bfa0ef47d2b7f370f05ec1bd9f"/>
    <Part Type="punktas" Nr="24" Abbr="24 p." DocPartId="c544258cbab442a5a157b67c41f8edbc" PartId="28c51942be8a41b4904ea6f35303796d"/>
    <Part Type="punktas" Nr="25" Abbr="25 p." DocPartId="c4f80eb593c045f093b58a7ca02cc911" PartId="47a02f0e9d65417bbf3af2a3eb3ae1e4"/>
    <Part Type="punktas" Nr="26" Abbr="26 p." DocPartId="041ee6d123804b448e0c47e45cceb850" PartId="b35b0e199345474582c8dd681b785f17"/>
    <Part Type="punktas" Nr="27" Abbr="27 p." DocPartId="1e94bf46ee25478b8dd31c238fcc08b7" PartId="d665ae5d35ee4314a37bedd2b9b49b3a"/>
    <Part Type="punktas" Nr="28" Abbr="28 p." DocPartId="35026a4bb89948b1ab4911e2a9e6c324" PartId="0eeabf0291af4f15be6c2d9dcd490a33"/>
    <Part Type="punktas" Nr="29" Abbr="29 p." DocPartId="1f4bd4ff8d1a4fe8af15a9897298ce35" PartId="11e1ffd9d22f43eda04270ae2769d923"/>
  </Part>
</Parts>
</file>

<file path=customXml/itemProps1.xml><?xml version="1.0" encoding="utf-8"?>
<ds:datastoreItem xmlns:ds="http://schemas.openxmlformats.org/officeDocument/2006/customXml" ds:itemID="{508BC1A9-6A37-4011-A489-4BA2D3A46709}">
  <ds:schemaRefs>
    <ds:schemaRef ds:uri="http://schemas.microsoft.com/sharepoint/v3/contenttype/forms"/>
  </ds:schemaRefs>
</ds:datastoreItem>
</file>

<file path=customXml/itemProps2.xml><?xml version="1.0" encoding="utf-8"?>
<ds:datastoreItem xmlns:ds="http://schemas.openxmlformats.org/officeDocument/2006/customXml" ds:itemID="{72C92169-9BF1-49E4-9206-EC5161ABDC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153E1D2-A005-410D-A5D7-E787F3E9E36B}">
  <ds:schemaRefs>
    <ds:schemaRef ds:uri="f5aad5d0-9c26-490e-8743-a6c7ceabd501"/>
    <ds:schemaRef ds:uri="http://schemas.microsoft.com/sharepoint/v3"/>
    <ds:schemaRef ds:uri="19cf09c5-daa1-4028-a0ff-74a0be4ec5cc"/>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0422D8A8-729B-44F5-B0CA-A84D8F194CC0}">
  <ds:schemaRefs>
    <ds:schemaRef ds:uri="http://schemas.openxmlformats.org/officeDocument/2006/bibliography"/>
  </ds:schemaRefs>
</ds:datastoreItem>
</file>

<file path=customXml/itemProps5.xml><?xml version="1.0" encoding="utf-8"?>
<ds:datastoreItem xmlns:ds="http://schemas.openxmlformats.org/officeDocument/2006/customXml" ds:itemID="{E71214B0-71AC-474A-9542-C888E8E6A6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797</Words>
  <Characters>5552</Characters>
  <Application>Microsoft Office Word</Application>
  <DocSecurity>4</DocSecurity>
  <Lines>150</Lines>
  <Paragraphs>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6275</CharactersWithSpaces>
  <SharedDoc>false</SharedDoc>
  <HyperlinkBase/>
  <HLinks>
    <vt:vector size="18" baseType="variant">
      <vt:variant>
        <vt:i4>262165</vt:i4>
      </vt:variant>
      <vt:variant>
        <vt:i4>6</vt:i4>
      </vt:variant>
      <vt:variant>
        <vt:i4>0</vt:i4>
      </vt:variant>
      <vt:variant>
        <vt:i4>5</vt:i4>
      </vt:variant>
      <vt:variant>
        <vt:lpwstr>http://www.lkata.lt/</vt:lpwstr>
      </vt:variant>
      <vt:variant>
        <vt:lpwstr/>
      </vt:variant>
      <vt:variant>
        <vt:i4>4390968</vt:i4>
      </vt:variant>
      <vt:variant>
        <vt:i4>3</vt:i4>
      </vt:variant>
      <vt:variant>
        <vt:i4>0</vt:i4>
      </vt:variant>
      <vt:variant>
        <vt:i4>5</vt:i4>
      </vt:variant>
      <vt:variant>
        <vt:lpwstr>mailto:d.kazlauskiene@am.lt</vt:lpwstr>
      </vt:variant>
      <vt:variant>
        <vt:lpwstr/>
      </vt:variant>
      <vt:variant>
        <vt:i4>4522028</vt:i4>
      </vt:variant>
      <vt:variant>
        <vt:i4>0</vt:i4>
      </vt:variant>
      <vt:variant>
        <vt:i4>0</vt:i4>
      </vt:variant>
      <vt:variant>
        <vt:i4>5</vt:i4>
      </vt:variant>
      <vt:variant>
        <vt:lpwstr>mailto:v.karosiene@am.lt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2021-08-18T05:53:00Z</dcterms:created>
  <dc:creator>Ieva Kazulytė - Ramanauskienė</dc:creator>
  <lastModifiedBy>adlibuser</lastModifiedBy>
  <lastPrinted>2018-12-04T12:37:00Z</lastPrinted>
  <dcterms:modified xsi:type="dcterms:W3CDTF">2021-08-18T05:53:00Z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