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left" w:pos="851"/>
        </w:tabs>
        <w:ind w:hanging="180"/>
        <w:rPr>
          <w:szCs w:val="24"/>
          <w:lang w:eastAsia="lt-LT"/>
        </w:rPr>
      </w:pPr>
      <w:r>
        <w:rPr>
          <w:szCs w:val="24"/>
          <w:lang w:eastAsia="lt-LT"/>
        </w:rPr>
        <w:t>Kupiškio rajono savivaldybės tarybai</w:t>
      </w:r>
    </w:p>
    <w:p>
      <w:pPr>
        <w:tabs>
          <w:tab w:val="left" w:pos="851"/>
        </w:tabs>
        <w:ind w:hanging="180"/>
        <w:rPr>
          <w:szCs w:val="24"/>
          <w:lang w:eastAsia="lt-LT"/>
        </w:rPr>
      </w:pPr>
    </w:p>
    <w:p>
      <w:pPr>
        <w:tabs>
          <w:tab w:val="left" w:pos="851"/>
        </w:tabs>
        <w:ind w:hanging="180"/>
        <w:jc w:val="center"/>
        <w:rPr>
          <w:b/>
          <w:szCs w:val="24"/>
          <w:lang w:eastAsia="lt-LT"/>
        </w:rPr>
      </w:pPr>
    </w:p>
    <w:p>
      <w:pPr>
        <w:tabs>
          <w:tab w:val="left" w:pos="851"/>
        </w:tabs>
        <w:ind w:hanging="180"/>
        <w:jc w:val="center"/>
        <w:rPr>
          <w:b/>
          <w:szCs w:val="24"/>
          <w:lang w:eastAsia="lt-LT"/>
        </w:rPr>
      </w:pPr>
      <w:r>
        <w:rPr>
          <w:b/>
          <w:szCs w:val="24"/>
          <w:lang w:eastAsia="lt-LT"/>
        </w:rPr>
        <w:t xml:space="preserve">KUPIŠKIO RAJONO SAVIVALDYBĖS TARYBOS SPRENDIMO </w:t>
      </w:r>
    </w:p>
    <w:p>
      <w:pPr>
        <w:jc w:val="center"/>
        <w:rPr>
          <w:b/>
          <w:szCs w:val="24"/>
          <w:lang w:eastAsia="lt-LT"/>
        </w:rPr>
      </w:pPr>
      <w:r>
        <w:rPr>
          <w:b/>
          <w:bCs/>
          <w:szCs w:val="24"/>
          <w:lang w:eastAsia="lt-LT"/>
        </w:rPr>
        <w:t>„</w:t>
      </w:r>
      <w:r>
        <w:rPr>
          <w:b/>
          <w:szCs w:val="24"/>
        </w:rPr>
        <w:t>DĖL KUPIŠKIO RAJONO SAVIVALDYBĖS TERITORIJOS BENDROJO PLANO KEITIMO PRADŽIOS IR PLANAVIMO TIKSLŲ NUSTATYMO</w:t>
      </w:r>
      <w:r>
        <w:rPr>
          <w:b/>
          <w:bCs/>
          <w:szCs w:val="24"/>
          <w:lang w:eastAsia="lt-LT"/>
        </w:rPr>
        <w:t xml:space="preserve">“ </w:t>
      </w:r>
      <w:r>
        <w:rPr>
          <w:b/>
          <w:szCs w:val="24"/>
          <w:lang w:eastAsia="lt-LT"/>
        </w:rPr>
        <w:t xml:space="preserve">PROJEKTO </w:t>
      </w:r>
    </w:p>
    <w:p>
      <w:pPr>
        <w:tabs>
          <w:tab w:val="left" w:pos="851"/>
        </w:tabs>
        <w:jc w:val="center"/>
        <w:rPr>
          <w:b/>
          <w:szCs w:val="24"/>
          <w:lang w:eastAsia="lt-LT"/>
        </w:rPr>
      </w:pPr>
      <w:r>
        <w:rPr>
          <w:b/>
          <w:szCs w:val="24"/>
          <w:lang w:eastAsia="lt-LT"/>
        </w:rPr>
        <w:t>AIŠKINAMASIS RAŠTAS</w:t>
      </w:r>
    </w:p>
    <w:p>
      <w:pPr>
        <w:tabs>
          <w:tab w:val="left" w:pos="851"/>
        </w:tabs>
        <w:jc w:val="center"/>
        <w:rPr>
          <w:szCs w:val="24"/>
          <w:lang w:eastAsia="lt-LT"/>
        </w:rPr>
      </w:pPr>
    </w:p>
    <w:p>
      <w:pPr>
        <w:tabs>
          <w:tab w:val="left" w:pos="851"/>
        </w:tabs>
        <w:jc w:val="center"/>
        <w:rPr>
          <w:szCs w:val="24"/>
          <w:lang w:eastAsia="lt-LT"/>
        </w:rPr>
      </w:pPr>
      <w:r>
        <w:rPr>
          <w:szCs w:val="24"/>
          <w:lang w:eastAsia="lt-LT"/>
        </w:rPr>
        <w:t>2021 m. spalio 12 d.</w:t>
      </w:r>
    </w:p>
    <w:p>
      <w:pPr>
        <w:tabs>
          <w:tab w:val="left" w:pos="851"/>
        </w:tabs>
        <w:ind w:left="4820" w:hanging="4820"/>
        <w:jc w:val="center"/>
        <w:rPr>
          <w:szCs w:val="24"/>
          <w:lang w:eastAsia="lt-LT"/>
        </w:rPr>
      </w:pPr>
      <w:r>
        <w:rPr>
          <w:szCs w:val="24"/>
          <w:lang w:eastAsia="lt-LT"/>
        </w:rPr>
        <w:t>Kupiškis</w:t>
      </w:r>
    </w:p>
    <w:p>
      <w:pPr>
        <w:tabs>
          <w:tab w:val="left" w:pos="851"/>
        </w:tabs>
        <w:rPr>
          <w:szCs w:val="24"/>
          <w:lang w:eastAsia="lt-LT"/>
        </w:rPr>
      </w:pPr>
    </w:p>
    <w:p>
      <w:pPr>
        <w:tabs>
          <w:tab w:val="left" w:pos="-1276"/>
          <w:tab w:val="left" w:pos="851"/>
        </w:tabs>
        <w:ind w:firstLine="851"/>
        <w:jc w:val="both"/>
        <w:rPr>
          <w:b/>
          <w:bCs/>
          <w:szCs w:val="24"/>
          <w:lang w:eastAsia="lt-LT"/>
        </w:rPr>
      </w:pPr>
      <w:r>
        <w:rPr>
          <w:b/>
          <w:bCs/>
          <w:szCs w:val="24"/>
          <w:lang w:eastAsia="lt-LT"/>
        </w:rPr>
        <w:t>1</w:t>
      </w:r>
      <w:r>
        <w:rPr>
          <w:b/>
          <w:bCs/>
          <w:szCs w:val="24"/>
          <w:lang w:eastAsia="lt-LT"/>
        </w:rPr>
        <w:t>. Sprendimo projekto rengimą paskatinusios priežastys, tikslai.</w:t>
      </w:r>
    </w:p>
    <w:p>
      <w:pPr>
        <w:ind w:firstLine="851"/>
        <w:jc w:val="both"/>
        <w:rPr>
          <w:rFonts w:ascii="TimesNewRoman" w:hAnsi="TimesNewRoman" w:cs="TimesNewRoman"/>
          <w:szCs w:val="24"/>
          <w:lang w:eastAsia="lt-LT"/>
        </w:rPr>
      </w:pPr>
      <w:r>
        <w:rPr>
          <w:rFonts w:ascii="TimesNewRoman" w:hAnsi="TimesNewRoman" w:cs="TimesNewRoman"/>
          <w:szCs w:val="24"/>
          <w:lang w:eastAsia="lt-LT"/>
        </w:rPr>
        <w:t xml:space="preserve">Vadovaujantis Lietuvos Respublikos savivaldybių infrastruktūros plėtros įstatymo nuostatomis, savivaldybės įsipareigoja plėtoti prioritetine pripažintą savivaldybės infrastruktūrą </w:t>
      </w:r>
      <w:r>
        <w:rPr>
          <w:color w:val="000000"/>
        </w:rPr>
        <w:t>(p</w:t>
      </w:r>
      <w:r>
        <w:rPr>
          <w:rFonts w:ascii="TimesNewRoman" w:hAnsi="TimesNewRoman" w:cs="TimesNewRoman"/>
          <w:szCs w:val="24"/>
          <w:lang w:eastAsia="lt-LT"/>
        </w:rPr>
        <w:t>rioritetinė savivaldybės infrastruktūra – savivaldybės tarybos sprendimu pagal savivaldybės tarybos patvirtintus kriterijus pripažinta prioritetine ir (ar), atsižvelgiant į strateginio planavimo dokumentus, savivaldybės ir (ar) vietovės lygmens bendruosiuose planuose nustatytoms prioritetinės plėtros teritorijoms ir jų vystymui skirta savivaldybės infrastruktūra).</w:t>
      </w:r>
    </w:p>
    <w:p>
      <w:pPr>
        <w:ind w:firstLine="851"/>
        <w:jc w:val="both"/>
        <w:rPr>
          <w:color w:val="000000"/>
        </w:rPr>
      </w:pPr>
      <w:r>
        <w:rPr>
          <w:rFonts w:ascii="TimesNewRoman" w:hAnsi="TimesNewRoman" w:cs="TimesNewRoman"/>
          <w:szCs w:val="24"/>
          <w:lang w:eastAsia="lt-LT"/>
        </w:rPr>
        <w:t xml:space="preserve">2023 m. sausio 1 d. įsigaliojančioje Lietuvos Respublikos savivaldybių infrastruktūros plėtros įstatymo 16 straipsnio 5 dalyje nustatyta, kad </w:t>
      </w:r>
      <w:r>
        <w:rPr>
          <w:color w:val="000000"/>
        </w:rPr>
        <w:t>visa savivaldybės infrastruktūra laikoma prioritetine, kol teritorijų planavimo dokumentuose vadovaujantis šiuo įstatymu nėra nustatyta prioritetinė savivaldybės infrastruktūra, o jos plėtra finansuojama visų pirma iš savivaldybės biudžeto lėšų ir (ar) kituose įstatymuose nustatytais atvejais – iš savivaldybės infrastruktūros valdytojų biudžeto lėšų. Todėl būtina Kupiškio rajono savivaldybės teritorijos bendrajame plane numatyti aiškius savivaldybės infrastruktūros plėtros prioritetus.</w:t>
      </w:r>
    </w:p>
    <w:p>
      <w:pPr>
        <w:ind w:firstLine="851"/>
        <w:jc w:val="both"/>
        <w:rPr>
          <w:rFonts w:ascii="TimesNewRoman" w:hAnsi="TimesNewRoman" w:cs="TimesNewRoman"/>
          <w:szCs w:val="24"/>
          <w:lang w:eastAsia="lt-LT"/>
        </w:rPr>
      </w:pPr>
      <w:r>
        <w:rPr>
          <w:rFonts w:ascii="TimesNewRoman" w:hAnsi="TimesNewRoman" w:cs="TimesNewRoman"/>
          <w:szCs w:val="24"/>
          <w:lang w:eastAsia="lt-LT"/>
        </w:rPr>
        <w:t>Kartu galiojančio bendrojo plano sprendiniai būtų tikslinami atsižvelgiant Lietuvos Respublikos bendrojo plano sprendinius, sprendžiamos kolizijos su Kupiškio miesto bendrojo plano iki 2026 m. sprendiniais (kartu keičiant ir miesto bendrąjį planą) ir k.t.</w:t>
      </w:r>
    </w:p>
    <w:p>
      <w:pPr>
        <w:tabs>
          <w:tab w:val="left" w:pos="851"/>
        </w:tabs>
        <w:ind w:firstLine="851"/>
        <w:jc w:val="both"/>
        <w:rPr>
          <w:b/>
          <w:szCs w:val="24"/>
          <w:lang w:eastAsia="lt-LT"/>
        </w:rPr>
      </w:pPr>
      <w:r>
        <w:rPr>
          <w:b/>
          <w:szCs w:val="24"/>
          <w:lang w:eastAsia="lt-LT"/>
        </w:rPr>
        <w:t>2</w:t>
      </w:r>
      <w:r>
        <w:rPr>
          <w:b/>
          <w:szCs w:val="24"/>
          <w:lang w:eastAsia="lt-LT"/>
        </w:rPr>
        <w:t>.</w:t>
      </w:r>
      <w:r>
        <w:rPr>
          <w:szCs w:val="24"/>
          <w:lang w:eastAsia="lt-LT"/>
        </w:rPr>
        <w:t xml:space="preserve"> </w:t>
      </w:r>
      <w:r>
        <w:rPr>
          <w:b/>
          <w:szCs w:val="24"/>
          <w:lang w:eastAsia="lt-LT"/>
        </w:rPr>
        <w:t>Teisinis reglamentavimas (kaip šiuo metu reguliuojami sprendimo projekte aptariami klausimai).</w:t>
      </w:r>
    </w:p>
    <w:p>
      <w:pPr>
        <w:tabs>
          <w:tab w:val="left" w:pos="851"/>
        </w:tabs>
        <w:ind w:firstLine="851"/>
        <w:jc w:val="both"/>
        <w:rPr>
          <w:bCs/>
          <w:szCs w:val="24"/>
          <w:lang w:eastAsia="lt-LT"/>
        </w:rPr>
      </w:pPr>
      <w:r>
        <w:rPr>
          <w:bCs/>
          <w:szCs w:val="24"/>
          <w:lang w:eastAsia="lt-LT"/>
        </w:rPr>
        <w:t>Šiuo metu galioja Kupiškio rajono savivaldybės teritorijos bendrasis planas, patvirtintas Kupiškio rajono savivaldybės tarybos 2013 m. spalio 24 d. sprendimu Nr. TS-220 „Dėl Kupiškio rajono savivaldybės teritorijos bendrojo plano patvirtinimo“.</w:t>
      </w:r>
    </w:p>
    <w:p>
      <w:pPr>
        <w:tabs>
          <w:tab w:val="left" w:pos="851"/>
        </w:tabs>
        <w:ind w:firstLine="851"/>
        <w:jc w:val="both"/>
        <w:rPr>
          <w:b/>
          <w:szCs w:val="24"/>
          <w:lang w:eastAsia="lt-LT"/>
        </w:rPr>
      </w:pPr>
      <w:r>
        <w:rPr>
          <w:b/>
          <w:szCs w:val="24"/>
          <w:lang w:eastAsia="lt-LT"/>
        </w:rPr>
        <w:t>3</w:t>
      </w:r>
      <w:r>
        <w:rPr>
          <w:b/>
          <w:szCs w:val="24"/>
          <w:lang w:eastAsia="lt-LT"/>
        </w:rPr>
        <w:t>. Galimi sprendimo priėmimo padariniai (teigiami ir (ar) neigiami).</w:t>
      </w:r>
    </w:p>
    <w:p>
      <w:pPr>
        <w:tabs>
          <w:tab w:val="left" w:pos="-1701"/>
          <w:tab w:val="left" w:pos="851"/>
        </w:tabs>
        <w:ind w:firstLine="851"/>
        <w:jc w:val="both"/>
        <w:rPr>
          <w:spacing w:val="-6"/>
          <w:szCs w:val="24"/>
          <w:lang w:eastAsia="lt-LT"/>
        </w:rPr>
      </w:pPr>
      <w:r>
        <w:rPr>
          <w:szCs w:val="24"/>
          <w:lang w:eastAsia="lt-LT"/>
        </w:rPr>
        <w:t>Neigiamų padarinių dėl priimto sprendimo projekto nenumatoma</w:t>
      </w:r>
      <w:r>
        <w:rPr>
          <w:spacing w:val="-6"/>
          <w:szCs w:val="24"/>
          <w:lang w:eastAsia="lt-LT"/>
        </w:rPr>
        <w:t>.</w:t>
      </w:r>
    </w:p>
    <w:p>
      <w:pPr>
        <w:ind w:firstLine="900"/>
        <w:jc w:val="both"/>
        <w:rPr>
          <w:b/>
          <w:szCs w:val="24"/>
          <w:lang w:eastAsia="lt-LT"/>
        </w:rPr>
      </w:pPr>
      <w:r>
        <w:rPr>
          <w:b/>
          <w:szCs w:val="24"/>
          <w:lang w:eastAsia="lt-LT"/>
        </w:rPr>
        <w:t>4</w:t>
      </w:r>
      <w:r>
        <w:rPr>
          <w:b/>
          <w:szCs w:val="24"/>
          <w:lang w:eastAsia="lt-LT"/>
        </w:rPr>
        <w:t xml:space="preserve">. Keičiamo ar pripažįstamo netekusiu galios Savivaldybės tarybos sprendimo pakeitimų sąrašas. </w:t>
      </w:r>
    </w:p>
    <w:p>
      <w:pPr>
        <w:tabs>
          <w:tab w:val="left" w:pos="851"/>
        </w:tabs>
        <w:ind w:firstLine="851"/>
        <w:jc w:val="both"/>
        <w:rPr>
          <w:bCs/>
          <w:szCs w:val="24"/>
          <w:lang w:eastAsia="lt-LT"/>
        </w:rPr>
      </w:pPr>
      <w:r>
        <w:rPr>
          <w:bCs/>
          <w:szCs w:val="24"/>
          <w:lang w:eastAsia="lt-LT"/>
        </w:rPr>
        <w:t>Kupiškio rajono savivaldybės tarybos 2013 m. spalio 24 d. sprendimas Nr. TS-220 „Dėl Kupiškio rajono savivaldybės teritorijos bendrojo plano patvirtinimo“.</w:t>
      </w:r>
    </w:p>
    <w:p>
      <w:pPr>
        <w:tabs>
          <w:tab w:val="left" w:pos="851"/>
        </w:tabs>
        <w:ind w:firstLine="851"/>
        <w:jc w:val="both"/>
        <w:rPr>
          <w:b/>
          <w:szCs w:val="24"/>
          <w:lang w:eastAsia="lt-LT"/>
        </w:rPr>
      </w:pPr>
      <w:r>
        <w:rPr>
          <w:b/>
          <w:szCs w:val="24"/>
          <w:lang w:eastAsia="lt-LT"/>
        </w:rPr>
        <w:t>5</w:t>
      </w:r>
      <w:r>
        <w:rPr>
          <w:b/>
          <w:szCs w:val="24"/>
          <w:lang w:eastAsia="lt-LT"/>
        </w:rPr>
        <w:t>. Lėšos sprendimui įgyvendinti, jų šaltiniai.</w:t>
      </w:r>
    </w:p>
    <w:p>
      <w:pPr>
        <w:tabs>
          <w:tab w:val="left" w:pos="851"/>
        </w:tabs>
        <w:ind w:firstLine="851"/>
        <w:jc w:val="both"/>
        <w:rPr>
          <w:szCs w:val="24"/>
          <w:lang w:eastAsia="lt-LT"/>
        </w:rPr>
      </w:pPr>
      <w:r>
        <w:rPr>
          <w:szCs w:val="24"/>
          <w:lang w:eastAsia="lt-LT"/>
        </w:rPr>
        <w:t>Kupiškio rajono savivaldybės biudžeto lėšos.</w:t>
      </w:r>
    </w:p>
    <w:p>
      <w:pPr>
        <w:tabs>
          <w:tab w:val="left" w:pos="851"/>
        </w:tabs>
        <w:ind w:firstLine="851"/>
        <w:rPr>
          <w:b/>
          <w:szCs w:val="24"/>
          <w:lang w:eastAsia="lt-LT"/>
        </w:rPr>
      </w:pPr>
      <w:r>
        <w:rPr>
          <w:b/>
          <w:szCs w:val="24"/>
          <w:lang w:eastAsia="lt-LT"/>
        </w:rPr>
        <w:t>6</w:t>
      </w:r>
      <w:r>
        <w:rPr>
          <w:b/>
          <w:szCs w:val="24"/>
          <w:lang w:eastAsia="lt-LT"/>
        </w:rPr>
        <w:t xml:space="preserve">. Būtinumas skelbti sprendimą Teisės aktų ir kituose registruose. Viešinimas. </w:t>
      </w:r>
    </w:p>
    <w:p>
      <w:pPr>
        <w:tabs>
          <w:tab w:val="left" w:pos="851"/>
        </w:tabs>
        <w:ind w:firstLine="851"/>
        <w:jc w:val="both"/>
        <w:rPr>
          <w:szCs w:val="24"/>
          <w:lang w:eastAsia="lt-LT"/>
        </w:rPr>
      </w:pPr>
      <w:r>
        <w:rPr>
          <w:szCs w:val="24"/>
          <w:lang w:eastAsia="lt-LT"/>
        </w:rPr>
        <w:t xml:space="preserve">Sprendimo projektas ir sprendimas viešinamas Kupiškio rajono savivaldybės interneto svetainėje www.kupiskis.lt. </w:t>
      </w:r>
    </w:p>
    <w:p>
      <w:pPr>
        <w:tabs>
          <w:tab w:val="left" w:pos="851"/>
        </w:tabs>
        <w:ind w:firstLine="851"/>
        <w:jc w:val="both"/>
        <w:rPr>
          <w:b/>
          <w:szCs w:val="24"/>
          <w:lang w:eastAsia="lt-LT"/>
        </w:rPr>
      </w:pPr>
      <w:r>
        <w:rPr>
          <w:b/>
          <w:szCs w:val="24"/>
          <w:lang w:eastAsia="lt-LT"/>
        </w:rPr>
        <w:t>7</w:t>
      </w:r>
      <w:r>
        <w:rPr>
          <w:b/>
          <w:szCs w:val="24"/>
          <w:lang w:eastAsia="lt-LT"/>
        </w:rPr>
        <w:t>. Antikorupcinis vertinimas.</w:t>
      </w:r>
    </w:p>
    <w:p>
      <w:pPr>
        <w:tabs>
          <w:tab w:val="left" w:pos="851"/>
        </w:tabs>
        <w:ind w:firstLine="851"/>
        <w:jc w:val="both"/>
        <w:rPr>
          <w:szCs w:val="24"/>
          <w:lang w:eastAsia="lt-LT"/>
        </w:rPr>
      </w:pPr>
      <w:r>
        <w:rPr>
          <w:szCs w:val="24"/>
          <w:lang w:eastAsia="lt-LT"/>
        </w:rPr>
        <w:t>Vertinti nereikia.</w:t>
      </w:r>
    </w:p>
    <w:p>
      <w:pPr>
        <w:tabs>
          <w:tab w:val="left" w:pos="851"/>
        </w:tabs>
        <w:ind w:firstLine="851"/>
        <w:jc w:val="both"/>
        <w:rPr>
          <w:b/>
          <w:szCs w:val="24"/>
          <w:lang w:eastAsia="lt-LT"/>
        </w:rPr>
      </w:pPr>
      <w:r>
        <w:rPr>
          <w:b/>
          <w:szCs w:val="24"/>
          <w:lang w:eastAsia="lt-LT"/>
        </w:rPr>
        <w:t>8</w:t>
      </w:r>
      <w:r>
        <w:rPr>
          <w:b/>
          <w:szCs w:val="24"/>
          <w:lang w:eastAsia="lt-LT"/>
        </w:rPr>
        <w:t>. Numatomo teisinio reguliavimo poveikio vertinimo rezultatai.</w:t>
      </w:r>
    </w:p>
    <w:p>
      <w:pPr>
        <w:tabs>
          <w:tab w:val="left" w:pos="851"/>
        </w:tabs>
        <w:ind w:firstLine="851"/>
        <w:jc w:val="both"/>
        <w:rPr>
          <w:szCs w:val="24"/>
          <w:lang w:eastAsia="lt-LT"/>
        </w:rPr>
      </w:pPr>
      <w:r>
        <w:rPr>
          <w:szCs w:val="24"/>
          <w:lang w:eastAsia="lt-LT"/>
        </w:rPr>
        <w:t>Vertinti nereikia.</w:t>
      </w:r>
    </w:p>
    <w:p>
      <w:pPr>
        <w:tabs>
          <w:tab w:val="left" w:pos="851"/>
        </w:tabs>
        <w:ind w:firstLine="851"/>
        <w:jc w:val="both"/>
        <w:rPr>
          <w:b/>
          <w:szCs w:val="24"/>
          <w:lang w:eastAsia="lt-LT"/>
        </w:rPr>
      </w:pPr>
      <w:r>
        <w:rPr>
          <w:b/>
          <w:szCs w:val="24"/>
          <w:lang w:eastAsia="lt-LT"/>
        </w:rPr>
        <w:t>9</w:t>
      </w:r>
      <w:r>
        <w:rPr>
          <w:b/>
          <w:szCs w:val="24"/>
          <w:lang w:eastAsia="lt-LT"/>
        </w:rPr>
        <w:t>. Sprendimo projekto rengėjai.</w:t>
      </w:r>
    </w:p>
    <w:p>
      <w:pPr>
        <w:tabs>
          <w:tab w:val="left" w:pos="851"/>
        </w:tabs>
        <w:ind w:firstLine="851"/>
        <w:jc w:val="both"/>
        <w:rPr>
          <w:b/>
          <w:szCs w:val="24"/>
          <w:lang w:eastAsia="lt-LT"/>
        </w:rPr>
      </w:pPr>
    </w:p>
    <w:p>
      <w:pPr>
        <w:tabs>
          <w:tab w:val="left" w:pos="851"/>
        </w:tabs>
        <w:ind w:firstLine="851"/>
        <w:jc w:val="both"/>
        <w:rPr>
          <w:b/>
          <w:szCs w:val="24"/>
          <w:lang w:eastAsia="lt-LT"/>
        </w:rPr>
      </w:pPr>
    </w:p>
    <w:p>
      <w:pPr>
        <w:jc w:val="both"/>
        <w:rPr>
          <w:szCs w:val="24"/>
          <w:lang w:eastAsia="lt-LT"/>
        </w:rPr>
      </w:pPr>
      <w:r>
        <w:rPr>
          <w:szCs w:val="24"/>
          <w:lang w:eastAsia="lt-LT"/>
        </w:rPr>
        <w:t xml:space="preserve">Infrastruktūros skyriaus vedėjas                                                                         Mažvydas Šalkauskas</w:t>
      </w:r>
    </w:p>
    <w:sectPr>
      <w:type w:val="continuous"/>
      <w:pgSz w:w="11909" w:h="16834" w:code="9"/>
      <w:pgMar w:top="993" w:right="567" w:bottom="1134" w:left="1701" w:header="567" w:footer="567" w:gutter="0"/>
      <w:cols w:space="708"/>
      <w:noEndnote/>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677782">
      <w:bodyDiv w:val="1"/>
      <w:marLeft w:val="0"/>
      <w:marRight w:val="0"/>
      <w:marTop w:val="0"/>
      <w:marBottom w:val="0"/>
      <w:divBdr>
        <w:top w:val="none" w:sz="0" w:space="0" w:color="auto"/>
        <w:left w:val="none" w:sz="0" w:space="0" w:color="auto"/>
        <w:bottom w:val="none" w:sz="0" w:space="0" w:color="auto"/>
        <w:right w:val="none" w:sz="0" w:space="0" w:color="auto"/>
      </w:divBdr>
    </w:div>
    <w:div w:id="319847861">
      <w:bodyDiv w:val="1"/>
      <w:marLeft w:val="0"/>
      <w:marRight w:val="0"/>
      <w:marTop w:val="0"/>
      <w:marBottom w:val="0"/>
      <w:divBdr>
        <w:top w:val="none" w:sz="0" w:space="0" w:color="auto"/>
        <w:left w:val="none" w:sz="0" w:space="0" w:color="auto"/>
        <w:bottom w:val="none" w:sz="0" w:space="0" w:color="auto"/>
        <w:right w:val="none" w:sz="0" w:space="0" w:color="auto"/>
      </w:divBdr>
    </w:div>
    <w:div w:id="551189459">
      <w:bodyDiv w:val="1"/>
      <w:marLeft w:val="0"/>
      <w:marRight w:val="0"/>
      <w:marTop w:val="0"/>
      <w:marBottom w:val="0"/>
      <w:divBdr>
        <w:top w:val="none" w:sz="0" w:space="0" w:color="auto"/>
        <w:left w:val="none" w:sz="0" w:space="0" w:color="auto"/>
        <w:bottom w:val="none" w:sz="0" w:space="0" w:color="auto"/>
        <w:right w:val="none" w:sz="0" w:space="0" w:color="auto"/>
      </w:divBdr>
    </w:div>
    <w:div w:id="667900366">
      <w:bodyDiv w:val="1"/>
      <w:marLeft w:val="0"/>
      <w:marRight w:val="0"/>
      <w:marTop w:val="0"/>
      <w:marBottom w:val="0"/>
      <w:divBdr>
        <w:top w:val="none" w:sz="0" w:space="0" w:color="auto"/>
        <w:left w:val="none" w:sz="0" w:space="0" w:color="auto"/>
        <w:bottom w:val="none" w:sz="0" w:space="0" w:color="auto"/>
        <w:right w:val="none" w:sz="0" w:space="0" w:color="auto"/>
      </w:divBdr>
    </w:div>
    <w:div w:id="845175740">
      <w:bodyDiv w:val="1"/>
      <w:marLeft w:val="0"/>
      <w:marRight w:val="0"/>
      <w:marTop w:val="0"/>
      <w:marBottom w:val="0"/>
      <w:divBdr>
        <w:top w:val="none" w:sz="0" w:space="0" w:color="auto"/>
        <w:left w:val="none" w:sz="0" w:space="0" w:color="auto"/>
        <w:bottom w:val="none" w:sz="0" w:space="0" w:color="auto"/>
        <w:right w:val="none" w:sz="0" w:space="0" w:color="auto"/>
      </w:divBdr>
    </w:div>
    <w:div w:id="1231769683">
      <w:bodyDiv w:val="1"/>
      <w:marLeft w:val="0"/>
      <w:marRight w:val="0"/>
      <w:marTop w:val="0"/>
      <w:marBottom w:val="0"/>
      <w:divBdr>
        <w:top w:val="none" w:sz="0" w:space="0" w:color="auto"/>
        <w:left w:val="none" w:sz="0" w:space="0" w:color="auto"/>
        <w:bottom w:val="none" w:sz="0" w:space="0" w:color="auto"/>
        <w:right w:val="none" w:sz="0" w:space="0" w:color="auto"/>
      </w:divBdr>
    </w:div>
    <w:div w:id="1261528618">
      <w:bodyDiv w:val="1"/>
      <w:marLeft w:val="0"/>
      <w:marRight w:val="0"/>
      <w:marTop w:val="0"/>
      <w:marBottom w:val="0"/>
      <w:divBdr>
        <w:top w:val="none" w:sz="0" w:space="0" w:color="auto"/>
        <w:left w:val="none" w:sz="0" w:space="0" w:color="auto"/>
        <w:bottom w:val="none" w:sz="0" w:space="0" w:color="auto"/>
        <w:right w:val="none" w:sz="0" w:space="0" w:color="auto"/>
      </w:divBdr>
    </w:div>
    <w:div w:id="1438014932">
      <w:bodyDiv w:val="1"/>
      <w:marLeft w:val="0"/>
      <w:marRight w:val="0"/>
      <w:marTop w:val="0"/>
      <w:marBottom w:val="0"/>
      <w:divBdr>
        <w:top w:val="none" w:sz="0" w:space="0" w:color="auto"/>
        <w:left w:val="none" w:sz="0" w:space="0" w:color="auto"/>
        <w:bottom w:val="none" w:sz="0" w:space="0" w:color="auto"/>
        <w:right w:val="none" w:sz="0" w:space="0" w:color="auto"/>
      </w:divBdr>
    </w:div>
    <w:div w:id="1454907003">
      <w:bodyDiv w:val="1"/>
      <w:marLeft w:val="0"/>
      <w:marRight w:val="0"/>
      <w:marTop w:val="0"/>
      <w:marBottom w:val="0"/>
      <w:divBdr>
        <w:top w:val="none" w:sz="0" w:space="0" w:color="auto"/>
        <w:left w:val="none" w:sz="0" w:space="0" w:color="auto"/>
        <w:bottom w:val="none" w:sz="0" w:space="0" w:color="auto"/>
        <w:right w:val="none" w:sz="0" w:space="0" w:color="auto"/>
      </w:divBdr>
    </w:div>
    <w:div w:id="1771966407">
      <w:bodyDiv w:val="1"/>
      <w:marLeft w:val="0"/>
      <w:marRight w:val="0"/>
      <w:marTop w:val="0"/>
      <w:marBottom w:val="0"/>
      <w:divBdr>
        <w:top w:val="none" w:sz="0" w:space="0" w:color="auto"/>
        <w:left w:val="none" w:sz="0" w:space="0" w:color="auto"/>
        <w:bottom w:val="none" w:sz="0" w:space="0" w:color="auto"/>
        <w:right w:val="none" w:sz="0" w:space="0" w:color="auto"/>
      </w:divBdr>
    </w:div>
    <w:div w:id="1780880475">
      <w:bodyDiv w:val="1"/>
      <w:marLeft w:val="0"/>
      <w:marRight w:val="0"/>
      <w:marTop w:val="0"/>
      <w:marBottom w:val="0"/>
      <w:divBdr>
        <w:top w:val="none" w:sz="0" w:space="0" w:color="auto"/>
        <w:left w:val="none" w:sz="0" w:space="0" w:color="auto"/>
        <w:bottom w:val="none" w:sz="0" w:space="0" w:color="auto"/>
        <w:right w:val="none" w:sz="0" w:space="0" w:color="auto"/>
      </w:divBdr>
    </w:div>
    <w:div w:id="2009823630">
      <w:bodyDiv w:val="1"/>
      <w:marLeft w:val="0"/>
      <w:marRight w:val="0"/>
      <w:marTop w:val="0"/>
      <w:marBottom w:val="0"/>
      <w:divBdr>
        <w:top w:val="none" w:sz="0" w:space="0" w:color="auto"/>
        <w:left w:val="none" w:sz="0" w:space="0" w:color="auto"/>
        <w:bottom w:val="none" w:sz="0" w:space="0" w:color="auto"/>
        <w:right w:val="none" w:sz="0" w:space="0" w:color="auto"/>
      </w:divBdr>
      <w:divsChild>
        <w:div w:id="1350912035">
          <w:marLeft w:val="0"/>
          <w:marRight w:val="0"/>
          <w:marTop w:val="0"/>
          <w:marBottom w:val="0"/>
          <w:divBdr>
            <w:top w:val="none" w:sz="0" w:space="0" w:color="auto"/>
            <w:left w:val="none" w:sz="0" w:space="0" w:color="auto"/>
            <w:bottom w:val="none" w:sz="0" w:space="0" w:color="auto"/>
            <w:right w:val="none" w:sz="0" w:space="0" w:color="auto"/>
          </w:divBdr>
        </w:div>
        <w:div w:id="284428453">
          <w:marLeft w:val="0"/>
          <w:marRight w:val="0"/>
          <w:marTop w:val="0"/>
          <w:marBottom w:val="0"/>
          <w:divBdr>
            <w:top w:val="none" w:sz="0" w:space="0" w:color="auto"/>
            <w:left w:val="none" w:sz="0" w:space="0" w:color="auto"/>
            <w:bottom w:val="none" w:sz="0" w:space="0" w:color="auto"/>
            <w:right w:val="none" w:sz="0" w:space="0" w:color="auto"/>
          </w:divBdr>
        </w:div>
        <w:div w:id="85288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2718</Characters>
  <Application>Microsoft Office Word</Application>
  <DocSecurity>4</DocSecurity>
  <Lines>54</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Kupiškio rajono savivaldybė</Company>
  <LinksUpToDate>false</LinksUpToDate>
  <CharactersWithSpaces>3033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2021-10-14T08:48:00Z</dcterms:created>
  <dc:creator>Kanceliarija</dc:creator>
  <lastModifiedBy>adlibuser</lastModifiedBy>
  <lastPrinted>2020-10-29T13:43:00Z</lastPrinted>
  <dcterms:modified xsi:type="dcterms:W3CDTF">2021-10-14T08:48:00Z</dcterms:modified>
  <revision>2</revision>
</coreProperties>
</file>