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1ac78134a34140b14315db906f5703"/>
        <w:lock w:val="sdtLocked"/>
        <w:richText/>
      </w:sdtPr>
      <w:sdtContent>
        <w:p w14:paraId="69809B79" w14:textId="77777777">
          <w:pPr>
            <w:tabs>
              <w:tab w:val="center" w:pos="4819"/>
              <w:tab w:val="right" w:pos="9638"/>
            </w:tabs>
            <w:suppressAutoHyphens/>
            <w:rPr>
              <w:szCs w:val="24"/>
              <w:lang w:val="en-GB" w:eastAsia="ar-SA"/>
            </w:rPr>
          </w:pPr>
        </w:p>
        <w:p w14:paraId="7E9577E0" w14:textId="731A857D">
          <w:pPr>
            <w:suppressAutoHyphens/>
            <w:jc w:val="center"/>
            <w:rPr>
              <w:b/>
              <w:bCs/>
              <w:kern w:val="3"/>
              <w:szCs w:val="24"/>
              <w:lang w:eastAsia="zh-CN"/>
            </w:rPr>
          </w:pPr>
          <w:r>
            <w:rPr>
              <w:b/>
              <w:bCs/>
              <w:kern w:val="3"/>
              <w:szCs w:val="24"/>
              <w:lang w:eastAsia="zh-CN"/>
            </w:rPr>
            <w:t>ŠIAULIŲ MIESTO SAVIVALDYBĖS ADMINISTRACIJOS</w:t>
          </w:r>
        </w:p>
        <w:sdt>
          <w:sdtPr>
            <w:alias w:val="skyrius"/>
            <w:tag w:val="part_04b5ab08add8406793af9050e8f86e5d"/>
            <w:lock w:val="sdtLocked"/>
            <w:richText/>
          </w:sdtPr>
          <w:sdtContent>
            <w:p w14:paraId="7E9577E2" w14:textId="77777777">
              <w:pPr>
                <w:suppressAutoHyphens/>
                <w:jc w:val="center"/>
                <w:rPr>
                  <w:b/>
                  <w:bCs/>
                  <w:kern w:val="3"/>
                  <w:szCs w:val="24"/>
                  <w:lang w:eastAsia="zh-CN"/>
                </w:rPr>
              </w:pPr>
              <w:r>
                <w:rPr>
                  <w:b/>
                  <w:bCs/>
                  <w:kern w:val="3"/>
                  <w:szCs w:val="24"/>
                  <w:lang w:eastAsia="zh-CN"/>
                </w:rPr>
                <w:t>SOCIALINIŲ PASLAUGŲ SKYRIUS</w:t>
              </w:r>
            </w:p>
            <w:p w14:paraId="7E9577E3" w14:textId="77777777">
              <w:pPr>
                <w:suppressAutoHyphens/>
                <w:jc w:val="center"/>
                <w:rPr>
                  <w:kern w:val="3"/>
                  <w:szCs w:val="24"/>
                  <w:lang w:eastAsia="zh-CN"/>
                </w:rPr>
              </w:pPr>
            </w:p>
            <w:p w14:paraId="2D8BE74F" w14:textId="77777777">
              <w:pPr>
                <w:suppressAutoHyphens/>
                <w:rPr>
                  <w:kern w:val="3"/>
                  <w:szCs w:val="24"/>
                  <w:lang w:eastAsia="zh-CN"/>
                </w:rPr>
              </w:pPr>
              <w:r>
                <w:rPr>
                  <w:kern w:val="3"/>
                  <w:szCs w:val="24"/>
                  <w:lang w:eastAsia="zh-CN"/>
                </w:rPr>
                <w:t>Šiaulių miesto savivaldybės tarybai</w:t>
              </w:r>
            </w:p>
            <w:p w14:paraId="1C70C6EB" w14:textId="77777777">
              <w:pPr>
                <w:suppressAutoHyphens/>
                <w:rPr>
                  <w:kern w:val="3"/>
                  <w:szCs w:val="24"/>
                  <w:lang w:eastAsia="zh-CN"/>
                </w:rPr>
              </w:pPr>
            </w:p>
            <w:sdt>
              <w:sdtPr>
                <w:alias w:val="poskyris"/>
                <w:tag w:val="part_d3113f90d9284bdbb43356cf390cdf8d"/>
                <w:lock w:val="sdtLocked"/>
                <w:richText/>
              </w:sdtPr>
              <w:sdtContent>
                <w:sdt>
                  <w:sdtPr>
                    <w:alias w:val="Pavadinimas"/>
                    <w:tag w:val="title_d3113f90d9284bdbb43356cf390cdf8d"/>
                    <w:lock w:val="sdtLocked"/>
                    <w:richText/>
                  </w:sdtPr>
                  <w:sdtContent>
                    <w:p w14:paraId="37E19E8E" w14:textId="7D1A41B4">
                      <w:pPr>
                        <w:jc w:val="center"/>
                        <w:rPr>
                          <w:b/>
                          <w:bCs/>
                          <w:szCs w:val="24"/>
                          <w:lang w:eastAsia="ar-SA"/>
                        </w:rPr>
                      </w:pPr>
                      <w:r>
                        <w:rPr>
                          <w:b/>
                          <w:bCs/>
                          <w:szCs w:val="24"/>
                          <w:lang w:eastAsia="ar-SA"/>
                        </w:rPr>
                        <w:t xml:space="preserve">DĖL MAKSIMALIŲ SOCIALINĖS GLOBOS IŠLAIDŲ FINANSAVIMO ŠIAULIŲ MIESTO GYVENTOJAMS DYDŽIŲ NUSTATYMO </w:t>
                      </w:r>
                    </w:p>
                    <w:p w14:paraId="7E9577E5" w14:textId="7543D205">
                      <w:pPr>
                        <w:jc w:val="center"/>
                        <w:rPr>
                          <w:b/>
                          <w:bCs/>
                          <w:szCs w:val="24"/>
                          <w:lang w:eastAsia="ar-SA"/>
                        </w:rPr>
                      </w:pPr>
                      <w:r>
                        <w:rPr>
                          <w:b/>
                          <w:bCs/>
                          <w:szCs w:val="24"/>
                          <w:lang w:eastAsia="ar-SA"/>
                        </w:rPr>
                        <w:t>AIŠKINAMASIS RAŠTAS</w:t>
                      </w:r>
                    </w:p>
                  </w:sdtContent>
                </w:sdt>
                <w:p w14:paraId="7E9577E6" w14:textId="77777777">
                  <w:pPr>
                    <w:suppressAutoHyphens/>
                    <w:jc w:val="center"/>
                    <w:rPr>
                      <w:b/>
                      <w:bCs/>
                      <w:kern w:val="3"/>
                      <w:szCs w:val="24"/>
                      <w:lang w:eastAsia="zh-CN"/>
                    </w:rPr>
                  </w:pPr>
                </w:p>
                <w:p w14:paraId="02394AC1" w14:textId="75F7D8B4">
                  <w:pPr>
                    <w:suppressAutoHyphens/>
                    <w:jc w:val="center"/>
                    <w:rPr>
                      <w:kern w:val="3"/>
                      <w:szCs w:val="24"/>
                      <w:lang w:eastAsia="zh-CN"/>
                    </w:rPr>
                  </w:pPr>
                  <w:r>
                    <w:rPr>
                      <w:kern w:val="3"/>
                      <w:szCs w:val="24"/>
                      <w:lang w:eastAsia="zh-CN"/>
                    </w:rPr>
                    <w:t>2024-11-26</w:t>
                  </w:r>
                </w:p>
                <w:p w14:paraId="7E9577E8" w14:textId="73B1ACA6">
                  <w:pPr>
                    <w:suppressAutoHyphens/>
                    <w:jc w:val="center"/>
                    <w:rPr>
                      <w:kern w:val="3"/>
                      <w:szCs w:val="24"/>
                      <w:lang w:eastAsia="zh-CN"/>
                    </w:rPr>
                  </w:pPr>
                  <w:r>
                    <w:rPr>
                      <w:kern w:val="3"/>
                      <w:szCs w:val="24"/>
                      <w:lang w:eastAsia="zh-CN"/>
                    </w:rPr>
                    <w:t>Šiauliai</w:t>
                  </w:r>
                </w:p>
                <w:p w14:paraId="7E9577E9" w14:textId="77777777">
                  <w:pPr>
                    <w:suppressAutoHyphens/>
                    <w:jc w:val="center"/>
                    <w:rPr>
                      <w:b/>
                      <w:bCs/>
                      <w:kern w:val="3"/>
                      <w:szCs w:val="24"/>
                      <w:lang w:eastAsia="zh-CN"/>
                    </w:rPr>
                  </w:pPr>
                </w:p>
              </w:sdtContent>
            </w:sdt>
            <w:sdt>
              <w:sdtPr>
                <w:alias w:val="poskyris"/>
                <w:tag w:val="part_a59839ef2e3749c39588ad12c85d1062"/>
                <w:lock w:val="sdtLocked"/>
                <w:richText/>
              </w:sdtPr>
              <w:sdtContent>
                <w:p w14:paraId="7E9577EA" w14:textId="77777777">
                  <w:pPr>
                    <w:ind w:left="-227" w:firstLine="426"/>
                    <w:jc w:val="both"/>
                    <w:rPr>
                      <w:b/>
                      <w:bCs/>
                      <w:szCs w:val="24"/>
                      <w:lang w:eastAsia="lt-LT"/>
                    </w:rPr>
                  </w:pPr>
                  <w:sdt>
                    <w:sdtPr>
                      <w:alias w:val="Pavadinimas"/>
                      <w:tag w:val="title_a59839ef2e3749c39588ad12c85d1062"/>
                      <w:lock w:val="sdtLocked"/>
                      <w:richText/>
                    </w:sdtPr>
                    <w:sdtContent>
                      <w:r>
                        <w:rPr>
                          <w:b/>
                          <w:bCs/>
                          <w:szCs w:val="24"/>
                          <w:lang w:eastAsia="lt-LT"/>
                        </w:rPr>
                        <w:t>Parengto sprendimo projekto tikslai ir uždaviniai.</w:t>
                      </w:r>
                    </w:sdtContent>
                  </w:sdt>
                </w:p>
                <w:p w14:paraId="1FD20811" w14:textId="7528BAE8">
                  <w:pPr>
                    <w:suppressAutoHyphens/>
                    <w:ind w:left="-227" w:firstLine="709"/>
                    <w:jc w:val="both"/>
                    <w:rPr>
                      <w:szCs w:val="24"/>
                      <w:lang w:eastAsia="ar-SA"/>
                    </w:rPr>
                  </w:pPr>
                  <w:r>
                    <w:rPr>
                      <w:bCs/>
                      <w:szCs w:val="24"/>
                      <w:lang w:eastAsia="ar-SA"/>
                    </w:rPr>
                    <w:t xml:space="preserve">Sprendimo projekto tikslas – </w:t>
                  </w:r>
                  <w:r>
                    <w:rPr>
                      <w:szCs w:val="24"/>
                      <w:lang w:eastAsia="ar-SA"/>
                    </w:rPr>
                    <w:t xml:space="preserve">2024 m. liepos 1 d. įsigaliojusio LR socialinių paslaugų įstatymo Nr. X-493 pakeitimo įstatymo (toliau – SPĮ pakeitimo įstatymas), 42 straipsnio 6 dalyje (2023 m. gruodžio 14 d. įstatymo Nr. XIV-2357 redakcija) nustatyta, kad socialinė globa asmenims su sunkia negalia finansuojama iš valstybės biudžeto dotacijų savivaldybių biudžetams. Įgyvendinant SPĮ pakeitimo įstatymą, Lietuvos Respublikos socialinės apsaugos ir darbo ministro 2006 m. liepos 13 d. įsakymu Nr. A1-193 „Dėl Specialių tikslinių dotacijų savivaldybių biudžetams lėšų apskaičiavimo metodikos patvirtinimo“ (toliau – Metodika), pakeista Metodika ir patvirtinta formulė, pagal kurią apskaičiuojamas lėšų poreikis socialinės globos teikimui asmenims su sunkia negalia užtikrinti, t. y. lėšų poreikis apskaičiuojamas pagal prognozuojamų valstybės biudžeto dotacijų socialinei globai vienam asmeniui su sunkia negalia teikti vidutinį dydį per mėnesį, eurais, kuris negali viršyti Lietuvos Respublikos socialinės apsaugos ir darbo ministro 2024 m. birželio 25 d. įsakymu Nr. A1-426 „Dėl socialinių paslaugų finansavimo ir lėšų apskaičiavimo metodikos patvirtinimo“ (toliau – Lėšų apskaičiavimo metodika) patvirtintos </w:t>
                  </w:r>
                  <w:r>
                    <w:rPr>
                      <w:szCs w:val="24"/>
                      <w:lang w:eastAsia="lt-LT"/>
                    </w:rPr>
                    <w:t xml:space="preserve"> L</w:t>
                  </w:r>
                  <w:r>
                    <w:rPr>
                      <w:szCs w:val="24"/>
                      <w:lang w:eastAsia="ar-SA"/>
                    </w:rPr>
                    <w:t xml:space="preserve">ėšų apskaičiavimo metodikos 6 punkte nustatyto dydžio: savivaldybių administracijoms iš valstybės biudžeto dotacijų skiriamų lėšų 2025 m. socialinei globai asmeniui su sunkia negalia teikti dalis – iki 1100 Eur per mėnesį. </w:t>
                  </w:r>
                </w:p>
                <w:p w14:paraId="3627BF96" w14:textId="432C154B">
                  <w:pPr>
                    <w:suppressAutoHyphens/>
                    <w:ind w:firstLine="488"/>
                    <w:jc w:val="both"/>
                    <w:rPr>
                      <w:szCs w:val="24"/>
                      <w:lang w:eastAsia="ar-SA"/>
                    </w:rPr>
                  </w:pPr>
                  <w:r>
                    <w:rPr>
                      <w:szCs w:val="24"/>
                      <w:lang w:eastAsia="ar-SA"/>
                    </w:rPr>
                    <w:t xml:space="preserve">Atsižvelgiant į šį teisinį reglamentavimą parengėme tarybos sprendimo projektą, ir teikiame </w:t>
                  </w:r>
                  <w:r>
                    <w:rPr>
                      <w:bCs/>
                      <w:szCs w:val="24"/>
                      <w:lang w:eastAsia="ar-SA"/>
                    </w:rPr>
                    <w:t>tvirtinti naujus maksimalius socialinės globos (</w:t>
                  </w:r>
                  <w:r>
                    <w:rPr>
                      <w:szCs w:val="24"/>
                      <w:lang w:eastAsia="ar-SA"/>
                    </w:rPr>
                    <w:t xml:space="preserve">trumpalaikės, ilgalaikės, dienos socialinės globos paslaugų) </w:t>
                  </w:r>
                  <w:r>
                    <w:rPr>
                      <w:bCs/>
                      <w:szCs w:val="24"/>
                      <w:lang w:eastAsia="ar-SA"/>
                    </w:rPr>
                    <w:t>išlaidų finansavimo Šiaulių m. gyventojams dydžius.</w:t>
                  </w:r>
                </w:p>
              </w:sdtContent>
            </w:sdt>
            <w:sdt>
              <w:sdtPr>
                <w:alias w:val="poskyris"/>
                <w:tag w:val="part_f4f693b9814b4a9ab65613d4d1e3febc"/>
                <w:lock w:val="sdtLocked"/>
                <w:richText/>
              </w:sdtPr>
              <w:sdtContent>
                <w:p w14:paraId="7E9577FC" w14:textId="4AE4B96C">
                  <w:pPr>
                    <w:ind w:firstLine="426"/>
                    <w:jc w:val="both"/>
                    <w:rPr>
                      <w:b/>
                      <w:bCs/>
                      <w:szCs w:val="24"/>
                      <w:lang w:eastAsia="lt-LT"/>
                    </w:rPr>
                  </w:pPr>
                  <w:sdt>
                    <w:sdtPr>
                      <w:alias w:val="Pavadinimas"/>
                      <w:tag w:val="title_f4f693b9814b4a9ab65613d4d1e3febc"/>
                      <w:lock w:val="sdtLocked"/>
                      <w:richText/>
                    </w:sdtPr>
                    <w:sdtContent>
                      <w:r>
                        <w:rPr>
                          <w:b/>
                          <w:bCs/>
                          <w:szCs w:val="24"/>
                          <w:lang w:eastAsia="lt-LT"/>
                        </w:rPr>
                        <w:t xml:space="preserve">Dabartinis sprendimo projekte aptariamų klausimų reguliavimas. </w:t>
                      </w:r>
                    </w:sdtContent>
                  </w:sdt>
                </w:p>
                <w:p w14:paraId="7275E91C" w14:textId="0E715F45">
                  <w:pPr>
                    <w:ind w:firstLine="426"/>
                    <w:jc w:val="both"/>
                    <w:rPr>
                      <w:b/>
                      <w:bCs/>
                      <w:szCs w:val="24"/>
                      <w:lang w:eastAsia="lt-LT"/>
                    </w:rPr>
                  </w:pPr>
                  <w:r>
                    <w:rPr>
                      <w:szCs w:val="24"/>
                      <w:lang w:eastAsia="ar-SA"/>
                    </w:rPr>
                    <w:t xml:space="preserve">Lietuvos Respublikos socialinės apsaugos ir darbo ministro 2006 m. liepos 13 d. įsakymu Nr. A1-193 „Dėl Specialių tikslinių dotacijų savivaldybių biudžetams lėšų apskaičiavimo metodikos patvirtinimo“ (toliau </w:t>
                  </w:r>
                  <w:r>
                    <w:rPr>
                      <w:bCs/>
                      <w:szCs w:val="24"/>
                      <w:shd w:val="clear" w:color="auto" w:fill="FFFFFF"/>
                      <w:lang w:eastAsia="ar-SA"/>
                    </w:rPr>
                    <w:t xml:space="preserve">– </w:t>
                  </w:r>
                  <w:r>
                    <w:rPr>
                      <w:szCs w:val="24"/>
                      <w:lang w:eastAsia="ar-SA"/>
                    </w:rPr>
                    <w:t>Specialių tikslinių dotacijų apskaičiavimo metodika) (redakcija 2024 m. birželio 20 d. Nr. A1-413), pakeista Specialių tikslinių dotacijų savivaldybių biudžetams lėšų apskaičiavimo metodika, patvirtinta formulė, pagal kurią apskaičiuojamas lėšų poreikis socialinės globos teikimui asmenims su sunkia negalia užtikrinti, todėl lėšų poreikis 2025 m. turi būti apskaičiuojamas pagal prognozuojamų valstybės biudžeto dotacijų socialinei globai vienam asmeniui su sunkia negalia teikti vidutinį dydį per mėnesį (eurais), kuris negali viršyti Metodikoje nustatyto galimo maksimalaus dydžio.</w:t>
                  </w:r>
                </w:p>
                <w:p w14:paraId="325A2ECA" w14:textId="51C18173">
                  <w:pPr>
                    <w:ind w:firstLine="426"/>
                    <w:jc w:val="both"/>
                    <w:rPr>
                      <w:b/>
                      <w:bCs/>
                      <w:szCs w:val="24"/>
                      <w:lang w:eastAsia="lt-LT"/>
                    </w:rPr>
                  </w:pPr>
                  <w:r>
                    <w:rPr>
                      <w:szCs w:val="24"/>
                      <w:lang w:val="es-ES" w:eastAsia="ar-SA"/>
                    </w:rPr>
                    <w:t>Socialinių paslaugų finansavimo ir lėšų apskaičiavimo metodikos, patvirtintos</w:t>
                  </w:r>
                  <w:r>
                    <w:rPr>
                      <w:bCs/>
                      <w:szCs w:val="24"/>
                      <w:shd w:val="clear" w:color="auto" w:fill="FFFFFF"/>
                      <w:lang w:val="es-ES" w:eastAsia="ar-SA"/>
                    </w:rPr>
                    <w:t xml:space="preserve"> Lietuvos Respublikos Socialinės apaugos ir darbo ministro 2024 m. birželio 25 d. įsakymu Nr. A1-426 „Dėl Socialinių paslaugų finansavimo ir lėšų apskaičiavimo metodikos patvirtinimo“ (toliau – Metodika)</w:t>
                  </w:r>
                  <w:r>
                    <w:rPr>
                      <w:szCs w:val="24"/>
                      <w:lang w:eastAsia="ar-SA"/>
                    </w:rPr>
                    <w:t xml:space="preserve"> 6 punkte (įsigaliosiančiame nuo 2025 m. sausio 1 d.) reglamentuota, kad savivaldybių administracijoms iš valstybės biudžeto dotacijų skiriamų lėšų 2025 m. socialinei globai asmeniui su sunkia negalia teikti dalis – iki 1 100 Eur per mėnesį. </w:t>
                  </w:r>
                </w:p>
                <w:p w14:paraId="04F1339B" w14:textId="307CDD12">
                  <w:pPr>
                    <w:suppressAutoHyphens/>
                    <w:ind w:firstLine="482"/>
                    <w:jc w:val="both"/>
                    <w:rPr>
                      <w:szCs w:val="24"/>
                      <w:lang w:eastAsia="lt-LT"/>
                    </w:rPr>
                  </w:pPr>
                  <w:r>
                    <w:rPr>
                      <w:szCs w:val="24"/>
                      <w:lang w:eastAsia="ar-SA"/>
                    </w:rPr>
                    <w:t>Minėtos įsakymo 2.4 punkte nurodyta, kad Metodikos 6 punktas netaikomas asmenims su sunkia negalia, jei šie asmenys ar jų globėjai (rūpintojai, aprūpintojai), kiti teisėti jų atstovai, savivaldybės administracija ir socialines paslaugas teikianti socialinių paslaugų įstaiga iki 2024 m. gruodžio 31 d. yra pasirašę rašytinę socialinių paslaugų teikimo ir finansavimo sutartį pagal Metodikos nuostatas, galiojusias iki 2024 m. gruodžio 31 d. Todėl atkreiptinas dėmesys, kad asmenims, kurių valstybės biudžeto tikslinių dotacijų suma šiuo metu viršija nustatytą 1 100 Eur per mėnesį dydį, ir toliau bus galima skirti šiuo metu skiriamą didesnį valstybės dotacijų dydį. Naujiems paslaugų gavėjams nuo 2025 m. bus taikomas minėtas iki 1 100 Eur dydis.</w:t>
                  </w:r>
                </w:p>
                <w:p w14:paraId="5C205B5C" w14:textId="77777777">
                  <w:pPr>
                    <w:suppressAutoHyphens/>
                    <w:ind w:firstLine="426"/>
                    <w:jc w:val="both"/>
                    <w:rPr>
                      <w:szCs w:val="24"/>
                      <w:lang w:eastAsia="ar-SA"/>
                    </w:rPr>
                  </w:pPr>
                  <w:r>
                    <w:rPr>
                      <w:szCs w:val="24"/>
                      <w:lang w:val="es-ES" w:eastAsia="ar-SA" w:bidi="he-IL"/>
                    </w:rPr>
                    <w:t>Šiaulių miesto savivaldybės tarybos 2024 m. vasario 1 d. sprendimą Nr. T-7 „Dėl maksimalių socialinės globos išlaidų finansavimo Šiaulių miesto gyventojams dydžių nustatymo“</w:t>
                  </w:r>
                  <w:r>
                    <w:rPr>
                      <w:szCs w:val="24"/>
                      <w:lang w:eastAsia="ar-SA" w:bidi="he-IL"/>
                    </w:rPr>
                    <w:t xml:space="preserve"> 1.2.1. </w:t>
                  </w:r>
                  <w:r>
                    <w:rPr>
                      <w:szCs w:val="24"/>
                      <w:lang w:eastAsia="ar-SA"/>
                    </w:rPr>
                    <w:t xml:space="preserve"> </w:t>
                  </w:r>
                  <w:r>
                    <w:rPr>
                      <w:szCs w:val="24"/>
                      <w:lang w:eastAsia="ar-SA" w:bidi="he-IL"/>
                    </w:rPr>
                    <w:t xml:space="preserve">papunkčiu nustatytas maksimalus trumpalaikės/ilgalaikės socialinės globos dydis asmenims </w:t>
                  </w:r>
                  <w:r>
                    <w:rPr>
                      <w:szCs w:val="24"/>
                      <w:u w:val="single"/>
                      <w:lang w:eastAsia="ar-SA" w:bidi="he-IL"/>
                    </w:rPr>
                    <w:t>su negalia</w:t>
                  </w:r>
                  <w:r>
                    <w:rPr>
                      <w:szCs w:val="24"/>
                      <w:u w:val="single"/>
                      <w:lang w:eastAsia="ar-SA"/>
                    </w:rPr>
                    <w:t xml:space="preserve"> </w:t>
                  </w:r>
                  <w:r>
                    <w:rPr>
                      <w:szCs w:val="24"/>
                      <w:lang w:eastAsia="ar-SA"/>
                    </w:rPr>
                    <w:t xml:space="preserve">– </w:t>
                  </w:r>
                  <w:r>
                    <w:rPr>
                      <w:szCs w:val="24"/>
                      <w:lang w:eastAsia="ar-SA" w:bidi="he-IL"/>
                    </w:rPr>
                    <w:t xml:space="preserve">1600 Eur per mėnesį senyvo amžiaus asmenims ir suaugusiems asmenims su negalia dydis, o 1.2.2 papunkčiu nustatytas senyvo amžiaus ir suaugusiems asmenims </w:t>
                  </w:r>
                  <w:r>
                    <w:rPr>
                      <w:szCs w:val="24"/>
                      <w:u w:val="single"/>
                      <w:lang w:eastAsia="ar-SA" w:bidi="he-IL"/>
                    </w:rPr>
                    <w:t xml:space="preserve">su sunkia negalia </w:t>
                  </w:r>
                  <w:r>
                    <w:rPr>
                      <w:szCs w:val="24"/>
                      <w:lang w:eastAsia="ar-SA" w:bidi="he-IL"/>
                    </w:rPr>
                    <w:t xml:space="preserve">– </w:t>
                  </w:r>
                  <w:r>
                    <w:rPr>
                      <w:bCs/>
                      <w:szCs w:val="24"/>
                      <w:lang w:eastAsia="ar-SA" w:bidi="he-IL"/>
                    </w:rPr>
                    <w:t>1800</w:t>
                  </w:r>
                  <w:r>
                    <w:rPr>
                      <w:szCs w:val="24"/>
                      <w:lang w:eastAsia="ar-SA" w:bidi="he-IL"/>
                    </w:rPr>
                    <w:t xml:space="preserve"> Eur per mėnesį.</w:t>
                  </w:r>
                  <w:r>
                    <w:rPr>
                      <w:szCs w:val="24"/>
                      <w:lang w:eastAsia="ar-SA"/>
                    </w:rPr>
                    <w:t xml:space="preserve"> </w:t>
                  </w:r>
                </w:p>
                <w:p w14:paraId="37565FFD" w14:textId="77777777">
                  <w:pPr>
                    <w:suppressAutoHyphens/>
                    <w:ind w:firstLine="426"/>
                    <w:jc w:val="both"/>
                    <w:rPr>
                      <w:szCs w:val="24"/>
                      <w:lang w:eastAsia="ar-SA"/>
                    </w:rPr>
                  </w:pPr>
                  <w:r>
                    <w:rPr>
                      <w:szCs w:val="24"/>
                      <w:lang w:eastAsia="ar-SA"/>
                    </w:rPr>
                    <w:t xml:space="preserve">Savivaldybės trumpalaikės ar ilgalaikės socialinės globos išlaidų apmokama dalis priklauso nuo asmens finansinių galimybių mokėti už socialinės globos paslaugas, vadovaujantis Mokėjimo už socialines paslaugas tvarkos aprašu, patvirtintu Lietuvos Respublikos Socialinės apsaugos ir darbo ministerijos 2024 m. birželio 11 d. nutarimu Nr. A1-397 „Dėl Mokėjimo už socialines paslaugas tvarkos aprašo patvirtinimo“ (toliau – Mokėjimo tvarkos aprašas). Mokėjimo tvarkos aprašo 2 punkte reglamentuota, kad  &lt;&lt;...Tais atvejais, kai socialinių paslaugų kaina viršija savivaldybės tarybos nustatytą </w:t>
                  </w:r>
                  <w:r>
                    <w:rPr>
                      <w:rFonts w:eastAsia="Batang"/>
                      <w:szCs w:val="24"/>
                      <w:lang w:eastAsia="ar-SA"/>
                    </w:rPr>
                    <w:t xml:space="preserve">maksimalų socialinių paslaugų išlaidų finansavimo savivaldybės teritorijos gyventojams dydį, šio dydžio ir socialinių paslaugų kainos skirtumas </w:t>
                  </w:r>
                  <w:r>
                    <w:rPr>
                      <w:szCs w:val="24"/>
                      <w:lang w:eastAsia="ar-SA"/>
                    </w:rPr>
                    <w:t>asmens (šeimos) pageidavimu mokamas paslaugas gaunančio asmens (jam atstovaujančio asmens) ir socialinių paslaugų įstaigos tarpusavio susitarimu.&gt;&gt;</w:t>
                  </w:r>
                </w:p>
                <w:p w14:paraId="6F1144B4" w14:textId="77777777">
                  <w:pPr>
                    <w:suppressAutoHyphens/>
                    <w:ind w:firstLine="426"/>
                    <w:jc w:val="both"/>
                    <w:rPr>
                      <w:szCs w:val="24"/>
                      <w:lang w:eastAsia="ar-SA"/>
                    </w:rPr>
                  </w:pPr>
                  <w:r>
                    <w:rPr>
                      <w:szCs w:val="24"/>
                      <w:lang w:eastAsia="ar-SA"/>
                    </w:rPr>
                    <w:t>Šiaulių m. savivaldybės gyventojai turintys negalią ar sunkią negalią, kurie:</w:t>
                  </w:r>
                </w:p>
                <w:p w14:paraId="30D37EC4" w14:textId="32684935">
                  <w:pPr>
                    <w:suppressAutoHyphens/>
                    <w:ind w:firstLine="426"/>
                    <w:jc w:val="both"/>
                    <w:rPr>
                      <w:szCs w:val="24"/>
                      <w:lang w:eastAsia="ar-SA"/>
                    </w:rPr>
                  </w:pPr>
                  <w:r>
                    <w:rPr>
                      <w:szCs w:val="24"/>
                      <w:lang w:eastAsia="ar-SA"/>
                    </w:rPr>
                    <w:t xml:space="preserve">- apgyvendinti globos įstaigose, šiuo metu vidutiniškai moka apie 800 Eur/mėn., o Savivaldybės dengiamo skirtumo (tarp socialinės globos kainos ir asmens mokėjimo dydžio) vidurkis – 820 Eur/mėn. </w:t>
                  </w:r>
                </w:p>
                <w:p w14:paraId="0F1D70A5" w14:textId="355691BB">
                  <w:pPr>
                    <w:suppressAutoHyphens/>
                    <w:ind w:firstLine="426"/>
                    <w:jc w:val="both"/>
                    <w:rPr>
                      <w:szCs w:val="24"/>
                      <w:lang w:eastAsia="ar-SA"/>
                    </w:rPr>
                  </w:pPr>
                  <w:r>
                    <w:rPr>
                      <w:szCs w:val="24"/>
                      <w:lang w:eastAsia="ar-SA"/>
                    </w:rPr>
                    <w:t xml:space="preserve">- dienos socialinės globos paslaugas gauna namuose, šiuo metu moka 0,99 - 1,03 Eur/val., o Savivaldybės dengiamo skirtumo (tarp socialinės globos kainos ir asmens mokėjimo dydžio) vidurkis – 9,30 Eur/val. </w:t>
                  </w:r>
                </w:p>
                <w:p w14:paraId="58025621" w14:textId="7F5FB471">
                  <w:pPr>
                    <w:ind w:firstLine="426"/>
                    <w:jc w:val="both"/>
                    <w:rPr>
                      <w:szCs w:val="24"/>
                      <w:lang w:eastAsia="ar-SA"/>
                    </w:rPr>
                  </w:pPr>
                  <w:r>
                    <w:rPr>
                      <w:szCs w:val="24"/>
                      <w:lang w:eastAsia="lt-LT"/>
                    </w:rPr>
                    <w:t xml:space="preserve">2025 m. prognozuojamų valstybės biudžeto dotacijų socialinei globai vienam Šiaulių miesto gyventojui su sunkia negalia teikti vidutinis dydis per mėnesį - 850 Eur, o prognozuojamų savivaldybės biudžeto lėšų socialinei globai vienam Šiaulių miesto gyventojui su negalia teikti vidutinis dydis per mėnesį - 825 Eur.  Įvertinę šiuos dydžius, paslaugas teikiančių įstaigų paslaugų kainas, ir </w:t>
                  </w:r>
                  <w:r>
                    <w:rPr>
                      <w:szCs w:val="24"/>
                      <w:lang w:eastAsia="ar-SA"/>
                    </w:rPr>
                    <w:t>savivaldybių administracijoms iš valstybės biudžeto dotacijų skiriamų lėšų 2025 m. socialinei globai asmenims su sunkia negalia dydžius, parengėme šį tarybos sprendimo projektą.</w:t>
                  </w:r>
                </w:p>
              </w:sdtContent>
            </w:sdt>
            <w:sdt>
              <w:sdtPr>
                <w:alias w:val="poskyris"/>
                <w:tag w:val="part_76aef669f15b46298c88056cdb7f33fd"/>
                <w:lock w:val="sdtLocked"/>
                <w:richText/>
              </w:sdtPr>
              <w:sdtContent>
                <w:p w14:paraId="715CA779" w14:textId="4FB7C4B6">
                  <w:pPr>
                    <w:ind w:firstLine="426"/>
                    <w:jc w:val="both"/>
                    <w:rPr>
                      <w:b/>
                      <w:bCs/>
                      <w:szCs w:val="24"/>
                      <w:lang w:eastAsia="lt-LT"/>
                    </w:rPr>
                  </w:pPr>
                  <w:sdt>
                    <w:sdtPr>
                      <w:alias w:val="Pavadinimas"/>
                      <w:tag w:val="title_76aef669f15b46298c88056cdb7f33fd"/>
                      <w:lock w:val="sdtLocked"/>
                      <w:richText/>
                    </w:sdtPr>
                    <w:sdtContent>
                      <w:r>
                        <w:rPr>
                          <w:b/>
                          <w:bCs/>
                          <w:szCs w:val="24"/>
                          <w:lang w:eastAsia="lt-LT"/>
                        </w:rPr>
                        <w:t xml:space="preserve">Naujos teisinio reglamentavimo nuostatos. </w:t>
                      </w:r>
                    </w:sdtContent>
                  </w:sdt>
                </w:p>
                <w:p w14:paraId="59C765E0" w14:textId="77777777">
                  <w:pPr>
                    <w:ind w:firstLine="426"/>
                    <w:jc w:val="both"/>
                    <w:rPr>
                      <w:szCs w:val="24"/>
                      <w:lang w:eastAsia="ar-SA"/>
                    </w:rPr>
                  </w:pPr>
                  <w:r>
                    <w:rPr>
                      <w:szCs w:val="24"/>
                      <w:lang w:eastAsia="ar-SA"/>
                    </w:rPr>
                    <w:t xml:space="preserve">Teikiame tvirtinti </w:t>
                  </w:r>
                  <w:r>
                    <w:rPr>
                      <w:bCs/>
                      <w:szCs w:val="24"/>
                      <w:lang w:eastAsia="ar-SA"/>
                    </w:rPr>
                    <w:t>naujus maksimalius socialinės globos (</w:t>
                  </w:r>
                  <w:r>
                    <w:rPr>
                      <w:szCs w:val="24"/>
                      <w:lang w:eastAsia="ar-SA"/>
                    </w:rPr>
                    <w:t xml:space="preserve">trumpalaikės, ilgalaikės, dienos socialinės globos paslaugų) </w:t>
                  </w:r>
                  <w:r>
                    <w:rPr>
                      <w:bCs/>
                      <w:szCs w:val="24"/>
                      <w:lang w:eastAsia="ar-SA"/>
                    </w:rPr>
                    <w:t>išlaidų finansuotinus dydžius Šiaulių m. gyventojams</w:t>
                  </w:r>
                  <w:r>
                    <w:rPr>
                      <w:szCs w:val="24"/>
                      <w:lang w:eastAsia="ar-SA"/>
                    </w:rPr>
                    <w:t>:</w:t>
                  </w:r>
                </w:p>
                <w:sdt>
                  <w:sdtPr>
                    <w:alias w:val="1 p."/>
                    <w:tag w:val="part_a78f0195502d4c0ca1e17d13118084b6"/>
                    <w:lock w:val="sdtLocked"/>
                    <w:richText/>
                  </w:sdtPr>
                  <w:sdtContent>
                    <w:p w14:paraId="37F8CD14" w14:textId="2F721D33">
                      <w:pPr>
                        <w:ind w:firstLine="426"/>
                        <w:jc w:val="both"/>
                        <w:rPr>
                          <w:szCs w:val="24"/>
                          <w:lang w:eastAsia="ar-SA"/>
                        </w:rPr>
                      </w:pPr>
                      <w:sdt>
                        <w:sdtPr>
                          <w:alias w:val="Numeris"/>
                          <w:tag w:val="nr_a78f0195502d4c0ca1e17d13118084b6"/>
                          <w:lock w:val="sdtLocked"/>
                          <w:richText/>
                        </w:sdtPr>
                        <w:sdtContent>
                          <w:r>
                            <w:rPr>
                              <w:szCs w:val="24"/>
                              <w:lang w:eastAsia="ar-SA" w:bidi="he-IL"/>
                            </w:rPr>
                            <w:t>1</w:t>
                          </w:r>
                        </w:sdtContent>
                      </w:sdt>
                      <w:r>
                        <w:rPr>
                          <w:szCs w:val="24"/>
                          <w:lang w:eastAsia="ar-SA" w:bidi="he-IL"/>
                        </w:rPr>
                        <w:t>. maksimalų dienos socialinės globos asmens namuose išlaidų finansavimo Šiaulių miesto gyventojams dydį – 10 Eur už valandą;</w:t>
                      </w:r>
                    </w:p>
                  </w:sdtContent>
                </w:sdt>
                <w:sdt>
                  <w:sdtPr>
                    <w:alias w:val="2 p."/>
                    <w:tag w:val="part_8a12e5d8e1714da6889f47cce8a6a11f"/>
                    <w:lock w:val="sdtLocked"/>
                    <w:richText/>
                  </w:sdtPr>
                  <w:sdtContent>
                    <w:p w14:paraId="520272FF" w14:textId="641983FD">
                      <w:pPr>
                        <w:ind w:firstLine="426"/>
                        <w:jc w:val="both"/>
                        <w:rPr>
                          <w:szCs w:val="24"/>
                          <w:lang w:eastAsia="ar-SA"/>
                        </w:rPr>
                      </w:pPr>
                      <w:sdt>
                        <w:sdtPr>
                          <w:alias w:val="Numeris"/>
                          <w:tag w:val="nr_8a12e5d8e1714da6889f47cce8a6a11f"/>
                          <w:lock w:val="sdtLocked"/>
                          <w:richText/>
                        </w:sdtPr>
                        <w:sdtContent>
                          <w:r>
                            <w:rPr>
                              <w:szCs w:val="24"/>
                              <w:lang w:eastAsia="ar-SA"/>
                            </w:rPr>
                            <w:t>2</w:t>
                          </w:r>
                        </w:sdtContent>
                      </w:sdt>
                      <w:r>
                        <w:rPr>
                          <w:szCs w:val="24"/>
                          <w:lang w:eastAsia="ar-SA"/>
                        </w:rPr>
                        <w:t xml:space="preserve">. </w:t>
                      </w:r>
                      <w:r>
                        <w:rPr>
                          <w:szCs w:val="24"/>
                          <w:lang w:eastAsia="ar-SA" w:bidi="he-IL"/>
                        </w:rPr>
                        <w:t>Trumpalaikės ir ilgalaikės socialinės globos išlaidų finansavimo Šiaulių miesto gyventojams dydžius:</w:t>
                      </w:r>
                    </w:p>
                    <w:sdt>
                      <w:sdtPr>
                        <w:alias w:val="2.1 pp."/>
                        <w:tag w:val="part_e073f29a9149433683f107f68cf68156"/>
                        <w:lock w:val="sdtLocked"/>
                        <w:richText/>
                      </w:sdtPr>
                      <w:sdtContent>
                        <w:p w14:paraId="1F91051C" w14:textId="0078B3A0">
                          <w:pPr>
                            <w:tabs>
                              <w:tab w:val="left" w:pos="709"/>
                            </w:tabs>
                            <w:ind w:left="426"/>
                            <w:jc w:val="both"/>
                            <w:rPr>
                              <w:rFonts w:ascii="Calibri" w:eastAsia="Calibri" w:hAnsi="Calibri"/>
                              <w:szCs w:val="24"/>
                              <w:lang w:bidi="he-IL"/>
                            </w:rPr>
                          </w:pPr>
                          <w:sdt>
                            <w:sdtPr>
                              <w:alias w:val="Numeris"/>
                              <w:tag w:val="nr_e073f29a9149433683f107f68cf68156"/>
                              <w:lock w:val="sdtLocked"/>
                              <w:richText/>
                            </w:sdtPr>
                            <w:sdtContent>
                              <w:r>
                                <w:rPr>
                                  <w:rFonts w:ascii="Calibri" w:eastAsia="Calibri" w:hAnsi="Calibri"/>
                                  <w:szCs w:val="24"/>
                                  <w:lang w:bidi="he-IL"/>
                                </w:rPr>
                                <w:t>2.1</w:t>
                              </w:r>
                            </w:sdtContent>
                          </w:sdt>
                          <w:r>
                            <w:rPr>
                              <w:rFonts w:ascii="Calibri" w:eastAsia="Calibri" w:hAnsi="Calibri"/>
                              <w:szCs w:val="24"/>
                              <w:lang w:bidi="he-IL"/>
                            </w:rPr>
                            <w:t>. senyvo amžiaus ir suaugusiems asmenims su negalia – 850 Eur per mėnesį;</w:t>
                          </w:r>
                        </w:p>
                      </w:sdtContent>
                    </w:sdt>
                    <w:sdt>
                      <w:sdtPr>
                        <w:alias w:val="2.2 pp."/>
                        <w:tag w:val="part_2668cdc4056a40adae81df7c21a83a89"/>
                        <w:lock w:val="sdtLocked"/>
                        <w:richText/>
                      </w:sdtPr>
                      <w:sdtContent>
                        <w:p w14:paraId="60FB7AC2" w14:textId="1E8CFFD0">
                          <w:pPr>
                            <w:tabs>
                              <w:tab w:val="left" w:pos="709"/>
                            </w:tabs>
                            <w:ind w:left="426"/>
                            <w:jc w:val="both"/>
                            <w:rPr>
                              <w:rFonts w:ascii="Calibri" w:eastAsia="Calibri" w:hAnsi="Calibri"/>
                              <w:szCs w:val="24"/>
                              <w:lang w:bidi="he-IL"/>
                            </w:rPr>
                          </w:pPr>
                          <w:sdt>
                            <w:sdtPr>
                              <w:alias w:val="Numeris"/>
                              <w:tag w:val="nr_2668cdc4056a40adae81df7c21a83a89"/>
                              <w:lock w:val="sdtLocked"/>
                              <w:richText/>
                            </w:sdtPr>
                            <w:sdtContent>
                              <w:r>
                                <w:rPr>
                                  <w:rFonts w:ascii="Calibri" w:eastAsia="Calibri" w:hAnsi="Calibri"/>
                                  <w:szCs w:val="24"/>
                                  <w:lang w:bidi="he-IL"/>
                                </w:rPr>
                                <w:t>2.2</w:t>
                              </w:r>
                            </w:sdtContent>
                          </w:sdt>
                          <w:r>
                            <w:rPr>
                              <w:rFonts w:ascii="Calibri" w:eastAsia="Calibri" w:hAnsi="Calibri"/>
                              <w:szCs w:val="24"/>
                              <w:lang w:bidi="he-IL"/>
                            </w:rPr>
                            <w:t>. senyvo amžiaus ir suaugusiems asmenims su sunkia negalia – 950</w:t>
                          </w:r>
                          <w:r>
                            <w:rPr>
                              <w:rFonts w:ascii="Calibri" w:eastAsia="Calibri" w:hAnsi="Calibri"/>
                              <w:b/>
                              <w:bCs/>
                              <w:szCs w:val="24"/>
                              <w:lang w:bidi="he-IL"/>
                            </w:rPr>
                            <w:t xml:space="preserve"> </w:t>
                          </w:r>
                          <w:r>
                            <w:rPr>
                              <w:rFonts w:ascii="Calibri" w:eastAsia="Calibri" w:hAnsi="Calibri"/>
                              <w:szCs w:val="24"/>
                              <w:lang w:bidi="he-IL"/>
                            </w:rPr>
                            <w:t>Eur per mėnesį.</w:t>
                          </w:r>
                        </w:p>
                      </w:sdtContent>
                    </w:sdt>
                  </w:sdtContent>
                </w:sdt>
                <w:sdt>
                  <w:sdtPr>
                    <w:alias w:val="3 p."/>
                    <w:tag w:val="part_3dba1a2877324dbdac2df8da452119bd"/>
                    <w:lock w:val="sdtLocked"/>
                    <w:richText/>
                  </w:sdtPr>
                  <w:sdtContent>
                    <w:p w14:paraId="5C38E94B" w14:textId="67CA9DBF">
                      <w:pPr>
                        <w:tabs>
                          <w:tab w:val="left" w:pos="709"/>
                        </w:tabs>
                        <w:suppressAutoHyphens/>
                        <w:ind w:firstLine="434"/>
                        <w:jc w:val="both"/>
                        <w:rPr>
                          <w:szCs w:val="24"/>
                          <w:lang w:val="es-ES" w:eastAsia="ar-SA" w:bidi="he-IL"/>
                        </w:rPr>
                      </w:pPr>
                      <w:sdt>
                        <w:sdtPr>
                          <w:alias w:val="Numeris"/>
                          <w:tag w:val="nr_3dba1a2877324dbdac2df8da452119bd"/>
                          <w:lock w:val="sdtLocked"/>
                          <w:richText/>
                        </w:sdtPr>
                        <w:sdtContent>
                          <w:r>
                            <w:rPr>
                              <w:szCs w:val="24"/>
                              <w:lang w:eastAsia="ar-SA" w:bidi="he-IL"/>
                            </w:rPr>
                            <w:t>3</w:t>
                          </w:r>
                        </w:sdtContent>
                      </w:sdt>
                      <w:r>
                        <w:rPr>
                          <w:szCs w:val="24"/>
                          <w:lang w:eastAsia="ar-SA" w:bidi="he-IL"/>
                        </w:rPr>
                        <w:t xml:space="preserve">. Tarybos </w:t>
                      </w:r>
                      <w:r>
                        <w:rPr>
                          <w:szCs w:val="24"/>
                          <w:lang w:val="es-ES" w:eastAsia="ar-SA" w:bidi="he-IL"/>
                        </w:rPr>
                        <w:t xml:space="preserve">sprendimas įsigalioja nuo 2025 m. sausio 1 d. </w:t>
                      </w:r>
                    </w:p>
                  </w:sdtContent>
                </w:sdt>
              </w:sdtContent>
            </w:sdt>
            <w:sdt>
              <w:sdtPr>
                <w:alias w:val="poskyris"/>
                <w:tag w:val="part_6294643d8f39495599bfe00679f8ee2f"/>
                <w:lock w:val="sdtLocked"/>
                <w:richText/>
              </w:sdtPr>
              <w:sdtContent>
                <w:p w14:paraId="5ABDD6CD" w14:textId="3250AE3B">
                  <w:pPr>
                    <w:tabs>
                      <w:tab w:val="left" w:pos="709"/>
                    </w:tabs>
                    <w:suppressAutoHyphens/>
                    <w:jc w:val="both"/>
                    <w:rPr>
                      <w:b/>
                      <w:bCs/>
                      <w:szCs w:val="24"/>
                      <w:lang w:eastAsia="lt-LT"/>
                    </w:rPr>
                  </w:pPr>
                  <w:sdt>
                    <w:sdtPr>
                      <w:alias w:val="Pavadinimas"/>
                      <w:tag w:val="title_6294643d8f39495599bfe00679f8ee2f"/>
                      <w:lock w:val="sdtLocked"/>
                      <w:richText/>
                    </w:sdtPr>
                    <w:sdtContent>
                      <w:r>
                        <w:rPr>
                          <w:b/>
                          <w:bCs/>
                          <w:szCs w:val="24"/>
                          <w:lang w:eastAsia="lt-LT"/>
                        </w:rPr>
                        <w:t>Priėmus sprendimą, galimos pasekmės.</w:t>
                      </w:r>
                    </w:sdtContent>
                  </w:sdt>
                </w:p>
                <w:p w14:paraId="2BCF21C5" w14:textId="7704918C">
                  <w:pPr>
                    <w:ind w:firstLine="426"/>
                    <w:jc w:val="both"/>
                    <w:rPr>
                      <w:b/>
                      <w:bCs/>
                      <w:szCs w:val="24"/>
                      <w:lang w:eastAsia="lt-LT"/>
                    </w:rPr>
                  </w:pPr>
                  <w:r>
                    <w:rPr>
                      <w:szCs w:val="24"/>
                      <w:lang w:eastAsia="ar-SA"/>
                    </w:rPr>
                    <w:t xml:space="preserve">Teigiamos pasekmės </w:t>
                  </w:r>
                  <w:r>
                    <w:rPr>
                      <w:bCs/>
                      <w:szCs w:val="24"/>
                      <w:lang w:eastAsia="lt-LT"/>
                    </w:rPr>
                    <w:t>–</w:t>
                  </w:r>
                  <w:r>
                    <w:rPr>
                      <w:szCs w:val="24"/>
                      <w:lang w:eastAsia="ar-SA"/>
                    </w:rPr>
                    <w:t xml:space="preserve"> patvirtinus mažesnius maksimalius socialinės globos išlaidų finansavimo dydžius, savivaldybės mokamas dydis nedidės.</w:t>
                  </w:r>
                </w:p>
                <w:p w14:paraId="444F561D" w14:textId="76C92011">
                  <w:pPr>
                    <w:suppressAutoHyphens/>
                    <w:ind w:firstLine="425"/>
                    <w:jc w:val="both"/>
                    <w:rPr>
                      <w:szCs w:val="24"/>
                      <w:lang w:eastAsia="ar-SA"/>
                    </w:rPr>
                  </w:pPr>
                  <w:r>
                    <w:rPr>
                      <w:szCs w:val="24"/>
                      <w:lang w:eastAsia="ar-SA"/>
                    </w:rPr>
                    <w:t xml:space="preserve">Neigiamos pasekmės – naujiems paslaugų gavėjams pasirašiusiems sutartis </w:t>
                  </w:r>
                  <w:r>
                    <w:rPr>
                      <w:szCs w:val="24"/>
                      <w:lang w:eastAsia="ar-SA" w:bidi="he-IL"/>
                    </w:rPr>
                    <w:t xml:space="preserve">dėl socialinės globos paslaugų nuo 2025 metų sausio 1 d., kai </w:t>
                  </w:r>
                  <w:r>
                    <w:rPr>
                      <w:szCs w:val="24"/>
                      <w:lang w:eastAsia="ar-SA"/>
                    </w:rPr>
                    <w:t>socialinių paslaugų kaina viršys savivaldybės tarybos nustatytą maksimalų socialinių paslaugų išlaidų finansavimo savivaldybės teritorijos gyventojams dydį, šio dydžio ir socialinių paslaugų kainos skirtumą asmuo (šeima) turės derinti su socialinėmis paslaugų įstaigomis tarpusavyje.</w:t>
                  </w:r>
                </w:p>
              </w:sdtContent>
            </w:sdt>
            <w:sdt>
              <w:sdtPr>
                <w:alias w:val="poskyris"/>
                <w:tag w:val="part_d153180b9f234d309308e7e32ea416d1"/>
                <w:lock w:val="sdtLocked"/>
                <w:richText/>
              </w:sdtPr>
              <w:sdtContent>
                <w:p w14:paraId="32A75E51" w14:textId="77777777">
                  <w:pPr>
                    <w:ind w:firstLine="426"/>
                    <w:jc w:val="both"/>
                    <w:rPr>
                      <w:b/>
                      <w:bCs/>
                      <w:szCs w:val="24"/>
                      <w:lang w:eastAsia="lt-LT"/>
                    </w:rPr>
                  </w:pPr>
                  <w:sdt>
                    <w:sdtPr>
                      <w:alias w:val="Pavadinimas"/>
                      <w:tag w:val="title_d153180b9f234d309308e7e32ea416d1"/>
                      <w:lock w:val="sdtLocked"/>
                      <w:richText/>
                    </w:sdtPr>
                    <w:sdtContent>
                      <w:r>
                        <w:rPr>
                          <w:b/>
                          <w:bCs/>
                          <w:szCs w:val="24"/>
                          <w:lang w:eastAsia="lt-LT"/>
                        </w:rPr>
                        <w:t xml:space="preserve">Priėmus sprendimą, keičiami ar pripažįstami negaliojančiais teisės aktai. </w:t>
                      </w:r>
                    </w:sdtContent>
                  </w:sdt>
                </w:p>
                <w:p w14:paraId="4734D218" w14:textId="77777777">
                  <w:pPr>
                    <w:tabs>
                      <w:tab w:val="left" w:pos="709"/>
                    </w:tabs>
                    <w:suppressAutoHyphens/>
                    <w:jc w:val="both"/>
                    <w:rPr>
                      <w:szCs w:val="24"/>
                      <w:lang w:val="es-ES" w:eastAsia="ar-SA" w:bidi="he-IL"/>
                    </w:rPr>
                  </w:pPr>
                  <w:r>
                    <w:rPr>
                      <w:szCs w:val="24"/>
                      <w:lang w:val="es-ES" w:eastAsia="ar-SA" w:bidi="he-IL"/>
                    </w:rPr>
                    <w:t>Pripažinti netekusiu galios Šiaulių miesto savivaldybės tarybos 2024 m. vasario 1 d. sprendimą Nr. T-7 „Dėl maksimalių socialinės globos išlaidų finansavimo Šiaulių miesto gyventojams dydžių nustatymo“.</w:t>
                  </w:r>
                </w:p>
              </w:sdtContent>
            </w:sdt>
            <w:sdt>
              <w:sdtPr>
                <w:alias w:val="poskyris"/>
                <w:tag w:val="part_e0dbec8af6c14e5187eb97ab05f7d10d"/>
                <w:lock w:val="sdtLocked"/>
                <w:richText/>
              </w:sdtPr>
              <w:sdtContent>
                <w:p w14:paraId="2098F89A" w14:textId="62D1A0ED">
                  <w:pPr>
                    <w:tabs>
                      <w:tab w:val="left" w:pos="709"/>
                    </w:tabs>
                    <w:suppressAutoHyphens/>
                    <w:ind w:firstLine="426"/>
                    <w:jc w:val="both"/>
                    <w:rPr>
                      <w:szCs w:val="24"/>
                      <w:lang w:eastAsia="ar-SA" w:bidi="he-IL"/>
                    </w:rPr>
                  </w:pPr>
                  <w:sdt>
                    <w:sdtPr>
                      <w:alias w:val="Pavadinimas"/>
                      <w:tag w:val="title_e0dbec8af6c14e5187eb97ab05f7d10d"/>
                      <w:lock w:val="sdtLocked"/>
                      <w:richText/>
                    </w:sdtPr>
                    <w:sdtContent>
                      <w:r>
                        <w:rPr>
                          <w:b/>
                          <w:bCs/>
                          <w:szCs w:val="24"/>
                          <w:lang w:eastAsia="lt-LT"/>
                        </w:rPr>
                        <w:t>Sprendimui įgyvendinti reikalingi priimti papildomi teisės aktai.</w:t>
                      </w:r>
                    </w:sdtContent>
                  </w:sdt>
                </w:p>
                <w:p w14:paraId="2785EC9C" w14:textId="77777777">
                  <w:pPr>
                    <w:ind w:firstLine="426"/>
                    <w:jc w:val="both"/>
                    <w:rPr>
                      <w:b/>
                      <w:bCs/>
                      <w:caps/>
                      <w:szCs w:val="24"/>
                      <w:lang w:eastAsia="lt-LT"/>
                    </w:rPr>
                  </w:pPr>
                  <w:r>
                    <w:rPr>
                      <w:szCs w:val="24"/>
                      <w:lang w:eastAsia="lt-LT"/>
                    </w:rPr>
                    <w:t>Sprendimui įgyvendinti nereikės priimti papildomų teisės aktų.</w:t>
                  </w:r>
                </w:p>
              </w:sdtContent>
            </w:sdt>
            <w:sdt>
              <w:sdtPr>
                <w:alias w:val="poskyris"/>
                <w:tag w:val="part_d17528a7218d4576a4f30a29597dbd15"/>
                <w:lock w:val="sdtLocked"/>
                <w:richText/>
              </w:sdtPr>
              <w:sdtContent>
                <w:p w14:paraId="4485991E" w14:textId="77777777">
                  <w:pPr>
                    <w:ind w:firstLine="426"/>
                    <w:jc w:val="both"/>
                    <w:rPr>
                      <w:b/>
                      <w:bCs/>
                      <w:szCs w:val="24"/>
                      <w:lang w:eastAsia="lt-LT"/>
                    </w:rPr>
                  </w:pPr>
                  <w:sdt>
                    <w:sdtPr>
                      <w:alias w:val="Pavadinimas"/>
                      <w:tag w:val="title_d17528a7218d4576a4f30a29597dbd15"/>
                      <w:lock w:val="sdtLocked"/>
                      <w:richText/>
                    </w:sdtPr>
                    <w:sdtContent>
                      <w:r>
                        <w:rPr>
                          <w:b/>
                          <w:bCs/>
                          <w:szCs w:val="24"/>
                          <w:lang w:eastAsia="lt-LT"/>
                        </w:rPr>
                        <w:t xml:space="preserve">Sprendimui įgyvendinti reikalingos lėšos. </w:t>
                      </w:r>
                    </w:sdtContent>
                  </w:sdt>
                </w:p>
                <w:p w14:paraId="5A408382" w14:textId="55A422B9">
                  <w:pPr>
                    <w:suppressAutoHyphens/>
                    <w:ind w:firstLine="426"/>
                    <w:jc w:val="both"/>
                    <w:rPr>
                      <w:b/>
                      <w:bCs/>
                      <w:szCs w:val="24"/>
                      <w:lang w:eastAsia="lt-LT"/>
                    </w:rPr>
                  </w:pPr>
                  <w:r>
                    <w:rPr>
                      <w:szCs w:val="24"/>
                      <w:lang w:eastAsia="ar-SA"/>
                    </w:rPr>
                    <w:t>Trumpalaikės ir ilgalaikės socialinės globos senyvo amžiaus asmenims ir suaugusiems asmenims su negalia paslaugoms reikalingas lėšas 2025 m. biudžete suplanavome pagal šiuo metu paslaugas gaunančių asmenų skaičių ir 2024 m. gruodžio mėnesio globos įstaigų nustatytas kainas, todėl metų eigoje gali būti, kad reikės papildomų lėšų, tačiau tikslios sumos šiuo metu negalime apskaičiuoti, nes 2025 m. sausio – vasario mėn. keičiasi asmenų gaunamos pajamos, tad didės ir jų apmokama suma už gaunamas paslaugas.</w:t>
                  </w:r>
                </w:p>
                <w:p w14:paraId="2CD21C66" w14:textId="3E27EE36">
                  <w:pPr>
                    <w:ind w:firstLine="426"/>
                    <w:jc w:val="both"/>
                    <w:rPr>
                      <w:b/>
                      <w:bCs/>
                      <w:szCs w:val="24"/>
                      <w:lang w:eastAsia="lt-LT"/>
                    </w:rPr>
                  </w:pPr>
                  <w:r>
                    <w:rPr>
                      <w:b/>
                      <w:bCs/>
                      <w:szCs w:val="24"/>
                      <w:lang w:eastAsia="lt-LT"/>
                    </w:rPr>
                    <w:t xml:space="preserve">Sprendimo projekto antikorupcinis vertinimas </w:t>
                  </w:r>
                  <w:r>
                    <w:rPr>
                      <w:bCs/>
                      <w:szCs w:val="24"/>
                      <w:lang w:eastAsia="lt-LT"/>
                    </w:rPr>
                    <w:t>atliekamas</w:t>
                  </w:r>
                  <w:r>
                    <w:rPr>
                      <w:b/>
                      <w:bCs/>
                      <w:szCs w:val="24"/>
                      <w:lang w:eastAsia="lt-LT"/>
                    </w:rPr>
                    <w:t>.</w:t>
                  </w:r>
                </w:p>
                <w:p w14:paraId="13983AD1" w14:textId="77777777">
                  <w:pPr>
                    <w:suppressAutoHyphens/>
                    <w:ind w:firstLine="426"/>
                    <w:jc w:val="both"/>
                    <w:rPr>
                      <w:kern w:val="3"/>
                      <w:szCs w:val="24"/>
                      <w:lang w:eastAsia="zh-CN"/>
                    </w:rPr>
                  </w:pPr>
                  <w:r>
                    <w:rPr>
                      <w:b/>
                      <w:kern w:val="3"/>
                      <w:szCs w:val="24"/>
                      <w:shd w:val="clear" w:color="auto" w:fill="FFFFFF"/>
                      <w:lang w:eastAsia="zh-CN"/>
                    </w:rPr>
                    <w:t>N</w:t>
                  </w:r>
                  <w:r>
                    <w:rPr>
                      <w:rFonts w:eastAsia="Calibri"/>
                      <w:b/>
                      <w:kern w:val="3"/>
                      <w:szCs w:val="24"/>
                      <w:lang w:eastAsia="zh-CN"/>
                    </w:rPr>
                    <w:t xml:space="preserve">umatomo teisinio reguliavimo poveikio vertinimas </w:t>
                  </w:r>
                  <w:r>
                    <w:rPr>
                      <w:rFonts w:eastAsia="Calibri"/>
                      <w:kern w:val="3"/>
                      <w:szCs w:val="24"/>
                      <w:lang w:eastAsia="zh-CN"/>
                    </w:rPr>
                    <w:t>neatliekamas</w:t>
                  </w:r>
                  <w:r>
                    <w:rPr>
                      <w:rFonts w:eastAsia="Calibri"/>
                      <w:b/>
                      <w:kern w:val="3"/>
                      <w:szCs w:val="24"/>
                      <w:lang w:eastAsia="zh-CN"/>
                    </w:rPr>
                    <w:t>.</w:t>
                  </w:r>
                </w:p>
                <w:p w14:paraId="04A4B7BC" w14:textId="4FCD3049">
                  <w:pPr>
                    <w:suppressAutoHyphens/>
                    <w:ind w:firstLine="426"/>
                    <w:jc w:val="both"/>
                    <w:rPr>
                      <w:kern w:val="3"/>
                      <w:szCs w:val="24"/>
                      <w:shd w:val="clear" w:color="auto" w:fill="FFFFFF"/>
                      <w:lang w:eastAsia="zh-CN"/>
                    </w:rPr>
                  </w:pPr>
                  <w:r>
                    <w:rPr>
                      <w:b/>
                      <w:bCs/>
                      <w:kern w:val="3"/>
                      <w:szCs w:val="24"/>
                      <w:lang w:eastAsia="lt-LT"/>
                    </w:rPr>
                    <w:t>Sprendimo projektą parengė</w:t>
                  </w:r>
                  <w:r>
                    <w:rPr>
                      <w:kern w:val="3"/>
                      <w:szCs w:val="24"/>
                      <w:lang w:eastAsia="lt-LT"/>
                    </w:rPr>
                    <w:t xml:space="preserve"> Socialinių paslaugų skyrius. Tiesioginis rengėjas – </w:t>
                  </w:r>
                  <w:r>
                    <w:rPr>
                      <w:kern w:val="3"/>
                      <w:szCs w:val="24"/>
                      <w:shd w:val="clear" w:color="auto" w:fill="FFFFFF"/>
                      <w:lang w:eastAsia="zh-CN"/>
                    </w:rPr>
                    <w:t xml:space="preserve">Socialinių paslaugų skyriaus patarėja – Lina Lašinė, tel.+370 6 38 64 90, iniciatorius – Socialinių paslaugų skyriaus vedėja – Ramutė Pilypienė. </w:t>
                  </w:r>
                </w:p>
                <w:p w14:paraId="42FE1F73" w14:textId="2A094D61">
                  <w:pPr>
                    <w:suppressAutoHyphens/>
                    <w:ind w:firstLine="426"/>
                    <w:jc w:val="both"/>
                    <w:rPr>
                      <w:kern w:val="3"/>
                      <w:szCs w:val="24"/>
                      <w:shd w:val="clear" w:color="auto" w:fill="FFFFFF"/>
                      <w:lang w:eastAsia="zh-CN"/>
                    </w:rPr>
                  </w:pPr>
                </w:p>
                <w:p w14:paraId="3E2963C4" w14:textId="77777777">
                  <w:pPr>
                    <w:suppressAutoHyphens/>
                    <w:rPr>
                      <w:kern w:val="3"/>
                      <w:szCs w:val="24"/>
                      <w:shd w:val="clear" w:color="auto" w:fill="FFFFFF"/>
                      <w:lang w:eastAsia="zh-CN"/>
                    </w:rPr>
                  </w:pPr>
                </w:p>
              </w:sdtContent>
            </w:sdt>
          </w:sdtContent>
        </w:sdt>
        <w:sdt>
          <w:sdtPr>
            <w:alias w:val="signatura"/>
            <w:tag w:val="part_98a3329c4c35483a88ecab77701bb91b"/>
            <w:lock w:val="sdtLocked"/>
            <w:richText/>
          </w:sdtPr>
          <w:sdtContent>
            <w:p w14:paraId="7ABBA71E" w14:textId="591CF129">
              <w:pPr>
                <w:suppressAutoHyphens/>
                <w:jc w:val="both"/>
                <w:rPr>
                  <w:kern w:val="3"/>
                  <w:szCs w:val="24"/>
                  <w:lang w:eastAsia="zh-CN"/>
                </w:rPr>
              </w:pPr>
              <w:r>
                <w:rPr>
                  <w:kern w:val="3"/>
                  <w:szCs w:val="24"/>
                  <w:lang w:eastAsia="zh-CN"/>
                </w:rPr>
                <w:t xml:space="preserve">Vedėja </w:t>
                <w:tab/>
                <w:tab/>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B336A3" w14:textId="77777777">
      <w:pPr>
        <w:suppressAutoHyphens/>
        <w:rPr>
          <w:szCs w:val="24"/>
          <w:lang w:val="en-GB" w:eastAsia="ar-SA"/>
        </w:rPr>
      </w:pPr>
      <w:r>
        <w:rPr>
          <w:szCs w:val="24"/>
          <w:lang w:val="en-GB" w:eastAsia="ar-SA"/>
        </w:rPr>
        <w:separator/>
      </w:r>
    </w:p>
  </w:endnote>
  <w:endnote w:type="continuationSeparator" w:id="0">
    <w:p w14:paraId="746BDC96"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608A8" w14:textId="77777777">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19F3B" w14:textId="77777777">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18D3DC" w14:textId="77777777">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35177D" w14:textId="77777777">
      <w:pPr>
        <w:suppressAutoHyphens/>
        <w:rPr>
          <w:szCs w:val="24"/>
          <w:lang w:val="en-GB" w:eastAsia="ar-SA"/>
        </w:rPr>
      </w:pPr>
      <w:r>
        <w:rPr>
          <w:szCs w:val="24"/>
          <w:lang w:val="en-GB" w:eastAsia="ar-SA"/>
        </w:rPr>
        <w:separator/>
      </w:r>
    </w:p>
  </w:footnote>
  <w:footnote w:type="continuationSeparator" w:id="0">
    <w:p w14:paraId="208AD411"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700366" w14:textId="77777777">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57814" w14:textId="77777777">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 xml:space="preserve"> PAGE   \* MERGEFORMAT </w:instrText>
    </w:r>
    <w:r>
      <w:rPr>
        <w:szCs w:val="24"/>
        <w:lang w:val="en-GB" w:eastAsia="ar-SA"/>
      </w:rPr>
      <w:fldChar w:fldCharType="separate"/>
    </w:r>
    <w:r>
      <w:rPr>
        <w:szCs w:val="24"/>
        <w:lang w:val="en-GB" w:eastAsia="ar-SA"/>
      </w:rPr>
      <w:t>3</w:t>
    </w:r>
    <w:r>
      <w:rPr>
        <w:szCs w:val="24"/>
        <w:lang w:val="en-GB" w:eastAsia="ar-SA"/>
      </w:rPr>
      <w:fldChar w:fldCharType="end"/>
    </w:r>
  </w:p>
  <w:p w14:paraId="7E957815" w14:textId="77777777">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8F2A4" w14:textId="77777777">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0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577E0"/>
  <w15:chartTrackingRefBased/>
  <w15:docId w15:val="{CE7F7CCE-08B0-4E17-BE69-A789813098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090383">
      <w:bodyDiv w:val="1"/>
      <w:marLeft w:val="0"/>
      <w:marRight w:val="0"/>
      <w:marTop w:val="0"/>
      <w:marBottom w:val="0"/>
      <w:divBdr>
        <w:top w:val="none" w:sz="0" w:space="0" w:color="auto"/>
        <w:left w:val="none" w:sz="0" w:space="0" w:color="auto"/>
        <w:bottom w:val="none" w:sz="0" w:space="0" w:color="auto"/>
        <w:right w:val="none" w:sz="0" w:space="0" w:color="auto"/>
      </w:divBdr>
    </w:div>
    <w:div w:id="646711886">
      <w:bodyDiv w:val="1"/>
      <w:marLeft w:val="0"/>
      <w:marRight w:val="0"/>
      <w:marTop w:val="0"/>
      <w:marBottom w:val="0"/>
      <w:divBdr>
        <w:top w:val="none" w:sz="0" w:space="0" w:color="auto"/>
        <w:left w:val="none" w:sz="0" w:space="0" w:color="auto"/>
        <w:bottom w:val="none" w:sz="0" w:space="0" w:color="auto"/>
        <w:right w:val="none" w:sz="0" w:space="0" w:color="auto"/>
      </w:divBdr>
      <w:divsChild>
        <w:div w:id="161818831">
          <w:marLeft w:val="0"/>
          <w:marRight w:val="0"/>
          <w:marTop w:val="0"/>
          <w:marBottom w:val="0"/>
          <w:divBdr>
            <w:top w:val="none" w:sz="0" w:space="0" w:color="auto"/>
            <w:left w:val="none" w:sz="0" w:space="0" w:color="auto"/>
            <w:bottom w:val="none" w:sz="0" w:space="0" w:color="auto"/>
            <w:right w:val="none" w:sz="0" w:space="0" w:color="auto"/>
          </w:divBdr>
          <w:divsChild>
            <w:div w:id="815531636">
              <w:marLeft w:val="0"/>
              <w:marRight w:val="0"/>
              <w:marTop w:val="0"/>
              <w:marBottom w:val="0"/>
              <w:divBdr>
                <w:top w:val="none" w:sz="0" w:space="0" w:color="auto"/>
                <w:left w:val="none" w:sz="0" w:space="0" w:color="auto"/>
                <w:bottom w:val="none" w:sz="0" w:space="0" w:color="auto"/>
                <w:right w:val="none" w:sz="0" w:space="0" w:color="auto"/>
              </w:divBdr>
              <w:divsChild>
                <w:div w:id="13284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044437">
          <w:marLeft w:val="0"/>
          <w:marRight w:val="0"/>
          <w:marTop w:val="0"/>
          <w:marBottom w:val="0"/>
          <w:divBdr>
            <w:top w:val="none" w:sz="0" w:space="0" w:color="auto"/>
            <w:left w:val="none" w:sz="0" w:space="0" w:color="auto"/>
            <w:bottom w:val="none" w:sz="0" w:space="0" w:color="auto"/>
            <w:right w:val="none" w:sz="0" w:space="0" w:color="auto"/>
          </w:divBdr>
          <w:divsChild>
            <w:div w:id="1223103711">
              <w:marLeft w:val="0"/>
              <w:marRight w:val="0"/>
              <w:marTop w:val="0"/>
              <w:marBottom w:val="0"/>
              <w:divBdr>
                <w:top w:val="none" w:sz="0" w:space="0" w:color="auto"/>
                <w:left w:val="none" w:sz="0" w:space="0" w:color="auto"/>
                <w:bottom w:val="none" w:sz="0" w:space="0" w:color="auto"/>
                <w:right w:val="none" w:sz="0" w:space="0" w:color="auto"/>
              </w:divBdr>
              <w:divsChild>
                <w:div w:id="46230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527775">
      <w:bodyDiv w:val="1"/>
      <w:marLeft w:val="0"/>
      <w:marRight w:val="0"/>
      <w:marTop w:val="0"/>
      <w:marBottom w:val="0"/>
      <w:divBdr>
        <w:top w:val="none" w:sz="0" w:space="0" w:color="auto"/>
        <w:left w:val="none" w:sz="0" w:space="0" w:color="auto"/>
        <w:bottom w:val="none" w:sz="0" w:space="0" w:color="auto"/>
        <w:right w:val="none" w:sz="0" w:space="0" w:color="auto"/>
      </w:divBdr>
    </w:div>
    <w:div w:id="844712079">
      <w:bodyDiv w:val="1"/>
      <w:marLeft w:val="0"/>
      <w:marRight w:val="0"/>
      <w:marTop w:val="0"/>
      <w:marBottom w:val="0"/>
      <w:divBdr>
        <w:top w:val="none" w:sz="0" w:space="0" w:color="auto"/>
        <w:left w:val="none" w:sz="0" w:space="0" w:color="auto"/>
        <w:bottom w:val="none" w:sz="0" w:space="0" w:color="auto"/>
        <w:right w:val="none" w:sz="0" w:space="0" w:color="auto"/>
      </w:divBdr>
    </w:div>
    <w:div w:id="946498356">
      <w:bodyDiv w:val="1"/>
      <w:marLeft w:val="0"/>
      <w:marRight w:val="0"/>
      <w:marTop w:val="0"/>
      <w:marBottom w:val="0"/>
      <w:divBdr>
        <w:top w:val="none" w:sz="0" w:space="0" w:color="auto"/>
        <w:left w:val="none" w:sz="0" w:space="0" w:color="auto"/>
        <w:bottom w:val="none" w:sz="0" w:space="0" w:color="auto"/>
        <w:right w:val="none" w:sz="0" w:space="0" w:color="auto"/>
      </w:divBdr>
    </w:div>
    <w:div w:id="957954504">
      <w:bodyDiv w:val="1"/>
      <w:marLeft w:val="0"/>
      <w:marRight w:val="0"/>
      <w:marTop w:val="0"/>
      <w:marBottom w:val="0"/>
      <w:divBdr>
        <w:top w:val="none" w:sz="0" w:space="0" w:color="auto"/>
        <w:left w:val="none" w:sz="0" w:space="0" w:color="auto"/>
        <w:bottom w:val="none" w:sz="0" w:space="0" w:color="auto"/>
        <w:right w:val="none" w:sz="0" w:space="0" w:color="auto"/>
      </w:divBdr>
      <w:divsChild>
        <w:div w:id="1249927074">
          <w:marLeft w:val="0"/>
          <w:marRight w:val="0"/>
          <w:marTop w:val="0"/>
          <w:marBottom w:val="0"/>
          <w:divBdr>
            <w:top w:val="none" w:sz="0" w:space="0" w:color="auto"/>
            <w:left w:val="none" w:sz="0" w:space="0" w:color="auto"/>
            <w:bottom w:val="none" w:sz="0" w:space="0" w:color="auto"/>
            <w:right w:val="none" w:sz="0" w:space="0" w:color="auto"/>
          </w:divBdr>
        </w:div>
        <w:div w:id="2133088093">
          <w:marLeft w:val="0"/>
          <w:marRight w:val="0"/>
          <w:marTop w:val="0"/>
          <w:marBottom w:val="0"/>
          <w:divBdr>
            <w:top w:val="none" w:sz="0" w:space="0" w:color="auto"/>
            <w:left w:val="none" w:sz="0" w:space="0" w:color="auto"/>
            <w:bottom w:val="none" w:sz="0" w:space="0" w:color="auto"/>
            <w:right w:val="none" w:sz="0" w:space="0" w:color="auto"/>
          </w:divBdr>
        </w:div>
      </w:divsChild>
    </w:div>
    <w:div w:id="965894543">
      <w:bodyDiv w:val="1"/>
      <w:marLeft w:val="0"/>
      <w:marRight w:val="0"/>
      <w:marTop w:val="0"/>
      <w:marBottom w:val="0"/>
      <w:divBdr>
        <w:top w:val="none" w:sz="0" w:space="0" w:color="auto"/>
        <w:left w:val="none" w:sz="0" w:space="0" w:color="auto"/>
        <w:bottom w:val="none" w:sz="0" w:space="0" w:color="auto"/>
        <w:right w:val="none" w:sz="0" w:space="0" w:color="auto"/>
      </w:divBdr>
      <w:divsChild>
        <w:div w:id="254897153">
          <w:marLeft w:val="0"/>
          <w:marRight w:val="0"/>
          <w:marTop w:val="0"/>
          <w:marBottom w:val="0"/>
          <w:divBdr>
            <w:top w:val="none" w:sz="0" w:space="0" w:color="auto"/>
            <w:left w:val="none" w:sz="0" w:space="0" w:color="auto"/>
            <w:bottom w:val="none" w:sz="0" w:space="0" w:color="auto"/>
            <w:right w:val="none" w:sz="0" w:space="0" w:color="auto"/>
          </w:divBdr>
        </w:div>
        <w:div w:id="1778057734">
          <w:marLeft w:val="0"/>
          <w:marRight w:val="0"/>
          <w:marTop w:val="0"/>
          <w:marBottom w:val="0"/>
          <w:divBdr>
            <w:top w:val="none" w:sz="0" w:space="0" w:color="auto"/>
            <w:left w:val="none" w:sz="0" w:space="0" w:color="auto"/>
            <w:bottom w:val="none" w:sz="0" w:space="0" w:color="auto"/>
            <w:right w:val="none" w:sz="0" w:space="0" w:color="auto"/>
          </w:divBdr>
          <w:divsChild>
            <w:div w:id="226380739">
              <w:marLeft w:val="0"/>
              <w:marRight w:val="0"/>
              <w:marTop w:val="0"/>
              <w:marBottom w:val="0"/>
              <w:divBdr>
                <w:top w:val="none" w:sz="0" w:space="0" w:color="auto"/>
                <w:left w:val="none" w:sz="0" w:space="0" w:color="auto"/>
                <w:bottom w:val="none" w:sz="0" w:space="0" w:color="auto"/>
                <w:right w:val="none" w:sz="0" w:space="0" w:color="auto"/>
              </w:divBdr>
            </w:div>
            <w:div w:id="110636066">
              <w:marLeft w:val="0"/>
              <w:marRight w:val="0"/>
              <w:marTop w:val="0"/>
              <w:marBottom w:val="0"/>
              <w:divBdr>
                <w:top w:val="none" w:sz="0" w:space="0" w:color="auto"/>
                <w:left w:val="none" w:sz="0" w:space="0" w:color="auto"/>
                <w:bottom w:val="none" w:sz="0" w:space="0" w:color="auto"/>
                <w:right w:val="none" w:sz="0" w:space="0" w:color="auto"/>
              </w:divBdr>
            </w:div>
            <w:div w:id="90303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135074">
      <w:bodyDiv w:val="1"/>
      <w:marLeft w:val="0"/>
      <w:marRight w:val="0"/>
      <w:marTop w:val="0"/>
      <w:marBottom w:val="0"/>
      <w:divBdr>
        <w:top w:val="none" w:sz="0" w:space="0" w:color="auto"/>
        <w:left w:val="none" w:sz="0" w:space="0" w:color="auto"/>
        <w:bottom w:val="none" w:sz="0" w:space="0" w:color="auto"/>
        <w:right w:val="none" w:sz="0" w:space="0" w:color="auto"/>
      </w:divBdr>
    </w:div>
    <w:div w:id="1464930734">
      <w:bodyDiv w:val="1"/>
      <w:marLeft w:val="0"/>
      <w:marRight w:val="0"/>
      <w:marTop w:val="0"/>
      <w:marBottom w:val="0"/>
      <w:divBdr>
        <w:top w:val="none" w:sz="0" w:space="0" w:color="auto"/>
        <w:left w:val="none" w:sz="0" w:space="0" w:color="auto"/>
        <w:bottom w:val="none" w:sz="0" w:space="0" w:color="auto"/>
        <w:right w:val="none" w:sz="0" w:space="0" w:color="auto"/>
      </w:divBdr>
    </w:div>
    <w:div w:id="1592229795">
      <w:bodyDiv w:val="1"/>
      <w:marLeft w:val="0"/>
      <w:marRight w:val="0"/>
      <w:marTop w:val="0"/>
      <w:marBottom w:val="0"/>
      <w:divBdr>
        <w:top w:val="none" w:sz="0" w:space="0" w:color="auto"/>
        <w:left w:val="none" w:sz="0" w:space="0" w:color="auto"/>
        <w:bottom w:val="none" w:sz="0" w:space="0" w:color="auto"/>
        <w:right w:val="none" w:sz="0" w:space="0" w:color="auto"/>
      </w:divBdr>
      <w:divsChild>
        <w:div w:id="111943074">
          <w:marLeft w:val="0"/>
          <w:marRight w:val="0"/>
          <w:marTop w:val="0"/>
          <w:marBottom w:val="0"/>
          <w:divBdr>
            <w:top w:val="none" w:sz="0" w:space="0" w:color="auto"/>
            <w:left w:val="none" w:sz="0" w:space="0" w:color="auto"/>
            <w:bottom w:val="none" w:sz="0" w:space="0" w:color="auto"/>
            <w:right w:val="none" w:sz="0" w:space="0" w:color="auto"/>
          </w:divBdr>
        </w:div>
        <w:div w:id="1660235352">
          <w:marLeft w:val="0"/>
          <w:marRight w:val="0"/>
          <w:marTop w:val="0"/>
          <w:marBottom w:val="0"/>
          <w:divBdr>
            <w:top w:val="none" w:sz="0" w:space="0" w:color="auto"/>
            <w:left w:val="none" w:sz="0" w:space="0" w:color="auto"/>
            <w:bottom w:val="none" w:sz="0" w:space="0" w:color="auto"/>
            <w:right w:val="none" w:sz="0" w:space="0" w:color="auto"/>
          </w:divBdr>
        </w:div>
        <w:div w:id="213350768">
          <w:marLeft w:val="0"/>
          <w:marRight w:val="0"/>
          <w:marTop w:val="0"/>
          <w:marBottom w:val="0"/>
          <w:divBdr>
            <w:top w:val="none" w:sz="0" w:space="0" w:color="auto"/>
            <w:left w:val="none" w:sz="0" w:space="0" w:color="auto"/>
            <w:bottom w:val="none" w:sz="0" w:space="0" w:color="auto"/>
            <w:right w:val="none" w:sz="0" w:space="0" w:color="auto"/>
          </w:divBdr>
        </w:div>
        <w:div w:id="1969624989">
          <w:marLeft w:val="0"/>
          <w:marRight w:val="0"/>
          <w:marTop w:val="0"/>
          <w:marBottom w:val="0"/>
          <w:divBdr>
            <w:top w:val="none" w:sz="0" w:space="0" w:color="auto"/>
            <w:left w:val="none" w:sz="0" w:space="0" w:color="auto"/>
            <w:bottom w:val="none" w:sz="0" w:space="0" w:color="auto"/>
            <w:right w:val="none" w:sz="0" w:space="0" w:color="auto"/>
          </w:divBdr>
        </w:div>
      </w:divsChild>
    </w:div>
    <w:div w:id="1750616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3f3e71f8f404e7c93abaf5c33a9f43e" PartId="9b1ac78134a34140b14315db906f5703">
    <Part Type="skyrius" Nr="999" DocPartId="09e141709e5d423b8f7d3b095951561b" PartId="04b5ab08add8406793af9050e8f86e5d">
      <Part Type="poskyris" Title="DĖL MAKSIMALIŲ SOCIALINĖS GLOBOS IŠLAIDŲ FINANSAVIMO ŠIAULIŲ MIESTO GYVENTOJAMS DYDŽIŲ NUSTATYMO AIŠKINAMASIS RAŠTAS" DocPartId="fca71765d8bf4570b34c3fb614d34233" PartId="d3113f90d9284bdbb43356cf390cdf8d"/>
      <Part Type="poskyris" Title="Parengto sprendimo projekto tikslai ir uždaviniai." DocPartId="3c29182553a24961b0952fa9173803ec" PartId="a59839ef2e3749c39588ad12c85d1062"/>
      <Part Type="poskyris" Title="Dabartinis sprendimo projekte aptariamų klausimų reguliavimas." DocPartId="d2dc2d17aba34333bd74118c528e305c" PartId="f4f693b9814b4a9ab65613d4d1e3febc"/>
      <Part Type="poskyris" Title="Naujos teisinio reglamentavimo nuostatos." DocPartId="018184792e354f23833e568ac53dd780" PartId="76aef669f15b46298c88056cdb7f33fd">
        <Part Type="punktas" Nr="1" Abbr="1 p." DocPartId="30cdcf6ee05040f29c910383f6311a88" PartId="a78f0195502d4c0ca1e17d13118084b6"/>
        <Part Type="punktas" Nr="2" Abbr="2 p." DocPartId="15b8fc6e96e840269ae1244cbd7013ce" PartId="8a12e5d8e1714da6889f47cce8a6a11f">
          <Part Type="papunktis" Nr="2.1" Abbr="2.1 pp." DocPartId="62ba4d7efa134b50b8da47068e8e0ac6" PartId="e073f29a9149433683f107f68cf68156"/>
          <Part Type="papunktis" Nr="2.2" Abbr="2.2 pp." DocPartId="9f05c4f3128c4d08ae326f34114bbd2f" PartId="2668cdc4056a40adae81df7c21a83a89"/>
        </Part>
        <Part Type="punktas" Nr="3" Abbr="3 p." DocPartId="65dcc57a0fa2484b82a13d69fa36d0c9" PartId="3dba1a2877324dbdac2df8da452119bd"/>
      </Part>
      <Part Type="poskyris" Title="Priėmus sprendimą, galimos pasekmės." DocPartId="c08d50bc1c144e91aced3fa67de851a9" PartId="6294643d8f39495599bfe00679f8ee2f"/>
      <Part Type="poskyris" Title="Priėmus sprendimą, keičiami ar pripažįstami negaliojančiais teisės aktai." DocPartId="3b3006eca59f47aa98d543107d124fcb" PartId="d153180b9f234d309308e7e32ea416d1"/>
      <Part Type="poskyris" Title="Sprendimui įgyvendinti reikalingi priimti papildomi teisės aktai." DocPartId="c49c9656efbd4927bb58a651d38fe004" PartId="e0dbec8af6c14e5187eb97ab05f7d10d"/>
      <Part Type="poskyris" Title="Sprendimui įgyvendinti reikalingos lėšos." DocPartId="6db675b0d6a84a919c4bb7698d7d2d02" PartId="d17528a7218d4576a4f30a29597dbd15"/>
    </Part>
    <Part Type="signatura" DocPartId="3830dc1aa5f54d07b41910546cdb5af6" PartId="98a3329c4c35483a88ecab77701bb91b"/>
  </Part>
</Parts>
</file>

<file path=customXml/itemProps1.xml><?xml version="1.0" encoding="utf-8"?>
<ds:datastoreItem xmlns:ds="http://schemas.openxmlformats.org/officeDocument/2006/customXml" ds:itemID="{B150F950-09DD-4D19-96DB-4640268E1249}">
  <ds:schemaRefs>
    <ds:schemaRef ds:uri="http://schemas.openxmlformats.org/officeDocument/2006/bibliography"/>
  </ds:schemaRefs>
</ds:datastoreItem>
</file>

<file path=customXml/itemProps2.xml><?xml version="1.0" encoding="utf-8"?>
<ds:datastoreItem xmlns:ds="http://schemas.openxmlformats.org/officeDocument/2006/customXml" ds:itemID="{01701C0E-3E46-43FF-9CE0-EE5FD5C133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1152</Words>
  <Characters>7967</Characters>
  <Application>Microsoft Office Word</Application>
  <DocSecurity>4</DocSecurity>
  <Lines>124</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2024-11-27T09:25:00Z</dcterms:created>
  <dc:creator>Edita Čičelienė</dc:creator>
  <lastModifiedBy>adlibuser</lastModifiedBy>
  <lastPrinted>2024-11-25T15:25:00Z</lastPrinted>
  <dcterms:modified xsi:type="dcterms:W3CDTF">2024-11-27T09:25:00Z</dcterms:modified>
  <revision>2</revision>
</coreProperties>
</file>