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8a689cfb05a3417eba02e40a64e20eae"/>
        <w:lock w:val="sdtLocked"/>
        <w:richText/>
      </w:sdtPr>
      <w:sdtContent>
        <w:p w14:paraId="082331C8" w14:textId="77777777">
          <w:pPr>
            <w:tabs>
              <w:tab w:val="center" w:pos="4819"/>
              <w:tab w:val="right" w:pos="9638"/>
            </w:tabs>
            <w:jc w:val="center"/>
            <w:rPr>
              <w:szCs w:val="24"/>
              <w:lang w:val="en-GB" w:eastAsia="en-GB"/>
            </w:rPr>
          </w:pPr>
        </w:p>
        <w:p w14:paraId="49397576" w14:textId="77777777">
          <w:pPr>
            <w:tabs>
              <w:tab w:val="center" w:pos="4819"/>
              <w:tab w:val="right" w:pos="9638"/>
            </w:tabs>
            <w:rPr>
              <w:szCs w:val="24"/>
              <w:lang w:val="en-GB" w:eastAsia="en-GB"/>
            </w:rPr>
          </w:pPr>
        </w:p>
        <w:p w14:paraId="2CB752A1" w14:textId="7E9B1735">
          <w:pPr>
            <w:jc w:val="center"/>
            <w:rPr>
              <w:b/>
              <w:bCs/>
              <w:szCs w:val="24"/>
              <w:lang w:val="en-GB" w:eastAsia="en-GB"/>
            </w:rPr>
          </w:pPr>
          <w:r>
            <w:rPr>
              <w:b/>
              <w:color w:val="000000"/>
              <w:szCs w:val="24"/>
              <w:lang w:val="en-US"/>
            </w:rPr>
            <w:t>2011 M. GRUODŽIO 13 D. EUROPOS PARLAMENTO IR TARYBOS DIREKTYVOS 2011/92/ES DĖL TAM TIKRŲ VALSTYBĖS PRIVAČIŲ PROJEKTŲ POVEIKIO APLINKAI VERTINIMO</w:t>
          </w:r>
          <w:r>
            <w:rPr>
              <w:b/>
              <w:bCs/>
              <w:szCs w:val="24"/>
              <w:lang w:val="en-GB" w:eastAsia="en-GB"/>
            </w:rPr>
            <w:t xml:space="preserve"> SU PASKUTINIAIS PAKEITIMAIS, PADARYTAIS 2014 M. BALANDŽIO 16 D. EUROPOS PARLAMENTO IR TARYBOS DIREKTYVA 2014/52/ES, IR </w:t>
          </w:r>
          <w:r>
            <w:rPr>
              <w:b/>
              <w:szCs w:val="24"/>
              <w:lang w:val="en-GB" w:eastAsia="en-GB"/>
            </w:rPr>
            <w:t>LIETUVOS RESPUBLIKOS APLINKOS MINISTRO 2017 M. SPALIO 31 D. ĮSAKYMO NR. D1-885 „</w:t>
          </w:r>
          <w:r>
            <w:rPr>
              <w:b/>
              <w:color w:val="000000"/>
              <w:szCs w:val="24"/>
              <w:lang w:val="en-GB" w:eastAsia="en-GB"/>
            </w:rPr>
            <w:t>DĖL PLANUOJAMOS ŪKINĖS VEIKLOS POVEIKIO APLINKAI VERTINIMO TVARKOS APRAŠO PATVIRTINIMO</w:t>
          </w:r>
          <w:r>
            <w:rPr>
              <w:b/>
              <w:szCs w:val="24"/>
              <w:lang w:val="en-GB" w:eastAsia="en-GB"/>
            </w:rPr>
            <w:t xml:space="preserve">” PAKEITIMO PROJEKTO </w:t>
          </w:r>
          <w:r>
            <w:rPr>
              <w:b/>
              <w:bCs/>
              <w:szCs w:val="24"/>
              <w:lang w:val="en-GB" w:eastAsia="en-GB"/>
            </w:rPr>
            <w:t>ATITIKTIES LENTELĖ</w:t>
          </w:r>
        </w:p>
        <w:p w14:paraId="0FE9A41D" w14:textId="77777777">
          <w:pPr>
            <w:jc w:val="center"/>
            <w:rPr>
              <w:b/>
              <w:bCs/>
              <w:caps/>
              <w:szCs w:val="24"/>
            </w:rPr>
          </w:pPr>
        </w:p>
        <w:tbl>
          <w:tblPr>
            <w:tblW w:w="1502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70"/>
            <w:gridCol w:w="8930"/>
            <w:gridCol w:w="2126"/>
          </w:tblGrid>
          <w:tr w14:paraId="5BF791E7" w14:textId="77777777">
            <w:trPr>
              <w:trHeight w:val="835"/>
            </w:trPr>
            <w:tc>
              <w:tcPr>
                <w:tcW w:w="3970" w:type="dxa"/>
              </w:tcPr>
              <w:p w14:paraId="114993CD" w14:textId="77777777">
                <w:pPr>
                  <w:jc w:val="both"/>
                  <w:rPr>
                    <w:b/>
                    <w:szCs w:val="24"/>
                  </w:rPr>
                </w:pPr>
                <w:r>
                  <w:rPr>
                    <w:b/>
                    <w:color w:val="000000"/>
                    <w:szCs w:val="24"/>
                  </w:rPr>
                  <w:t xml:space="preserve">B – 2011 m. gruodžio 13 d. Europos Parlamento ir Tarybos direktyva </w:t>
                </w:r>
                <w:fldSimple w:instr="HYPERLINK http://eur-lex.europa.eu/legal-content/LIT/TXT/?uri=CELEX:32011L0092&amp;locale=lt \t _blank">
                  <w:r>
                    <w:rPr>
                      <w:b/>
                      <w:color w:val="0000FF" w:themeColor="hyperlink"/>
                      <w:szCs w:val="24"/>
                      <w:u w:val="single"/>
                    </w:rPr>
                    <w:t>2011/92/ES</w:t>
                  </w:r>
                </w:fldSimple>
                <w:r>
                  <w:rPr>
                    <w:b/>
                    <w:color w:val="000000"/>
                    <w:szCs w:val="24"/>
                  </w:rPr>
                  <w:t xml:space="preserve"> dėl tam tikrų valstybės privačių projektų poveikio aplinkai vertinimo iš dalies keičiama: M1 – Europos Parlamento ir Tarybos direktyva </w:t>
                </w:r>
                <w:fldSimple w:instr="HYPERLINK http://eur-lex.europa.eu/legal-content/LIT/TXT/?uri=CELEX:32014L0052&amp;locale=lt \t _blank">
                  <w:r>
                    <w:rPr>
                      <w:b/>
                      <w:color w:val="0000FF" w:themeColor="hyperlink"/>
                      <w:szCs w:val="24"/>
                      <w:u w:val="single"/>
                    </w:rPr>
                    <w:t>2014/52/ES</w:t>
                  </w:r>
                </w:fldSimple>
                <w:r>
                  <w:rPr>
                    <w:b/>
                    <w:color w:val="000000"/>
                    <w:szCs w:val="24"/>
                  </w:rPr>
                  <w:t xml:space="preserve"> Tekstas svarbus EEE 2014 m. balandžio 16 d.</w:t>
                </w:r>
              </w:p>
              <w:p w14:paraId="4EB7D9D7" w14:textId="77777777">
                <w:pPr>
                  <w:suppressAutoHyphens/>
                  <w:snapToGrid w:val="0"/>
                  <w:jc w:val="both"/>
                  <w:rPr>
                    <w:b/>
                    <w:spacing w:val="-1"/>
                    <w:kern w:val="1"/>
                    <w:szCs w:val="24"/>
                    <w:lang w:eastAsia="ar-SA"/>
                  </w:rPr>
                </w:pPr>
              </w:p>
            </w:tc>
            <w:tc>
              <w:tcPr>
                <w:tcW w:w="8930" w:type="dxa"/>
              </w:tcPr>
              <w:p w14:paraId="7E2CFA0C" w14:textId="77777777">
                <w:pPr>
                  <w:jc w:val="both"/>
                  <w:rPr>
                    <w:b/>
                    <w:szCs w:val="24"/>
                  </w:rPr>
                </w:pPr>
                <w:r>
                  <w:rPr>
                    <w:b/>
                    <w:szCs w:val="24"/>
                  </w:rPr>
                  <w:t>Lietuvos Respublikos aplinkos ministro įsakymo „Dėl Lietuvos Respublikos aplinkos ministro 2017 m. spalio 31 d. įsakymo Nr. D1-885 „</w:t>
                </w:r>
                <w:r>
                  <w:rPr>
                    <w:b/>
                    <w:color w:val="000000"/>
                    <w:szCs w:val="24"/>
                  </w:rPr>
                  <w:t xml:space="preserve">Dėl Planuojamos ūkinės veiklos poveikio aplinkai vertinimo tvarkos  aprašo patvirtinimo</w:t>
                </w:r>
                <w:r>
                  <w:rPr>
                    <w:b/>
                    <w:szCs w:val="24"/>
                  </w:rPr>
                  <w:t xml:space="preserve">“ pakeitimo“ projektas </w:t>
                </w:r>
              </w:p>
              <w:p w14:paraId="1E81A29C" w14:textId="77777777">
                <w:pPr>
                  <w:jc w:val="both"/>
                  <w:rPr>
                    <w:b/>
                    <w:szCs w:val="24"/>
                    <w:lang w:eastAsia="lt-LT"/>
                  </w:rPr>
                </w:pPr>
              </w:p>
            </w:tc>
            <w:tc>
              <w:tcPr>
                <w:tcW w:w="2126" w:type="dxa"/>
              </w:tcPr>
              <w:p w14:paraId="6E480513" w14:textId="77777777">
                <w:pPr>
                  <w:jc w:val="center"/>
                  <w:rPr>
                    <w:szCs w:val="24"/>
                  </w:rPr>
                </w:pPr>
                <w:r>
                  <w:rPr>
                    <w:b/>
                    <w:szCs w:val="24"/>
                  </w:rPr>
                  <w:t>Direktyvos perkėlimo įgyvendinimo lygis</w:t>
                </w:r>
              </w:p>
            </w:tc>
          </w:tr>
          <w:tr w14:paraId="531503B3" w14:textId="77777777">
            <w:trPr>
              <w:trHeight w:val="274"/>
            </w:trPr>
            <w:tc>
              <w:tcPr>
                <w:tcW w:w="3970" w:type="dxa"/>
              </w:tcPr>
              <w:p w14:paraId="43A52941" w14:textId="77777777">
                <w:pPr>
                  <w:jc w:val="both"/>
                  <w:rPr>
                    <w:b/>
                    <w:i/>
                    <w:szCs w:val="24"/>
                    <w:lang w:val="en-GB" w:eastAsia="en-GB"/>
                  </w:rPr>
                </w:pPr>
                <w:r>
                  <w:rPr>
                    <w:i/>
                    <w:iCs/>
                    <w:color w:val="000000"/>
                    <w:szCs w:val="24"/>
                    <w:shd w:val="clear" w:color="auto" w:fill="FFFFFF"/>
                    <w:lang w:val="en-GB" w:eastAsia="en-GB"/>
                  </w:rPr>
                  <w:t>5 straipsnis</w:t>
                </w:r>
              </w:p>
              <w:p w14:paraId="322C7064" w14:textId="77777777">
                <w:pPr>
                  <w:jc w:val="both"/>
                  <w:rPr>
                    <w:b/>
                    <w:szCs w:val="24"/>
                    <w:lang w:eastAsia="en-GB"/>
                  </w:rPr>
                </w:pPr>
                <w:r>
                  <w:rPr>
                    <w:b/>
                    <w:szCs w:val="24"/>
                    <w:lang w:eastAsia="en-GB"/>
                  </w:rPr>
                  <w:t>M1</w:t>
                </w:r>
              </w:p>
              <w:p w14:paraId="6DE074A2" w14:textId="77777777">
                <w:pPr>
                  <w:jc w:val="both"/>
                  <w:rPr>
                    <w:color w:val="000000"/>
                    <w:szCs w:val="24"/>
                    <w:lang w:eastAsia="lt-LT"/>
                  </w:rPr>
                </w:pPr>
                <w:r>
                  <w:rPr>
                    <w:color w:val="000000"/>
                    <w:szCs w:val="24"/>
                    <w:lang w:eastAsia="lt-LT"/>
                  </w:rPr>
                  <w:t xml:space="preserve">3. Siekiant užtikrinti, kad poveikio aplinkai vertinimo ataskaitos būtų išsamios ir kokybiškos: </w:t>
                </w:r>
              </w:p>
              <w:p w14:paraId="56E74F8E" w14:textId="77777777">
                <w:pPr>
                  <w:rPr>
                    <w:b/>
                    <w:szCs w:val="24"/>
                    <w:lang w:eastAsia="en-GB"/>
                  </w:rPr>
                </w:pPr>
                <w:r>
                  <w:rPr>
                    <w:szCs w:val="24"/>
                    <w:lang w:eastAsia="en-GB"/>
                  </w:rPr>
                  <w:t>c) prireikus kompetentinga institucija prašo užsakovo pateikti papildomos informacijos pagal IV priedą, kuri tiesiogiai svarbi siekiant padaryti pagrįstą išvadą apie projekto reikšmingą poveikį aplinkai.“;</w:t>
                </w:r>
              </w:p>
            </w:tc>
            <w:tc>
              <w:tcPr>
                <w:tcW w:w="8930" w:type="dxa"/>
              </w:tcPr>
              <w:p w14:paraId="02E3D939" w14:textId="0E52525C">
                <w:pPr>
                  <w:jc w:val="both"/>
                  <w:rPr>
                    <w:kern w:val="1"/>
                    <w:szCs w:val="24"/>
                    <w:lang w:eastAsia="hi-IN" w:bidi="hi-IN"/>
                  </w:rPr>
                </w:pPr>
                <w:r>
                  <w:rPr>
                    <w:color w:val="000000"/>
                    <w:kern w:val="1"/>
                    <w:szCs w:val="24"/>
                    <w:lang w:eastAsia="hi-IN" w:bidi="hi-IN"/>
                  </w:rPr>
                  <w:t>1.4. P</w:t>
                </w:r>
                <w:r>
                  <w:rPr>
                    <w:color w:val="000000"/>
                    <w:szCs w:val="24"/>
                    <w:shd w:val="clear" w:color="auto" w:fill="FFFFFF"/>
                    <w:lang w:eastAsia="ar-SA"/>
                  </w:rPr>
                  <w:t xml:space="preserve">akeičiu 42 punktą </w:t>
                </w:r>
                <w:r>
                  <w:rPr>
                    <w:kern w:val="1"/>
                    <w:szCs w:val="24"/>
                    <w:lang w:eastAsia="hi-IN" w:bidi="hi-IN"/>
                  </w:rPr>
                  <w:t>ir jį išdėstau taip:</w:t>
                </w:r>
              </w:p>
              <w:p w14:paraId="7E784875" w14:textId="7288B288">
                <w:pPr>
                  <w:suppressAutoHyphens/>
                  <w:ind w:firstLine="62"/>
                  <w:jc w:val="both"/>
                  <w:rPr>
                    <w:kern w:val="1"/>
                    <w:szCs w:val="24"/>
                    <w:lang w:val="en-GB" w:eastAsia="hi-IN" w:bidi="hi-IN"/>
                  </w:rPr>
                </w:pPr>
                <w:r>
                  <w:rPr>
                    <w:kern w:val="1"/>
                    <w:szCs w:val="24"/>
                    <w:lang w:eastAsia="hi-IN" w:bidi="hi-IN"/>
                  </w:rPr>
                  <w:t>„</w:t>
                </w:r>
                <w:r>
                  <w:rPr>
                    <w:szCs w:val="24"/>
                    <w:lang w:eastAsia="lt-LT"/>
                  </w:rPr>
                  <w:t xml:space="preserve">42. Agentūra, pasibaigus pasiūlymų teikimo terminui, išnagrinėja ataskaitą, PAV subjektų išvadas, gautus suinteresuotos visuomenės pasiūlymus, suinteresuotos visuomenės pasiūlymų įvertinimą, </w:t>
                </w:r>
                <w:r>
                  <w:rPr>
                    <w:b/>
                    <w:szCs w:val="24"/>
                    <w:lang w:eastAsia="lt-LT"/>
                  </w:rPr>
                  <w:t>patikrina, ar ataskaitos viešinimo ir visuomenės informavimo procedūros atliktos pagal Planuojamos</w:t>
                </w:r>
                <w:r>
                  <w:rPr>
                    <w:szCs w:val="24"/>
                    <w:lang w:eastAsia="lt-LT"/>
                  </w:rPr>
                  <w:t xml:space="preserve"> </w:t>
                </w:r>
                <w:r>
                  <w:rPr>
                    <w:b/>
                    <w:szCs w:val="24"/>
                    <w:lang w:eastAsia="en-GB"/>
                  </w:rPr>
                  <w:t>ūkinės veiklos poveikio aplinkai vertinimo įstatymo</w:t>
                </w:r>
                <w:r>
                  <w:rPr>
                    <w:b/>
                    <w:szCs w:val="24"/>
                    <w:lang w:eastAsia="lt-LT"/>
                  </w:rPr>
                  <w:t xml:space="preserve"> ir Tvarkos aprašo reikalavimus</w:t>
                </w:r>
                <w:r>
                  <w:rPr>
                    <w:szCs w:val="24"/>
                    <w:lang w:eastAsia="lt-LT"/>
                  </w:rPr>
                  <w:t xml:space="preserve">, prireikus Tvarkos aprašo 43 punkte nurodytais atvejais organizuoja pasitarimą Agentūros darbo laiku, parengia pasitarimo protokolą ir ne vėliau kaip per 25 darbo dienas nuo ataskaitos gavimo dienos, remdamasi PAV subjektų išvadomis ir PAV proceso metu gauta informacija, priima sprendimą dėl planuojamos ūkinės veiklos poveikio aplinkai (4 priedas), arba raštu pareikalauja, kad PAV dokumentų rengėjas papildytų ar pataisytų ataskaitą pagal motyvuotus reikalavimus ir (ar) pridedamą protokolą. </w:t>
                </w:r>
                <w:r>
                  <w:rPr>
                    <w:szCs w:val="24"/>
                    <w:lang w:val="en-GB" w:eastAsia="lt-LT"/>
                  </w:rPr>
                  <w:t xml:space="preserve">Tvarkos aprašo 4 priede nustatytos formos sprendimas rašomas ant Agentūros blanko. Agentūra pataisytą ir papildytą ataskaitą išnagrinėja ir sprendimą (4 priedas) priima per 15 darbo dienų nuo jos gavimo dienos arba gali pakartotinai teikti motyvuotus reikalavimus pataisyti ar papildyti ataskaitą, nereikalaudama informacijos ir (ar) duomenų, kurių nenurodė pirmą kartą nagrinėdami PAV ataskaitą, tačiau galėjo jų pareikalauti vadovaujantis Planuojamos ūkinės veiklos poveikio aplinkai vertinimo įstatymo 6 straipsnio 7 dalies nuostatomis. Agentūra sprendimą raštu pateikia planuojamos ūkinės veiklos organizatoriui, PAV dokumentų rengėjui ir PAV subjektams, Tvarkos aprašo V skyriaus 87 punkte nustatyta tvarka jį paskelbia visuomenei susipažinti. Rašte PAV subjektams Agentūra pateikia nuorodą į savo interneto svetainę, kurioje paskelbta Tvarkos aprašo 87 punkte nurodyta informacija. </w:t>
                </w:r>
                <w:r>
                  <w:rPr>
                    <w:strike/>
                    <w:szCs w:val="24"/>
                    <w:lang w:val="en-GB" w:eastAsia="lt-LT"/>
                  </w:rPr>
                  <w:t>Kai ataskaita iš esmės keičiama, taisoma ar papildoma (siūlomos naujos vietos, technologijų alternatyvos) dėl gautų PAV subjektų išvadų ir (ar) Agentūros motyvuotų reikalavimų, vadovaudamasi Planuojamos ūkinės veiklos poveikio aplinkai vertinimo įstatymo 10 straipsnio 10 ir 11 dalimis, Agentūra įpareigoja PAV dokumentų rengėją pakartotinai atlikti PAV procedūras Tvarkos aprašo 38–47 punktuose nustatyta tvarka. Kai PAV proceso metu savivaldybės (-ių) ar seniūnijos (-ų) teritorijoje pasiūloma nauja planuojamo linijinės infrastruktūros objekto vietos alternatyva, viešinimo procedūros atliekamos tik tos teritorijos administruojančios savivaldybės (-ių) ar seniūnijos (-ų) patalpose arba kitoje PAV dokumentų rengėjo pasirinktoje, su seniūnija arba savivaldybe suderintoje vietoje.</w:t>
                </w:r>
                <w:r>
                  <w:rPr>
                    <w:kern w:val="1"/>
                    <w:szCs w:val="24"/>
                    <w:lang w:val="en-GB" w:eastAsia="hi-IN" w:bidi="hi-IN"/>
                  </w:rPr>
                  <w:t>“;</w:t>
                </w:r>
              </w:p>
              <w:p w14:paraId="5FCA4027" w14:textId="77777777">
                <w:pPr>
                  <w:widowControl w:val="0"/>
                  <w:suppressAutoHyphens/>
                  <w:jc w:val="both"/>
                  <w:rPr>
                    <w:szCs w:val="24"/>
                    <w:lang w:val="en-GB" w:eastAsia="lt-LT"/>
                  </w:rPr>
                </w:pPr>
                <w:r>
                  <w:rPr>
                    <w:szCs w:val="24"/>
                    <w:lang w:val="en-GB" w:eastAsia="lt-LT"/>
                  </w:rPr>
                  <w:t>&lt;…&gt;</w:t>
                </w:r>
              </w:p>
              <w:p w14:paraId="4E94E6AC" w14:textId="6CDC703A">
                <w:pPr>
                  <w:widowControl w:val="0"/>
                  <w:suppressAutoHyphens/>
                  <w:jc w:val="both"/>
                  <w:rPr>
                    <w:kern w:val="1"/>
                    <w:szCs w:val="24"/>
                    <w:lang w:val="en-GB" w:eastAsia="hi-IN" w:bidi="hi-IN"/>
                  </w:rPr>
                </w:pPr>
                <w:r>
                  <w:rPr>
                    <w:szCs w:val="24"/>
                    <w:lang w:val="en-GB" w:eastAsia="lt-LT"/>
                  </w:rPr>
                  <w:t>1.8. Papildau 47</w:t>
                </w:r>
                <w:r>
                  <w:rPr>
                    <w:szCs w:val="24"/>
                    <w:vertAlign w:val="superscript"/>
                    <w:lang w:val="en-GB" w:eastAsia="lt-LT"/>
                  </w:rPr>
                  <w:t>2</w:t>
                </w:r>
                <w:r>
                  <w:rPr>
                    <w:szCs w:val="24"/>
                    <w:lang w:val="en-GB" w:eastAsia="lt-LT"/>
                  </w:rPr>
                  <w:t xml:space="preserve"> punktu:</w:t>
                </w:r>
              </w:p>
              <w:p w14:paraId="4162403B" w14:textId="373AFBEB">
                <w:pPr>
                  <w:widowControl w:val="0"/>
                  <w:suppressAutoHyphens/>
                  <w:jc w:val="both"/>
                  <w:rPr>
                    <w:b/>
                    <w:color w:val="000000"/>
                    <w:kern w:val="1"/>
                    <w:szCs w:val="24"/>
                    <w:lang w:val="en-GB" w:eastAsia="hi-IN" w:bidi="hi-IN"/>
                  </w:rPr>
                </w:pPr>
                <w:r>
                  <w:rPr>
                    <w:color w:val="000000"/>
                    <w:kern w:val="1"/>
                    <w:szCs w:val="24"/>
                    <w:lang w:val="en-GB" w:eastAsia="hi-IN" w:bidi="hi-IN"/>
                  </w:rPr>
                  <w:t>„</w:t>
                </w:r>
                <w:r>
                  <w:rPr>
                    <w:b/>
                    <w:color w:val="000000"/>
                    <w:kern w:val="1"/>
                    <w:szCs w:val="24"/>
                    <w:lang w:val="en-GB" w:eastAsia="hi-IN" w:bidi="hi-IN"/>
                  </w:rPr>
                  <w:t>47</w:t>
                </w:r>
                <w:r>
                  <w:rPr>
                    <w:b/>
                    <w:color w:val="000000"/>
                    <w:kern w:val="1"/>
                    <w:szCs w:val="24"/>
                    <w:vertAlign w:val="superscript"/>
                    <w:lang w:val="en-GB" w:eastAsia="hi-IN" w:bidi="hi-IN"/>
                  </w:rPr>
                  <w:t>2</w:t>
                </w:r>
                <w:r>
                  <w:rPr>
                    <w:b/>
                    <w:color w:val="000000"/>
                    <w:kern w:val="1"/>
                    <w:szCs w:val="24"/>
                    <w:lang w:val="en-GB" w:eastAsia="hi-IN" w:bidi="hi-IN"/>
                  </w:rPr>
                  <w:t xml:space="preserve">. </w:t>
                </w:r>
                <w:r>
                  <w:rPr>
                    <w:b/>
                    <w:szCs w:val="24"/>
                    <w:lang w:val="en-GB" w:eastAsia="lt-LT"/>
                  </w:rPr>
                  <w:t>Kai ataskaita iš esmės keičiama, taisoma ar papildoma (siūlomos naujos vietos, technologijų alternatyvos) dėl gautų PAV subjektų išvadų ir (ar) Agentūros motyvuotų reikalavimų, vadovaudamasi Planuojamos ūkinės veiklos poveikio aplinkai vertinimo įstatymo 10 straipsnio 10 ir 11 dalimis, Agentūra įpareigoja PAV dokumentų rengėją pakartotinai atlikti PAV procedūras Tvarkos aprašo 38–47 punktuose nustatyta tvarka. Kai PAV proceso metu savivaldybės (-ių) ar seniūnijos (-ų) teritorijoje pasiūloma nauja planuojamo objekto vietos alternatyva, viešinimo procedūros atliekamos tik tos teritorijos administruojančios savivaldybės (-ių) ar seniūnijos (-ų) patalpose arba kitoje PAV dokumentų rengėjo pasirinktoje, su seniūnija arba savivaldybe suderintoje vietoje.</w:t>
                </w:r>
                <w:r>
                  <w:rPr>
                    <w:szCs w:val="24"/>
                    <w:lang w:val="en-GB" w:eastAsia="lt-LT"/>
                  </w:rPr>
                  <w:t>“</w:t>
                </w:r>
                <w:r>
                  <w:rPr>
                    <w:b/>
                    <w:szCs w:val="24"/>
                    <w:lang w:val="en-GB" w:eastAsia="lt-LT"/>
                  </w:rPr>
                  <w:t>;</w:t>
                </w:r>
              </w:p>
              <w:p w14:paraId="2C46EB1D" w14:textId="77777777">
                <w:pPr>
                  <w:widowControl w:val="0"/>
                  <w:suppressAutoHyphens/>
                  <w:jc w:val="both"/>
                  <w:rPr>
                    <w:kern w:val="1"/>
                    <w:szCs w:val="24"/>
                    <w:lang w:val="en-GB" w:eastAsia="hi-IN" w:bidi="hi-IN"/>
                  </w:rPr>
                </w:pPr>
                <w:r>
                  <w:rPr>
                    <w:color w:val="000000"/>
                    <w:kern w:val="1"/>
                    <w:szCs w:val="24"/>
                    <w:lang w:val="en-GB" w:eastAsia="hi-IN" w:bidi="hi-IN"/>
                  </w:rPr>
                  <w:t xml:space="preserve">1.9. </w:t>
                </w:r>
                <w:r>
                  <w:rPr>
                    <w:color w:val="000000"/>
                    <w:szCs w:val="24"/>
                    <w:shd w:val="clear" w:color="auto" w:fill="FFFFFF"/>
                    <w:lang w:val="en-GB" w:eastAsia="ar-SA"/>
                  </w:rPr>
                  <w:t xml:space="preserve">Pakeičiu 56 punktą </w:t>
                </w:r>
                <w:r>
                  <w:rPr>
                    <w:kern w:val="1"/>
                    <w:szCs w:val="24"/>
                    <w:lang w:val="en-GB" w:eastAsia="hi-IN" w:bidi="hi-IN"/>
                  </w:rPr>
                  <w:t>ir jį išdėstau taip:</w:t>
                </w:r>
              </w:p>
              <w:p w14:paraId="37B68B9B" w14:textId="77777777">
                <w:pPr>
                  <w:suppressAutoHyphens/>
                  <w:jc w:val="both"/>
                  <w:rPr>
                    <w:kern w:val="1"/>
                    <w:szCs w:val="24"/>
                    <w:lang w:val="en-GB" w:eastAsia="hi-IN" w:bidi="hi-IN"/>
                  </w:rPr>
                </w:pPr>
                <w:r>
                  <w:rPr>
                    <w:kern w:val="1"/>
                    <w:szCs w:val="24"/>
                    <w:lang w:val="en-GB" w:eastAsia="hi-IN" w:bidi="hi-IN"/>
                  </w:rPr>
                  <w:t>„</w:t>
                </w:r>
                <w:r>
                  <w:rPr>
                    <w:szCs w:val="24"/>
                    <w:lang w:val="en-GB" w:eastAsia="lt-LT"/>
                  </w:rPr>
                  <w:t>56. PAV dokumentų rengėjas poveikį aplinkai patiriančios valstybės pasiūlymų įvertinimą ir prireikus pataisytą ataskaitą pateikia Agentūrai. Agentūra, atsižvelgusi į tarpvalstybinių konsultacijų rezultatus, sprendimą dėl planuojamos ūkinės veiklos poveikio aplinkai priima pasibaigus tarpvalstybinio PAV procedūroms, ne vėliau kaip per 10 darbo dienų nuo poveikį aplinkai patiriančios valstybės pasiūlymų įvertinimo ir prireikus pataisytos ataskaitos pateikimo, kai pasibaigę šio sprendimo priėmimo terminai, nurodyti Planuojamos ūkinės veiklos poveikio aplinkai vertinimo įstatymo 11 straipsnio 2–3 dalyse.</w:t>
                </w:r>
                <w:r>
                  <w:rPr>
                    <w:szCs w:val="24"/>
                    <w:lang w:val="en-GB" w:eastAsia="en-GB"/>
                  </w:rPr>
                  <w:t xml:space="preserve"> </w:t>
                </w:r>
                <w:r>
                  <w:rPr>
                    <w:b/>
                    <w:szCs w:val="24"/>
                    <w:lang w:val="en-GB" w:eastAsia="en-GB"/>
                  </w:rPr>
                  <w:t>Sprendime turi būti nurodomos</w:t>
                </w:r>
                <w:r>
                  <w:rPr>
                    <w:b/>
                    <w:szCs w:val="24"/>
                    <w:lang w:val="en-GB" w:eastAsia="lt-LT"/>
                  </w:rPr>
                  <w:t xml:space="preserve"> priežastys ir motyvai, kuriais pagrįstas šis sprendimas ir kaip buvo atsižvelgta į tarpvalstybinių konsultacijų rezultatus dėl planuojamos ūkinės veiklos.</w:t>
                </w:r>
                <w:r>
                  <w:rPr>
                    <w:kern w:val="1"/>
                    <w:szCs w:val="24"/>
                    <w:lang w:val="en-GB" w:eastAsia="hi-IN" w:bidi="hi-IN"/>
                  </w:rPr>
                  <w:t>“</w:t>
                </w:r>
              </w:p>
              <w:p w14:paraId="71168B81" w14:textId="77777777">
                <w:pPr>
                  <w:widowControl w:val="0"/>
                  <w:suppressAutoHyphens/>
                  <w:jc w:val="both"/>
                  <w:rPr>
                    <w:kern w:val="1"/>
                    <w:szCs w:val="24"/>
                    <w:lang w:val="en-GB" w:eastAsia="hi-IN" w:bidi="hi-IN"/>
                  </w:rPr>
                </w:pPr>
                <w:r>
                  <w:rPr>
                    <w:color w:val="000000"/>
                    <w:kern w:val="1"/>
                    <w:szCs w:val="24"/>
                    <w:lang w:val="en-GB" w:eastAsia="hi-IN" w:bidi="hi-IN"/>
                  </w:rPr>
                  <w:t>1.10. P</w:t>
                </w:r>
                <w:r>
                  <w:rPr>
                    <w:color w:val="000000"/>
                    <w:szCs w:val="24"/>
                    <w:shd w:val="clear" w:color="auto" w:fill="FFFFFF"/>
                    <w:lang w:val="en-GB" w:eastAsia="ar-SA"/>
                  </w:rPr>
                  <w:t xml:space="preserve">akeičiu 64 punktą </w:t>
                </w:r>
                <w:r>
                  <w:rPr>
                    <w:kern w:val="1"/>
                    <w:szCs w:val="24"/>
                    <w:lang w:val="en-GB" w:eastAsia="hi-IN" w:bidi="hi-IN"/>
                  </w:rPr>
                  <w:t>ir jį išdėstau taip:</w:t>
                </w:r>
              </w:p>
              <w:p w14:paraId="08F2B7AC" w14:textId="77777777">
                <w:pPr>
                  <w:suppressAutoHyphens/>
                  <w:jc w:val="both"/>
                  <w:rPr>
                    <w:szCs w:val="24"/>
                    <w:lang w:val="en-GB" w:eastAsia="lt-LT"/>
                  </w:rPr>
                </w:pPr>
                <w:r>
                  <w:rPr>
                    <w:bCs/>
                    <w:szCs w:val="24"/>
                    <w:lang w:val="en-GB" w:eastAsia="lt-LT"/>
                  </w:rPr>
                  <w:t>„64. Suinteresuota v</w:t>
                </w:r>
                <w:r>
                  <w:rPr>
                    <w:szCs w:val="24"/>
                    <w:lang w:val="en-GB" w:eastAsia="lt-LT"/>
                  </w:rPr>
                  <w:t xml:space="preserve">isuomenė planuojamos ūkinės veiklos PAV proceso metu turi teisę </w:t>
                </w:r>
                <w:r>
                  <w:rPr>
                    <w:b/>
                    <w:szCs w:val="24"/>
                    <w:lang w:val="en-GB" w:eastAsia="lt-LT"/>
                  </w:rPr>
                  <w:t>Agentūrai</w:t>
                </w:r>
                <w:r>
                  <w:rPr>
                    <w:szCs w:val="24"/>
                    <w:lang w:val="en-GB" w:eastAsia="lt-LT"/>
                  </w:rPr>
                  <w:t>, PAV dokumentų rengėjui</w:t>
                </w:r>
                <w:r>
                  <w:rPr>
                    <w:strike/>
                    <w:szCs w:val="24"/>
                    <w:lang w:val="en-GB" w:eastAsia="lt-LT"/>
                  </w:rPr>
                  <w:t>,</w:t>
                </w:r>
                <w:r>
                  <w:rPr>
                    <w:szCs w:val="24"/>
                    <w:lang w:val="en-GB" w:eastAsia="lt-LT"/>
                  </w:rPr>
                  <w:t xml:space="preserve"> </w:t>
                </w:r>
                <w:r>
                  <w:rPr>
                    <w:b/>
                    <w:szCs w:val="24"/>
                    <w:lang w:val="en-GB" w:eastAsia="lt-LT"/>
                  </w:rPr>
                  <w:t>ir</w:t>
                </w:r>
                <w:r>
                  <w:rPr>
                    <w:szCs w:val="24"/>
                    <w:lang w:val="en-GB" w:eastAsia="lt-LT"/>
                  </w:rPr>
                  <w:t xml:space="preserve"> PAV subjektams </w:t>
                </w:r>
                <w:r>
                  <w:rPr>
                    <w:strike/>
                    <w:szCs w:val="24"/>
                    <w:lang w:val="en-GB" w:eastAsia="lt-LT"/>
                  </w:rPr>
                  <w:t>ir Agentūrai</w:t>
                </w:r>
                <w:r>
                  <w:rPr>
                    <w:szCs w:val="24"/>
                    <w:lang w:val="en-GB" w:eastAsia="lt-LT"/>
                  </w:rPr>
                  <w:t xml:space="preserve"> pagal šiame skyriuje nustatytą tvarką pateikti bet kokius pasiūlymus, komentarus, informaciją, analizę, nuomonę dėl planuojamos ūkinės veiklos ir jos PAV (toliau – pasiūlymai).“</w:t>
                </w:r>
              </w:p>
              <w:p w14:paraId="627CF2DC" w14:textId="77777777">
                <w:pPr>
                  <w:widowControl w:val="0"/>
                  <w:suppressAutoHyphens/>
                  <w:jc w:val="both"/>
                  <w:rPr>
                    <w:kern w:val="1"/>
                    <w:szCs w:val="24"/>
                    <w:lang w:val="en-GB" w:eastAsia="hi-IN" w:bidi="hi-IN"/>
                  </w:rPr>
                </w:pPr>
                <w:r>
                  <w:rPr>
                    <w:color w:val="000000"/>
                    <w:kern w:val="1"/>
                    <w:szCs w:val="24"/>
                    <w:lang w:val="en-GB" w:eastAsia="hi-IN" w:bidi="hi-IN"/>
                  </w:rPr>
                  <w:t>1.11. P</w:t>
                </w:r>
                <w:r>
                  <w:rPr>
                    <w:color w:val="000000"/>
                    <w:szCs w:val="24"/>
                    <w:shd w:val="clear" w:color="auto" w:fill="FFFFFF"/>
                    <w:lang w:val="en-GB" w:eastAsia="ar-SA"/>
                  </w:rPr>
                  <w:t xml:space="preserve">akeičiu </w:t>
                </w:r>
                <w:r>
                  <w:rPr>
                    <w:szCs w:val="24"/>
                    <w:lang w:val="en-GB" w:eastAsia="en-GB"/>
                  </w:rPr>
                  <w:t>73</w:t>
                </w:r>
                <w:r>
                  <w:rPr>
                    <w:szCs w:val="24"/>
                    <w:vertAlign w:val="superscript"/>
                    <w:lang w:val="en-GB" w:eastAsia="en-GB"/>
                  </w:rPr>
                  <w:t>1</w:t>
                </w:r>
                <w:r>
                  <w:rPr>
                    <w:color w:val="000000"/>
                    <w:szCs w:val="24"/>
                    <w:shd w:val="clear" w:color="auto" w:fill="FFFFFF"/>
                    <w:lang w:val="en-GB" w:eastAsia="ar-SA"/>
                  </w:rPr>
                  <w:t xml:space="preserve"> punktą </w:t>
                </w:r>
                <w:r>
                  <w:rPr>
                    <w:kern w:val="1"/>
                    <w:szCs w:val="24"/>
                    <w:lang w:val="en-GB" w:eastAsia="hi-IN" w:bidi="hi-IN"/>
                  </w:rPr>
                  <w:t>ir jį išdėstau taip:</w:t>
                </w:r>
              </w:p>
              <w:p w14:paraId="6E7DD6A8"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szCs w:val="24"/>
                    <w:lang w:val="en-GB" w:eastAsia="en-GB"/>
                  </w:rPr>
                </w:pPr>
                <w:r>
                  <w:rPr>
                    <w:szCs w:val="24"/>
                    <w:lang w:val="en-GB" w:eastAsia="en-GB"/>
                  </w:rPr>
                  <w:t>„73</w:t>
                </w:r>
                <w:r>
                  <w:rPr>
                    <w:szCs w:val="24"/>
                    <w:vertAlign w:val="superscript"/>
                    <w:lang w:val="en-GB" w:eastAsia="en-GB"/>
                  </w:rPr>
                  <w:t>1</w:t>
                </w:r>
                <w:r>
                  <w:rPr>
                    <w:szCs w:val="24"/>
                    <w:lang w:val="en-GB" w:eastAsia="en-GB"/>
                  </w:rPr>
                  <w:t xml:space="preserve">. Jei programa nerengiama, planuojamos ūkinės veiklos organizatorius (užsakovas) arba PAV dokumentų rengėjas, parengęs pranešimą apie PAV pradžią, </w:t>
                </w:r>
                <w:r>
                  <w:rPr>
                    <w:szCs w:val="24"/>
                    <w:lang w:val="en-GB" w:eastAsia="lt-LT"/>
                  </w:rPr>
                  <w:t xml:space="preserve">paskelbia jį visuomenės informavimo priemonėmis, nurodytomis Tvarkos aprašo </w:t>
                </w:r>
                <w:r>
                  <w:rPr>
                    <w:strike/>
                    <w:szCs w:val="24"/>
                    <w:lang w:val="en-GB" w:eastAsia="lt-LT"/>
                  </w:rPr>
                  <w:t>67.2–67.4 papunkčiuose</w:t>
                </w:r>
                <w:r>
                  <w:rPr>
                    <w:szCs w:val="24"/>
                    <w:lang w:val="en-GB" w:eastAsia="lt-LT"/>
                  </w:rPr>
                  <w:t xml:space="preserve"> </w:t>
                </w:r>
                <w:r>
                  <w:rPr>
                    <w:b/>
                    <w:szCs w:val="24"/>
                    <w:lang w:val="en-GB" w:eastAsia="lt-LT"/>
                  </w:rPr>
                  <w:t>67 punkte</w:t>
                </w:r>
                <w:r>
                  <w:rPr>
                    <w:szCs w:val="24"/>
                    <w:lang w:val="en-GB" w:eastAsia="lt-LT"/>
                  </w:rPr>
                  <w:t xml:space="preserve">. </w:t>
                </w:r>
                <w:r>
                  <w:rPr>
                    <w:szCs w:val="24"/>
                    <w:lang w:val="en-GB" w:eastAsia="en-GB"/>
                  </w:rPr>
                  <w:t xml:space="preserve">Suinteresuotoji visuomenė turi teisę pateikti pasiūlymus planuojamos ūkinės veiklos organizatoriui (užsakovui) arba poveikio aplinkai vertinimo dokumentų rengėjui ir Agentūrai per 10 darbo dienų nuo </w:t>
                </w:r>
                <w:r>
                  <w:rPr>
                    <w:szCs w:val="24"/>
                    <w:lang w:val="en-GB" w:eastAsia="lt-LT"/>
                  </w:rPr>
                  <w:t>dienos</w:t>
                </w:r>
                <w:r>
                  <w:rPr>
                    <w:szCs w:val="24"/>
                    <w:lang w:val="en-GB" w:eastAsia="en-GB"/>
                  </w:rPr>
                  <w:t>, kai gautą pranešimą apie PAV pradžią paskelbia Agentūra.“</w:t>
                </w:r>
              </w:p>
              <w:p w14:paraId="6CA0EB15" w14:textId="77777777">
                <w:pPr>
                  <w:widowControl w:val="0"/>
                  <w:suppressAutoHyphens/>
                  <w:ind w:firstLine="709"/>
                  <w:jc w:val="both"/>
                  <w:rPr>
                    <w:kern w:val="1"/>
                    <w:szCs w:val="24"/>
                    <w:lang w:val="en-GB" w:eastAsia="hi-IN" w:bidi="hi-IN"/>
                  </w:rPr>
                </w:pPr>
                <w:r>
                  <w:rPr>
                    <w:color w:val="000000"/>
                    <w:kern w:val="1"/>
                    <w:szCs w:val="24"/>
                    <w:lang w:val="en-GB" w:eastAsia="hi-IN" w:bidi="hi-IN"/>
                  </w:rPr>
                  <w:t>1.12. P</w:t>
                </w:r>
                <w:r>
                  <w:rPr>
                    <w:color w:val="000000"/>
                    <w:szCs w:val="24"/>
                    <w:shd w:val="clear" w:color="auto" w:fill="FFFFFF"/>
                    <w:lang w:val="en-GB" w:eastAsia="ar-SA"/>
                  </w:rPr>
                  <w:t xml:space="preserve">akeičiu </w:t>
                </w:r>
                <w:r>
                  <w:rPr>
                    <w:rFonts w:eastAsia="Andale Sans UI" w:cs="Tahoma"/>
                    <w:color w:val="000000"/>
                    <w:szCs w:val="24"/>
                    <w:lang w:val="en-GB" w:eastAsia="en-GB" w:bidi="en-US"/>
                  </w:rPr>
                  <w:t>74</w:t>
                </w:r>
                <w:r>
                  <w:rPr>
                    <w:rFonts w:eastAsia="Andale Sans UI" w:cs="Tahoma"/>
                    <w:color w:val="000000"/>
                    <w:szCs w:val="24"/>
                    <w:vertAlign w:val="superscript"/>
                    <w:lang w:val="en-GB" w:eastAsia="en-GB" w:bidi="en-US"/>
                  </w:rPr>
                  <w:t>1</w:t>
                </w:r>
                <w:r>
                  <w:rPr>
                    <w:color w:val="000000"/>
                    <w:szCs w:val="24"/>
                    <w:shd w:val="clear" w:color="auto" w:fill="FFFFFF"/>
                    <w:lang w:val="en-GB" w:eastAsia="ar-SA"/>
                  </w:rPr>
                  <w:t xml:space="preserve">punkto antrąją pastraipą </w:t>
                </w:r>
                <w:r>
                  <w:rPr>
                    <w:kern w:val="1"/>
                    <w:szCs w:val="24"/>
                    <w:lang w:val="en-GB" w:eastAsia="hi-IN" w:bidi="hi-IN"/>
                  </w:rPr>
                  <w:t>ir ją išdėstau taip:</w:t>
                </w:r>
              </w:p>
              <w:p w14:paraId="73324B80" w14:textId="77777777">
                <w:pPr>
                  <w:jc w:val="both"/>
                  <w:rPr>
                    <w:szCs w:val="24"/>
                    <w:lang w:val="en-GB" w:eastAsia="lt-LT"/>
                  </w:rPr>
                </w:pPr>
                <w:r>
                  <w:rPr>
                    <w:szCs w:val="24"/>
                    <w:lang w:val="en-GB" w:eastAsia="lt-LT"/>
                  </w:rPr>
                  <w:t>„</w:t>
                </w:r>
                <w:r>
                  <w:rPr>
                    <w:bCs/>
                    <w:color w:val="000000"/>
                    <w:szCs w:val="24"/>
                    <w:shd w:val="clear" w:color="auto" w:fill="FFFFFF"/>
                    <w:lang w:val="en-GB" w:eastAsia="ar-SA"/>
                  </w:rPr>
                  <w:t xml:space="preserve">Ekstremalios situacijos metu </w:t>
                </w:r>
                <w:r>
                  <w:rPr>
                    <w:rFonts w:eastAsia="Andale Sans UI"/>
                    <w:b/>
                    <w:szCs w:val="24"/>
                    <w:lang w:val="en-GB" w:eastAsia="en-GB" w:bidi="en-US"/>
                  </w:rPr>
                  <w:t xml:space="preserve">apribojus ar </w:t>
                </w:r>
                <w:r>
                  <w:rPr>
                    <w:bCs/>
                    <w:color w:val="000000"/>
                    <w:szCs w:val="24"/>
                    <w:shd w:val="clear" w:color="auto" w:fill="FFFFFF"/>
                    <w:lang w:val="en-GB" w:eastAsia="ar-SA"/>
                  </w:rPr>
                  <w:t>uždraudus</w:t>
                </w:r>
                <w:r>
                  <w:rPr>
                    <w:bCs/>
                    <w:strike/>
                    <w:color w:val="000000"/>
                    <w:szCs w:val="24"/>
                    <w:shd w:val="clear" w:color="auto" w:fill="FFFFFF"/>
                    <w:lang w:val="en-GB" w:eastAsia="ar-SA"/>
                  </w:rPr>
                  <w:t xml:space="preserve"> renginius uždarose patalpose</w:t>
                </w:r>
                <w:r>
                  <w:rPr>
                    <w:rFonts w:eastAsia="Andale Sans UI"/>
                    <w:szCs w:val="24"/>
                    <w:lang w:val="en-GB" w:eastAsia="en-GB" w:bidi="en-US"/>
                  </w:rPr>
                  <w:t xml:space="preserve"> </w:t>
                </w:r>
                <w:r>
                  <w:rPr>
                    <w:rFonts w:eastAsia="Andale Sans UI"/>
                    <w:b/>
                    <w:szCs w:val="24"/>
                    <w:lang w:val="en-GB" w:eastAsia="en-GB" w:bidi="en-US"/>
                  </w:rPr>
                  <w:t>asmenų patekimą į</w:t>
                </w:r>
                <w:r>
                  <w:rPr>
                    <w:rFonts w:eastAsia="Andale Sans UI" w:cs="Tahoma"/>
                    <w:b/>
                    <w:szCs w:val="24"/>
                    <w:lang w:val="en-GB" w:eastAsia="en-GB" w:bidi="en-US"/>
                  </w:rPr>
                  <w:t xml:space="preserve"> uždaras patalpas</w:t>
                </w:r>
                <w:r>
                  <w:rPr>
                    <w:bCs/>
                    <w:color w:val="000000"/>
                    <w:szCs w:val="24"/>
                    <w:shd w:val="clear" w:color="auto" w:fill="FFFFFF"/>
                    <w:lang w:val="en-GB" w:eastAsia="ar-SA"/>
                  </w:rPr>
                  <w:t xml:space="preserve">, Tvarkos aprašo 74 punkte nurodytas </w:t>
                </w:r>
                <w:r>
                  <w:rPr>
                    <w:rFonts w:eastAsia="Andale Sans UI"/>
                    <w:szCs w:val="24"/>
                    <w:lang w:val="en-GB" w:eastAsia="en-GB" w:bidi="en-US"/>
                  </w:rPr>
                  <w:t xml:space="preserve">viešas visuomenės supažindinimas su ataskaita atidedamas iki </w:t>
                </w:r>
                <w:r>
                  <w:rPr>
                    <w:rFonts w:eastAsia="Andale Sans UI"/>
                    <w:b/>
                    <w:szCs w:val="24"/>
                    <w:lang w:val="en-GB" w:eastAsia="en-GB" w:bidi="en-US"/>
                  </w:rPr>
                  <w:t>apribojimo ar</w:t>
                </w:r>
                <w:r>
                  <w:rPr>
                    <w:rFonts w:eastAsia="Andale Sans UI"/>
                    <w:szCs w:val="24"/>
                    <w:lang w:val="en-GB" w:eastAsia="en-GB" w:bidi="en-US"/>
                  </w:rPr>
                  <w:t xml:space="preserve"> draudimo galiojimo pabaigos arba, jei negalima atidėti, organizuojamas internetinės vaizdo transliacijos būdu, užtikrinant tiesioginę vaizdo, garso transliaciją ir jos įrašą, jį išsaugant ir sudarant atsakingajai institucijai galimybę gauti prie jo prieigą ir peržiūrėti. </w:t>
                </w:r>
                <w:r>
                  <w:rPr>
                    <w:rFonts w:eastAsia="Andale Sans UI"/>
                    <w:b/>
                    <w:szCs w:val="24"/>
                    <w:lang w:val="en-GB" w:eastAsia="en-GB" w:bidi="en-US"/>
                  </w:rPr>
                  <w:t>Viešo visuomenės supažindinimo su ataskaita procedūros, pradėtos tuo metu, kai buvo apribotas ar uždraustas asmenų patekimas į</w:t>
                </w:r>
                <w:r>
                  <w:rPr>
                    <w:rFonts w:eastAsia="Andale Sans UI"/>
                    <w:szCs w:val="24"/>
                    <w:lang w:val="en-GB" w:eastAsia="en-GB" w:bidi="en-US"/>
                  </w:rPr>
                  <w:t xml:space="preserve"> </w:t>
                </w:r>
                <w:r>
                  <w:rPr>
                    <w:rFonts w:eastAsia="Andale Sans UI" w:cs="Tahoma"/>
                    <w:b/>
                    <w:szCs w:val="24"/>
                    <w:lang w:val="en-GB" w:eastAsia="en-GB" w:bidi="en-US"/>
                  </w:rPr>
                  <w:t>uždaras patalpas,</w:t>
                </w:r>
                <w:r>
                  <w:rPr>
                    <w:rFonts w:eastAsia="Andale Sans UI" w:cs="Tahoma"/>
                    <w:szCs w:val="24"/>
                    <w:lang w:val="en-GB" w:eastAsia="en-GB" w:bidi="en-US"/>
                  </w:rPr>
                  <w:t xml:space="preserve"> </w:t>
                </w:r>
                <w:r>
                  <w:rPr>
                    <w:rFonts w:eastAsia="Andale Sans UI"/>
                    <w:b/>
                    <w:szCs w:val="24"/>
                    <w:lang w:val="en-GB" w:eastAsia="en-GB" w:bidi="en-US"/>
                  </w:rPr>
                  <w:t>baigiamos naudojant tą patį nuotolinio viešinimo būdą.</w:t>
                </w:r>
                <w:r>
                  <w:rPr>
                    <w:rFonts w:eastAsia="Andale Sans UI"/>
                    <w:szCs w:val="24"/>
                    <w:lang w:val="en-GB" w:eastAsia="en-GB" w:bidi="en-US"/>
                  </w:rPr>
                  <w:t xml:space="preserve"> Kai viešą visuomenės supažindinimą su ataskaita numatoma atlikti tiesioginės internetinės vaizdo transliacijos būdu, </w:t>
                </w:r>
                <w:r>
                  <w:rPr>
                    <w:rFonts w:eastAsia="Andale Sans UI"/>
                    <w:b/>
                    <w:szCs w:val="24"/>
                    <w:lang w:val="en-GB" w:eastAsia="en-GB" w:bidi="en-US"/>
                  </w:rPr>
                  <w:t>Tvarkos aprašo</w:t>
                </w:r>
                <w:r>
                  <w:rPr>
                    <w:rFonts w:eastAsia="Andale Sans UI"/>
                    <w:szCs w:val="24"/>
                    <w:lang w:val="en-GB" w:eastAsia="en-GB" w:bidi="en-US"/>
                  </w:rPr>
                  <w:t xml:space="preserve"> 77 punkte nurodytoje visuomenei skelbiamoje informacijoje apie viešą visuomenės supažindinimą skelbiami tiesioginės internetinės vaizdo transliacijos laikas ir transliacijos </w:t>
                </w:r>
                <w:r>
                  <w:rPr>
                    <w:rFonts w:eastAsia="Andale Sans UI"/>
                    <w:b/>
                    <w:szCs w:val="24"/>
                    <w:lang w:val="en-GB" w:eastAsia="en-GB" w:bidi="en-US"/>
                  </w:rPr>
                  <w:t>tiesioginė</w:t>
                </w:r>
                <w:r>
                  <w:rPr>
                    <w:rFonts w:eastAsia="Andale Sans UI"/>
                    <w:szCs w:val="24"/>
                    <w:lang w:val="en-GB" w:eastAsia="en-GB" w:bidi="en-US"/>
                  </w:rPr>
                  <w:t xml:space="preserve"> nuoroda. Jei tiesioginės internetinės vaizdo transliacijos metu kyla techninių trikdžių, kurių negalima pašalinti per protingą laiką, organizuojamas pakartotinis viešas visuomenės supažindinimas, apie kurį visuomenė informuojama ne vėliau kaip prieš 5 </w:t>
                </w:r>
                <w:r>
                  <w:rPr>
                    <w:rFonts w:eastAsia="Andale Sans UI"/>
                    <w:strike/>
                    <w:szCs w:val="24"/>
                    <w:lang w:val="en-GB" w:eastAsia="en-GB" w:bidi="en-US"/>
                  </w:rPr>
                  <w:t xml:space="preserve">d. d </w:t>
                </w:r>
                <w:r>
                  <w:rPr>
                    <w:rFonts w:eastAsia="Andale Sans UI"/>
                    <w:b/>
                    <w:szCs w:val="24"/>
                    <w:lang w:val="en-GB" w:eastAsia="en-GB" w:bidi="en-US"/>
                  </w:rPr>
                  <w:t>darbo dienas</w:t>
                </w:r>
                <w:r>
                  <w:rPr>
                    <w:rFonts w:eastAsia="Andale Sans UI"/>
                    <w:szCs w:val="24"/>
                    <w:lang w:val="en-GB" w:eastAsia="en-GB" w:bidi="en-US"/>
                  </w:rPr>
                  <w:t xml:space="preserve">. Informacija apie pakartotinį, dėl techninių trikdžių neįvykusį viešą supažindinimą skelbiama vadovaujantis Tvarkos aprašo 77 punkto nuostatomis, nurodant pakartotinės tiesioginės internetinės vaizdo transliacijos laiką ir transliacijos </w:t>
                </w:r>
                <w:r>
                  <w:rPr>
                    <w:rFonts w:eastAsia="Andale Sans UI"/>
                    <w:b/>
                    <w:szCs w:val="24"/>
                    <w:lang w:val="en-GB" w:eastAsia="en-GB" w:bidi="en-US"/>
                  </w:rPr>
                  <w:t>tiesioginę</w:t>
                </w:r>
                <w:r>
                  <w:rPr>
                    <w:rFonts w:eastAsia="Andale Sans UI"/>
                    <w:szCs w:val="24"/>
                    <w:lang w:val="en-GB" w:eastAsia="en-GB" w:bidi="en-US"/>
                  </w:rPr>
                  <w:t xml:space="preserve"> nuorodą.</w:t>
                </w:r>
                <w:r>
                  <w:rPr>
                    <w:szCs w:val="24"/>
                    <w:lang w:val="en-GB" w:eastAsia="lt-LT"/>
                  </w:rPr>
                  <w:t>“</w:t>
                </w:r>
              </w:p>
              <w:p w14:paraId="03E7B7F7" w14:textId="77777777">
                <w:pPr>
                  <w:jc w:val="both"/>
                  <w:rPr>
                    <w:szCs w:val="24"/>
                    <w:lang w:val="en-GB" w:eastAsia="lt-LT"/>
                  </w:rPr>
                </w:pPr>
                <w:r>
                  <w:rPr>
                    <w:szCs w:val="24"/>
                    <w:lang w:val="en-GB" w:eastAsia="lt-LT"/>
                  </w:rPr>
                  <w:t>&lt;…&gt;</w:t>
                </w:r>
              </w:p>
              <w:p w14:paraId="1788C6D9" w14:textId="77777777">
                <w:pPr>
                  <w:widowControl w:val="0"/>
                  <w:suppressAutoHyphens/>
                  <w:jc w:val="both"/>
                  <w:rPr>
                    <w:color w:val="000000"/>
                    <w:szCs w:val="24"/>
                    <w:shd w:val="clear" w:color="auto" w:fill="FFFFFF"/>
                    <w:lang w:val="en-GB" w:eastAsia="ar-SA"/>
                  </w:rPr>
                </w:pPr>
                <w:r>
                  <w:rPr>
                    <w:color w:val="000000"/>
                    <w:szCs w:val="24"/>
                    <w:shd w:val="clear" w:color="auto" w:fill="FFFFFF"/>
                    <w:lang w:val="en-GB" w:eastAsia="ar-SA"/>
                  </w:rPr>
                  <w:t xml:space="preserve">1.19. Pakeičiu 8 priedo 7 punktą </w:t>
                </w:r>
                <w:r>
                  <w:rPr>
                    <w:kern w:val="1"/>
                    <w:szCs w:val="24"/>
                    <w:lang w:val="en-GB" w:eastAsia="hi-IN" w:bidi="hi-IN"/>
                  </w:rPr>
                  <w:t>ir jį išdėstau taip:</w:t>
                </w:r>
              </w:p>
              <w:p w14:paraId="61671F59" w14:textId="2AAFD72B">
                <w:pPr>
                  <w:jc w:val="both"/>
                  <w:rPr>
                    <w:szCs w:val="24"/>
                    <w:lang w:val="en-GB" w:eastAsia="en-GB"/>
                  </w:rPr>
                </w:pPr>
                <w:r>
                  <w:rPr>
                    <w:szCs w:val="24"/>
                    <w:lang w:val="en-GB" w:eastAsia="en-GB"/>
                  </w:rPr>
                  <w:t xml:space="preserve">„7. Planuojamos ūkinės veiklos vietos (alternatyvių vietų) ypatumai: </w:t>
                </w:r>
                <w:r>
                  <w:rPr>
                    <w:b/>
                    <w:szCs w:val="24"/>
                    <w:lang w:val="en-GB" w:eastAsia="en-GB"/>
                  </w:rPr>
                  <w:t>apytikslio centro, linijinės infrastruktūros objekto atveju – pradžios ir pabaigos koordinatės (LKS’94 koordinačių sistemoje),</w:t>
                </w:r>
                <w:r>
                  <w:rPr>
                    <w:szCs w:val="24"/>
                    <w:lang w:val="en-GB" w:eastAsia="en-GB"/>
                  </w:rPr>
                  <w:t xml:space="preserve"> atstumai iki gyvenamųjų ir kultūros paveldo vietovių, saugomų teritorijų ir kaimyninių valstybių, alternatyvių vietų pasirinkimo priežastys.“;</w:t>
                </w:r>
              </w:p>
              <w:p w14:paraId="4152D080" w14:textId="6727FB7C">
                <w:pPr>
                  <w:jc w:val="both"/>
                  <w:rPr>
                    <w:szCs w:val="24"/>
                    <w:lang w:val="en-GB" w:eastAsia="lt-LT"/>
                  </w:rPr>
                </w:pPr>
              </w:p>
            </w:tc>
            <w:tc>
              <w:tcPr>
                <w:tcW w:w="2126" w:type="dxa"/>
              </w:tcPr>
              <w:p w14:paraId="21158ED3" w14:textId="77777777">
                <w:pPr>
                  <w:jc w:val="center"/>
                  <w:rPr>
                    <w:b/>
                    <w:szCs w:val="24"/>
                  </w:rPr>
                </w:pPr>
                <w:r>
                  <w:rPr>
                    <w:color w:val="000000"/>
                    <w:szCs w:val="24"/>
                    <w:lang w:val="en-US"/>
                  </w:rPr>
                  <w:t>Visiškas</w:t>
                </w:r>
              </w:p>
            </w:tc>
          </w:tr>
          <w:tr w14:paraId="042FF180" w14:textId="77777777">
            <w:trPr>
              <w:trHeight w:val="274"/>
            </w:trPr>
            <w:tc>
              <w:tcPr>
                <w:tcW w:w="3970" w:type="dxa"/>
              </w:tcPr>
              <w:p w14:paraId="683BDC11" w14:textId="77777777">
                <w:pPr>
                  <w:suppressLineNumbers/>
                  <w:suppressAutoHyphens/>
                  <w:snapToGrid w:val="0"/>
                  <w:jc w:val="both"/>
                  <w:rPr>
                    <w:b/>
                    <w:bCs/>
                    <w:szCs w:val="24"/>
                    <w:lang w:eastAsia="ar-SA"/>
                  </w:rPr>
                </w:pPr>
                <w:r>
                  <w:rPr>
                    <w:i/>
                    <w:iCs/>
                    <w:color w:val="000000"/>
                    <w:szCs w:val="24"/>
                    <w:shd w:val="clear" w:color="auto" w:fill="FFFFFF"/>
                    <w:lang w:eastAsia="ar-SA"/>
                  </w:rPr>
                  <w:t>6 straipsnis</w:t>
                </w:r>
              </w:p>
              <w:p w14:paraId="5B76638C" w14:textId="77777777">
                <w:pPr>
                  <w:suppressLineNumbers/>
                  <w:suppressAutoHyphens/>
                  <w:snapToGrid w:val="0"/>
                  <w:jc w:val="both"/>
                  <w:rPr>
                    <w:b/>
                    <w:bCs/>
                    <w:szCs w:val="24"/>
                    <w:lang w:eastAsia="ar-SA"/>
                  </w:rPr>
                </w:pPr>
                <w:r>
                  <w:rPr>
                    <w:b/>
                    <w:bCs/>
                    <w:szCs w:val="24"/>
                    <w:lang w:eastAsia="ar-SA"/>
                  </w:rPr>
                  <w:t>M1</w:t>
                </w:r>
              </w:p>
              <w:p w14:paraId="67D5D6DC" w14:textId="77777777">
                <w:pPr>
                  <w:jc w:val="both"/>
                  <w:rPr>
                    <w:b/>
                    <w:szCs w:val="24"/>
                    <w:lang w:eastAsia="en-GB"/>
                  </w:rPr>
                </w:pPr>
                <w:r>
                  <w:rPr>
                    <w:szCs w:val="24"/>
                    <w:lang w:val="en-GB" w:eastAsia="en-GB"/>
                  </w:rPr>
                  <w:t>5. Išsamias visuomenės informavimo, pavyzdžiui, informavimą skelbimais tam tikru spinduliu ar skelbimais vietiniuose laikraščiuose, ir konsultavimosi su suinteresuota visuomene, pavyzdžiui, rašytiniais teikimais ar visuomenės apklausos būdu, priemones nustato valstybės narės. Valstybės narės imasi priemonių, būtinų užtikrinti, kad atitinkama informacija visuomenei būtų prieinama bent per centrinį portalą arba lengvai prieinamus prieigos taškus atitinkamu administraciniu lygmeniu.</w:t>
                </w:r>
              </w:p>
            </w:tc>
            <w:tc>
              <w:tcPr>
                <w:tcW w:w="8930" w:type="dxa"/>
              </w:tcPr>
              <w:p w14:paraId="219FB2A8" w14:textId="77777777">
                <w:pPr>
                  <w:widowControl w:val="0"/>
                  <w:suppressAutoHyphens/>
                  <w:jc w:val="both"/>
                  <w:rPr>
                    <w:kern w:val="1"/>
                    <w:szCs w:val="24"/>
                    <w:lang w:eastAsia="hi-IN" w:bidi="hi-IN"/>
                  </w:rPr>
                </w:pPr>
                <w:r>
                  <w:rPr>
                    <w:color w:val="000000"/>
                    <w:kern w:val="1"/>
                    <w:szCs w:val="24"/>
                    <w:lang w:eastAsia="hi-IN" w:bidi="hi-IN"/>
                  </w:rPr>
                  <w:t>1.11. P</w:t>
                </w:r>
                <w:r>
                  <w:rPr>
                    <w:color w:val="000000"/>
                    <w:szCs w:val="24"/>
                    <w:shd w:val="clear" w:color="auto" w:fill="FFFFFF"/>
                    <w:lang w:eastAsia="ar-SA"/>
                  </w:rPr>
                  <w:t xml:space="preserve">akeičiu </w:t>
                </w:r>
                <w:r>
                  <w:rPr>
                    <w:szCs w:val="24"/>
                    <w:lang w:eastAsia="en-GB"/>
                  </w:rPr>
                  <w:t>73</w:t>
                </w:r>
                <w:r>
                  <w:rPr>
                    <w:szCs w:val="24"/>
                    <w:vertAlign w:val="superscript"/>
                    <w:lang w:eastAsia="en-GB"/>
                  </w:rPr>
                  <w:t>1</w:t>
                </w:r>
                <w:r>
                  <w:rPr>
                    <w:color w:val="000000"/>
                    <w:szCs w:val="24"/>
                    <w:shd w:val="clear" w:color="auto" w:fill="FFFFFF"/>
                    <w:lang w:eastAsia="ar-SA"/>
                  </w:rPr>
                  <w:t xml:space="preserve"> punktą </w:t>
                </w:r>
                <w:r>
                  <w:rPr>
                    <w:kern w:val="1"/>
                    <w:szCs w:val="24"/>
                    <w:lang w:eastAsia="hi-IN" w:bidi="hi-IN"/>
                  </w:rPr>
                  <w:t>ir jį išdėstau taip:</w:t>
                </w:r>
              </w:p>
              <w:p w14:paraId="06959753"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szCs w:val="24"/>
                    <w:lang w:eastAsia="en-GB"/>
                  </w:rPr>
                </w:pPr>
                <w:r>
                  <w:rPr>
                    <w:szCs w:val="24"/>
                    <w:lang w:eastAsia="en-GB"/>
                  </w:rPr>
                  <w:t>„73</w:t>
                </w:r>
                <w:r>
                  <w:rPr>
                    <w:szCs w:val="24"/>
                    <w:vertAlign w:val="superscript"/>
                    <w:lang w:eastAsia="en-GB"/>
                  </w:rPr>
                  <w:t>1</w:t>
                </w:r>
                <w:r>
                  <w:rPr>
                    <w:szCs w:val="24"/>
                    <w:lang w:eastAsia="en-GB"/>
                  </w:rPr>
                  <w:t xml:space="preserve">. Jei programa nerengiama, planuojamos ūkinės veiklos organizatorius (užsakovas) arba PAV dokumentų rengėjas, parengęs pranešimą apie PAV pradžią, </w:t>
                </w:r>
                <w:r>
                  <w:rPr>
                    <w:szCs w:val="24"/>
                    <w:lang w:eastAsia="lt-LT"/>
                  </w:rPr>
                  <w:t xml:space="preserve">paskelbia jį visuomenės informavimo priemonėmis, nurodytomis Tvarkos aprašo </w:t>
                </w:r>
                <w:r>
                  <w:rPr>
                    <w:strike/>
                    <w:szCs w:val="24"/>
                    <w:lang w:eastAsia="lt-LT"/>
                  </w:rPr>
                  <w:t>67.2–67.4 papunkčiuose</w:t>
                </w:r>
                <w:r>
                  <w:rPr>
                    <w:szCs w:val="24"/>
                    <w:lang w:eastAsia="lt-LT"/>
                  </w:rPr>
                  <w:t xml:space="preserve"> </w:t>
                </w:r>
                <w:r>
                  <w:rPr>
                    <w:b/>
                    <w:szCs w:val="24"/>
                    <w:lang w:eastAsia="lt-LT"/>
                  </w:rPr>
                  <w:t>67 punkte</w:t>
                </w:r>
                <w:r>
                  <w:rPr>
                    <w:szCs w:val="24"/>
                    <w:lang w:eastAsia="lt-LT"/>
                  </w:rPr>
                  <w:t xml:space="preserve">. </w:t>
                </w:r>
                <w:r>
                  <w:rPr>
                    <w:szCs w:val="24"/>
                    <w:lang w:eastAsia="en-GB"/>
                  </w:rPr>
                  <w:t xml:space="preserve">Suinteresuotoji visuomenė turi teisę pateikti pasiūlymus planuojamos ūkinės veiklos organizatoriui (užsakovui) arba poveikio aplinkai vertinimo dokumentų rengėjui ir Agentūrai per 10 darbo dienų nuo </w:t>
                </w:r>
                <w:r>
                  <w:rPr>
                    <w:szCs w:val="24"/>
                    <w:lang w:eastAsia="lt-LT"/>
                  </w:rPr>
                  <w:t>dienos</w:t>
                </w:r>
                <w:r>
                  <w:rPr>
                    <w:szCs w:val="24"/>
                    <w:lang w:eastAsia="en-GB"/>
                  </w:rPr>
                  <w:t>, kai gautą pranešimą apie PAV pradžią paskelbia Agentūra.“</w:t>
                </w:r>
              </w:p>
              <w:p w14:paraId="33DAF8C9" w14:textId="77777777">
                <w:pPr>
                  <w:widowControl w:val="0"/>
                  <w:suppressAutoHyphens/>
                  <w:jc w:val="both"/>
                  <w:rPr>
                    <w:kern w:val="1"/>
                    <w:szCs w:val="24"/>
                    <w:lang w:eastAsia="hi-IN" w:bidi="hi-IN"/>
                  </w:rPr>
                </w:pPr>
                <w:r>
                  <w:rPr>
                    <w:color w:val="000000"/>
                    <w:kern w:val="1"/>
                    <w:szCs w:val="24"/>
                    <w:lang w:eastAsia="hi-IN" w:bidi="hi-IN"/>
                  </w:rPr>
                  <w:t>1.12. P</w:t>
                </w:r>
                <w:r>
                  <w:rPr>
                    <w:color w:val="000000"/>
                    <w:szCs w:val="24"/>
                    <w:shd w:val="clear" w:color="auto" w:fill="FFFFFF"/>
                    <w:lang w:eastAsia="ar-SA"/>
                  </w:rPr>
                  <w:t xml:space="preserve">akeičiu </w:t>
                </w:r>
                <w:r>
                  <w:rPr>
                    <w:rFonts w:eastAsia="Andale Sans UI" w:cs="Tahoma"/>
                    <w:color w:val="000000"/>
                    <w:szCs w:val="24"/>
                    <w:lang w:eastAsia="en-GB" w:bidi="en-US"/>
                  </w:rPr>
                  <w:t>74</w:t>
                </w:r>
                <w:r>
                  <w:rPr>
                    <w:rFonts w:eastAsia="Andale Sans UI" w:cs="Tahoma"/>
                    <w:color w:val="000000"/>
                    <w:szCs w:val="24"/>
                    <w:vertAlign w:val="superscript"/>
                    <w:lang w:eastAsia="en-GB" w:bidi="en-US"/>
                  </w:rPr>
                  <w:t>1</w:t>
                </w:r>
                <w:r>
                  <w:rPr>
                    <w:color w:val="000000"/>
                    <w:szCs w:val="24"/>
                    <w:shd w:val="clear" w:color="auto" w:fill="FFFFFF"/>
                    <w:lang w:eastAsia="ar-SA"/>
                  </w:rPr>
                  <w:t xml:space="preserve">punkto antrąją pastraipą </w:t>
                </w:r>
                <w:r>
                  <w:rPr>
                    <w:kern w:val="1"/>
                    <w:szCs w:val="24"/>
                    <w:lang w:eastAsia="hi-IN" w:bidi="hi-IN"/>
                  </w:rPr>
                  <w:t>ir ją išdėstau taip:</w:t>
                </w:r>
              </w:p>
              <w:p w14:paraId="7287023F" w14:textId="77777777">
                <w:pPr>
                  <w:widowControl w:val="0"/>
                  <w:suppressAutoHyphens/>
                  <w:jc w:val="both"/>
                  <w:rPr>
                    <w:rFonts w:eastAsia="Andale Sans UI"/>
                    <w:szCs w:val="24"/>
                    <w:lang w:eastAsia="en-GB" w:bidi="en-US"/>
                  </w:rPr>
                </w:pPr>
                <w:r>
                  <w:rPr>
                    <w:szCs w:val="24"/>
                    <w:lang w:eastAsia="lt-LT"/>
                  </w:rPr>
                  <w:t>„</w:t>
                </w:r>
                <w:r>
                  <w:rPr>
                    <w:bCs/>
                    <w:color w:val="000000"/>
                    <w:szCs w:val="24"/>
                    <w:shd w:val="clear" w:color="auto" w:fill="FFFFFF"/>
                    <w:lang w:eastAsia="ar-SA"/>
                  </w:rPr>
                  <w:t xml:space="preserve">Ekstremalios situacijos metu </w:t>
                </w:r>
                <w:r>
                  <w:rPr>
                    <w:rFonts w:eastAsia="Andale Sans UI"/>
                    <w:b/>
                    <w:szCs w:val="24"/>
                    <w:lang w:eastAsia="en-GB" w:bidi="en-US"/>
                  </w:rPr>
                  <w:t xml:space="preserve">apribojus ar </w:t>
                </w:r>
                <w:r>
                  <w:rPr>
                    <w:bCs/>
                    <w:color w:val="000000"/>
                    <w:szCs w:val="24"/>
                    <w:shd w:val="clear" w:color="auto" w:fill="FFFFFF"/>
                    <w:lang w:eastAsia="ar-SA"/>
                  </w:rPr>
                  <w:t>uždraudus</w:t>
                </w:r>
                <w:r>
                  <w:rPr>
                    <w:bCs/>
                    <w:strike/>
                    <w:color w:val="000000"/>
                    <w:szCs w:val="24"/>
                    <w:shd w:val="clear" w:color="auto" w:fill="FFFFFF"/>
                    <w:lang w:eastAsia="ar-SA"/>
                  </w:rPr>
                  <w:t xml:space="preserve"> renginius uždarose patalpose</w:t>
                </w:r>
                <w:r>
                  <w:rPr>
                    <w:rFonts w:eastAsia="Andale Sans UI"/>
                    <w:szCs w:val="24"/>
                    <w:lang w:eastAsia="en-GB" w:bidi="en-US"/>
                  </w:rPr>
                  <w:t xml:space="preserve"> </w:t>
                </w:r>
                <w:r>
                  <w:rPr>
                    <w:rFonts w:eastAsia="Andale Sans UI"/>
                    <w:b/>
                    <w:szCs w:val="24"/>
                    <w:lang w:eastAsia="en-GB" w:bidi="en-US"/>
                  </w:rPr>
                  <w:t>asmenų patekimą į</w:t>
                </w:r>
                <w:r>
                  <w:rPr>
                    <w:rFonts w:eastAsia="Andale Sans UI" w:cs="Tahoma"/>
                    <w:b/>
                    <w:szCs w:val="24"/>
                    <w:lang w:eastAsia="en-GB" w:bidi="en-US"/>
                  </w:rPr>
                  <w:t xml:space="preserve"> uždaras patalpas</w:t>
                </w:r>
                <w:r>
                  <w:rPr>
                    <w:bCs/>
                    <w:color w:val="000000"/>
                    <w:szCs w:val="24"/>
                    <w:shd w:val="clear" w:color="auto" w:fill="FFFFFF"/>
                    <w:lang w:eastAsia="ar-SA"/>
                  </w:rPr>
                  <w:t xml:space="preserve">, Tvarkos aprašo 74 punkte nurodytas </w:t>
                </w:r>
                <w:r>
                  <w:rPr>
                    <w:rFonts w:eastAsia="Andale Sans UI"/>
                    <w:szCs w:val="24"/>
                    <w:lang w:eastAsia="en-GB" w:bidi="en-US"/>
                  </w:rPr>
                  <w:t xml:space="preserve">viešas visuomenės supažindinimas su ataskaita atidedamas iki </w:t>
                </w:r>
                <w:r>
                  <w:rPr>
                    <w:rFonts w:eastAsia="Andale Sans UI"/>
                    <w:b/>
                    <w:szCs w:val="24"/>
                    <w:lang w:eastAsia="en-GB" w:bidi="en-US"/>
                  </w:rPr>
                  <w:t>apribojimo ar</w:t>
                </w:r>
                <w:r>
                  <w:rPr>
                    <w:rFonts w:eastAsia="Andale Sans UI"/>
                    <w:szCs w:val="24"/>
                    <w:lang w:eastAsia="en-GB" w:bidi="en-US"/>
                  </w:rPr>
                  <w:t xml:space="preserve"> draudimo galiojimo pabaigos arba, jei negalima atidėti, organizuojamas internetinės vaizdo transliacijos būdu, užtikrinant tiesioginę vaizdo, garso transliaciją ir jos įrašą, jį išsaugant ir sudarant atsakingajai institucijai galimybę gauti prie jo prieigą ir peržiūrėti. </w:t>
                </w:r>
                <w:r>
                  <w:rPr>
                    <w:rFonts w:eastAsia="Andale Sans UI"/>
                    <w:b/>
                    <w:szCs w:val="24"/>
                    <w:lang w:eastAsia="en-GB" w:bidi="en-US"/>
                  </w:rPr>
                  <w:t>Viešo visuomenės supažindinimo su ataskaita procedūros, pradėtos tuo metu, kai buvo apribotas ar uždraustas asmenų patekimas į</w:t>
                </w:r>
                <w:r>
                  <w:rPr>
                    <w:rFonts w:eastAsia="Andale Sans UI"/>
                    <w:szCs w:val="24"/>
                    <w:lang w:eastAsia="en-GB" w:bidi="en-US"/>
                  </w:rPr>
                  <w:t xml:space="preserve"> </w:t>
                </w:r>
                <w:r>
                  <w:rPr>
                    <w:rFonts w:eastAsia="Andale Sans UI" w:cs="Tahoma"/>
                    <w:b/>
                    <w:szCs w:val="24"/>
                    <w:lang w:eastAsia="en-GB" w:bidi="en-US"/>
                  </w:rPr>
                  <w:t>uždaras patalpas,</w:t>
                </w:r>
                <w:r>
                  <w:rPr>
                    <w:rFonts w:eastAsia="Andale Sans UI" w:cs="Tahoma"/>
                    <w:szCs w:val="24"/>
                    <w:lang w:eastAsia="en-GB" w:bidi="en-US"/>
                  </w:rPr>
                  <w:t xml:space="preserve"> </w:t>
                </w:r>
                <w:r>
                  <w:rPr>
                    <w:rFonts w:eastAsia="Andale Sans UI"/>
                    <w:b/>
                    <w:szCs w:val="24"/>
                    <w:lang w:eastAsia="en-GB" w:bidi="en-US"/>
                  </w:rPr>
                  <w:t>baigiamos naudojant tą patį nuotolinio viešinimo būdą.</w:t>
                </w:r>
                <w:r>
                  <w:rPr>
                    <w:rFonts w:eastAsia="Andale Sans UI"/>
                    <w:szCs w:val="24"/>
                    <w:lang w:eastAsia="en-GB" w:bidi="en-US"/>
                  </w:rPr>
                  <w:t xml:space="preserve"> Kai viešą visuomenės supažindinimą su ataskaita numatoma atlikti tiesioginės internetinės vaizdo transliacijos būdu, </w:t>
                </w:r>
                <w:r>
                  <w:rPr>
                    <w:rFonts w:eastAsia="Andale Sans UI"/>
                    <w:b/>
                    <w:szCs w:val="24"/>
                    <w:lang w:eastAsia="en-GB" w:bidi="en-US"/>
                  </w:rPr>
                  <w:t>Tvarkos aprašo</w:t>
                </w:r>
                <w:r>
                  <w:rPr>
                    <w:rFonts w:eastAsia="Andale Sans UI"/>
                    <w:szCs w:val="24"/>
                    <w:lang w:eastAsia="en-GB" w:bidi="en-US"/>
                  </w:rPr>
                  <w:t xml:space="preserve"> 77 punkte nurodytoje visuomenei skelbiamoje informacijoje apie viešą visuomenės supažindinimą skelbiami tiesioginės internetinės vaizdo transliacijos laikas ir transliacijos </w:t>
                </w:r>
                <w:r>
                  <w:rPr>
                    <w:rFonts w:eastAsia="Andale Sans UI"/>
                    <w:b/>
                    <w:szCs w:val="24"/>
                    <w:lang w:eastAsia="en-GB" w:bidi="en-US"/>
                  </w:rPr>
                  <w:t>tiesioginė</w:t>
                </w:r>
                <w:r>
                  <w:rPr>
                    <w:rFonts w:eastAsia="Andale Sans UI"/>
                    <w:szCs w:val="24"/>
                    <w:lang w:eastAsia="en-GB" w:bidi="en-US"/>
                  </w:rPr>
                  <w:t xml:space="preserve"> nuoroda. Jei tiesioginės internetinės vaizdo transliacijos metu kyla techninių trikdžių, kurių negalima pašalinti per protingą laiką, organizuojamas pakartotinis viešas visuomenės supažindinimas, apie kurį visuomenė informuojama ne vėliau kaip prieš 5 </w:t>
                </w:r>
                <w:r>
                  <w:rPr>
                    <w:rFonts w:eastAsia="Andale Sans UI"/>
                    <w:strike/>
                    <w:szCs w:val="24"/>
                    <w:lang w:eastAsia="en-GB" w:bidi="en-US"/>
                  </w:rPr>
                  <w:t xml:space="preserve">d. d </w:t>
                </w:r>
                <w:r>
                  <w:rPr>
                    <w:rFonts w:eastAsia="Andale Sans UI"/>
                    <w:b/>
                    <w:szCs w:val="24"/>
                    <w:lang w:eastAsia="en-GB" w:bidi="en-US"/>
                  </w:rPr>
                  <w:t>darbo dienas</w:t>
                </w:r>
                <w:r>
                  <w:rPr>
                    <w:rFonts w:eastAsia="Andale Sans UI"/>
                    <w:szCs w:val="24"/>
                    <w:lang w:eastAsia="en-GB" w:bidi="en-US"/>
                  </w:rPr>
                  <w:t xml:space="preserve">. Informacija apie pakartotinį, dėl techninių trikdžių neįvykusį viešą supažindinimą skelbiama vadovaujantis Tvarkos aprašo 77 punkto nuostatomis, nurodant pakartotinės tiesioginės internetinės vaizdo transliacijos laiką ir transliacijos </w:t>
                </w:r>
                <w:r>
                  <w:rPr>
                    <w:rFonts w:eastAsia="Andale Sans UI"/>
                    <w:b/>
                    <w:szCs w:val="24"/>
                    <w:lang w:eastAsia="en-GB" w:bidi="en-US"/>
                  </w:rPr>
                  <w:t>tiesioginę</w:t>
                </w:r>
                <w:r>
                  <w:rPr>
                    <w:rFonts w:eastAsia="Andale Sans UI"/>
                    <w:szCs w:val="24"/>
                    <w:lang w:eastAsia="en-GB" w:bidi="en-US"/>
                  </w:rPr>
                  <w:t xml:space="preserve"> nuorodą.</w:t>
                </w:r>
                <w:r>
                  <w:rPr>
                    <w:szCs w:val="24"/>
                    <w:lang w:eastAsia="lt-LT"/>
                  </w:rPr>
                  <w:t>“</w:t>
                </w:r>
              </w:p>
              <w:p w14:paraId="406E12D0" w14:textId="77777777">
                <w:pPr>
                  <w:widowControl w:val="0"/>
                  <w:suppressAutoHyphens/>
                  <w:jc w:val="both"/>
                  <w:rPr>
                    <w:kern w:val="1"/>
                    <w:szCs w:val="24"/>
                    <w:lang w:eastAsia="hi-IN" w:bidi="hi-IN"/>
                  </w:rPr>
                </w:pPr>
                <w:r>
                  <w:rPr>
                    <w:color w:val="000000"/>
                    <w:szCs w:val="24"/>
                    <w:shd w:val="clear" w:color="auto" w:fill="FFFFFF"/>
                    <w:lang w:eastAsia="ar-SA"/>
                  </w:rPr>
                  <w:t xml:space="preserve">1.13. Pakeičiu </w:t>
                </w:r>
                <w:r>
                  <w:rPr>
                    <w:color w:val="000000"/>
                    <w:szCs w:val="24"/>
                    <w:lang w:eastAsia="lt-LT"/>
                  </w:rPr>
                  <w:t>75.1 pa</w:t>
                </w:r>
                <w:r>
                  <w:rPr>
                    <w:color w:val="000000"/>
                    <w:szCs w:val="24"/>
                    <w:shd w:val="clear" w:color="auto" w:fill="FFFFFF"/>
                    <w:lang w:eastAsia="ar-SA"/>
                  </w:rPr>
                  <w:t xml:space="preserve">punktį </w:t>
                </w:r>
                <w:r>
                  <w:rPr>
                    <w:kern w:val="1"/>
                    <w:szCs w:val="24"/>
                    <w:lang w:eastAsia="hi-IN" w:bidi="hi-IN"/>
                  </w:rPr>
                  <w:t>ir jį išdėstau taip:</w:t>
                </w:r>
              </w:p>
              <w:p w14:paraId="59D48D01" w14:textId="77777777">
                <w:pPr>
                  <w:widowControl w:val="0"/>
                  <w:suppressAutoHyphens/>
                  <w:jc w:val="both"/>
                  <w:rPr>
                    <w:szCs w:val="24"/>
                    <w:lang w:val="en-GB" w:eastAsia="lt-LT"/>
                  </w:rPr>
                </w:pPr>
                <w:r>
                  <w:rPr>
                    <w:szCs w:val="24"/>
                    <w:lang w:val="en-GB" w:eastAsia="lt-LT"/>
                  </w:rPr>
                  <w:t>„</w:t>
                </w:r>
                <w:r>
                  <w:rPr>
                    <w:color w:val="000000"/>
                    <w:szCs w:val="24"/>
                    <w:lang w:val="en-GB" w:eastAsia="lt-LT"/>
                  </w:rPr>
                  <w:t xml:space="preserve">75.1. </w:t>
                </w:r>
                <w:r>
                  <w:rPr>
                    <w:szCs w:val="24"/>
                    <w:lang w:val="en-GB" w:eastAsia="lt-LT"/>
                  </w:rPr>
                  <w:t xml:space="preserve">visuomenės informavimo priemonėmis, nurodytomis Tvarkos aprašo </w:t>
                </w:r>
                <w:r>
                  <w:rPr>
                    <w:strike/>
                    <w:szCs w:val="24"/>
                    <w:lang w:val="en-GB" w:eastAsia="lt-LT"/>
                  </w:rPr>
                  <w:t>67.2–67.4 papunkčiuose</w:t>
                </w:r>
                <w:r>
                  <w:rPr>
                    <w:szCs w:val="24"/>
                    <w:lang w:val="en-GB" w:eastAsia="lt-LT"/>
                  </w:rPr>
                  <w:t xml:space="preserve"> </w:t>
                </w:r>
                <w:r>
                  <w:rPr>
                    <w:b/>
                    <w:szCs w:val="24"/>
                    <w:lang w:val="en-GB" w:eastAsia="lt-LT"/>
                  </w:rPr>
                  <w:t>67 punkte</w:t>
                </w:r>
                <w:r>
                  <w:rPr>
                    <w:szCs w:val="24"/>
                    <w:lang w:val="en-GB" w:eastAsia="lt-LT"/>
                  </w:rPr>
                  <w:t>;“</w:t>
                </w:r>
              </w:p>
              <w:p w14:paraId="135415EB" w14:textId="77777777">
                <w:pPr>
                  <w:widowControl w:val="0"/>
                  <w:suppressAutoHyphens/>
                  <w:jc w:val="both"/>
                  <w:rPr>
                    <w:kern w:val="1"/>
                    <w:szCs w:val="24"/>
                    <w:lang w:val="en-GB" w:eastAsia="hi-IN" w:bidi="hi-IN"/>
                  </w:rPr>
                </w:pPr>
              </w:p>
            </w:tc>
            <w:tc>
              <w:tcPr>
                <w:tcW w:w="2126" w:type="dxa"/>
              </w:tcPr>
              <w:p w14:paraId="1BD98E2C" w14:textId="77777777">
                <w:pPr>
                  <w:jc w:val="center"/>
                  <w:rPr>
                    <w:b/>
                    <w:szCs w:val="24"/>
                  </w:rPr>
                </w:pPr>
                <w:r>
                  <w:rPr>
                    <w:color w:val="000000"/>
                    <w:szCs w:val="24"/>
                    <w:lang w:val="en-US"/>
                  </w:rPr>
                  <w:t>Visiškas</w:t>
                </w:r>
              </w:p>
            </w:tc>
          </w:tr>
          <w:tr w14:paraId="4CAC7075" w14:textId="77777777">
            <w:trPr>
              <w:trHeight w:val="274"/>
            </w:trPr>
            <w:tc>
              <w:tcPr>
                <w:tcW w:w="3970" w:type="dxa"/>
              </w:tcPr>
              <w:p w14:paraId="3E5061DD" w14:textId="77777777">
                <w:pPr>
                  <w:suppressLineNumbers/>
                  <w:suppressAutoHyphens/>
                  <w:snapToGrid w:val="0"/>
                  <w:jc w:val="both"/>
                  <w:rPr>
                    <w:b/>
                    <w:bCs/>
                    <w:szCs w:val="24"/>
                    <w:lang w:eastAsia="ar-SA"/>
                  </w:rPr>
                </w:pPr>
                <w:r>
                  <w:rPr>
                    <w:i/>
                    <w:iCs/>
                    <w:color w:val="000000"/>
                    <w:szCs w:val="24"/>
                    <w:shd w:val="clear" w:color="auto" w:fill="FFFFFF"/>
                    <w:lang w:eastAsia="ar-SA"/>
                  </w:rPr>
                  <w:t>6 straipsnis</w:t>
                </w:r>
              </w:p>
              <w:p w14:paraId="2CC73520" w14:textId="77777777">
                <w:pPr>
                  <w:jc w:val="both"/>
                  <w:rPr>
                    <w:b/>
                    <w:szCs w:val="24"/>
                    <w:lang w:eastAsia="en-GB"/>
                  </w:rPr>
                </w:pPr>
                <w:r>
                  <w:rPr>
                    <w:b/>
                    <w:szCs w:val="24"/>
                    <w:lang w:eastAsia="en-GB"/>
                  </w:rPr>
                  <w:t>M1</w:t>
                </w:r>
              </w:p>
              <w:p w14:paraId="714DDE4B" w14:textId="77777777">
                <w:pPr>
                  <w:suppressLineNumbers/>
                  <w:suppressAutoHyphens/>
                  <w:snapToGrid w:val="0"/>
                  <w:jc w:val="both"/>
                  <w:rPr>
                    <w:szCs w:val="24"/>
                    <w:lang w:eastAsia="ar-SA"/>
                  </w:rPr>
                </w:pPr>
                <w:r>
                  <w:rPr>
                    <w:szCs w:val="24"/>
                    <w:lang w:eastAsia="ar-SA"/>
                  </w:rPr>
                  <w:t xml:space="preserve">6. Nustatomi pagrįsti įvairių etapų terminai, kad būtų pakankamai laiko: </w:t>
                </w:r>
              </w:p>
              <w:p w14:paraId="5355E2FF" w14:textId="77777777">
                <w:pPr>
                  <w:suppressLineNumbers/>
                  <w:suppressAutoHyphens/>
                  <w:snapToGrid w:val="0"/>
                  <w:jc w:val="both"/>
                  <w:rPr>
                    <w:szCs w:val="24"/>
                    <w:lang w:eastAsia="ar-SA"/>
                  </w:rPr>
                </w:pPr>
                <w:r>
                  <w:rPr>
                    <w:szCs w:val="24"/>
                    <w:lang w:eastAsia="ar-SA"/>
                  </w:rPr>
                  <w:t xml:space="preserve">a) informuoti 1 dalyje nurodytas institucijas bei visuomenę ir </w:t>
                </w:r>
              </w:p>
              <w:p w14:paraId="20F2454D" w14:textId="77777777">
                <w:pPr>
                  <w:suppressLineNumbers/>
                  <w:suppressAutoHyphens/>
                  <w:snapToGrid w:val="0"/>
                  <w:jc w:val="both"/>
                  <w:rPr>
                    <w:b/>
                    <w:bCs/>
                    <w:szCs w:val="24"/>
                    <w:lang w:eastAsia="ar-SA"/>
                  </w:rPr>
                </w:pPr>
                <w:r>
                  <w:rPr>
                    <w:szCs w:val="24"/>
                    <w:lang w:eastAsia="ar-SA"/>
                  </w:rPr>
                  <w:t>b) 1 dalyje nurodytoms institucijoms ir suinteresuotai visuomenei pasirengti ir veiksmingai dalyvauti priimant sprendimus aplinkos klausimais pagal šio straipsnio nuostatas.</w:t>
                </w:r>
              </w:p>
            </w:tc>
            <w:tc>
              <w:tcPr>
                <w:tcW w:w="8930" w:type="dxa"/>
              </w:tcPr>
              <w:p w14:paraId="1634B3F9" w14:textId="77777777">
                <w:pPr>
                  <w:widowControl w:val="0"/>
                  <w:suppressAutoHyphens/>
                  <w:jc w:val="both"/>
                  <w:rPr>
                    <w:kern w:val="1"/>
                    <w:szCs w:val="24"/>
                    <w:lang w:eastAsia="hi-IN" w:bidi="hi-IN"/>
                  </w:rPr>
                </w:pPr>
                <w:r>
                  <w:rPr>
                    <w:color w:val="000000"/>
                    <w:szCs w:val="24"/>
                    <w:shd w:val="clear" w:color="auto" w:fill="FFFFFF"/>
                    <w:lang w:eastAsia="ar-SA"/>
                  </w:rPr>
                  <w:t xml:space="preserve">1.13. Pakeičiu </w:t>
                </w:r>
                <w:r>
                  <w:rPr>
                    <w:color w:val="000000"/>
                    <w:szCs w:val="24"/>
                    <w:lang w:eastAsia="lt-LT"/>
                  </w:rPr>
                  <w:t>75.1 pa</w:t>
                </w:r>
                <w:r>
                  <w:rPr>
                    <w:color w:val="000000"/>
                    <w:szCs w:val="24"/>
                    <w:shd w:val="clear" w:color="auto" w:fill="FFFFFF"/>
                    <w:lang w:eastAsia="ar-SA"/>
                  </w:rPr>
                  <w:t xml:space="preserve">punktį </w:t>
                </w:r>
                <w:r>
                  <w:rPr>
                    <w:kern w:val="1"/>
                    <w:szCs w:val="24"/>
                    <w:lang w:eastAsia="hi-IN" w:bidi="hi-IN"/>
                  </w:rPr>
                  <w:t>ir jį išdėstau taip:</w:t>
                </w:r>
              </w:p>
              <w:p w14:paraId="7EE91A37" w14:textId="77777777">
                <w:pPr>
                  <w:widowControl w:val="0"/>
                  <w:suppressAutoHyphens/>
                  <w:jc w:val="both"/>
                  <w:rPr>
                    <w:szCs w:val="24"/>
                    <w:lang w:val="en-GB" w:eastAsia="lt-LT"/>
                  </w:rPr>
                </w:pPr>
                <w:r>
                  <w:rPr>
                    <w:szCs w:val="24"/>
                    <w:lang w:val="en-GB" w:eastAsia="lt-LT"/>
                  </w:rPr>
                  <w:t>„</w:t>
                </w:r>
                <w:r>
                  <w:rPr>
                    <w:color w:val="000000"/>
                    <w:szCs w:val="24"/>
                    <w:lang w:val="en-GB" w:eastAsia="lt-LT"/>
                  </w:rPr>
                  <w:t xml:space="preserve">75.1. </w:t>
                </w:r>
                <w:r>
                  <w:rPr>
                    <w:szCs w:val="24"/>
                    <w:lang w:val="en-GB" w:eastAsia="lt-LT"/>
                  </w:rPr>
                  <w:t xml:space="preserve">visuomenės informavimo priemonėmis, nurodytomis Tvarkos aprašo </w:t>
                </w:r>
                <w:r>
                  <w:rPr>
                    <w:strike/>
                    <w:szCs w:val="24"/>
                    <w:lang w:val="en-GB" w:eastAsia="lt-LT"/>
                  </w:rPr>
                  <w:t>67.2–67.4 papunkčiuose</w:t>
                </w:r>
                <w:r>
                  <w:rPr>
                    <w:szCs w:val="24"/>
                    <w:lang w:val="en-GB" w:eastAsia="lt-LT"/>
                  </w:rPr>
                  <w:t xml:space="preserve"> </w:t>
                </w:r>
                <w:r>
                  <w:rPr>
                    <w:b/>
                    <w:szCs w:val="24"/>
                    <w:lang w:val="en-GB" w:eastAsia="lt-LT"/>
                  </w:rPr>
                  <w:t>67 punkte</w:t>
                </w:r>
                <w:r>
                  <w:rPr>
                    <w:szCs w:val="24"/>
                    <w:lang w:val="en-GB" w:eastAsia="lt-LT"/>
                  </w:rPr>
                  <w:t>;“</w:t>
                </w:r>
              </w:p>
              <w:p w14:paraId="035D8894"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szCs w:val="24"/>
                    <w:lang w:val="en-GB" w:eastAsia="en-GB"/>
                  </w:rPr>
                </w:pPr>
              </w:p>
            </w:tc>
            <w:tc>
              <w:tcPr>
                <w:tcW w:w="2126" w:type="dxa"/>
              </w:tcPr>
              <w:p w14:paraId="364D4067" w14:textId="77777777">
                <w:pPr>
                  <w:jc w:val="center"/>
                  <w:rPr>
                    <w:b/>
                    <w:szCs w:val="24"/>
                  </w:rPr>
                </w:pPr>
                <w:r>
                  <w:rPr>
                    <w:color w:val="000000"/>
                    <w:szCs w:val="24"/>
                    <w:lang w:val="en-US"/>
                  </w:rPr>
                  <w:t>Visiškas</w:t>
                </w:r>
              </w:p>
            </w:tc>
          </w:tr>
          <w:tr w14:paraId="188DFC53" w14:textId="77777777">
            <w:trPr>
              <w:trHeight w:val="274"/>
            </w:trPr>
            <w:tc>
              <w:tcPr>
                <w:tcW w:w="3970" w:type="dxa"/>
              </w:tcPr>
              <w:p w14:paraId="0E630575" w14:textId="77777777">
                <w:pPr>
                  <w:suppressLineNumbers/>
                  <w:suppressAutoHyphens/>
                  <w:snapToGrid w:val="0"/>
                  <w:jc w:val="both"/>
                  <w:rPr>
                    <w:b/>
                    <w:bCs/>
                    <w:szCs w:val="24"/>
                    <w:lang w:eastAsia="ar-SA"/>
                  </w:rPr>
                </w:pPr>
                <w:r>
                  <w:rPr>
                    <w:i/>
                    <w:iCs/>
                    <w:color w:val="000000"/>
                    <w:szCs w:val="24"/>
                    <w:shd w:val="clear" w:color="auto" w:fill="FFFFFF"/>
                    <w:lang w:eastAsia="ar-SA"/>
                  </w:rPr>
                  <w:t>6 straipsnis</w:t>
                </w:r>
              </w:p>
              <w:p w14:paraId="07D521E3" w14:textId="77777777">
                <w:pPr>
                  <w:suppressLineNumbers/>
                  <w:suppressAutoHyphens/>
                  <w:snapToGrid w:val="0"/>
                  <w:jc w:val="both"/>
                  <w:rPr>
                    <w:b/>
                    <w:bCs/>
                    <w:szCs w:val="24"/>
                    <w:lang w:val="en-GB" w:eastAsia="ar-SA"/>
                  </w:rPr>
                </w:pPr>
                <w:r>
                  <w:rPr>
                    <w:b/>
                    <w:bCs/>
                    <w:szCs w:val="24"/>
                    <w:lang w:val="en-GB" w:eastAsia="ar-SA"/>
                  </w:rPr>
                  <w:t>M1</w:t>
                </w:r>
              </w:p>
              <w:p w14:paraId="1681C6C7" w14:textId="77777777">
                <w:pPr>
                  <w:suppressLineNumbers/>
                  <w:suppressAutoHyphens/>
                  <w:snapToGrid w:val="0"/>
                  <w:jc w:val="both"/>
                  <w:rPr>
                    <w:szCs w:val="24"/>
                    <w:lang w:eastAsia="ar-SA"/>
                  </w:rPr>
                </w:pPr>
                <w:r>
                  <w:rPr>
                    <w:szCs w:val="24"/>
                    <w:lang w:eastAsia="ar-SA"/>
                  </w:rPr>
                  <w:t>7. Terminas konsultacijoms su suinteresuota visuomene dėl 5 straipsnio 1 dalyje nurodytos poveikio aplinkai vertinimo ataskaitos yra ne trumpesnis kaip 30 dienų.</w:t>
                </w:r>
              </w:p>
              <w:p w14:paraId="0BB37472" w14:textId="77777777">
                <w:pPr>
                  <w:jc w:val="both"/>
                  <w:rPr>
                    <w:b/>
                    <w:szCs w:val="24"/>
                    <w:lang w:eastAsia="en-GB"/>
                  </w:rPr>
                </w:pPr>
              </w:p>
            </w:tc>
            <w:tc>
              <w:tcPr>
                <w:tcW w:w="8930" w:type="dxa"/>
              </w:tcPr>
              <w:p w14:paraId="2D42B485" w14:textId="77777777">
                <w:pPr>
                  <w:widowControl w:val="0"/>
                  <w:suppressAutoHyphens/>
                  <w:jc w:val="both"/>
                  <w:rPr>
                    <w:kern w:val="1"/>
                    <w:szCs w:val="24"/>
                    <w:lang w:eastAsia="hi-IN" w:bidi="hi-IN"/>
                  </w:rPr>
                </w:pPr>
                <w:r>
                  <w:rPr>
                    <w:color w:val="000000"/>
                    <w:szCs w:val="24"/>
                    <w:shd w:val="clear" w:color="auto" w:fill="FFFFFF"/>
                    <w:lang w:eastAsia="ar-SA"/>
                  </w:rPr>
                  <w:t xml:space="preserve">1.13. Pakeičiu </w:t>
                </w:r>
                <w:r>
                  <w:rPr>
                    <w:color w:val="000000"/>
                    <w:szCs w:val="24"/>
                    <w:lang w:eastAsia="lt-LT"/>
                  </w:rPr>
                  <w:t>75.1 pa</w:t>
                </w:r>
                <w:r>
                  <w:rPr>
                    <w:color w:val="000000"/>
                    <w:szCs w:val="24"/>
                    <w:shd w:val="clear" w:color="auto" w:fill="FFFFFF"/>
                    <w:lang w:eastAsia="ar-SA"/>
                  </w:rPr>
                  <w:t xml:space="preserve">punktį </w:t>
                </w:r>
                <w:r>
                  <w:rPr>
                    <w:kern w:val="1"/>
                    <w:szCs w:val="24"/>
                    <w:lang w:eastAsia="hi-IN" w:bidi="hi-IN"/>
                  </w:rPr>
                  <w:t>ir jį išdėstau taip:</w:t>
                </w:r>
              </w:p>
              <w:p w14:paraId="73140D35" w14:textId="77777777">
                <w:pPr>
                  <w:widowControl w:val="0"/>
                  <w:suppressAutoHyphens/>
                  <w:jc w:val="both"/>
                  <w:rPr>
                    <w:szCs w:val="24"/>
                    <w:lang w:val="en-GB" w:eastAsia="lt-LT"/>
                  </w:rPr>
                </w:pPr>
                <w:r>
                  <w:rPr>
                    <w:szCs w:val="24"/>
                    <w:lang w:val="en-GB" w:eastAsia="lt-LT"/>
                  </w:rPr>
                  <w:t>„</w:t>
                </w:r>
                <w:r>
                  <w:rPr>
                    <w:color w:val="000000"/>
                    <w:szCs w:val="24"/>
                    <w:lang w:val="en-GB" w:eastAsia="lt-LT"/>
                  </w:rPr>
                  <w:t xml:space="preserve">75.1. </w:t>
                </w:r>
                <w:r>
                  <w:rPr>
                    <w:szCs w:val="24"/>
                    <w:lang w:val="en-GB" w:eastAsia="lt-LT"/>
                  </w:rPr>
                  <w:t xml:space="preserve">visuomenės informavimo priemonėmis, nurodytomis Tvarkos aprašo </w:t>
                </w:r>
                <w:r>
                  <w:rPr>
                    <w:strike/>
                    <w:szCs w:val="24"/>
                    <w:lang w:val="en-GB" w:eastAsia="lt-LT"/>
                  </w:rPr>
                  <w:t>67.2–67.4 papunkčiuose</w:t>
                </w:r>
                <w:r>
                  <w:rPr>
                    <w:szCs w:val="24"/>
                    <w:lang w:val="en-GB" w:eastAsia="lt-LT"/>
                  </w:rPr>
                  <w:t xml:space="preserve"> </w:t>
                </w:r>
                <w:r>
                  <w:rPr>
                    <w:b/>
                    <w:szCs w:val="24"/>
                    <w:lang w:val="en-GB" w:eastAsia="lt-LT"/>
                  </w:rPr>
                  <w:t>67 punkte</w:t>
                </w:r>
                <w:r>
                  <w:rPr>
                    <w:szCs w:val="24"/>
                    <w:lang w:val="en-GB" w:eastAsia="lt-LT"/>
                  </w:rPr>
                  <w:t>;“</w:t>
                </w:r>
              </w:p>
              <w:p w14:paraId="082E386D"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color w:val="000000"/>
                    <w:szCs w:val="24"/>
                    <w:lang w:eastAsia="lt-LT"/>
                  </w:rPr>
                </w:pPr>
              </w:p>
            </w:tc>
            <w:tc>
              <w:tcPr>
                <w:tcW w:w="2126" w:type="dxa"/>
              </w:tcPr>
              <w:p w14:paraId="70376797" w14:textId="77777777">
                <w:pPr>
                  <w:jc w:val="center"/>
                  <w:rPr>
                    <w:b/>
                    <w:szCs w:val="24"/>
                  </w:rPr>
                </w:pPr>
                <w:r>
                  <w:rPr>
                    <w:color w:val="000000"/>
                    <w:szCs w:val="24"/>
                    <w:lang w:val="en-US"/>
                  </w:rPr>
                  <w:t>Visiškas</w:t>
                </w:r>
              </w:p>
            </w:tc>
          </w:tr>
          <w:tr w14:paraId="44DA065C" w14:textId="77777777">
            <w:trPr>
              <w:trHeight w:val="274"/>
            </w:trPr>
            <w:tc>
              <w:tcPr>
                <w:tcW w:w="3970" w:type="dxa"/>
              </w:tcPr>
              <w:p w14:paraId="1A15C85B" w14:textId="77777777">
                <w:pPr>
                  <w:jc w:val="both"/>
                  <w:rPr>
                    <w:rFonts w:eastAsia="Calibri"/>
                    <w:b/>
                    <w:iCs/>
                    <w:color w:val="000000"/>
                    <w:szCs w:val="24"/>
                    <w:lang w:eastAsia="lt-LT"/>
                  </w:rPr>
                </w:pPr>
                <w:r>
                  <w:rPr>
                    <w:rFonts w:eastAsia="Calibri"/>
                    <w:b/>
                    <w:iCs/>
                    <w:color w:val="000000"/>
                    <w:szCs w:val="24"/>
                    <w:lang w:eastAsia="lt-LT"/>
                  </w:rPr>
                  <w:t>B</w:t>
                </w:r>
              </w:p>
              <w:p w14:paraId="50B41A7B" w14:textId="77777777">
                <w:pPr>
                  <w:jc w:val="both"/>
                  <w:rPr>
                    <w:rFonts w:eastAsia="Calibri"/>
                    <w:b/>
                    <w:i/>
                    <w:color w:val="000000"/>
                    <w:szCs w:val="24"/>
                    <w:lang w:eastAsia="lt-LT"/>
                  </w:rPr>
                </w:pPr>
                <w:r>
                  <w:rPr>
                    <w:rFonts w:eastAsia="Calibri"/>
                    <w:b/>
                    <w:i/>
                    <w:color w:val="000000"/>
                    <w:szCs w:val="24"/>
                    <w:lang w:eastAsia="lt-LT"/>
                  </w:rPr>
                  <w:t>7 straipsnis</w:t>
                </w:r>
              </w:p>
              <w:p w14:paraId="2868CF34" w14:textId="77777777">
                <w:pPr>
                  <w:jc w:val="both"/>
                  <w:rPr>
                    <w:rFonts w:eastAsia="Calibri"/>
                    <w:color w:val="000000"/>
                    <w:szCs w:val="24"/>
                    <w:lang w:eastAsia="lt-LT"/>
                  </w:rPr>
                </w:pPr>
                <w:r>
                  <w:rPr>
                    <w:rFonts w:eastAsia="Calibri"/>
                    <w:color w:val="000000"/>
                    <w:szCs w:val="24"/>
                    <w:lang w:eastAsia="lt-LT"/>
                  </w:rPr>
                  <w:t xml:space="preserve">1. Jeigu valstybė narė žino, kad koks nors projektas gali turėti didelį poveikį kitos valstybės narės aplinkai, arba jeigu valstybė narė, kurios aplinka gali patirti tokį poveikį, to prašo, valstybė narė, kurios teritorijoje tą projektą ketinama įgyvendinti, kuo skubiau ir ne vėliau kaip tuo metu, kai ji informuoja savo visuomenę, siunčia tai poveikį galinčiai patirti valstybei narei, </w:t>
                </w:r>
                <w:r>
                  <w:rPr>
                    <w:rFonts w:eastAsia="Calibri"/>
                    <w:i/>
                    <w:iCs/>
                    <w:color w:val="000000"/>
                    <w:szCs w:val="24"/>
                    <w:lang w:eastAsia="lt-LT"/>
                  </w:rPr>
                  <w:t>inter alia</w:t>
                </w:r>
                <w:r>
                  <w:rPr>
                    <w:rFonts w:eastAsia="Calibri"/>
                    <w:color w:val="000000"/>
                    <w:szCs w:val="24"/>
                    <w:lang w:eastAsia="lt-LT"/>
                  </w:rPr>
                  <w:t xml:space="preserve">: </w:t>
                </w:r>
              </w:p>
              <w:p w14:paraId="57E1D4A8" w14:textId="77777777">
                <w:pPr>
                  <w:jc w:val="both"/>
                  <w:rPr>
                    <w:rFonts w:eastAsia="Calibri"/>
                    <w:color w:val="000000"/>
                    <w:szCs w:val="24"/>
                    <w:lang w:eastAsia="lt-LT"/>
                  </w:rPr>
                </w:pPr>
              </w:p>
              <w:p w14:paraId="0DA817E9" w14:textId="77777777">
                <w:pPr>
                  <w:jc w:val="both"/>
                  <w:rPr>
                    <w:rFonts w:eastAsia="Calibri"/>
                    <w:color w:val="000000"/>
                    <w:szCs w:val="24"/>
                    <w:lang w:eastAsia="lt-LT"/>
                  </w:rPr>
                </w:pPr>
                <w:r>
                  <w:rPr>
                    <w:rFonts w:eastAsia="Calibri"/>
                    <w:color w:val="000000"/>
                    <w:szCs w:val="24"/>
                    <w:lang w:eastAsia="lt-LT"/>
                  </w:rPr>
                  <w:t xml:space="preserve">a) projekto aprašymą kartu su visa turima informacija apie galimą tarpvalstybinį poveikį; </w:t>
                </w:r>
              </w:p>
              <w:p w14:paraId="04AA082F" w14:textId="77777777">
                <w:pPr>
                  <w:jc w:val="both"/>
                  <w:rPr>
                    <w:rFonts w:eastAsia="Calibri"/>
                    <w:color w:val="000000"/>
                    <w:szCs w:val="24"/>
                  </w:rPr>
                </w:pPr>
              </w:p>
              <w:p w14:paraId="0A08B1F1" w14:textId="77777777">
                <w:pPr>
                  <w:jc w:val="both"/>
                  <w:rPr>
                    <w:rFonts w:eastAsia="Calibri"/>
                    <w:color w:val="000000"/>
                    <w:szCs w:val="24"/>
                  </w:rPr>
                </w:pPr>
                <w:r>
                  <w:rPr>
                    <w:rFonts w:eastAsia="Calibri"/>
                    <w:color w:val="000000"/>
                    <w:szCs w:val="24"/>
                  </w:rPr>
                  <w:t>b) informaciją apie numatomo priimti sprendimo pobūdį.</w:t>
                </w:r>
              </w:p>
              <w:p w14:paraId="0A9F2D3E" w14:textId="77777777">
                <w:pPr>
                  <w:jc w:val="both"/>
                  <w:rPr>
                    <w:rFonts w:eastAsia="Calibri"/>
                    <w:color w:val="000000"/>
                    <w:szCs w:val="24"/>
                    <w:lang w:eastAsia="lt-LT"/>
                  </w:rPr>
                </w:pPr>
              </w:p>
              <w:p w14:paraId="179749F7" w14:textId="77777777">
                <w:pPr>
                  <w:suppressLineNumbers/>
                  <w:suppressAutoHyphens/>
                  <w:snapToGrid w:val="0"/>
                  <w:jc w:val="both"/>
                  <w:rPr>
                    <w:b/>
                    <w:bCs/>
                    <w:szCs w:val="24"/>
                    <w:lang w:eastAsia="ar-SA"/>
                  </w:rPr>
                </w:pPr>
                <w:r>
                  <w:rPr>
                    <w:rFonts w:eastAsia="Calibri"/>
                    <w:color w:val="000000"/>
                    <w:szCs w:val="24"/>
                    <w:lang w:eastAsia="lt-LT"/>
                  </w:rPr>
                  <w:t>Valstybė narė, kurios teritorijoje projektą ketinama įgyvendinti suteikia tai kitai valstybei narei pakankamai laiko, kad ji galėtų nurodyti, ar ji ketina dalyvauti 2 straipsnio 2 dalyje nurodytose sprendimo aplinkos klausimais priėmimo procedūrose, ir gali įtraukti šio straipsnio 2 dalyje nurodytą informaciją.</w:t>
                </w:r>
              </w:p>
            </w:tc>
            <w:tc>
              <w:tcPr>
                <w:tcW w:w="8930" w:type="dxa"/>
              </w:tcPr>
              <w:p w14:paraId="1D833BE3" w14:textId="77777777">
                <w:pPr>
                  <w:widowControl w:val="0"/>
                  <w:suppressAutoHyphens/>
                  <w:jc w:val="both"/>
                  <w:rPr>
                    <w:kern w:val="1"/>
                    <w:szCs w:val="24"/>
                    <w:lang w:eastAsia="hi-IN" w:bidi="hi-IN"/>
                  </w:rPr>
                </w:pPr>
                <w:r>
                  <w:rPr>
                    <w:color w:val="000000"/>
                    <w:kern w:val="1"/>
                    <w:szCs w:val="24"/>
                    <w:lang w:eastAsia="hi-IN" w:bidi="hi-IN"/>
                  </w:rPr>
                  <w:t xml:space="preserve">1.9. </w:t>
                </w:r>
                <w:r>
                  <w:rPr>
                    <w:color w:val="000000"/>
                    <w:szCs w:val="24"/>
                    <w:shd w:val="clear" w:color="auto" w:fill="FFFFFF"/>
                    <w:lang w:eastAsia="ar-SA"/>
                  </w:rPr>
                  <w:t xml:space="preserve">Pakeičiu 56 punktą </w:t>
                </w:r>
                <w:r>
                  <w:rPr>
                    <w:kern w:val="1"/>
                    <w:szCs w:val="24"/>
                    <w:lang w:eastAsia="hi-IN" w:bidi="hi-IN"/>
                  </w:rPr>
                  <w:t>ir jį išdėstau taip:</w:t>
                </w:r>
              </w:p>
              <w:p w14:paraId="4E9D4775" w14:textId="77777777">
                <w:pPr>
                  <w:suppressAutoHyphens/>
                  <w:jc w:val="both"/>
                  <w:rPr>
                    <w:kern w:val="1"/>
                    <w:szCs w:val="24"/>
                    <w:lang w:eastAsia="hi-IN" w:bidi="hi-IN"/>
                  </w:rPr>
                </w:pPr>
                <w:r>
                  <w:rPr>
                    <w:kern w:val="1"/>
                    <w:szCs w:val="24"/>
                    <w:lang w:eastAsia="hi-IN" w:bidi="hi-IN"/>
                  </w:rPr>
                  <w:t>„</w:t>
                </w:r>
                <w:r>
                  <w:rPr>
                    <w:szCs w:val="24"/>
                    <w:lang w:eastAsia="lt-LT"/>
                  </w:rPr>
                  <w:t>56. PAV dokumentų rengėjas poveikį aplinkai patiriančios valstybės pasiūlymų įvertinimą ir prireikus pataisytą ataskaitą pateikia Agentūrai. Agentūra, atsižvelgusi į tarpvalstybinių konsultacijų rezultatus, sprendimą dėl planuojamos ūkinės veiklos poveikio aplinkai priima pasibaigus tarpvalstybinio PAV procedūroms, ne vėliau kaip per 10 darbo dienų nuo poveikį aplinkai patiriančios valstybės pasiūlymų įvertinimo ir prireikus pataisytos ataskaitos pateikimo, kai pasibaigę šio sprendimo priėmimo terminai, nurodyti Planuojamos ūkinės veiklos poveikio aplinkai vertinimo įstatymo 11 straipsnio 2–3 dalyse.</w:t>
                </w:r>
                <w:r>
                  <w:rPr>
                    <w:szCs w:val="24"/>
                    <w:lang w:eastAsia="en-GB"/>
                  </w:rPr>
                  <w:t xml:space="preserve"> </w:t>
                </w:r>
                <w:r>
                  <w:rPr>
                    <w:b/>
                    <w:szCs w:val="24"/>
                    <w:lang w:eastAsia="en-GB"/>
                  </w:rPr>
                  <w:t>Sprendime turi būti nurodomos</w:t>
                </w:r>
                <w:r>
                  <w:rPr>
                    <w:b/>
                    <w:szCs w:val="24"/>
                    <w:lang w:eastAsia="lt-LT"/>
                  </w:rPr>
                  <w:t xml:space="preserve"> priežastys ir motyvai, kuriais pagrįstas šis sprendimas ir kaip buvo atsižvelgta į tarpvalstybinių konsultacijų rezultatus dėl planuojamos ūkinės veiklos.</w:t>
                </w:r>
                <w:r>
                  <w:rPr>
                    <w:kern w:val="1"/>
                    <w:szCs w:val="24"/>
                    <w:lang w:eastAsia="hi-IN" w:bidi="hi-IN"/>
                  </w:rPr>
                  <w:t>“</w:t>
                </w:r>
              </w:p>
              <w:p w14:paraId="7F3B6B51"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color w:val="000000"/>
                    <w:szCs w:val="24"/>
                    <w:lang w:eastAsia="lt-LT"/>
                  </w:rPr>
                </w:pPr>
              </w:p>
            </w:tc>
            <w:tc>
              <w:tcPr>
                <w:tcW w:w="2126" w:type="dxa"/>
              </w:tcPr>
              <w:p w14:paraId="2590F37F" w14:textId="77777777">
                <w:pPr>
                  <w:jc w:val="center"/>
                  <w:rPr>
                    <w:color w:val="000000"/>
                    <w:szCs w:val="24"/>
                    <w:lang w:val="en-US"/>
                  </w:rPr>
                </w:pPr>
                <w:r>
                  <w:rPr>
                    <w:color w:val="000000"/>
                    <w:szCs w:val="24"/>
                    <w:lang w:val="en-US"/>
                  </w:rPr>
                  <w:t>Dalinis. (Visiškai perkelta kitais nacionaliniais teisės aktais)</w:t>
                </w:r>
                <w:r>
                  <w:rPr>
                    <w:b/>
                    <w:szCs w:val="24"/>
                  </w:rPr>
                  <w:t>.</w:t>
                </w:r>
              </w:p>
            </w:tc>
          </w:tr>
          <w:tr w14:paraId="45D87376" w14:textId="77777777">
            <w:trPr>
              <w:trHeight w:val="274"/>
            </w:trPr>
            <w:tc>
              <w:tcPr>
                <w:tcW w:w="3970" w:type="dxa"/>
              </w:tcPr>
              <w:p w14:paraId="7B32CC3D" w14:textId="77777777">
                <w:pPr>
                  <w:jc w:val="both"/>
                  <w:rPr>
                    <w:rFonts w:eastAsia="Calibri"/>
                    <w:b/>
                    <w:i/>
                    <w:color w:val="000000"/>
                    <w:szCs w:val="24"/>
                    <w:lang w:eastAsia="lt-LT"/>
                  </w:rPr>
                </w:pPr>
                <w:r>
                  <w:rPr>
                    <w:rFonts w:eastAsia="Calibri"/>
                    <w:b/>
                    <w:i/>
                    <w:color w:val="000000"/>
                    <w:szCs w:val="24"/>
                    <w:lang w:eastAsia="lt-LT"/>
                  </w:rPr>
                  <w:t>7 straipsnis</w:t>
                </w:r>
              </w:p>
              <w:p w14:paraId="66D231AD" w14:textId="77777777">
                <w:pPr>
                  <w:numPr>
                    <w:ilvl w:val="255"/>
                    <w:numId w:val="0"/>
                  </w:numPr>
                  <w:jc w:val="both"/>
                  <w:rPr>
                    <w:b/>
                    <w:bCs/>
                    <w:szCs w:val="24"/>
                    <w:lang w:eastAsia="en-GB"/>
                  </w:rPr>
                </w:pPr>
                <w:r>
                  <w:rPr>
                    <w:b/>
                    <w:bCs/>
                    <w:szCs w:val="24"/>
                    <w:lang w:eastAsia="en-GB"/>
                  </w:rPr>
                  <w:t>M1</w:t>
                </w:r>
              </w:p>
              <w:p w14:paraId="28C89AE2" w14:textId="77777777">
                <w:pPr>
                  <w:jc w:val="both"/>
                  <w:rPr>
                    <w:szCs w:val="24"/>
                    <w:lang w:eastAsia="en-GB"/>
                  </w:rPr>
                </w:pPr>
                <w:r>
                  <w:rPr>
                    <w:szCs w:val="24"/>
                    <w:lang w:eastAsia="en-GB"/>
                  </w:rPr>
                  <w:t xml:space="preserve">4. Suinteresuotos valstybės narės pradeda konsultuotis dėl, be kita ko, galimų tarpvalstybinių projekto poveikių, numatomų priemonių, skirtų sumažinti ar pašalinti šiuos poveikius, bei derina klausimą dėl priimtinos konsultacijų trukmės. </w:t>
                </w:r>
              </w:p>
              <w:p w14:paraId="32EA8C32" w14:textId="77777777">
                <w:pPr>
                  <w:jc w:val="both"/>
                  <w:rPr>
                    <w:szCs w:val="24"/>
                    <w:lang w:eastAsia="en-GB"/>
                  </w:rPr>
                </w:pPr>
                <w:r>
                  <w:rPr>
                    <w:szCs w:val="24"/>
                    <w:lang w:eastAsia="en-GB"/>
                  </w:rPr>
                  <w:t xml:space="preserve">Tokias konsultacijas galima rengti naudojantis atitinkama bendra įstaiga.“; </w:t>
                </w:r>
              </w:p>
              <w:p w14:paraId="6B112790" w14:textId="77777777">
                <w:pPr>
                  <w:suppressLineNumbers/>
                  <w:suppressAutoHyphens/>
                  <w:snapToGrid w:val="0"/>
                  <w:jc w:val="both"/>
                  <w:rPr>
                    <w:b/>
                    <w:bCs/>
                    <w:szCs w:val="24"/>
                    <w:lang w:eastAsia="ar-SA"/>
                  </w:rPr>
                </w:pPr>
              </w:p>
            </w:tc>
            <w:tc>
              <w:tcPr>
                <w:tcW w:w="8930" w:type="dxa"/>
              </w:tcPr>
              <w:p w14:paraId="52580DC8" w14:textId="77777777">
                <w:pPr>
                  <w:widowControl w:val="0"/>
                  <w:suppressAutoHyphens/>
                  <w:jc w:val="both"/>
                  <w:rPr>
                    <w:kern w:val="1"/>
                    <w:szCs w:val="24"/>
                    <w:lang w:eastAsia="hi-IN" w:bidi="hi-IN"/>
                  </w:rPr>
                </w:pPr>
                <w:r>
                  <w:rPr>
                    <w:color w:val="000000"/>
                    <w:kern w:val="1"/>
                    <w:szCs w:val="24"/>
                    <w:lang w:eastAsia="hi-IN" w:bidi="hi-IN"/>
                  </w:rPr>
                  <w:t xml:space="preserve">1.9. </w:t>
                </w:r>
                <w:r>
                  <w:rPr>
                    <w:color w:val="000000"/>
                    <w:szCs w:val="24"/>
                    <w:shd w:val="clear" w:color="auto" w:fill="FFFFFF"/>
                    <w:lang w:eastAsia="ar-SA"/>
                  </w:rPr>
                  <w:t xml:space="preserve">Pakeičiu 56 punktą </w:t>
                </w:r>
                <w:r>
                  <w:rPr>
                    <w:kern w:val="1"/>
                    <w:szCs w:val="24"/>
                    <w:lang w:eastAsia="hi-IN" w:bidi="hi-IN"/>
                  </w:rPr>
                  <w:t>ir jį išdėstau taip:</w:t>
                </w:r>
              </w:p>
              <w:p w14:paraId="17158128" w14:textId="77777777">
                <w:pPr>
                  <w:suppressAutoHyphens/>
                  <w:jc w:val="both"/>
                  <w:rPr>
                    <w:kern w:val="1"/>
                    <w:szCs w:val="24"/>
                    <w:lang w:eastAsia="hi-IN" w:bidi="hi-IN"/>
                  </w:rPr>
                </w:pPr>
                <w:r>
                  <w:rPr>
                    <w:kern w:val="1"/>
                    <w:szCs w:val="24"/>
                    <w:lang w:eastAsia="hi-IN" w:bidi="hi-IN"/>
                  </w:rPr>
                  <w:t>„</w:t>
                </w:r>
                <w:r>
                  <w:rPr>
                    <w:szCs w:val="24"/>
                    <w:lang w:eastAsia="lt-LT"/>
                  </w:rPr>
                  <w:t>56. PAV dokumentų rengėjas poveikį aplinkai patiriančios valstybės pasiūlymų įvertinimą ir prireikus pataisytą ataskaitą pateikia Agentūrai. Agentūra, atsižvelgusi į tarpvalstybinių konsultacijų rezultatus, sprendimą dėl planuojamos ūkinės veiklos poveikio aplinkai priima pasibaigus tarpvalstybinio PAV procedūroms, ne vėliau kaip per 10 darbo dienų nuo poveikį aplinkai patiriančios valstybės pasiūlymų įvertinimo ir prireikus pataisytos ataskaitos pateikimo, kai pasibaigę šio sprendimo priėmimo terminai, nurodyti Planuojamos ūkinės veiklos poveikio aplinkai vertinimo įstatymo 11 straipsnio 2–3 dalyse.</w:t>
                </w:r>
                <w:r>
                  <w:rPr>
                    <w:szCs w:val="24"/>
                    <w:lang w:eastAsia="en-GB"/>
                  </w:rPr>
                  <w:t xml:space="preserve"> </w:t>
                </w:r>
                <w:r>
                  <w:rPr>
                    <w:b/>
                    <w:szCs w:val="24"/>
                    <w:lang w:eastAsia="en-GB"/>
                  </w:rPr>
                  <w:t>Sprendime turi būti nurodomos</w:t>
                </w:r>
                <w:r>
                  <w:rPr>
                    <w:b/>
                    <w:szCs w:val="24"/>
                    <w:lang w:eastAsia="lt-LT"/>
                  </w:rPr>
                  <w:t xml:space="preserve"> priežastys ir motyvai, kuriais pagrįstas šis sprendimas ir kaip buvo atsižvelgta į tarpvalstybinių konsultacijų rezultatus dėl planuojamos ūkinės veiklos.</w:t>
                </w:r>
                <w:r>
                  <w:rPr>
                    <w:kern w:val="1"/>
                    <w:szCs w:val="24"/>
                    <w:lang w:eastAsia="hi-IN" w:bidi="hi-IN"/>
                  </w:rPr>
                  <w:t>“</w:t>
                </w:r>
              </w:p>
              <w:p w14:paraId="237B05F6"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color w:val="000000"/>
                    <w:szCs w:val="24"/>
                    <w:lang w:eastAsia="lt-LT"/>
                  </w:rPr>
                </w:pPr>
              </w:p>
            </w:tc>
            <w:tc>
              <w:tcPr>
                <w:tcW w:w="2126" w:type="dxa"/>
              </w:tcPr>
              <w:p w14:paraId="41A08343" w14:textId="77777777">
                <w:pPr>
                  <w:jc w:val="center"/>
                  <w:rPr>
                    <w:b/>
                    <w:szCs w:val="24"/>
                  </w:rPr>
                </w:pPr>
                <w:r>
                  <w:rPr>
                    <w:color w:val="000000"/>
                    <w:szCs w:val="24"/>
                    <w:lang w:val="en-US"/>
                  </w:rPr>
                  <w:t>Visiškas</w:t>
                </w:r>
              </w:p>
            </w:tc>
          </w:tr>
          <w:tr w14:paraId="215D6EB3" w14:textId="77777777">
            <w:trPr>
              <w:trHeight w:val="274"/>
            </w:trPr>
            <w:tc>
              <w:tcPr>
                <w:tcW w:w="3970" w:type="dxa"/>
              </w:tcPr>
              <w:p w14:paraId="1BD252B5" w14:textId="77777777">
                <w:pPr>
                  <w:jc w:val="both"/>
                  <w:rPr>
                    <w:rFonts w:eastAsia="Calibri"/>
                    <w:b/>
                    <w:i/>
                    <w:color w:val="000000"/>
                    <w:szCs w:val="24"/>
                    <w:lang w:eastAsia="lt-LT"/>
                  </w:rPr>
                </w:pPr>
                <w:r>
                  <w:rPr>
                    <w:rFonts w:eastAsia="Calibri"/>
                    <w:b/>
                    <w:i/>
                    <w:color w:val="000000"/>
                    <w:szCs w:val="24"/>
                    <w:lang w:eastAsia="lt-LT"/>
                  </w:rPr>
                  <w:t>7 straipsnis</w:t>
                </w:r>
              </w:p>
              <w:p w14:paraId="6EBB9F40" w14:textId="77777777">
                <w:pPr>
                  <w:jc w:val="both"/>
                  <w:rPr>
                    <w:b/>
                    <w:szCs w:val="24"/>
                    <w:lang w:eastAsia="en-GB"/>
                  </w:rPr>
                </w:pPr>
                <w:r>
                  <w:rPr>
                    <w:b/>
                    <w:szCs w:val="24"/>
                    <w:lang w:eastAsia="en-GB"/>
                  </w:rPr>
                  <w:t>M1</w:t>
                </w:r>
              </w:p>
              <w:p w14:paraId="2ED94E9D" w14:textId="77777777">
                <w:pPr>
                  <w:numPr>
                    <w:ilvl w:val="255"/>
                    <w:numId w:val="0"/>
                  </w:numPr>
                  <w:jc w:val="both"/>
                  <w:rPr>
                    <w:b/>
                    <w:bCs/>
                    <w:szCs w:val="24"/>
                    <w:lang w:eastAsia="en-GB"/>
                  </w:rPr>
                </w:pPr>
                <w:r>
                  <w:rPr>
                    <w:szCs w:val="24"/>
                    <w:lang w:eastAsia="en-GB"/>
                  </w:rPr>
                  <w:t>5. Išsamią šio straipsnio 1–4 dalių įgyvendinimo tvarką, įskaitant konsultacijų terminus, nustato atitinkamos valstybės narės, remdamosi 6 straipsnio 5–7 dalyse nurodytais tvarka ir terminais, ir jos yra tokios, kad leistų suinteresuotai visuomenei poveikį patiriančios valstybės narės teritorijoje veiksmingai dalyvauti 2 straipsnio 2 dalyje nurodytose projekto sprendimų aplinkos klausimais priėmimo procedūrose.</w:t>
                </w:r>
              </w:p>
            </w:tc>
            <w:tc>
              <w:tcPr>
                <w:tcW w:w="8930" w:type="dxa"/>
              </w:tcPr>
              <w:p w14:paraId="1C907992" w14:textId="77777777">
                <w:pPr>
                  <w:widowControl w:val="0"/>
                  <w:suppressAutoHyphens/>
                  <w:jc w:val="both"/>
                  <w:rPr>
                    <w:kern w:val="1"/>
                    <w:szCs w:val="24"/>
                    <w:lang w:eastAsia="hi-IN" w:bidi="hi-IN"/>
                  </w:rPr>
                </w:pPr>
                <w:r>
                  <w:rPr>
                    <w:color w:val="000000"/>
                    <w:kern w:val="1"/>
                    <w:szCs w:val="24"/>
                    <w:lang w:eastAsia="hi-IN" w:bidi="hi-IN"/>
                  </w:rPr>
                  <w:t xml:space="preserve">1.9. </w:t>
                </w:r>
                <w:r>
                  <w:rPr>
                    <w:color w:val="000000"/>
                    <w:szCs w:val="24"/>
                    <w:shd w:val="clear" w:color="auto" w:fill="FFFFFF"/>
                    <w:lang w:eastAsia="ar-SA"/>
                  </w:rPr>
                  <w:t xml:space="preserve">Pakeičiu 56 punktą </w:t>
                </w:r>
                <w:r>
                  <w:rPr>
                    <w:kern w:val="1"/>
                    <w:szCs w:val="24"/>
                    <w:lang w:eastAsia="hi-IN" w:bidi="hi-IN"/>
                  </w:rPr>
                  <w:t>ir jį išdėstau taip:</w:t>
                </w:r>
              </w:p>
              <w:p w14:paraId="6D949E91" w14:textId="77777777">
                <w:pPr>
                  <w:suppressAutoHyphens/>
                  <w:jc w:val="both"/>
                  <w:rPr>
                    <w:kern w:val="1"/>
                    <w:szCs w:val="24"/>
                    <w:lang w:eastAsia="hi-IN" w:bidi="hi-IN"/>
                  </w:rPr>
                </w:pPr>
                <w:r>
                  <w:rPr>
                    <w:kern w:val="1"/>
                    <w:szCs w:val="24"/>
                    <w:lang w:eastAsia="hi-IN" w:bidi="hi-IN"/>
                  </w:rPr>
                  <w:t>„</w:t>
                </w:r>
                <w:r>
                  <w:rPr>
                    <w:szCs w:val="24"/>
                    <w:lang w:eastAsia="lt-LT"/>
                  </w:rPr>
                  <w:t>56. PAV dokumentų rengėjas poveikį aplinkai patiriančios valstybės pasiūlymų įvertinimą ir prireikus pataisytą ataskaitą pateikia Agentūrai. Agentūra, atsižvelgusi į tarpvalstybinių konsultacijų rezultatus, sprendimą dėl planuojamos ūkinės veiklos poveikio aplinkai priima pasibaigus tarpvalstybinio PAV procedūroms, ne vėliau kaip per 10 darbo dienų nuo poveikį aplinkai patiriančios valstybės pasiūlymų įvertinimo ir prireikus pataisytos ataskaitos pateikimo, kai pasibaigę šio sprendimo priėmimo terminai, nurodyti Planuojamos ūkinės veiklos poveikio aplinkai vertinimo įstatymo 11 straipsnio 2–3 dalyse.</w:t>
                </w:r>
                <w:r>
                  <w:rPr>
                    <w:szCs w:val="24"/>
                    <w:lang w:eastAsia="en-GB"/>
                  </w:rPr>
                  <w:t xml:space="preserve"> </w:t>
                </w:r>
                <w:r>
                  <w:rPr>
                    <w:b/>
                    <w:szCs w:val="24"/>
                    <w:lang w:eastAsia="en-GB"/>
                  </w:rPr>
                  <w:t>Sprendime turi būti nurodomos</w:t>
                </w:r>
                <w:r>
                  <w:rPr>
                    <w:b/>
                    <w:szCs w:val="24"/>
                    <w:lang w:eastAsia="lt-LT"/>
                  </w:rPr>
                  <w:t xml:space="preserve"> priežastys ir motyvai, kuriais pagrįstas šis sprendimas ir kaip buvo atsižvelgta į tarpvalstybinių konsultacijų rezultatus dėl planuojamos ūkinės veiklos.</w:t>
                </w:r>
                <w:r>
                  <w:rPr>
                    <w:kern w:val="1"/>
                    <w:szCs w:val="24"/>
                    <w:lang w:eastAsia="hi-IN" w:bidi="hi-IN"/>
                  </w:rPr>
                  <w:t>“</w:t>
                </w:r>
              </w:p>
              <w:p w14:paraId="71DF89B7" w14:textId="77777777">
                <w:pPr>
                  <w:suppressAutoHyphens/>
                  <w:ind w:firstLine="709"/>
                  <w:jc w:val="both"/>
                  <w:rPr>
                    <w:kern w:val="1"/>
                    <w:szCs w:val="24"/>
                    <w:lang w:eastAsia="hi-IN" w:bidi="hi-IN"/>
                  </w:rPr>
                </w:pPr>
              </w:p>
            </w:tc>
            <w:tc>
              <w:tcPr>
                <w:tcW w:w="2126" w:type="dxa"/>
              </w:tcPr>
              <w:p w14:paraId="27B3374E" w14:textId="77777777">
                <w:pPr>
                  <w:jc w:val="center"/>
                  <w:rPr>
                    <w:color w:val="000000"/>
                    <w:szCs w:val="24"/>
                    <w:lang w:val="en-US"/>
                  </w:rPr>
                </w:pPr>
                <w:r>
                  <w:rPr>
                    <w:color w:val="000000"/>
                    <w:szCs w:val="24"/>
                    <w:lang w:val="en-US"/>
                  </w:rPr>
                  <w:t>Dalinis. (Visiškai perkelta kitais nacionaliniais teisės aktais)</w:t>
                </w:r>
                <w:r>
                  <w:rPr>
                    <w:b/>
                    <w:szCs w:val="24"/>
                  </w:rPr>
                  <w:t>.</w:t>
                </w:r>
              </w:p>
            </w:tc>
          </w:tr>
          <w:tr w14:paraId="29127FEA" w14:textId="77777777">
            <w:trPr>
              <w:trHeight w:val="274"/>
            </w:trPr>
            <w:tc>
              <w:tcPr>
                <w:tcW w:w="3970" w:type="dxa"/>
              </w:tcPr>
              <w:p w14:paraId="186C87D2" w14:textId="77777777">
                <w:pPr>
                  <w:jc w:val="both"/>
                  <w:rPr>
                    <w:b/>
                    <w:szCs w:val="24"/>
                    <w:lang w:eastAsia="en-GB"/>
                  </w:rPr>
                </w:pPr>
                <w:r>
                  <w:rPr>
                    <w:b/>
                    <w:szCs w:val="24"/>
                    <w:lang w:eastAsia="en-GB"/>
                  </w:rPr>
                  <w:t>M1</w:t>
                </w:r>
              </w:p>
              <w:p w14:paraId="16A33F02" w14:textId="77777777">
                <w:pPr>
                  <w:jc w:val="both"/>
                  <w:rPr>
                    <w:b/>
                    <w:szCs w:val="24"/>
                    <w:lang w:eastAsia="en-GB"/>
                  </w:rPr>
                </w:pPr>
                <w:r>
                  <w:rPr>
                    <w:b/>
                    <w:i/>
                    <w:iCs/>
                    <w:color w:val="000000"/>
                    <w:szCs w:val="24"/>
                    <w:shd w:val="clear" w:color="auto" w:fill="FFFFFF"/>
                    <w:lang w:eastAsia="en-GB"/>
                  </w:rPr>
                  <w:t>8a straipsnis</w:t>
                </w:r>
              </w:p>
              <w:p w14:paraId="0FB500A7" w14:textId="77777777">
                <w:pPr>
                  <w:suppressLineNumbers/>
                  <w:suppressAutoHyphens/>
                  <w:snapToGrid w:val="0"/>
                  <w:jc w:val="both"/>
                  <w:rPr>
                    <w:szCs w:val="24"/>
                    <w:lang w:eastAsia="ar-SA"/>
                  </w:rPr>
                </w:pPr>
                <w:r>
                  <w:rPr>
                    <w:szCs w:val="24"/>
                    <w:lang w:eastAsia="ar-SA"/>
                  </w:rPr>
                  <w:t xml:space="preserve">4. Laikydamosi 1 dalies b punkte nurodytų reikalavimų, valstybės narės užtikrina, kad užsakovas įgyvendintų projekto charakteristikas ir (arba) numatytas priemones, kuriomis siekiama išvengti reikšmingo neigiamo poveikio aplinkai, užkirsti jam kelią arba jį sumažinti ir, jei galima, jį kompensuoti, taip pat nustato reikšmingo neigiamo poveikio aplinkai stebėsenos procedūras. </w:t>
                </w:r>
              </w:p>
              <w:p w14:paraId="2DE6C0BD" w14:textId="77777777">
                <w:pPr>
                  <w:suppressLineNumbers/>
                  <w:suppressAutoHyphens/>
                  <w:snapToGrid w:val="0"/>
                  <w:jc w:val="both"/>
                  <w:rPr>
                    <w:szCs w:val="24"/>
                    <w:lang w:eastAsia="ar-SA"/>
                  </w:rPr>
                </w:pPr>
              </w:p>
              <w:p w14:paraId="087CE3BC" w14:textId="77777777">
                <w:pPr>
                  <w:suppressLineNumbers/>
                  <w:suppressAutoHyphens/>
                  <w:snapToGrid w:val="0"/>
                  <w:jc w:val="both"/>
                  <w:rPr>
                    <w:szCs w:val="24"/>
                    <w:lang w:eastAsia="ar-SA"/>
                  </w:rPr>
                </w:pPr>
                <w:r>
                  <w:rPr>
                    <w:szCs w:val="24"/>
                    <w:lang w:eastAsia="ar-SA"/>
                  </w:rPr>
                  <w:t>Parametrų, kuriuos reikia stebėti, rūšis ir stebėjimo trukmė turi būti proporcinga, atsižvelgiant į projekto pobūdį, vietą ir dydį, taip pat į jo poveikio aplinkai reikšmingumą.</w:t>
                </w:r>
              </w:p>
              <w:p w14:paraId="3A396B4E" w14:textId="77777777">
                <w:pPr>
                  <w:suppressLineNumbers/>
                  <w:suppressAutoHyphens/>
                  <w:snapToGrid w:val="0"/>
                  <w:jc w:val="both"/>
                  <w:rPr>
                    <w:szCs w:val="24"/>
                    <w:lang w:eastAsia="ar-SA"/>
                  </w:rPr>
                </w:pPr>
              </w:p>
              <w:p w14:paraId="47D6582B" w14:textId="77777777">
                <w:pPr>
                  <w:jc w:val="both"/>
                  <w:rPr>
                    <w:b/>
                    <w:szCs w:val="24"/>
                    <w:lang w:eastAsia="en-GB"/>
                  </w:rPr>
                </w:pPr>
                <w:r>
                  <w:rPr>
                    <w:szCs w:val="24"/>
                    <w:lang w:eastAsia="en-GB"/>
                  </w:rPr>
                  <w:t>Jei tinkama, gali būti naudojamos esančios pagal kitus nei ši direktyva Sąjungos teisės aktus ir nacionalinės teisės aktus nustatytos stebėsenos priemonės, siekiant išvengti dvigubos stebėsenos.</w:t>
                </w:r>
              </w:p>
            </w:tc>
            <w:tc>
              <w:tcPr>
                <w:tcW w:w="8930" w:type="dxa"/>
              </w:tcPr>
              <w:p w14:paraId="05013261" w14:textId="77777777">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color w:val="000000"/>
                    <w:szCs w:val="24"/>
                    <w:shd w:val="clear" w:color="auto" w:fill="FFFFFF"/>
                    <w:lang w:eastAsia="ar-SA"/>
                  </w:rPr>
                  <w:t>1.16. Pakeičiu</w:t>
                </w:r>
                <w:r>
                  <w:rPr>
                    <w:szCs w:val="24"/>
                    <w:lang w:eastAsia="lt-LT"/>
                  </w:rPr>
                  <w:t xml:space="preserve"> 1 priedo II skyriaus devintąjį skirsnį ir jį išdėstau taip:</w:t>
                </w:r>
              </w:p>
              <w:p w14:paraId="19F67507" w14:textId="77777777">
                <w:pPr>
                  <w:suppressAutoHyphens/>
                  <w:ind w:firstLine="709"/>
                  <w:jc w:val="center"/>
                  <w:rPr>
                    <w:b/>
                    <w:strike/>
                    <w:szCs w:val="24"/>
                    <w:lang w:val="en-GB" w:eastAsia="lt-LT"/>
                  </w:rPr>
                </w:pPr>
                <w:r>
                  <w:rPr>
                    <w:caps/>
                    <w:szCs w:val="24"/>
                    <w:lang w:val="en-GB" w:eastAsia="en-GB"/>
                  </w:rPr>
                  <w:t>„</w:t>
                </w:r>
                <w:r>
                  <w:rPr>
                    <w:b/>
                    <w:bCs/>
                    <w:strike/>
                    <w:szCs w:val="24"/>
                    <w:lang w:val="en-GB" w:eastAsia="lt-LT"/>
                  </w:rPr>
                  <w:t xml:space="preserve">DEVINTASIS </w:t>
                </w:r>
                <w:r>
                  <w:rPr>
                    <w:b/>
                    <w:strike/>
                    <w:szCs w:val="24"/>
                    <w:lang w:val="en-GB" w:eastAsia="lt-LT"/>
                  </w:rPr>
                  <w:t>SKIRSNIS</w:t>
                </w:r>
              </w:p>
              <w:p w14:paraId="1EF45374" w14:textId="77777777">
                <w:pPr>
                  <w:suppressAutoHyphens/>
                  <w:ind w:firstLine="709"/>
                  <w:jc w:val="center"/>
                  <w:rPr>
                    <w:b/>
                    <w:bCs/>
                    <w:strike/>
                    <w:szCs w:val="24"/>
                    <w:lang w:val="en-GB" w:eastAsia="lt-LT"/>
                  </w:rPr>
                </w:pPr>
                <w:r>
                  <w:rPr>
                    <w:b/>
                    <w:bCs/>
                    <w:strike/>
                    <w:szCs w:val="24"/>
                    <w:lang w:val="en-GB" w:eastAsia="lt-LT"/>
                  </w:rPr>
                  <w:t>RIZIKOS ANALIZĖ IR JOS VERTINIMAS</w:t>
                </w:r>
              </w:p>
              <w:p w14:paraId="1E324EAD" w14:textId="77777777">
                <w:pPr>
                  <w:suppressAutoHyphens/>
                  <w:ind w:firstLine="709"/>
                  <w:jc w:val="both"/>
                  <w:rPr>
                    <w:strike/>
                    <w:szCs w:val="24"/>
                    <w:lang w:val="en-GB" w:eastAsia="lt-LT"/>
                  </w:rPr>
                </w:pPr>
              </w:p>
              <w:p w14:paraId="0B010BE8" w14:textId="77777777">
                <w:pPr>
                  <w:suppressAutoHyphens/>
                  <w:ind w:firstLine="709"/>
                  <w:rPr>
                    <w:strike/>
                    <w:szCs w:val="24"/>
                    <w:lang w:val="en-GB" w:eastAsia="lt-LT"/>
                  </w:rPr>
                </w:pPr>
                <w:r>
                  <w:rPr>
                    <w:b/>
                    <w:strike/>
                    <w:szCs w:val="24"/>
                    <w:lang w:val="en-GB" w:eastAsia="lt-LT"/>
                  </w:rPr>
                  <w:t>Esamos būklės aprašymas</w:t>
                </w:r>
                <w:r>
                  <w:rPr>
                    <w:strike/>
                    <w:szCs w:val="24"/>
                    <w:lang w:val="en-GB" w:eastAsia="lt-LT"/>
                  </w:rPr>
                  <w:t xml:space="preserve"> </w:t>
                </w:r>
              </w:p>
              <w:p w14:paraId="42327A94" w14:textId="77777777">
                <w:pPr>
                  <w:suppressAutoHyphens/>
                  <w:ind w:firstLine="709"/>
                  <w:jc w:val="both"/>
                  <w:rPr>
                    <w:strike/>
                    <w:szCs w:val="24"/>
                    <w:lang w:val="en-GB" w:eastAsia="lt-LT"/>
                  </w:rPr>
                </w:pPr>
                <w:r>
                  <w:rPr>
                    <w:strike/>
                    <w:szCs w:val="24"/>
                    <w:lang w:val="en-GB" w:eastAsia="lt-LT"/>
                  </w:rPr>
                  <w:t>143. Pateikiama informacija apie vietovėje esančius pavojinguosius ir pažeidžiamus objektus:</w:t>
                </w:r>
              </w:p>
              <w:p w14:paraId="25955B8E" w14:textId="77777777">
                <w:pPr>
                  <w:suppressAutoHyphens/>
                  <w:ind w:firstLine="709"/>
                  <w:jc w:val="both"/>
                  <w:rPr>
                    <w:strike/>
                    <w:szCs w:val="24"/>
                    <w:lang w:val="en-GB" w:eastAsia="lt-LT"/>
                  </w:rPr>
                </w:pPr>
                <w:r>
                  <w:rPr>
                    <w:strike/>
                    <w:szCs w:val="24"/>
                    <w:lang w:val="en-GB" w:eastAsia="lt-LT"/>
                  </w:rPr>
                  <w:t>143.1. informacija apie planuojamame sklype ar teritorijoje ir šalia jos esamus pavojinguosius objektus, kuriuose gaminamos, naudojamos, tvarkomos ar laikomos pavojingosios medžiagos;</w:t>
                </w:r>
              </w:p>
              <w:p w14:paraId="6DE61D9E" w14:textId="77777777">
                <w:pPr>
                  <w:suppressAutoHyphens/>
                  <w:ind w:firstLine="709"/>
                  <w:jc w:val="both"/>
                  <w:rPr>
                    <w:strike/>
                    <w:szCs w:val="24"/>
                    <w:lang w:val="en-GB" w:eastAsia="lt-LT"/>
                  </w:rPr>
                </w:pPr>
                <w:r>
                  <w:rPr>
                    <w:strike/>
                    <w:szCs w:val="24"/>
                    <w:lang w:val="en-GB" w:eastAsia="lt-LT"/>
                  </w:rPr>
                  <w:t>143.2. informacija apie planuojamame sklype ar teritorijoje ir šalia jos esamus valstybinės reikšmės objektus, kurie užtikrina valstybei svarbių ūkio objektų ar infrastruktūros (pvz., energetikos, transporto, telekomunikacijų) funkcionavimą;</w:t>
                </w:r>
              </w:p>
              <w:p w14:paraId="300B17BB" w14:textId="77777777">
                <w:pPr>
                  <w:suppressAutoHyphens/>
                  <w:ind w:firstLine="709"/>
                  <w:jc w:val="both"/>
                  <w:rPr>
                    <w:strike/>
                    <w:szCs w:val="24"/>
                    <w:lang w:val="en-GB" w:eastAsia="lt-LT"/>
                  </w:rPr>
                </w:pPr>
                <w:r>
                  <w:rPr>
                    <w:strike/>
                    <w:szCs w:val="24"/>
                    <w:lang w:val="en-GB" w:eastAsia="lt-LT"/>
                  </w:rPr>
                  <w:t>143.3. informacija apie planuojamos ūkinės veiklos žemės sklypo ar teritorijos gretimybėse esančių sklypų ar teritorijos naudojimo žemės paskirtį (pvz., miškų, vandens, konservacinės ar kitos paskirties žemę), įvertinant šioms teritorijoms galimas pasekmes dėl galimų ekstremaliųjų įvykių vykdant ūkinę veiklą;</w:t>
                </w:r>
              </w:p>
              <w:p w14:paraId="349A38FA" w14:textId="77777777">
                <w:pPr>
                  <w:suppressAutoHyphens/>
                  <w:ind w:firstLine="709"/>
                  <w:jc w:val="both"/>
                  <w:rPr>
                    <w:b/>
                    <w:strike/>
                    <w:szCs w:val="24"/>
                    <w:lang w:val="en-GB" w:eastAsia="lt-LT"/>
                  </w:rPr>
                </w:pPr>
                <w:r>
                  <w:rPr>
                    <w:strike/>
                    <w:szCs w:val="24"/>
                    <w:lang w:val="en-GB" w:eastAsia="lt-LT"/>
                  </w:rPr>
                  <w:t>143.4. informacija apie planuojamoje teritorijoje gamtinių pavojingų reiškinių zonas (pvz., žemės drebėjimai, karstinio regiono zona, nuošliaužos, įgriuvos, potvyniai), kurios dėl savo vietos, stiprumo ir dažnumo kelia didelę grėsmę planuojamai ūkinei veiklai.</w:t>
                </w:r>
              </w:p>
              <w:p w14:paraId="1B8892B5" w14:textId="77777777">
                <w:pPr>
                  <w:ind w:firstLine="709"/>
                  <w:jc w:val="both"/>
                  <w:rPr>
                    <w:b/>
                    <w:strike/>
                    <w:szCs w:val="24"/>
                    <w:lang w:val="en-GB" w:eastAsia="ar-SA"/>
                  </w:rPr>
                </w:pPr>
                <w:r>
                  <w:rPr>
                    <w:b/>
                    <w:strike/>
                    <w:szCs w:val="24"/>
                    <w:lang w:val="en-GB" w:eastAsia="ar-SA"/>
                  </w:rPr>
                  <w:t>Numatomas reikšmingas poveikis</w:t>
                </w:r>
              </w:p>
              <w:p w14:paraId="6170F2F5" w14:textId="77777777">
                <w:pPr>
                  <w:suppressAutoHyphens/>
                  <w:ind w:firstLine="709"/>
                  <w:jc w:val="both"/>
                  <w:rPr>
                    <w:strike/>
                    <w:szCs w:val="24"/>
                    <w:lang w:val="en-GB" w:eastAsia="lt-LT"/>
                  </w:rPr>
                </w:pPr>
                <w:r>
                  <w:rPr>
                    <w:strike/>
                    <w:szCs w:val="24"/>
                    <w:lang w:val="en-GB" w:eastAsia="lt-LT"/>
                  </w:rPr>
                  <w:t>144. Ekstremaliųjų įvykių tikimybė dėl cheminių medžiagų ir cheminių mišinių, įskaitant ir pavojingąsias chemines medžiagas ir cheminius mišinius, gamybos, naudojimo ar saugojimo; jų naudojimas vykdant ūkinę veiklą gali padidinti avarijų, gaisrų tikimybę.</w:t>
                </w:r>
                <w:r>
                  <w:rPr>
                    <w:strike/>
                    <w:szCs w:val="24"/>
                    <w:lang w:val="en-GB" w:eastAsia="en-GB"/>
                  </w:rPr>
                  <w:t xml:space="preserve"> </w:t>
                </w:r>
              </w:p>
              <w:p w14:paraId="45258C9A" w14:textId="77777777">
                <w:pPr>
                  <w:suppressAutoHyphens/>
                  <w:ind w:firstLine="709"/>
                  <w:jc w:val="both"/>
                  <w:rPr>
                    <w:strike/>
                    <w:szCs w:val="24"/>
                    <w:lang w:val="en-GB" w:eastAsia="lt-LT"/>
                  </w:rPr>
                </w:pPr>
                <w:r>
                  <w:rPr>
                    <w:strike/>
                    <w:szCs w:val="24"/>
                    <w:lang w:val="en-GB" w:eastAsia="lt-LT"/>
                  </w:rPr>
                  <w:t>145. Tikėtina, kad dėl vykdomos ūkinės veiklos techninių ar technologinių procesų sutrikimų, gali įvykti pramoninė avarija (pvz., sprogimas, gaisras</w:t>
                </w:r>
                <w:r>
                  <w:rPr>
                    <w:strike/>
                    <w:w w:val="89"/>
                    <w:szCs w:val="24"/>
                    <w:lang w:val="en-GB" w:eastAsia="lt-LT"/>
                  </w:rPr>
                  <w:t xml:space="preserve">, </w:t>
                </w:r>
                <w:r>
                  <w:rPr>
                    <w:strike/>
                    <w:szCs w:val="24"/>
                    <w:lang w:val="en-GB" w:eastAsia="lt-LT"/>
                  </w:rPr>
                  <w:t>pavojingų medžiagų išsiveržimas į aplinką</w:t>
                </w:r>
                <w:r>
                  <w:rPr>
                    <w:strike/>
                    <w:w w:val="89"/>
                    <w:szCs w:val="24"/>
                    <w:lang w:val="en-GB" w:eastAsia="lt-LT"/>
                  </w:rPr>
                  <w:t xml:space="preserve"> </w:t>
                </w:r>
                <w:r>
                  <w:rPr>
                    <w:strike/>
                    <w:szCs w:val="24"/>
                    <w:lang w:val="en-GB" w:eastAsia="lt-LT"/>
                  </w:rPr>
                  <w:t>gali sukelti</w:t>
                </w:r>
                <w:r>
                  <w:rPr>
                    <w:strike/>
                    <w:w w:val="89"/>
                    <w:szCs w:val="24"/>
                    <w:lang w:val="en-GB" w:eastAsia="lt-LT"/>
                  </w:rPr>
                  <w:t xml:space="preserve"> </w:t>
                </w:r>
                <w:r>
                  <w:rPr>
                    <w:strike/>
                    <w:szCs w:val="24"/>
                    <w:lang w:val="en-GB" w:eastAsia="lt-LT"/>
                  </w:rPr>
                  <w:t xml:space="preserve">nekontroliuojamas chemines reakcijas) ir sukelti pavojų gyventojų gyvybei ir sveikatai, ir (ar) aplinkos komponentams (pvz., aplinkos oro, vandens, dirvožemio, žemės ir jos gelmių užteršimas cheminėmis, biologinėmis, radioaktyviomis medžiagomis ar kraštovaizdžio ir biologinės įvairovės, materialinių ir nekilnojamųjų kultūros paveldo vertybių sunaikinimas). </w:t>
                </w:r>
              </w:p>
              <w:p w14:paraId="4C8FC37D" w14:textId="77777777">
                <w:pPr>
                  <w:suppressAutoHyphens/>
                  <w:ind w:firstLine="709"/>
                  <w:jc w:val="both"/>
                  <w:rPr>
                    <w:strike/>
                    <w:szCs w:val="24"/>
                    <w:lang w:val="en-GB" w:eastAsia="lt-LT"/>
                  </w:rPr>
                </w:pPr>
                <w:r>
                  <w:rPr>
                    <w:strike/>
                    <w:szCs w:val="24"/>
                    <w:lang w:val="en-GB" w:eastAsia="lt-LT"/>
                  </w:rPr>
                  <w:t xml:space="preserve">146. Tikėtina, kad stichiniai ar katastrofiniai meteorologiniai ir hidrologiniai </w:t>
                </w:r>
                <w:r>
                  <w:rPr>
                    <w:bCs/>
                    <w:strike/>
                    <w:szCs w:val="24"/>
                    <w:lang w:val="en-GB" w:eastAsia="lt-LT"/>
                  </w:rPr>
                  <w:t>reiškiniai</w:t>
                </w:r>
                <w:r>
                  <w:rPr>
                    <w:strike/>
                    <w:szCs w:val="24"/>
                    <w:lang w:val="en-GB" w:eastAsia="lt-LT"/>
                  </w:rPr>
                  <w:t>,</w:t>
                </w:r>
                <w:r>
                  <w:rPr>
                    <w:bCs/>
                    <w:strike/>
                    <w:szCs w:val="24"/>
                    <w:lang w:val="en-GB" w:eastAsia="lt-LT"/>
                  </w:rPr>
                  <w:t xml:space="preserve"> įskaitant </w:t>
                </w:r>
                <w:r>
                  <w:rPr>
                    <w:strike/>
                    <w:szCs w:val="24"/>
                    <w:lang w:val="en-GB" w:eastAsia="lt-LT"/>
                  </w:rPr>
                  <w:t>geologinius procesus ir reiškinius (pvz., potvyniai, smarkus vėjas, ledų sangrūdos, karstinės įgriuvos, nuošliaužos), gali pažeisti ar sugriauti planuojamos ūkinės veiklos pastatus ar įrenginius ir sukelti pavojų (pvz., išsilieja teršalai, išsilaisvina nevaldoma energija) gyventojų gyvybei ir sveikatai, ir (ar) aplinkos komponentams (vanduo, aplinkos oras, klimatas, žemė, dirvožemis, žemės gelmės, kraštovaizdis ir biologinė įvairovė, materialinės ir nekilnojamosios kultūros paveldo vertybės).</w:t>
                </w:r>
              </w:p>
              <w:p w14:paraId="424B808E" w14:textId="77777777">
                <w:pPr>
                  <w:suppressAutoHyphens/>
                  <w:ind w:firstLine="709"/>
                  <w:jc w:val="both"/>
                  <w:rPr>
                    <w:strike/>
                    <w:szCs w:val="24"/>
                    <w:lang w:val="en-GB" w:eastAsia="lt-LT"/>
                  </w:rPr>
                </w:pPr>
                <w:r>
                  <w:rPr>
                    <w:strike/>
                    <w:szCs w:val="24"/>
                    <w:lang w:val="en-GB" w:eastAsia="lt-LT"/>
                  </w:rPr>
                  <w:t xml:space="preserve">147. </w:t>
                </w:r>
                <w:r>
                  <w:rPr>
                    <w:bCs/>
                    <w:strike/>
                    <w:szCs w:val="24"/>
                    <w:lang w:val="en-GB" w:eastAsia="lt-LT"/>
                  </w:rPr>
                  <w:t>Ekstremaliųjų įvykių padariniai, sąlygoti ūkinės veiklos pažeidžiamumo, gali sutrikdyti</w:t>
                </w:r>
                <w:r>
                  <w:rPr>
                    <w:strike/>
                    <w:szCs w:val="24"/>
                    <w:lang w:val="en-GB" w:eastAsia="lt-LT"/>
                  </w:rPr>
                  <w:t xml:space="preserve"> valstybinės reikšmės objektų funkcionavimą ir kelti pavojų nacionaliniam saugumui (pvz., sutriktų valstybės valdymas dėl pažeistos energetikos, transporto, telekomunikacijų infrastruktūros). </w:t>
                </w:r>
              </w:p>
              <w:p w14:paraId="658FA1DF" w14:textId="77777777">
                <w:pPr>
                  <w:suppressAutoHyphens/>
                  <w:ind w:firstLine="709"/>
                  <w:jc w:val="both"/>
                  <w:rPr>
                    <w:strike/>
                    <w:szCs w:val="24"/>
                    <w:lang w:val="en-GB" w:eastAsia="lt-LT"/>
                  </w:rPr>
                </w:pPr>
                <w:r>
                  <w:rPr>
                    <w:strike/>
                    <w:szCs w:val="24"/>
                    <w:lang w:val="en-GB" w:eastAsia="lt-LT"/>
                  </w:rPr>
                  <w:t xml:space="preserve">148. Rizikos analizė ir jos vertinamas atliekamas atsižvelgiant į pavojingo veiksnio pobūdį ir į vietovėje esančius pažeidžiamus objektus, tikimybę, kad į aplinką patekę teršalai ar jų turintys produktai sukels pavojų žmogaus sveikatai ir aplinkai. Vienas iš planuojamos ūkinės veiklos mastą apibūdinančių dydžių, lemiančių projekto pažeidžiamumą didelių avarijų ir (arba) nelaimių, kurios svarbios atitinkamam projektui rizikos atžvilgiu, yra laikomų pavojingųjų medžiagų kiekiai. </w:t>
                </w:r>
              </w:p>
              <w:p w14:paraId="5241E37E" w14:textId="77777777">
                <w:pPr>
                  <w:suppressAutoHyphens/>
                  <w:ind w:firstLine="709"/>
                  <w:jc w:val="both"/>
                  <w:rPr>
                    <w:strike/>
                    <w:szCs w:val="24"/>
                    <w:lang w:val="en-GB" w:eastAsia="lt-LT"/>
                  </w:rPr>
                </w:pPr>
                <w:r>
                  <w:rPr>
                    <w:strike/>
                    <w:szCs w:val="24"/>
                    <w:lang w:val="en-GB" w:eastAsia="lt-LT"/>
                  </w:rPr>
                  <w:t>149. Aprašomas numatomas neigiamas poveikis aplinkai ir žmonių sveikatai, kurį lemia planuojamos ūkinės veiklos pažeidžiamumo rizika dėl ekstremaliųjų įvykių ir (ar) susidariusių ekstremaliųjų situacijų, įskaitant tas, kurias gali lemti klimato kaita.</w:t>
                </w:r>
              </w:p>
              <w:p w14:paraId="44C13FCD" w14:textId="77777777">
                <w:pPr>
                  <w:suppressAutoHyphens/>
                  <w:ind w:firstLine="709"/>
                  <w:jc w:val="both"/>
                  <w:rPr>
                    <w:strike/>
                    <w:szCs w:val="24"/>
                    <w:lang w:val="en-GB" w:eastAsia="lt-LT"/>
                  </w:rPr>
                </w:pPr>
                <w:r>
                  <w:rPr>
                    <w:strike/>
                    <w:szCs w:val="24"/>
                    <w:lang w:val="en-GB" w:eastAsia="lt-LT"/>
                  </w:rPr>
                  <w:t xml:space="preserve">150. Išanalizavus planuojamoje ūkinėje veikloje pavojingųjų, nepavojingųjų ir radioaktyviųjų atliekų susidarymą, laikymą, naudojimą ir šalinimą, įskaitant informaciją apie pavojingųjų atliekų technologinius srautus, planuojamą jų kiekį, tvarkymą, cheminių medžiagų ir cheminių mišinių (žaliavų, produktų, šalutinių produktų, liekanų) naudojimą, saugojimą ir susidarymą, įskaitant radioaktyviąsias medžiagas ir pavojingąsias medžiagas ir mišinius, atitinkančius klasifikavimo kaip pavojingi kriterijus pagal Reglamentą </w:t>
                </w:r>
                <w:fldSimple w:instr="HYPERLINK http://eur-lex.europa.eu/legal-content/LIT/TXT/?uri=CELEX:32008R1272&amp;locale=lt \t _blank">
                  <w:r>
                    <w:rPr>
                      <w:strike/>
                      <w:szCs w:val="24"/>
                      <w:lang w:val="en-GB" w:eastAsia="lt-LT"/>
                      <w:u w:val="single"/>
                      <w:color w:val="0000FF" w:themeColor="hyperlink"/>
                    </w:rPr>
                    <w:t>(EB) Nr. 1272/2008</w:t>
                  </w:r>
                </w:fldSimple>
                <w:r>
                  <w:rPr>
                    <w:strike/>
                    <w:szCs w:val="24"/>
                    <w:lang w:val="en-GB" w:eastAsia="lt-LT"/>
                  </w:rPr>
                  <w:t>, numatomus laikyti tokių medžiagų kiekius, prognozuojama planuojamos ūkinės veiklos pažeidžiamumo rizika dėl ekstremaliųjų įvykių ir (arba) susidariusių ekstremaliųjų situacijų, įskaitant tas, kurias gali lemti klimato kaita.</w:t>
                </w:r>
                <w:r>
                  <w:rPr>
                    <w:strike/>
                    <w:szCs w:val="24"/>
                    <w:lang w:val="en-GB" w:eastAsia="en-GB"/>
                  </w:rPr>
                  <w:t xml:space="preserve"> </w:t>
                </w:r>
              </w:p>
              <w:p w14:paraId="44B96BF2" w14:textId="77777777">
                <w:pPr>
                  <w:suppressAutoHyphens/>
                  <w:ind w:firstLine="709"/>
                  <w:jc w:val="both"/>
                  <w:rPr>
                    <w:b/>
                    <w:strike/>
                    <w:szCs w:val="24"/>
                    <w:lang w:val="en-GB" w:eastAsia="lt-LT"/>
                  </w:rPr>
                </w:pPr>
                <w:r>
                  <w:rPr>
                    <w:b/>
                    <w:bCs/>
                    <w:strike/>
                    <w:color w:val="000000"/>
                    <w:szCs w:val="24"/>
                    <w:lang w:val="en-GB" w:eastAsia="lt-LT"/>
                  </w:rPr>
                  <w:t xml:space="preserve">Reikšmingo neigiamo </w:t>
                </w:r>
                <w:r>
                  <w:rPr>
                    <w:b/>
                    <w:bCs/>
                    <w:strike/>
                    <w:szCs w:val="24"/>
                    <w:lang w:val="en-GB" w:eastAsia="lt-LT"/>
                  </w:rPr>
                  <w:t>poveikio aplinkai</w:t>
                </w:r>
                <w:r>
                  <w:rPr>
                    <w:b/>
                    <w:strike/>
                    <w:szCs w:val="24"/>
                    <w:lang w:val="en-GB" w:eastAsia="lt-LT"/>
                  </w:rPr>
                  <w:t xml:space="preserve"> išvengimo, sumažinimo ir kompensavimo priemonės</w:t>
                </w:r>
                <w:r>
                  <w:rPr>
                    <w:b/>
                    <w:bCs/>
                    <w:strike/>
                    <w:szCs w:val="24"/>
                    <w:lang w:val="en-GB" w:eastAsia="lt-LT"/>
                  </w:rPr>
                  <w:t xml:space="preserve"> </w:t>
                </w:r>
              </w:p>
              <w:p w14:paraId="186EFFE7" w14:textId="77777777">
                <w:pPr>
                  <w:suppressAutoHyphens/>
                  <w:ind w:firstLine="709"/>
                  <w:jc w:val="both"/>
                  <w:rPr>
                    <w:strike/>
                    <w:szCs w:val="24"/>
                    <w:lang w:val="en-GB" w:eastAsia="lt-LT"/>
                  </w:rPr>
                </w:pPr>
                <w:r>
                  <w:rPr>
                    <w:strike/>
                    <w:szCs w:val="24"/>
                    <w:lang w:val="en-GB" w:eastAsia="lt-LT"/>
                  </w:rPr>
                  <w:t>151. Vertinimo metu įvertinama galima rizika pagal sumodeliuotus konkrečius avarijų scenarijus, parenkami tinkami sprendimai, kaip avarinių situacijų ir avarijų išvengti, maksimaliai sumažinti jų tikimybę. Atliekant planuojamos ūkinės veiklos rizikos analizę ir galimų avarinių situacijų prognozavimą, vertinimą ir numatant prevencines priemones, rekomenduojama vadovautis Planuojamos ūkinės veiklos galimų avarijų rizikos vertinimo rekomendacijomis</w:t>
                </w:r>
                <w:r>
                  <w:rPr>
                    <w:b/>
                    <w:bCs/>
                    <w:strike/>
                    <w:color w:val="000000"/>
                    <w:szCs w:val="24"/>
                    <w:lang w:val="en-GB" w:eastAsia="lt-LT"/>
                  </w:rPr>
                  <w:t xml:space="preserve"> </w:t>
                </w:r>
                <w:r>
                  <w:rPr>
                    <w:bCs/>
                    <w:strike/>
                    <w:color w:val="000000"/>
                    <w:szCs w:val="24"/>
                    <w:lang w:val="en-GB" w:eastAsia="lt-LT"/>
                  </w:rPr>
                  <w:t>R 41-02</w:t>
                </w:r>
                <w:r>
                  <w:rPr>
                    <w:strike/>
                    <w:szCs w:val="24"/>
                    <w:lang w:val="en-GB" w:eastAsia="lt-LT"/>
                  </w:rPr>
                  <w:t>, patvirtintomis Lietuvos Respublikos aplinkos ministro 2002 m. liepos 16 d. įsakymu Nr. 367 „Dėl Planuojamos ūkinės veiklos galimų avarijų rizikos vertinimo rekomendacijų R 41-02 patvirtinimo“, Ekstremaliųjų įvykių kriterijų sąrašu, patvirtintu Lietuvos Respublikos Vyriausybės 2006 m. kovo 9 d. nutarimu Nr. 241 „Dėl Ekstremaliųjų įvykių kriterijų sąrašo patvirtinimo“, Stichinių, katastrofinių meteorologinių ir hidrologinių reiškinių rodikliais, patvirtintais Lietuvos Respublikos aplinkos ministro 2011 m. lapkričio 11 d. įsakymu Nr. D1-870 „Dėl Stichinių, katastrofinių meteorologinių ir hidrologinių reiškinių rodiklių patvirtinimo“. Atliekant pavojingųjų objektų planuojamos ūkinės veiklos rizikos analizę ir galimų avarinių situacijų prognozavimą, vertinimą ir prevencinių priemonių numatymą, rekomenduojama vadovautis Pavojingojo objekto, kuriame pavojingųjų medžiagų kiekiai prilygsta nustatytųjų kvalifikacinių kiekių II lygiui ar jį viršija, saugos ataskaitos rengimo rekomendacijose, patvirtintose Priešgaisrinės apsaugos ir gelbėjimo departamento prie Vidaus reikalų ministerijos direktoriaus 2013 m. lapkričio 6 d. įsakymu Nr. 1-271 „Dėl Pavojingojo objekto, kuriame pavojingųjų medžiagų kiekiai prilygsta nustatytųjų kvalifikacinių kiekių II lygiui ar jį viršija, saugos ataskaitos rengimo rekomendacijų patvirtinimo“ pateiktais rizikos analizės minimaliais reikalavimais ir įvertinti planuojamos ūkinės veiklos keliamą individualią ir socialinę riziką.</w:t>
                </w:r>
                <w:r>
                  <w:rPr>
                    <w:strike/>
                    <w:szCs w:val="24"/>
                    <w:lang w:val="en-GB" w:eastAsia="en-GB"/>
                  </w:rPr>
                  <w:t xml:space="preserve"> </w:t>
                </w:r>
              </w:p>
              <w:p w14:paraId="755C045A" w14:textId="77777777">
                <w:pPr>
                  <w:suppressAutoHyphens/>
                  <w:ind w:firstLine="709"/>
                  <w:jc w:val="both"/>
                  <w:rPr>
                    <w:strike/>
                    <w:szCs w:val="24"/>
                    <w:lang w:val="en-GB" w:eastAsia="lt-LT"/>
                  </w:rPr>
                </w:pPr>
                <w:r>
                  <w:rPr>
                    <w:strike/>
                    <w:szCs w:val="24"/>
                    <w:lang w:val="en-GB" w:eastAsia="lt-LT"/>
                  </w:rPr>
                  <w:t>152.</w:t>
                </w:r>
                <w:r>
                  <w:rPr>
                    <w:i/>
                    <w:strike/>
                    <w:szCs w:val="24"/>
                    <w:lang w:val="en-GB" w:eastAsia="lt-LT"/>
                  </w:rPr>
                  <w:t xml:space="preserve"> </w:t>
                </w:r>
                <w:r>
                  <w:rPr>
                    <w:strike/>
                    <w:szCs w:val="24"/>
                    <w:lang w:val="en-GB" w:eastAsia="lt-LT"/>
                  </w:rPr>
                  <w:t xml:space="preserve">Išanalizavus veiksnius, galinčius lemtį planuojamos ūkinės veiklos pažeidžiamumo riziką ekstremaliųjų įvykių ar ekstremaliųjų situacijų tikimybę, kurios gali sukelti staigų didelį pavojų gyventojų gyvybei ar sveikatai, turtui, aplinkai arba gyventojų žūtį, sužalojimą ar padaryti kitą žalą, numatomos priemonės, kurių bus imtasi siekiant išvengti reikšmingo neigiamo poveikio aplinkai, jį sušvelninti, aprašomas, kai tinkama, išsamus priemonių, susijusių su pasirengimu ekstremaliosioms situacijoms ir siūlomu reagavimu į jas; atlikus galimų pavojų ir ekstremaliųjų situacijų rizikos analizę, nurodoma, ar planuojamos ūkinės veiklos organizatorius privalės rengti ekstremaliųjų situacijų valdymo planą, vadovaujantis Lietuvos Respublikos civilinės saugos įstatymo 16 straipsnį 3 dalies 9 punktu. </w:t>
                </w:r>
              </w:p>
              <w:p w14:paraId="661FDCD1" w14:textId="77777777">
                <w:pPr>
                  <w:suppressAutoHyphens/>
                  <w:ind w:firstLine="709"/>
                  <w:jc w:val="both"/>
                  <w:rPr>
                    <w:b/>
                    <w:strike/>
                    <w:szCs w:val="24"/>
                    <w:lang w:val="pl-PL" w:eastAsia="lt-LT"/>
                  </w:rPr>
                </w:pPr>
                <w:r>
                  <w:rPr>
                    <w:b/>
                    <w:strike/>
                    <w:szCs w:val="24"/>
                    <w:lang w:val="pl-PL" w:eastAsia="lt-LT"/>
                  </w:rPr>
                  <w:t>Grafinė medžiaga</w:t>
                </w:r>
              </w:p>
              <w:p w14:paraId="6F671BF5" w14:textId="77777777">
                <w:pPr>
                  <w:suppressAutoHyphens/>
                  <w:ind w:firstLine="709"/>
                  <w:jc w:val="both"/>
                  <w:rPr>
                    <w:strike/>
                    <w:color w:val="000000"/>
                    <w:szCs w:val="24"/>
                    <w:lang w:val="pl-PL" w:eastAsia="lt-LT"/>
                  </w:rPr>
                </w:pPr>
                <w:r>
                  <w:rPr>
                    <w:strike/>
                    <w:color w:val="000000"/>
                    <w:szCs w:val="24"/>
                    <w:lang w:val="pl-PL" w:eastAsia="lt-LT"/>
                  </w:rPr>
                  <w:t>153. Pridedama grafinė medžiaga, jei tinkama:</w:t>
                </w:r>
              </w:p>
              <w:p w14:paraId="61A884A2" w14:textId="77777777">
                <w:pPr>
                  <w:suppressAutoHyphens/>
                  <w:ind w:firstLine="709"/>
                  <w:jc w:val="both"/>
                  <w:rPr>
                    <w:strike/>
                    <w:color w:val="000000"/>
                    <w:szCs w:val="24"/>
                    <w:lang w:val="pl-PL" w:eastAsia="lt-LT"/>
                  </w:rPr>
                </w:pPr>
                <w:r>
                  <w:rPr>
                    <w:strike/>
                    <w:color w:val="000000"/>
                    <w:szCs w:val="24"/>
                    <w:lang w:val="pl-PL" w:eastAsia="lt-LT"/>
                  </w:rPr>
                  <w:t>153.1. p</w:t>
                </w:r>
                <w:r>
                  <w:rPr>
                    <w:strike/>
                    <w:color w:val="000000"/>
                    <w:spacing w:val="-6"/>
                    <w:szCs w:val="24"/>
                    <w:lang w:val="pl-PL" w:eastAsia="lt-LT"/>
                  </w:rPr>
                  <w:t>otvynių grėsmės žemėlapis</w:t>
                </w:r>
                <w:r>
                  <w:rPr>
                    <w:strike/>
                    <w:color w:val="000000"/>
                    <w:szCs w:val="24"/>
                    <w:lang w:val="pl-PL" w:eastAsia="lt-LT"/>
                  </w:rPr>
                  <w:t xml:space="preserve"> (kuriame nustatyti dėl įvairios kilmės ir tikimybės potvynių užliejamų teritorijų plotai);</w:t>
                </w:r>
              </w:p>
              <w:p w14:paraId="18F513CB" w14:textId="77777777">
                <w:pPr>
                  <w:suppressAutoHyphens/>
                  <w:ind w:firstLine="709"/>
                  <w:jc w:val="both"/>
                  <w:rPr>
                    <w:strike/>
                    <w:szCs w:val="24"/>
                    <w:lang w:val="pl-PL" w:eastAsia="lt-LT"/>
                  </w:rPr>
                </w:pPr>
                <w:r>
                  <w:rPr>
                    <w:strike/>
                    <w:color w:val="000000"/>
                    <w:szCs w:val="24"/>
                    <w:lang w:val="pl-PL" w:eastAsia="lt-LT"/>
                  </w:rPr>
                  <w:t xml:space="preserve">153.2. potvynių rizikos žemėlapis (kuriame įvertinti galimi su potvyniais susiję neigiami poveikiai </w:t>
                </w:r>
                <w:r>
                  <w:rPr>
                    <w:strike/>
                    <w:szCs w:val="24"/>
                    <w:lang w:val="pl-PL" w:eastAsia="lt-LT"/>
                  </w:rPr>
                  <w:t xml:space="preserve">gyventojams ir visuomenės sveikatai, </w:t>
                </w:r>
                <w:r>
                  <w:rPr>
                    <w:strike/>
                    <w:color w:val="000000"/>
                    <w:szCs w:val="24"/>
                    <w:lang w:val="pl-PL" w:eastAsia="lt-LT"/>
                  </w:rPr>
                  <w:t>aplinkai, kultūros paveldui ir ūkinei veiklai);</w:t>
                </w:r>
              </w:p>
              <w:p w14:paraId="0D051D87" w14:textId="77777777">
                <w:pPr>
                  <w:suppressAutoHyphens/>
                  <w:ind w:firstLine="709"/>
                  <w:jc w:val="both"/>
                  <w:rPr>
                    <w:szCs w:val="24"/>
                    <w:lang w:val="pl-PL" w:eastAsia="lt-LT"/>
                  </w:rPr>
                </w:pPr>
                <w:r>
                  <w:rPr>
                    <w:strike/>
                    <w:szCs w:val="24"/>
                    <w:lang w:val="pl-PL" w:eastAsia="lt-LT"/>
                  </w:rPr>
                  <w:t>153.3. kiti žemėlapiai, kai projekto pažeidžiamumas siejamas su kitomis rizikomis (pvz., šalia esantys pavojingi objektai, karstinio regiono zona), kuriame pažymimi pavojingieji objektai, valstybinės reikšmės objektai, potencialios grėsmės.</w:t>
                </w:r>
              </w:p>
              <w:p w14:paraId="184A8229" w14:textId="77777777">
                <w:pPr>
                  <w:suppressAutoHyphens/>
                  <w:ind w:firstLine="709"/>
                  <w:jc w:val="center"/>
                  <w:rPr>
                    <w:b/>
                    <w:szCs w:val="24"/>
                    <w:lang w:val="en-GB" w:eastAsia="lt-LT"/>
                  </w:rPr>
                </w:pPr>
                <w:r>
                  <w:rPr>
                    <w:b/>
                    <w:bCs/>
                    <w:szCs w:val="24"/>
                    <w:lang w:val="en-GB" w:eastAsia="lt-LT"/>
                  </w:rPr>
                  <w:t xml:space="preserve">DEVINTASIS </w:t>
                </w:r>
                <w:r>
                  <w:rPr>
                    <w:b/>
                    <w:szCs w:val="24"/>
                    <w:lang w:val="en-GB" w:eastAsia="lt-LT"/>
                  </w:rPr>
                  <w:t>SKIRSNIS</w:t>
                </w:r>
              </w:p>
              <w:p w14:paraId="7D70289F" w14:textId="77777777">
                <w:pPr>
                  <w:ind w:firstLine="709"/>
                  <w:jc w:val="center"/>
                  <w:rPr>
                    <w:b/>
                    <w:bCs/>
                    <w:szCs w:val="24"/>
                    <w:lang w:eastAsia="lt-LT"/>
                  </w:rPr>
                </w:pPr>
                <w:r>
                  <w:rPr>
                    <w:b/>
                    <w:bCs/>
                    <w:szCs w:val="24"/>
                    <w:lang w:eastAsia="lt-LT"/>
                  </w:rPr>
                  <w:t>RIZIKOS ANALIZĖ</w:t>
                </w:r>
              </w:p>
              <w:p w14:paraId="52D351C6" w14:textId="77777777">
                <w:pPr>
                  <w:suppressAutoHyphens/>
                  <w:ind w:firstLine="709"/>
                  <w:rPr>
                    <w:b/>
                    <w:szCs w:val="24"/>
                    <w:lang w:val="en-GB" w:eastAsia="lt-LT"/>
                  </w:rPr>
                </w:pPr>
              </w:p>
              <w:p w14:paraId="0FF4F612" w14:textId="77777777">
                <w:pPr>
                  <w:suppressAutoHyphens/>
                  <w:ind w:firstLine="709"/>
                  <w:rPr>
                    <w:szCs w:val="24"/>
                    <w:lang w:val="en-GB" w:eastAsia="lt-LT"/>
                  </w:rPr>
                </w:pPr>
                <w:r>
                  <w:rPr>
                    <w:b/>
                    <w:szCs w:val="24"/>
                    <w:lang w:val="en-GB" w:eastAsia="lt-LT"/>
                  </w:rPr>
                  <w:t>Esamos būklės aprašymas</w:t>
                </w:r>
                <w:r>
                  <w:rPr>
                    <w:szCs w:val="24"/>
                    <w:lang w:val="en-GB" w:eastAsia="lt-LT"/>
                  </w:rPr>
                  <w:t xml:space="preserve"> </w:t>
                </w:r>
              </w:p>
              <w:p w14:paraId="4390BB8C" w14:textId="77777777">
                <w:pPr>
                  <w:ind w:firstLine="709"/>
                  <w:jc w:val="both"/>
                  <w:rPr>
                    <w:b/>
                    <w:szCs w:val="24"/>
                    <w:lang w:eastAsia="lt-LT"/>
                  </w:rPr>
                </w:pPr>
                <w:r>
                  <w:rPr>
                    <w:b/>
                    <w:szCs w:val="24"/>
                    <w:lang w:eastAsia="lt-LT"/>
                  </w:rPr>
                  <w:t xml:space="preserve">143. Pateikiama informacija apie artimoje planuojamos ūkinės veiklos aplinkoje esančius: </w:t>
                </w:r>
              </w:p>
              <w:p w14:paraId="2277CDBE" w14:textId="77777777">
                <w:pPr>
                  <w:ind w:firstLine="709"/>
                  <w:jc w:val="both"/>
                  <w:rPr>
                    <w:b/>
                    <w:szCs w:val="24"/>
                    <w:lang w:eastAsia="lt-LT"/>
                  </w:rPr>
                </w:pPr>
                <w:r>
                  <w:rPr>
                    <w:b/>
                    <w:szCs w:val="24"/>
                    <w:lang w:eastAsia="lt-LT"/>
                  </w:rPr>
                  <w:t xml:space="preserve">143.1. pavojinguosius objektus, kuriuose gaminamos, naudojamos, tvarkomos ar laikomos pavojingosios medžiagos; </w:t>
                </w:r>
              </w:p>
              <w:p w14:paraId="691CAA5E" w14:textId="77777777">
                <w:pPr>
                  <w:ind w:firstLine="709"/>
                  <w:jc w:val="both"/>
                  <w:rPr>
                    <w:b/>
                    <w:szCs w:val="24"/>
                    <w:lang w:eastAsia="lt-LT"/>
                  </w:rPr>
                </w:pPr>
                <w:r>
                  <w:rPr>
                    <w:b/>
                    <w:szCs w:val="24"/>
                    <w:lang w:eastAsia="lt-LT"/>
                  </w:rPr>
                  <w:t xml:space="preserve">143.2. valstybinės reikšmės objektus, kurie užtikrina valstybei svarbių ūkio objektų ar infrastruktūros (pvz., energetikos, transporto, telekomunikacijų) funkcionavimą; </w:t>
                </w:r>
              </w:p>
              <w:p w14:paraId="0BC0C8C5" w14:textId="77777777">
                <w:pPr>
                  <w:ind w:firstLine="709"/>
                  <w:jc w:val="both"/>
                  <w:rPr>
                    <w:b/>
                    <w:szCs w:val="24"/>
                    <w:lang w:eastAsia="lt-LT"/>
                  </w:rPr>
                </w:pPr>
                <w:r>
                  <w:rPr>
                    <w:b/>
                    <w:szCs w:val="24"/>
                    <w:lang w:eastAsia="lt-LT"/>
                  </w:rPr>
                  <w:t xml:space="preserve">143.3. inžinierinius tinklus, kurie gali patirti ekstremaliųjų įvykių poveikį (pvz., elektros stotys, linijos, dujų tiekimo sistemos, vandens tiekimo, nuotekų tvarkymo tinklai, vandens valymo įrenginiai); </w:t>
                </w:r>
              </w:p>
              <w:p w14:paraId="7DE2E143" w14:textId="77777777">
                <w:pPr>
                  <w:ind w:firstLine="709"/>
                  <w:jc w:val="both"/>
                  <w:rPr>
                    <w:b/>
                    <w:szCs w:val="24"/>
                    <w:lang w:eastAsia="lt-LT"/>
                  </w:rPr>
                </w:pPr>
                <w:r>
                  <w:rPr>
                    <w:b/>
                    <w:szCs w:val="24"/>
                    <w:lang w:eastAsia="lt-LT"/>
                  </w:rPr>
                  <w:t xml:space="preserve">143.4. sklypus ar teritorijas – jų žemės naudojimo paskirtį (pvz., miškų, vandens, konservacinės ar kitos paskirties), atsižvelgiant į galimą ekstremaliųjų įvykių poveikį; </w:t>
                </w:r>
              </w:p>
              <w:p w14:paraId="03E8D449" w14:textId="77777777">
                <w:pPr>
                  <w:ind w:firstLine="709"/>
                  <w:jc w:val="both"/>
                  <w:rPr>
                    <w:b/>
                    <w:szCs w:val="24"/>
                    <w:lang w:eastAsia="lt-LT"/>
                  </w:rPr>
                </w:pPr>
                <w:r>
                  <w:rPr>
                    <w:b/>
                    <w:szCs w:val="24"/>
                    <w:lang w:eastAsia="lt-LT"/>
                  </w:rPr>
                  <w:t xml:space="preserve">143.5. gamtinių įvykių (pvz., žemės drebėjimų, karstinių reiškinių, nuošliaužų, įgriuvų, potvynių) zonas, kurios dėl savo vietos, stiprumo ir dažnumo kelia grėsmę planuojamai ūkinei veiklai; </w:t>
                </w:r>
              </w:p>
              <w:p w14:paraId="16249B43" w14:textId="77777777">
                <w:pPr>
                  <w:ind w:firstLine="709"/>
                  <w:jc w:val="both"/>
                  <w:rPr>
                    <w:b/>
                    <w:szCs w:val="24"/>
                    <w:lang w:eastAsia="lt-LT"/>
                  </w:rPr>
                </w:pPr>
                <w:r>
                  <w:rPr>
                    <w:b/>
                    <w:szCs w:val="24"/>
                    <w:lang w:eastAsia="lt-LT"/>
                  </w:rPr>
                  <w:t xml:space="preserve">143.6. gyvenamąsias vietoves, gyventojų skaičių jose; </w:t>
                </w:r>
              </w:p>
              <w:p w14:paraId="1565094C" w14:textId="77777777">
                <w:pPr>
                  <w:ind w:firstLine="709"/>
                  <w:jc w:val="both"/>
                  <w:rPr>
                    <w:b/>
                    <w:szCs w:val="24"/>
                    <w:lang w:eastAsia="lt-LT"/>
                  </w:rPr>
                </w:pPr>
                <w:r>
                  <w:rPr>
                    <w:b/>
                    <w:szCs w:val="24"/>
                    <w:lang w:eastAsia="lt-LT"/>
                  </w:rPr>
                  <w:t xml:space="preserve">143.7. įmones ir organizacijas, jose dirbančių darbuotojų skaičių; </w:t>
                </w:r>
              </w:p>
              <w:p w14:paraId="602265AD" w14:textId="77777777">
                <w:pPr>
                  <w:ind w:firstLine="709"/>
                  <w:jc w:val="both"/>
                  <w:rPr>
                    <w:b/>
                    <w:szCs w:val="24"/>
                    <w:lang w:eastAsia="lt-LT"/>
                  </w:rPr>
                </w:pPr>
                <w:r>
                  <w:rPr>
                    <w:b/>
                    <w:szCs w:val="24"/>
                    <w:lang w:eastAsia="lt-LT"/>
                  </w:rPr>
                  <w:t xml:space="preserve">143.8. masinio visuomenės susibūrimo vietas (pvz., stadionus, parkus), visuomeninės paskirties objektus (pvz., mokyklas, ligonines, bažnyčias). </w:t>
                </w:r>
              </w:p>
              <w:p w14:paraId="22A3791D" w14:textId="77777777">
                <w:pPr>
                  <w:ind w:firstLine="709"/>
                  <w:jc w:val="both"/>
                  <w:rPr>
                    <w:b/>
                    <w:szCs w:val="24"/>
                    <w:lang w:eastAsia="lt-LT"/>
                  </w:rPr>
                </w:pPr>
                <w:r>
                  <w:rPr>
                    <w:b/>
                    <w:szCs w:val="24"/>
                    <w:lang w:eastAsia="lt-LT"/>
                  </w:rPr>
                  <w:t xml:space="preserve">Numatomas reikšmingas poveikis </w:t>
                </w:r>
              </w:p>
              <w:p w14:paraId="746A0A26" w14:textId="77777777">
                <w:pPr>
                  <w:ind w:firstLine="709"/>
                  <w:jc w:val="both"/>
                  <w:rPr>
                    <w:b/>
                    <w:szCs w:val="24"/>
                    <w:lang w:eastAsia="lt-LT"/>
                  </w:rPr>
                </w:pPr>
                <w:r>
                  <w:rPr>
                    <w:b/>
                    <w:szCs w:val="24"/>
                    <w:lang w:eastAsia="lt-LT"/>
                  </w:rPr>
                  <w:t xml:space="preserve">144. Atliekant rizikos analizę, vertinamas galimas planuojamos ūkinės veiklos poveikis aplinkos elementams ir visuomenės sveikatai dėl planuojamos ūkinės veiklos metu galimų įvykių, didelių pramoninių avarijų, </w:t>
                </w:r>
                <w:r>
                  <w:rPr>
                    <w:b/>
                    <w:color w:val="000000"/>
                    <w:szCs w:val="24"/>
                    <w:lang w:eastAsia="lt-LT"/>
                  </w:rPr>
                  <w:t>branduolinių ar radiologinių</w:t>
                </w:r>
                <w:r>
                  <w:rPr>
                    <w:b/>
                    <w:szCs w:val="24"/>
                    <w:lang w:eastAsia="lt-LT"/>
                  </w:rPr>
                  <w:t xml:space="preserve"> avarijų, nelaimingų atsitikimų, ekstremaliųjų įvykių ir (ar) galimų ekstremaliųjų situacijų. Taip pat vertinamas už planuojamos veiklos ribų esančių objektų ar gamtinių, socialinių, ekologinių ar biologinių reiškinių sukeltas poveikis planuojamai ūkinei veiklai ir jos tęstinumui. </w:t>
                </w:r>
              </w:p>
              <w:p w14:paraId="231451FC" w14:textId="77777777">
                <w:pPr>
                  <w:ind w:firstLine="709"/>
                  <w:jc w:val="both"/>
                  <w:rPr>
                    <w:b/>
                    <w:szCs w:val="24"/>
                    <w:lang w:eastAsia="lt-LT"/>
                  </w:rPr>
                </w:pPr>
                <w:r>
                  <w:rPr>
                    <w:b/>
                    <w:szCs w:val="24"/>
                    <w:lang w:eastAsia="lt-LT"/>
                  </w:rPr>
                  <w:t xml:space="preserve">145. Atliekant rizikos analizę, vadovaujamasi Ekstremaliųjų įvykių kriterijų sąrašu, patvirtintu Lietuvos Respublikos Vyriausybės 2006 m. kovo 9 d. nutarimu Nr. 241 „Dėl Ekstremaliųjų įvykių kriterijų sąrašo patvirtinimo“, (toliau – Ekstremaliųjų įvykių kriterijų sąrašas), Stichinių, katastrofinių meteorologinių ir hidrologinių reiškinių rodikliais, patvirtintais Lietuvos Respublikos aplinkos ministro 2011 m. lapkričio 11 d. įsakymu Nr. D1-870 „Dėl Stichinių, katastrofinių meteorologinių ir hidrologinių reiškinių rodiklių patvirtinimo“, (toliau – Stichinių, katastrofinių meteorologinių ir hidrologinių reiškinių rodikliai), Ūkio subjekto, kitos įstaigos galimų pavojų ir ekstremaliųjų situacijų rizikos analizės metodinėmis rekomendacijomis, tvirtinamomis Priešgaisrinės apsaugos ir gelbėjimo departamento prie Vidaus reikalų ministerijos direktoriaus įsakymu. Atliekant pavojingųjų objektų planuojamos ūkinės veiklos arba planuojamos ūkinės veiklos, dėl kurios bus reikalinga registruoti naują pavojingąjį objektą rizikos analizę, galimų avarinių situacijų prognozavimą, vertinimą ir prevencinių priemonių numatymą, Pavojingojo objekto, kuriame pavojingųjų medžiagų kiekiai prilygsta nustatytųjų kvalifikacinių kiekių aukštesniajam lygiui ar jį viršija, saugos ataskaitos rengimo rekomendacijose, tvirtinamose Priešgaisrinės apsaugos ir gelbėjimo departamento prie Vidaus reikalų ministerijos direktoriaus įsakymu, pateiktais rizikos analizės minimaliais reikalavimais ir įvertinti planuojamos ūkinės veiklos keliamą individualią ir socialinę riziką. </w:t>
                </w:r>
              </w:p>
              <w:p w14:paraId="5D9A05E4" w14:textId="77777777">
                <w:pPr>
                  <w:ind w:firstLine="709"/>
                  <w:jc w:val="both"/>
                  <w:rPr>
                    <w:b/>
                    <w:szCs w:val="24"/>
                    <w:lang w:eastAsia="lt-LT"/>
                  </w:rPr>
                </w:pPr>
                <w:r>
                  <w:rPr>
                    <w:b/>
                    <w:szCs w:val="24"/>
                    <w:lang w:eastAsia="lt-LT"/>
                  </w:rPr>
                  <w:t xml:space="preserve">146. Atliekant rizikos analizę: </w:t>
                </w:r>
              </w:p>
              <w:p w14:paraId="78E0D165" w14:textId="77777777">
                <w:pPr>
                  <w:ind w:firstLine="709"/>
                  <w:jc w:val="both"/>
                  <w:rPr>
                    <w:b/>
                    <w:szCs w:val="24"/>
                    <w:lang w:eastAsia="lt-LT"/>
                  </w:rPr>
                </w:pPr>
                <w:r>
                  <w:rPr>
                    <w:b/>
                    <w:szCs w:val="24"/>
                    <w:lang w:eastAsia="lt-LT"/>
                  </w:rPr>
                  <w:t xml:space="preserve">146.1. analizuojami atskiri planuojamos ūkinės veiklos rizikos objektai (pvz., įvairios paskirties statiniai, įrenginiai, talpos, transportas ir jo infrastruktūra); </w:t>
                </w:r>
              </w:p>
              <w:p w14:paraId="63CDFA2A" w14:textId="77777777">
                <w:pPr>
                  <w:ind w:firstLine="709"/>
                  <w:jc w:val="both"/>
                  <w:rPr>
                    <w:b/>
                    <w:szCs w:val="24"/>
                    <w:lang w:eastAsia="lt-LT"/>
                  </w:rPr>
                </w:pPr>
                <w:r>
                  <w:rPr>
                    <w:b/>
                    <w:szCs w:val="24"/>
                    <w:lang w:eastAsia="lt-LT"/>
                  </w:rPr>
                  <w:t xml:space="preserve">146.2. analizuojamos rizikos objektuose atliekamos operacijos (veiklos), kurios gali būti susijusios su galimų įvykių, didelių pramoninių avarijų, </w:t>
                </w:r>
                <w:r>
                  <w:rPr>
                    <w:b/>
                    <w:color w:val="000000"/>
                    <w:szCs w:val="24"/>
                    <w:lang w:eastAsia="lt-LT"/>
                  </w:rPr>
                  <w:t>branduolinių ar radiologinių</w:t>
                </w:r>
                <w:r>
                  <w:rPr>
                    <w:b/>
                    <w:szCs w:val="24"/>
                    <w:lang w:eastAsia="lt-LT"/>
                  </w:rPr>
                  <w:t xml:space="preserve"> avarijų, nelaimingų atsitikimų, ekstremaliųjų įvykių ir (ar) galimų ekstremaliųjų situacijų grėsme (pvz., gamyba, perdirbimas, surinkimas, pakavimas, saugojimas, krovimas, transportavimas, pardavimas); </w:t>
                </w:r>
              </w:p>
              <w:p w14:paraId="7002FB71" w14:textId="77777777">
                <w:pPr>
                  <w:ind w:firstLine="709"/>
                  <w:jc w:val="both"/>
                  <w:rPr>
                    <w:b/>
                    <w:szCs w:val="24"/>
                    <w:lang w:eastAsia="lt-LT"/>
                  </w:rPr>
                </w:pPr>
                <w:r>
                  <w:rPr>
                    <w:b/>
                    <w:szCs w:val="24"/>
                    <w:lang w:eastAsia="lt-LT"/>
                  </w:rPr>
                  <w:t xml:space="preserve">146.3. analizuojami pavojingieji veiksniai, kurie gali būti susiję su galimų įvykių, didelių pramoninių avarijų, kitų avarijų, nelaimingų atsitikimų, ekstremaliųjų įvykių ir (ar) galimų ekstremaliųjų situacijų grėsme, įskaitant, bet neapsiribojant: </w:t>
                </w:r>
              </w:p>
              <w:p w14:paraId="3D750441" w14:textId="77777777">
                <w:pPr>
                  <w:ind w:firstLine="709"/>
                  <w:jc w:val="both"/>
                  <w:rPr>
                    <w:b/>
                    <w:szCs w:val="24"/>
                    <w:lang w:eastAsia="lt-LT"/>
                  </w:rPr>
                </w:pPr>
                <w:r>
                  <w:rPr>
                    <w:b/>
                    <w:szCs w:val="24"/>
                    <w:lang w:eastAsia="lt-LT"/>
                  </w:rPr>
                  <w:t xml:space="preserve">146.3.1. cheminių medžiagų ir cheminių mišinių, įskaitant ir pavojingąsias chemines medžiagas ir cheminius mišinius, kurios pagal 2008 m. gruodžio 16 d. Europos Parlamento ir Tarybos reglamentą </w:t>
                </w:r>
                <w:fldSimple w:instr="HYPERLINK http://eur-lex.europa.eu/legal-content/LIT/TXT/?uri=CELEX:32008R1272&amp;locale=lt \t _blank">
                  <w:r>
                    <w:rPr>
                      <w:b/>
                      <w:szCs w:val="24"/>
                      <w:lang w:eastAsia="lt-LT"/>
                      <w:u w:val="single"/>
                      <w:color w:val="0000FF" w:themeColor="hyperlink"/>
                    </w:rPr>
                    <w:t>(EB) Nr. 1272/2008</w:t>
                  </w:r>
                </w:fldSimple>
                <w:r>
                  <w:rPr>
                    <w:b/>
                    <w:bCs/>
                    <w:szCs w:val="24"/>
                    <w:shd w:val="clear" w:color="auto" w:fill="FFFFFF"/>
                    <w:lang w:eastAsia="lt-LT"/>
                  </w:rPr>
                  <w:t xml:space="preserve"> dėl cheminių medžiagų ir mišinių klasifikavimo, ženklinimo ir pakavimo, iš dalies keičiantis ir panaikinantis direktyvas </w:t>
                </w:r>
                <w:fldSimple w:instr="HYPERLINK http://eur-lex.europa.eu/legal-content/LIT/TXT/?uri=CELEX:31967L0548&amp;locale=lt \t _blank">
                  <w:r>
                    <w:rPr>
                      <w:b/>
                      <w:bCs/>
                      <w:szCs w:val="24"/>
                      <w:shd w:val="clear" w:color="auto" w:fill="FFFFFF"/>
                      <w:lang w:eastAsia="lt-LT"/>
                      <w:u w:val="single"/>
                      <w:color w:val="0000FF" w:themeColor="hyperlink"/>
                    </w:rPr>
                    <w:t>67/548/EEB</w:t>
                  </w:r>
                </w:fldSimple>
                <w:r>
                  <w:rPr>
                    <w:b/>
                    <w:bCs/>
                    <w:szCs w:val="24"/>
                    <w:shd w:val="clear" w:color="auto" w:fill="FFFFFF"/>
                    <w:lang w:eastAsia="lt-LT"/>
                  </w:rPr>
                  <w:t xml:space="preserve"> bei </w:t>
                </w:r>
                <w:fldSimple w:instr="HYPERLINK http://eur-lex.europa.eu/legal-content/LIT/TXT/?uri=CELEX:31999L0045&amp;locale=lt \t _blank">
                  <w:r>
                    <w:rPr>
                      <w:b/>
                      <w:bCs/>
                      <w:szCs w:val="24"/>
                      <w:shd w:val="clear" w:color="auto" w:fill="FFFFFF"/>
                      <w:lang w:eastAsia="lt-LT"/>
                      <w:u w:val="single"/>
                      <w:color w:val="0000FF" w:themeColor="hyperlink"/>
                    </w:rPr>
                    <w:t>1999/45/EB</w:t>
                  </w:r>
                </w:fldSimple>
                <w:r>
                  <w:rPr>
                    <w:b/>
                    <w:bCs/>
                    <w:szCs w:val="24"/>
                    <w:shd w:val="clear" w:color="auto" w:fill="FFFFFF"/>
                    <w:lang w:eastAsia="lt-LT"/>
                  </w:rPr>
                  <w:t xml:space="preserve"> ir iš dalies keičiantis Reglamentą </w:t>
                </w:r>
                <w:fldSimple w:instr="HYPERLINK http://eur-lex.europa.eu/legal-content/LIT/TXT/?uri=CELEX:32006R1907&amp;locale=lt \t _blank">
                  <w:r>
                    <w:rPr>
                      <w:b/>
                      <w:bCs/>
                      <w:szCs w:val="24"/>
                      <w:shd w:val="clear" w:color="auto" w:fill="FFFFFF"/>
                      <w:lang w:eastAsia="lt-LT"/>
                      <w:u w:val="single"/>
                      <w:color w:val="0000FF" w:themeColor="hyperlink"/>
                    </w:rPr>
                    <w:t>(EB) Nr. 1907/2006</w:t>
                  </w:r>
                </w:fldSimple>
                <w:r>
                  <w:rPr>
                    <w:b/>
                    <w:bCs/>
                    <w:szCs w:val="24"/>
                    <w:shd w:val="clear" w:color="auto" w:fill="FFFFFF"/>
                    <w:lang w:eastAsia="lt-LT"/>
                  </w:rPr>
                  <w:t xml:space="preserve"> su visais pakeitimais</w:t>
                </w:r>
                <w:r>
                  <w:rPr>
                    <w:b/>
                    <w:szCs w:val="24"/>
                    <w:lang w:eastAsia="lt-LT"/>
                  </w:rPr>
                  <w:t xml:space="preserve">, klasifikuojamos kaip pavojingos, radioaktyvių medžiagų gamyba, naudojimas ar saugojimas, atsižvelgiant į tokių medžiagų ir mišinių kiekį bei savybes (pvz., toksiškumas, degumas, sprogumas); </w:t>
                </w:r>
              </w:p>
              <w:p w14:paraId="4D310229" w14:textId="77777777">
                <w:pPr>
                  <w:ind w:firstLine="709"/>
                  <w:jc w:val="both"/>
                  <w:rPr>
                    <w:b/>
                    <w:szCs w:val="24"/>
                    <w:lang w:eastAsia="lt-LT"/>
                  </w:rPr>
                </w:pPr>
                <w:r>
                  <w:rPr>
                    <w:b/>
                    <w:szCs w:val="24"/>
                    <w:lang w:eastAsia="lt-LT"/>
                  </w:rPr>
                  <w:t xml:space="preserve">146.3.2. pavojingųjų, nepavojingųjų ir radioaktyviųjų atliekų susidarymas, laikymas, naudojimas ir šalinimas, įskaitant informaciją apie pavojingųjų atliekų technologinius srautus, planuojamą jų kiekį, tvarkymą; </w:t>
                </w:r>
              </w:p>
              <w:p w14:paraId="6C2CC2D9" w14:textId="77777777">
                <w:pPr>
                  <w:ind w:firstLine="709"/>
                  <w:jc w:val="both"/>
                  <w:rPr>
                    <w:b/>
                    <w:szCs w:val="24"/>
                    <w:lang w:eastAsia="lt-LT"/>
                  </w:rPr>
                </w:pPr>
                <w:r>
                  <w:rPr>
                    <w:b/>
                    <w:szCs w:val="24"/>
                    <w:lang w:eastAsia="lt-LT"/>
                  </w:rPr>
                  <w:t xml:space="preserve">146.3.3. techninės, technologinės ar sandėliavimo sąlygos, turinčios įtakos talpų, vamzdynų ir technologinės įrangos išsihermetinimui, gaisrui ar sprogimui, statinių griūčiai dėl technologinių sutrikimų, personalo klaidų, erozijos/korozijos, mechaninių pažeidimų, autoįvykių, terorizmo/sabotažo ir pan.; </w:t>
                </w:r>
              </w:p>
              <w:p w14:paraId="0C3BE483" w14:textId="77777777">
                <w:pPr>
                  <w:ind w:firstLine="709"/>
                  <w:jc w:val="both"/>
                  <w:rPr>
                    <w:b/>
                    <w:szCs w:val="24"/>
                    <w:lang w:eastAsia="lt-LT"/>
                  </w:rPr>
                </w:pPr>
                <w:r>
                  <w:rPr>
                    <w:b/>
                    <w:szCs w:val="24"/>
                    <w:lang w:eastAsia="lt-LT"/>
                  </w:rPr>
                  <w:t xml:space="preserve">146.3.4. transporto (kelių, geležinkelių, vandens, oro) organizavimas ir jo intensyvumas planuojamos ūkinės veiklos vykdymo metu; </w:t>
                </w:r>
              </w:p>
              <w:p w14:paraId="70BA3BCC" w14:textId="77777777">
                <w:pPr>
                  <w:ind w:firstLine="709"/>
                  <w:jc w:val="both"/>
                  <w:rPr>
                    <w:b/>
                    <w:szCs w:val="24"/>
                    <w:lang w:eastAsia="lt-LT"/>
                  </w:rPr>
                </w:pPr>
                <w:r>
                  <w:rPr>
                    <w:b/>
                    <w:szCs w:val="24"/>
                    <w:lang w:eastAsia="lt-LT"/>
                  </w:rPr>
                  <w:t xml:space="preserve">146.3.5. planuojamos ūkinės veiklos pažeidžiamumas dėl įvairaus pobūdžio ligų protrūkio, epidemijų, pandemijų ir kitų biologinės kilmės įvykių; </w:t>
                </w:r>
              </w:p>
              <w:p w14:paraId="3394E284" w14:textId="77777777">
                <w:pPr>
                  <w:ind w:firstLine="709"/>
                  <w:jc w:val="both"/>
                  <w:rPr>
                    <w:b/>
                    <w:szCs w:val="24"/>
                    <w:lang w:eastAsia="lt-LT"/>
                  </w:rPr>
                </w:pPr>
                <w:r>
                  <w:rPr>
                    <w:b/>
                    <w:szCs w:val="24"/>
                    <w:lang w:eastAsia="lt-LT"/>
                  </w:rPr>
                  <w:t xml:space="preserve">146.3.6. terorizmo, sabotažo, nusikalstamos veikos ar kitų socialinės kilmės įvykių galimybė; </w:t>
                </w:r>
              </w:p>
              <w:p w14:paraId="71C2C0E2" w14:textId="77777777">
                <w:pPr>
                  <w:ind w:firstLine="709"/>
                  <w:jc w:val="both"/>
                  <w:rPr>
                    <w:b/>
                    <w:szCs w:val="24"/>
                    <w:lang w:eastAsia="lt-LT"/>
                  </w:rPr>
                </w:pPr>
                <w:r>
                  <w:rPr>
                    <w:b/>
                    <w:szCs w:val="24"/>
                    <w:lang w:eastAsia="lt-LT"/>
                  </w:rPr>
                  <w:t xml:space="preserve">146.3.7. branduolinio ar radiologinio incidento keliamas pavojus; </w:t>
                </w:r>
              </w:p>
              <w:p w14:paraId="576EA39F" w14:textId="77777777">
                <w:pPr>
                  <w:ind w:firstLine="709"/>
                  <w:jc w:val="both"/>
                  <w:rPr>
                    <w:b/>
                    <w:szCs w:val="24"/>
                    <w:lang w:eastAsia="lt-LT"/>
                  </w:rPr>
                </w:pPr>
                <w:r>
                  <w:rPr>
                    <w:b/>
                    <w:szCs w:val="24"/>
                    <w:lang w:eastAsia="lt-LT"/>
                  </w:rPr>
                  <w:t xml:space="preserve">146.3.8. ekstremalūs geologiniai, meteorologiniai ar hidrologiniai reiškiniai; </w:t>
                </w:r>
              </w:p>
              <w:p w14:paraId="4A87FEFA" w14:textId="77777777">
                <w:pPr>
                  <w:ind w:firstLine="709"/>
                  <w:jc w:val="both"/>
                  <w:rPr>
                    <w:b/>
                    <w:szCs w:val="24"/>
                    <w:lang w:eastAsia="lt-LT"/>
                  </w:rPr>
                </w:pPr>
                <w:r>
                  <w:rPr>
                    <w:b/>
                    <w:szCs w:val="24"/>
                    <w:lang w:eastAsia="lt-LT"/>
                  </w:rPr>
                  <w:t xml:space="preserve">146.3.9. neplanuotas energetikos, komunalinių, ryšių paslaugų nutraukimas; </w:t>
                </w:r>
              </w:p>
              <w:p w14:paraId="5E4D8C18" w14:textId="77777777">
                <w:pPr>
                  <w:ind w:firstLine="709"/>
                  <w:jc w:val="both"/>
                  <w:rPr>
                    <w:b/>
                    <w:szCs w:val="24"/>
                    <w:lang w:eastAsia="lt-LT"/>
                  </w:rPr>
                </w:pPr>
                <w:r>
                  <w:rPr>
                    <w:b/>
                    <w:szCs w:val="24"/>
                    <w:lang w:eastAsia="lt-LT"/>
                  </w:rPr>
                  <w:t xml:space="preserve">146.3.10. kiti veiksniai ir sąlygos, nustatyti vadovaujantis Ekstremaliųjų įvykių kriterijų sąrašu  ir Stichinių, katastrofinių meteorologinių ir hidrologinių reiškinių rodikliais; </w:t>
                </w:r>
              </w:p>
              <w:p w14:paraId="6004554D" w14:textId="77777777">
                <w:pPr>
                  <w:ind w:firstLine="709"/>
                  <w:jc w:val="both"/>
                  <w:rPr>
                    <w:b/>
                    <w:szCs w:val="24"/>
                    <w:lang w:eastAsia="lt-LT"/>
                  </w:rPr>
                </w:pPr>
                <w:r>
                  <w:rPr>
                    <w:b/>
                    <w:szCs w:val="24"/>
                    <w:lang w:eastAsia="lt-LT"/>
                  </w:rPr>
                  <w:t xml:space="preserve">146.4. analizuojami blogiausi (sukeliantys didžiausias, blogiausias, sunkiausias pasekmes) ir charakteringi (sukeliantys vidutines ar mažas labiausiai tikėtinas planuojamos ūkinės veiklos vykdymo metu pasekmes) galimų įvykių scenarijai; </w:t>
                </w:r>
              </w:p>
              <w:p w14:paraId="214949FC" w14:textId="77777777">
                <w:pPr>
                  <w:ind w:firstLine="709"/>
                  <w:jc w:val="both"/>
                  <w:rPr>
                    <w:b/>
                    <w:szCs w:val="24"/>
                    <w:lang w:eastAsia="lt-LT"/>
                  </w:rPr>
                </w:pPr>
                <w:r>
                  <w:rPr>
                    <w:b/>
                    <w:szCs w:val="24"/>
                    <w:lang w:eastAsia="lt-LT"/>
                  </w:rPr>
                  <w:t xml:space="preserve">146.5. analizuojama, kokio pobūdžio įvykius, dideles pramonines avarijas, kitas avarijas, nelaimingus atsitikimus, ekstremaliuosius įvykius ir (ar) galimas ekstremaliąsias situacijas (pvz., sprogimas, gaisras, pavojingų medžiagų išsiveržimas į aplinką, nekontroliuojamos cheminės reakcijos, išsilaisvinusi nevaldoma energija, griuvimas) gali sukelti pavojingi veiksniai pavieniui ar kartu su kitais pavojingais veiksniais, įskaitant tas, kurias gali lemti klimato kaita; </w:t>
                </w:r>
              </w:p>
              <w:p w14:paraId="13A80850" w14:textId="77777777">
                <w:pPr>
                  <w:ind w:firstLine="709"/>
                  <w:jc w:val="both"/>
                  <w:rPr>
                    <w:b/>
                    <w:szCs w:val="24"/>
                    <w:lang w:eastAsia="lt-LT"/>
                  </w:rPr>
                </w:pPr>
                <w:r>
                  <w:rPr>
                    <w:b/>
                    <w:szCs w:val="24"/>
                    <w:lang w:eastAsia="lt-LT"/>
                  </w:rPr>
                  <w:t xml:space="preserve">146.6. analizuojama, kokį poveikį planuojamos ūkinės veiklos sukeliami įvykiai, didelės pramoninės avarijos, kitos avarijos, nelaimingi atsitikimai, ekstremalieji įvykiai ir (ar) galimos ekstremaliosios situacijos gali daryti artimoje planuojamos ūkinės veiklos aplinkoje esantiems pavojingiesiems ir pažeidžiamiems objektams (pvz., keliams, geležinkeliams, oro ir jūrų uostams, gyvenamiesiems pastatams, parduotuvėms, sandėliams, degalinėms, pramonės objektams, elektros perdavimo linijoms, vandentiekio ir šilumos tinklams, nutekamojo vandens vamzdynams, vandenvietėms, gruntiniams bei paviršiniams vandenims, dujotiekiams bei naftotiekiams, saugykloms (rezervuarams), įmonėms ir organizacijoms, esančioms ir vykdančioms ūkinę veiklą nagrinėjamoje teritorijoje, ir kt.), aplinkos elementams ir visuomenės sveikatai (pvz., aplinkos oro, vandens, dirvožemio, žemės ir jos gelmių užteršimas cheminėmis, biologinėmis, radioaktyviomis medžiagomis ar kraštovaizdžio ir biologinės įvairovės, materialinių ir nekilnojamųjų kultūros paveldo vertybių sunaikinimas), ir kaip aplinkos objektai, elementai ir reiškiniai gali paveikti planuojamą ūkinę veiklą; </w:t>
                </w:r>
              </w:p>
              <w:p w14:paraId="3053AEA5" w14:textId="77777777">
                <w:pPr>
                  <w:ind w:firstLine="709"/>
                  <w:jc w:val="both"/>
                  <w:rPr>
                    <w:b/>
                    <w:szCs w:val="24"/>
                    <w:lang w:eastAsia="lt-LT"/>
                  </w:rPr>
                </w:pPr>
                <w:r>
                  <w:rPr>
                    <w:b/>
                    <w:szCs w:val="24"/>
                    <w:lang w:eastAsia="lt-LT"/>
                  </w:rPr>
                  <w:t xml:space="preserve">146.7. atsižvelgiant į analizuotus rizikos objektus, operacijas (veiklas) ir pavojinguosius veiksnius, nustatoma galimų įvykių, didelių pramoninių avarijų, </w:t>
                </w:r>
                <w:r>
                  <w:rPr>
                    <w:b/>
                    <w:color w:val="000000"/>
                    <w:szCs w:val="24"/>
                    <w:lang w:eastAsia="lt-LT"/>
                  </w:rPr>
                  <w:t>branduolinių ar radiologinių</w:t>
                </w:r>
                <w:r>
                  <w:rPr>
                    <w:b/>
                    <w:szCs w:val="24"/>
                    <w:lang w:eastAsia="lt-LT"/>
                  </w:rPr>
                  <w:t xml:space="preserve"> avarijų, nelaimingų atsitikimų, ekstremaliųjų įvykių ir (ar) galimų ekstremaliųjų situacijų galimo pavojaus padarinių (poveikio) zonos (išplitimas) ir tikimybė; </w:t>
                </w:r>
              </w:p>
              <w:p w14:paraId="155FB1A8" w14:textId="77777777">
                <w:pPr>
                  <w:ind w:firstLine="709"/>
                  <w:jc w:val="both"/>
                  <w:rPr>
                    <w:b/>
                    <w:szCs w:val="24"/>
                    <w:lang w:eastAsia="lt-LT"/>
                  </w:rPr>
                </w:pPr>
                <w:r>
                  <w:rPr>
                    <w:b/>
                    <w:szCs w:val="24"/>
                    <w:lang w:eastAsia="lt-LT"/>
                  </w:rPr>
                  <w:t xml:space="preserve">146.8. nustatoma galimų įvykių, didelių pramoninių avarijų, </w:t>
                </w:r>
                <w:r>
                  <w:rPr>
                    <w:b/>
                    <w:color w:val="000000"/>
                    <w:szCs w:val="24"/>
                    <w:lang w:eastAsia="lt-LT"/>
                  </w:rPr>
                  <w:t>branduolinių ar radiologinių</w:t>
                </w:r>
                <w:r>
                  <w:rPr>
                    <w:b/>
                    <w:szCs w:val="24"/>
                    <w:lang w:eastAsia="lt-LT"/>
                  </w:rPr>
                  <w:t xml:space="preserve"> avarijų, nelaimingų atsitikimų, ekstremaliųjų įvykių ir (ar) galimų ekstremaliųjų situacijų rizika, kurią nusako poveikio ir tikimybės dydžiai; </w:t>
                </w:r>
              </w:p>
              <w:p w14:paraId="132F38F9" w14:textId="77777777">
                <w:pPr>
                  <w:ind w:firstLine="709"/>
                  <w:jc w:val="both"/>
                  <w:rPr>
                    <w:b/>
                    <w:szCs w:val="24"/>
                    <w:lang w:eastAsia="lt-LT"/>
                  </w:rPr>
                </w:pPr>
                <w:r>
                  <w:rPr>
                    <w:b/>
                    <w:szCs w:val="24"/>
                    <w:lang w:eastAsia="lt-LT"/>
                  </w:rPr>
                  <w:t xml:space="preserve">146.9. nustatomas galimų įvykių, didelių pramoninių avarijų, </w:t>
                </w:r>
                <w:r>
                  <w:rPr>
                    <w:b/>
                    <w:color w:val="000000"/>
                    <w:szCs w:val="24"/>
                    <w:lang w:eastAsia="lt-LT"/>
                  </w:rPr>
                  <w:t>branduolinių ar radiologinių</w:t>
                </w:r>
                <w:r>
                  <w:rPr>
                    <w:b/>
                    <w:szCs w:val="24"/>
                    <w:lang w:eastAsia="lt-LT"/>
                  </w:rPr>
                  <w:t xml:space="preserve"> avarijų, nelaimingų atsitikimų, ekstremaliųjų įvykių ir (ar) galimų ekstremaliųjų situacijų rizikos priimtinumas. </w:t>
                </w:r>
              </w:p>
              <w:p w14:paraId="15A9721D" w14:textId="77777777">
                <w:pPr>
                  <w:ind w:firstLine="709"/>
                  <w:jc w:val="both"/>
                  <w:rPr>
                    <w:b/>
                    <w:szCs w:val="24"/>
                    <w:lang w:eastAsia="lt-LT"/>
                  </w:rPr>
                </w:pPr>
                <w:r>
                  <w:rPr>
                    <w:b/>
                    <w:szCs w:val="24"/>
                    <w:lang w:eastAsia="lt-LT"/>
                  </w:rPr>
                  <w:t>Reikšmingo neigiamo poveikio aplinkai išvengimo, sumažinimo ir kompensavimo priemonės</w:t>
                </w:r>
              </w:p>
              <w:p w14:paraId="208B8B38" w14:textId="77777777">
                <w:pPr>
                  <w:ind w:firstLine="709"/>
                  <w:jc w:val="both"/>
                  <w:rPr>
                    <w:b/>
                    <w:szCs w:val="24"/>
                    <w:lang w:eastAsia="lt-LT"/>
                  </w:rPr>
                </w:pPr>
                <w:r>
                  <w:rPr>
                    <w:b/>
                    <w:szCs w:val="24"/>
                    <w:lang w:eastAsia="lt-LT"/>
                  </w:rPr>
                  <w:t xml:space="preserve">147. Atlikus planuojamos ūkinės veiklos rizikos analizę, turi būti numatomos prevencinės ir likvidavimo priemonės, kurių numatoma imtis siekiant išvengti numatomo reikšmingo neigiamo poveikio, jį sumažinti ar, jeigu įmanoma, jį kompensuoti. Pateikiamas aprašymas priemonių, susijusių su pasirengimu ekstremaliosioms situacijoms ir siūlomu reagavimu į jas. Atlikus rizikos analizę, nurodoma, ar planuojantis ūkinę veiklą ūkio subjektas atitinka (atitiks) kriterijus ūkio subjektams ir kitoms įstaigoms, kurių vadovai turi organizuoti ekstremaliųjų situacijų valdymo planų rengimą, derinimą ir tvirtinimą, ir ūkio subjektams, kurių vadovai turi sudaryti ekstremaliųjų situacijų operacijų centrą, atvirtinamus Priešgaisrinės apsaugos ir gelbėjimo departamento prie Vidaus reikalų ministerijos direktoriaus įsakymu ir privalo (privalės) rengti (koreguoti) ekstremaliųjų situacijų valdymo planą, vadovaujantis Lietuvos Respublikos civilinės saugos įstatymo 16 straipsnį 3 dalies 9 punktu, ir ekstremaliųjų situacijų prevencijos priemonių planą. Esamų ar naujai registruojamų pavojingųjų objektų atveju nurodoma ar bus privaloma rengti (koreguoti) dokumentus, nurodytus Pramoninių avarijų prevencijos, likvidavimo ir tyrimo nuostatuose, patvirtintuose Lietuvos Respublikos Vyriausybės 2004 m. rugpjūčio 17 d. nutarimu Nr. 966 „Dėl Pramoninių avarijų prevencijos, likvidavimo ir tyrimo nuostatų ir Pavojingųjų medžiagų ir mišinių sąrašo, jų kvalifikacinių kiekių nustatymo ir cheminių medžiagų bei mišinių priskyrimo pavojingosioms medžiagoms kriterijų aprašo patvirtinimo“, (toliau – Pramoninių avarijų prevencijos, likvidavimo ir tyrimo nuostatai). </w:t>
                </w:r>
              </w:p>
              <w:p w14:paraId="24689E2A" w14:textId="77777777">
                <w:pPr>
                  <w:ind w:firstLine="709"/>
                  <w:jc w:val="both"/>
                  <w:rPr>
                    <w:b/>
                    <w:szCs w:val="24"/>
                    <w:lang w:eastAsia="lt-LT"/>
                  </w:rPr>
                </w:pPr>
                <w:r>
                  <w:rPr>
                    <w:b/>
                    <w:szCs w:val="24"/>
                    <w:lang w:eastAsia="lt-LT"/>
                  </w:rPr>
                  <w:t xml:space="preserve">148. Planuojamos ūkinės veiklos poveikio aplinkai vertinimo metu ekstremaliųjų situacijų valdymo planas, ekstremalių situacijų prevencijos priemonių planas ar pavojingųjų objektų dokumentai, nurodyti Pramoninių avarijų prevencijos, likvidavimo ir tyrimo nuostatuose, nerengiami. </w:t>
                </w:r>
              </w:p>
              <w:p w14:paraId="5C887B49" w14:textId="77777777">
                <w:pPr>
                  <w:ind w:firstLine="709"/>
                  <w:jc w:val="both"/>
                  <w:rPr>
                    <w:b/>
                    <w:szCs w:val="24"/>
                    <w:lang w:eastAsia="lt-LT"/>
                  </w:rPr>
                </w:pPr>
                <w:r>
                  <w:rPr>
                    <w:b/>
                    <w:szCs w:val="24"/>
                    <w:lang w:eastAsia="lt-LT"/>
                  </w:rPr>
                  <w:t xml:space="preserve">Grafinė medžiaga </w:t>
                </w:r>
              </w:p>
              <w:p w14:paraId="7AEE8B0A" w14:textId="77777777">
                <w:pPr>
                  <w:ind w:firstLine="709"/>
                  <w:jc w:val="both"/>
                  <w:rPr>
                    <w:b/>
                    <w:szCs w:val="24"/>
                    <w:lang w:eastAsia="lt-LT"/>
                  </w:rPr>
                </w:pPr>
                <w:r>
                  <w:rPr>
                    <w:b/>
                    <w:szCs w:val="24"/>
                    <w:lang w:eastAsia="lt-LT"/>
                  </w:rPr>
                  <w:t xml:space="preserve">149. Pridedama grafinė medžiaga. </w:t>
                </w:r>
                <w:r>
                  <w:rPr>
                    <w:b/>
                    <w:color w:val="000000"/>
                    <w:szCs w:val="24"/>
                    <w:lang w:eastAsia="lt-LT"/>
                  </w:rPr>
                  <w:t>Žemėlapio mastelis (1:500, 1:1000, 1:2000; 1:5000, 1:10 000, 1:50 000) pasirenkamas įvertinus planuojamos ūkinės veiklos apimtį, planuojamos teritorijos ir teritorijos, kurią planuojama ūkinė veikla gali paveikti, arba kurioje esančios gamtinių įvykių zonos gali paveikti planuojamą ūkinę veiklą, dydį, planuojamos ūkinės veiklos specifiką</w:t>
                </w:r>
                <w:r>
                  <w:rPr>
                    <w:b/>
                    <w:szCs w:val="24"/>
                    <w:lang w:eastAsia="lt-LT"/>
                  </w:rPr>
                  <w:t xml:space="preserve">: </w:t>
                </w:r>
              </w:p>
              <w:p w14:paraId="2C58F193" w14:textId="77777777">
                <w:pPr>
                  <w:ind w:firstLine="709"/>
                  <w:jc w:val="both"/>
                  <w:rPr>
                    <w:b/>
                    <w:szCs w:val="24"/>
                    <w:lang w:eastAsia="lt-LT"/>
                  </w:rPr>
                </w:pPr>
                <w:r>
                  <w:rPr>
                    <w:b/>
                    <w:szCs w:val="24"/>
                    <w:lang w:eastAsia="lt-LT"/>
                  </w:rPr>
                  <w:t>149.1. potvynių grėsmės žemėlapis (kuriame nustatyti dėl įvairios kilmės ir tikimybės potvynių užliejamų teritorijų plotai), jei artimoje planuojamos ūkinės veiklos aplinkoje yra potvynių zonos;</w:t>
                </w:r>
              </w:p>
              <w:p w14:paraId="6B386074" w14:textId="77777777">
                <w:pPr>
                  <w:ind w:firstLine="709"/>
                  <w:jc w:val="both"/>
                  <w:rPr>
                    <w:b/>
                    <w:szCs w:val="24"/>
                    <w:lang w:eastAsia="lt-LT"/>
                  </w:rPr>
                </w:pPr>
                <w:r>
                  <w:rPr>
                    <w:b/>
                    <w:szCs w:val="24"/>
                    <w:lang w:eastAsia="lt-LT"/>
                  </w:rPr>
                  <w:t>149.2. potvynių rizikos žemėlapis (kuriame įvertinti galimi su potvyniais susiję neigiami poveikiai gyventojams ir visuomenės sveikatai, aplinkai, kultūros paveldui ir ūkinei veiklai), jei artimoje planuojamos ūkinės veiklos aplinkoje yra potvynių zonos;</w:t>
                </w:r>
              </w:p>
              <w:p w14:paraId="6CD929FD" w14:textId="77777777">
                <w:pPr>
                  <w:ind w:firstLine="709"/>
                  <w:jc w:val="both"/>
                  <w:rPr>
                    <w:b/>
                    <w:szCs w:val="24"/>
                    <w:lang w:eastAsia="lt-LT"/>
                  </w:rPr>
                </w:pPr>
                <w:r>
                  <w:rPr>
                    <w:b/>
                    <w:szCs w:val="24"/>
                    <w:lang w:eastAsia="lt-LT"/>
                  </w:rPr>
                  <w:t xml:space="preserve">149.3. planuojamos ūkinės veiklos poveikio aplinkai, įvykus galimam įvykiui, didelei pramoninei avarijai, branduolinei ar radiologinei avarijai, ekstremaliajam įvykiui ir (ar) galimai ekstremaliajai situacijai, zonos (išplitimo) žemėlapiai; </w:t>
                </w:r>
              </w:p>
              <w:p w14:paraId="622CC5D2" w14:textId="77777777">
                <w:pPr>
                  <w:ind w:firstLine="709"/>
                  <w:jc w:val="both"/>
                  <w:rPr>
                    <w:b/>
                    <w:szCs w:val="24"/>
                    <w:lang w:eastAsia="lt-LT"/>
                  </w:rPr>
                </w:pPr>
                <w:r>
                  <w:rPr>
                    <w:b/>
                    <w:szCs w:val="24"/>
                    <w:lang w:eastAsia="lt-LT"/>
                  </w:rPr>
                  <w:t>149.4. kiti žemėlapiai, kai planuojamos ūkinės veiklos pažeidžiamumas siejamas su kitomis rizikomis (pvz., šalia esantys pavojingi objektai, karstinio regiono zona), kuriame pažymimi pavojingieji objektai, valstybinės reikšmės objektai, potencialios grėsmės.</w:t>
                </w:r>
                <w:r>
                  <w:rPr>
                    <w:szCs w:val="24"/>
                    <w:lang w:eastAsia="lt-LT"/>
                  </w:rPr>
                  <w:t>“</w:t>
                </w:r>
              </w:p>
              <w:p w14:paraId="6AADED51" w14:textId="77777777">
                <w:pPr>
                  <w:suppressAutoHyphens/>
                  <w:ind w:firstLine="709"/>
                  <w:jc w:val="both"/>
                  <w:rPr>
                    <w:kern w:val="1"/>
                    <w:szCs w:val="24"/>
                    <w:lang w:eastAsia="hi-IN" w:bidi="hi-IN"/>
                  </w:rPr>
                </w:pPr>
              </w:p>
            </w:tc>
            <w:tc>
              <w:tcPr>
                <w:tcW w:w="2126" w:type="dxa"/>
              </w:tcPr>
              <w:p w14:paraId="2D762913" w14:textId="77777777">
                <w:pPr>
                  <w:jc w:val="center"/>
                  <w:rPr>
                    <w:b/>
                    <w:szCs w:val="24"/>
                  </w:rPr>
                </w:pPr>
                <w:r>
                  <w:rPr>
                    <w:color w:val="000000"/>
                    <w:szCs w:val="24"/>
                    <w:lang w:val="en-US"/>
                  </w:rPr>
                  <w:t>Visiškas</w:t>
                </w:r>
              </w:p>
            </w:tc>
          </w:tr>
          <w:tr w14:paraId="0877302A" w14:textId="77777777">
            <w:trPr>
              <w:trHeight w:val="274"/>
            </w:trPr>
            <w:tc>
              <w:tcPr>
                <w:tcW w:w="3970" w:type="dxa"/>
              </w:tcPr>
              <w:p w14:paraId="45C20ED2" w14:textId="77777777">
                <w:pPr>
                  <w:jc w:val="both"/>
                  <w:rPr>
                    <w:b/>
                    <w:bCs/>
                    <w:color w:val="000000"/>
                    <w:szCs w:val="24"/>
                    <w:lang w:val="en-GB" w:eastAsia="lt-LT"/>
                  </w:rPr>
                </w:pPr>
                <w:r>
                  <w:rPr>
                    <w:b/>
                    <w:bCs/>
                    <w:color w:val="000000"/>
                    <w:szCs w:val="24"/>
                    <w:lang w:val="en-GB" w:eastAsia="lt-LT"/>
                  </w:rPr>
                  <w:t>B</w:t>
                </w:r>
              </w:p>
              <w:p w14:paraId="40BF6DD3" w14:textId="77777777">
                <w:pPr>
                  <w:jc w:val="both"/>
                  <w:rPr>
                    <w:b/>
                    <w:i/>
                    <w:color w:val="000000"/>
                    <w:szCs w:val="24"/>
                    <w:lang w:eastAsia="lt-LT"/>
                  </w:rPr>
                </w:pPr>
                <w:r>
                  <w:rPr>
                    <w:b/>
                    <w:i/>
                    <w:color w:val="000000"/>
                    <w:szCs w:val="24"/>
                    <w:lang w:eastAsia="lt-LT"/>
                  </w:rPr>
                  <w:t xml:space="preserve">9 straipsnis </w:t>
                </w:r>
              </w:p>
              <w:p w14:paraId="0AE501D6" w14:textId="77777777">
                <w:pPr>
                  <w:jc w:val="both"/>
                  <w:rPr>
                    <w:b/>
                    <w:bCs/>
                    <w:color w:val="000000"/>
                    <w:szCs w:val="24"/>
                    <w:lang w:val="en-GB" w:eastAsia="lt-LT"/>
                  </w:rPr>
                </w:pPr>
                <w:r>
                  <w:rPr>
                    <w:b/>
                    <w:bCs/>
                    <w:color w:val="000000"/>
                    <w:szCs w:val="24"/>
                    <w:lang w:val="en-GB" w:eastAsia="lt-LT"/>
                  </w:rPr>
                  <w:t>M1</w:t>
                </w:r>
              </w:p>
              <w:p w14:paraId="0E841B7A" w14:textId="77777777">
                <w:pPr>
                  <w:jc w:val="both"/>
                  <w:rPr>
                    <w:color w:val="000000"/>
                    <w:szCs w:val="24"/>
                    <w:lang w:eastAsia="lt-LT"/>
                  </w:rPr>
                </w:pPr>
                <w:r>
                  <w:rPr>
                    <w:color w:val="000000"/>
                    <w:szCs w:val="24"/>
                    <w:lang w:eastAsia="lt-LT"/>
                  </w:rPr>
                  <w:t xml:space="preserve">1. Priėmusi sprendimą duoti sutikimą dėl planuojamos veiklos ar atsisakyti jį išduoti, kompetentinga institucija ar institucijos, laikydamosi nacionalinės procedūros, nedelsiant informuoja apie jį visuomenę ir 6 straipsnio 1 dalyje nurodytas institucijas ir užtikrina, kad visuomenei ir 6 straipsnio 1 dalyje nurodytoms institucijoms būtų prieinama ši informacija, kai tinkama, atsižvelgiant į atvejus, išvardytus 8a straipsnio 3 dalyje: </w:t>
                </w:r>
              </w:p>
              <w:p w14:paraId="7D1EDBA7" w14:textId="77777777">
                <w:pPr>
                  <w:jc w:val="both"/>
                  <w:rPr>
                    <w:color w:val="000000"/>
                    <w:szCs w:val="24"/>
                    <w:lang w:eastAsia="lt-LT"/>
                  </w:rPr>
                </w:pPr>
                <w:r>
                  <w:rPr>
                    <w:color w:val="000000"/>
                    <w:szCs w:val="24"/>
                    <w:lang w:eastAsia="lt-LT"/>
                  </w:rPr>
                  <w:t xml:space="preserve">a) sprendimo turinys ir su juo susijusios sąlygos, nurodytos 8a straipsnio 1 ir 2 dalyse; </w:t>
                </w:r>
              </w:p>
              <w:p w14:paraId="23DD88AF" w14:textId="77777777">
                <w:pPr>
                  <w:jc w:val="both"/>
                  <w:rPr>
                    <w:szCs w:val="24"/>
                    <w:lang w:eastAsia="en-GB"/>
                  </w:rPr>
                </w:pPr>
                <w:r>
                  <w:rPr>
                    <w:szCs w:val="24"/>
                    <w:lang w:eastAsia="en-GB"/>
                  </w:rPr>
                  <w:t>b) pagrindiniai motyvai ir aplinkybės, kuriais grindžiamas sprendimas, įskaitant informaciją apie visuomenės dalyvavimą. Kartu pateikiama konsultacijų rezultatų santrauka ir informacija, sukaupta pagal 5–7 straipsnius, taip pat paaiškinimai, kaip tie rezultatai įtraukti ar kitaip į juos atsižvelgta, visų pirma pastabos, gautos iš poveikį patiriančios valstybės narės, nurodytos 7 straipsnyje.</w:t>
                </w:r>
              </w:p>
              <w:p w14:paraId="04D17486" w14:textId="77777777">
                <w:pPr>
                  <w:jc w:val="both"/>
                  <w:rPr>
                    <w:b/>
                    <w:szCs w:val="24"/>
                    <w:lang w:eastAsia="en-GB"/>
                  </w:rPr>
                </w:pPr>
              </w:p>
            </w:tc>
            <w:tc>
              <w:tcPr>
                <w:tcW w:w="8930" w:type="dxa"/>
              </w:tcPr>
              <w:p w14:paraId="4D0BE0AC" w14:textId="77777777">
                <w:pPr>
                  <w:jc w:val="both"/>
                  <w:rPr>
                    <w:kern w:val="1"/>
                    <w:szCs w:val="24"/>
                    <w:lang w:eastAsia="hi-IN" w:bidi="hi-IN"/>
                  </w:rPr>
                </w:pPr>
                <w:r>
                  <w:rPr>
                    <w:color w:val="000000"/>
                    <w:kern w:val="1"/>
                    <w:szCs w:val="24"/>
                    <w:lang w:eastAsia="hi-IN" w:bidi="hi-IN"/>
                  </w:rPr>
                  <w:t>1.4.P</w:t>
                </w:r>
                <w:r>
                  <w:rPr>
                    <w:color w:val="000000"/>
                    <w:szCs w:val="24"/>
                    <w:shd w:val="clear" w:color="auto" w:fill="FFFFFF"/>
                    <w:lang w:eastAsia="ar-SA"/>
                  </w:rPr>
                  <w:t xml:space="preserve">akeičiu 42 punktą </w:t>
                </w:r>
                <w:r>
                  <w:rPr>
                    <w:kern w:val="1"/>
                    <w:szCs w:val="24"/>
                    <w:lang w:eastAsia="hi-IN" w:bidi="hi-IN"/>
                  </w:rPr>
                  <w:t>ir jį išdėstau taip:</w:t>
                </w:r>
              </w:p>
              <w:p w14:paraId="4B33A729" w14:textId="5BB71620">
                <w:pPr>
                  <w:suppressAutoHyphens/>
                  <w:jc w:val="both"/>
                  <w:rPr>
                    <w:kern w:val="1"/>
                    <w:szCs w:val="24"/>
                    <w:lang w:val="en-GB" w:eastAsia="hi-IN" w:bidi="hi-IN"/>
                  </w:rPr>
                </w:pPr>
                <w:r>
                  <w:rPr>
                    <w:kern w:val="1"/>
                    <w:szCs w:val="24"/>
                    <w:lang w:val="en-GB" w:eastAsia="hi-IN" w:bidi="hi-IN"/>
                  </w:rPr>
                  <w:t>„</w:t>
                </w:r>
                <w:r>
                  <w:rPr>
                    <w:szCs w:val="24"/>
                    <w:lang w:val="en-GB" w:eastAsia="lt-LT"/>
                  </w:rPr>
                  <w:t xml:space="preserve">42. Agentūra, pasibaigus pasiūlymų teikimo terminui, išnagrinėja ataskaitą, PAV subjektų išvadas, gautus suinteresuotos visuomenės pasiūlymus, suinteresuotos visuomenės pasiūlymų įvertinimą, </w:t>
                </w:r>
                <w:r>
                  <w:rPr>
                    <w:b/>
                    <w:szCs w:val="24"/>
                    <w:lang w:val="en-GB" w:eastAsia="lt-LT"/>
                  </w:rPr>
                  <w:t>patikrina, ar ataskaitos viešinimo ir visuomenės informavimo procedūros atliktos pagal Planuojamos</w:t>
                </w:r>
                <w:r>
                  <w:rPr>
                    <w:szCs w:val="24"/>
                    <w:lang w:val="en-GB" w:eastAsia="lt-LT"/>
                  </w:rPr>
                  <w:t xml:space="preserve"> </w:t>
                </w:r>
                <w:r>
                  <w:rPr>
                    <w:b/>
                    <w:szCs w:val="24"/>
                    <w:lang w:val="en-GB" w:eastAsia="en-GB"/>
                  </w:rPr>
                  <w:t>ūkinės veiklos poveikio aplinkai vertinimo įstatymo</w:t>
                </w:r>
                <w:r>
                  <w:rPr>
                    <w:b/>
                    <w:szCs w:val="24"/>
                    <w:lang w:val="en-GB" w:eastAsia="lt-LT"/>
                  </w:rPr>
                  <w:t xml:space="preserve"> ir Tvarkos aprašo reikalavimus</w:t>
                </w:r>
                <w:r>
                  <w:rPr>
                    <w:szCs w:val="24"/>
                    <w:lang w:val="en-GB" w:eastAsia="lt-LT"/>
                  </w:rPr>
                  <w:t xml:space="preserve">, prireikus Tvarkos aprašo 43 punkte nurodytais atvejais organizuoja pasitarimą Agentūros darbo laiku, parengia pasitarimo protokolą ir ne vėliau kaip per 25 darbo dienas nuo ataskaitos gavimo dienos, remdamasi PAV subjektų išvadomis ir PAV proceso metu gauta informacija, priima sprendimą dėl planuojamos ūkinės veiklos poveikio aplinkai (4 priedas), arba raštu pareikalauja, kad PAV dokumentų rengėjas papildytų ar pataisytų ataskaitą pagal motyvuotus reikalavimus ir (ar) pridedamą protokolą. Tvarkos aprašo 4 priede nustatytos formos sprendimas rašomas ant Agentūros blanko. Agentūra pataisytą ir papildytą ataskaitą išnagrinėja ir sprendimą (4 priedas) priima per 15 darbo dienų nuo jos gavimo dienos arba gali pakartotinai teikti motyvuotus reikalavimus pataisyti ar papildyti ataskaitą, nereikalaudama informacijos ir (ar) duomenų, kurių nenurodė pirmą kartą nagrinėdami PAV ataskaitą, tačiau galėjo jų pareikalauti vadovaujantis Planuojamos ūkinės veiklos poveikio aplinkai vertinimo įstatymo 6 straipsnio 7 dalies nuostatomis. Agentūra sprendimą raštu pateikia planuojamos ūkinės veiklos organizatoriui, PAV dokumentų rengėjui ir PAV subjektams, Tvarkos aprašo V skyriaus 87 punkte nustatyta tvarka jį paskelbia visuomenei susipažinti. Rašte PAV subjektams Agentūra pateikia nuorodą į savo interneto svetainę, kurioje paskelbta Tvarkos aprašo 87 punkte nurodyta informacija. </w:t>
                </w:r>
                <w:r>
                  <w:rPr>
                    <w:strike/>
                    <w:szCs w:val="24"/>
                    <w:lang w:val="en-GB" w:eastAsia="lt-LT"/>
                  </w:rPr>
                  <w:t>Kai ataskaita iš esmės keičiama, taisoma ar papildoma (siūlomos naujos vietos, technologijų alternatyvos) dėl gautų PAV subjektų išvadų ir (ar) Agentūros motyvuotų reikalavimų, vadovaudamasi Planuojamos ūkinės veiklos poveikio aplinkai vertinimo įstatymo 10 straipsnio 10 ir 11 dalimis, Agentūra įpareigoja PAV dokumentų rengėją pakartotinai atlikti PAV procedūras Tvarkos aprašo 38–47 punktuose nustatyta tvarka. Kai PAV proceso metu savivaldybės (-ių) ar seniūnijos (-ų) teritorijoje pasiūloma nauja planuojamo linijinės infrastruktūros objekto vietos alternatyva, viešinimo procedūros atliekamos tik tos teritorijos administruojančios savivaldybės (-ių) ar seniūnijos (-ų) patalpose arba kitoje PAV dokumentų rengėjo pasirinktoje, su seniūnija arba savivaldybe suderintoje vietoje.</w:t>
                </w:r>
                <w:r>
                  <w:rPr>
                    <w:kern w:val="1"/>
                    <w:szCs w:val="24"/>
                    <w:lang w:val="en-GB" w:eastAsia="hi-IN" w:bidi="hi-IN"/>
                  </w:rPr>
                  <w:t>“</w:t>
                </w:r>
              </w:p>
            </w:tc>
            <w:tc>
              <w:tcPr>
                <w:tcW w:w="2126" w:type="dxa"/>
              </w:tcPr>
              <w:p w14:paraId="17A0A218" w14:textId="77777777">
                <w:pPr>
                  <w:jc w:val="center"/>
                  <w:rPr>
                    <w:b/>
                    <w:szCs w:val="24"/>
                  </w:rPr>
                </w:pPr>
                <w:r>
                  <w:rPr>
                    <w:color w:val="000000"/>
                    <w:szCs w:val="24"/>
                    <w:lang w:val="en-US"/>
                  </w:rPr>
                  <w:t>Visiškas</w:t>
                </w:r>
              </w:p>
            </w:tc>
          </w:tr>
          <w:tr w14:paraId="2A59D841" w14:textId="77777777">
            <w:trPr>
              <w:trHeight w:val="274"/>
            </w:trPr>
            <w:tc>
              <w:tcPr>
                <w:tcW w:w="3970" w:type="dxa"/>
              </w:tcPr>
              <w:p w14:paraId="5F7F6CA2" w14:textId="77777777">
                <w:pPr>
                  <w:jc w:val="both"/>
                  <w:rPr>
                    <w:b/>
                    <w:bCs/>
                    <w:color w:val="000000"/>
                    <w:szCs w:val="24"/>
                    <w:lang w:val="en-GB" w:eastAsia="lt-LT"/>
                  </w:rPr>
                </w:pPr>
                <w:r>
                  <w:rPr>
                    <w:b/>
                    <w:bCs/>
                    <w:color w:val="000000"/>
                    <w:szCs w:val="24"/>
                    <w:lang w:val="en-GB" w:eastAsia="lt-LT"/>
                  </w:rPr>
                  <w:t>B</w:t>
                </w:r>
              </w:p>
              <w:p w14:paraId="36777797" w14:textId="77777777">
                <w:pPr>
                  <w:jc w:val="both"/>
                  <w:rPr>
                    <w:b/>
                    <w:i/>
                    <w:color w:val="000000"/>
                    <w:szCs w:val="24"/>
                    <w:lang w:eastAsia="lt-LT"/>
                  </w:rPr>
                </w:pPr>
                <w:r>
                  <w:rPr>
                    <w:b/>
                    <w:i/>
                    <w:color w:val="000000"/>
                    <w:szCs w:val="24"/>
                    <w:lang w:eastAsia="lt-LT"/>
                  </w:rPr>
                  <w:t xml:space="preserve">9 straipsnis </w:t>
                </w:r>
              </w:p>
              <w:p w14:paraId="2033B58C" w14:textId="77777777">
                <w:pPr>
                  <w:jc w:val="both"/>
                  <w:rPr>
                    <w:b/>
                    <w:bCs/>
                    <w:color w:val="000000"/>
                    <w:szCs w:val="24"/>
                    <w:lang w:val="en-GB" w:eastAsia="lt-LT"/>
                  </w:rPr>
                </w:pPr>
                <w:r>
                  <w:rPr>
                    <w:b/>
                    <w:bCs/>
                    <w:color w:val="000000"/>
                    <w:szCs w:val="24"/>
                    <w:lang w:val="en-GB" w:eastAsia="lt-LT"/>
                  </w:rPr>
                  <w:t>M1</w:t>
                </w:r>
              </w:p>
              <w:p w14:paraId="7AC87F97" w14:textId="77777777">
                <w:pPr>
                  <w:jc w:val="both"/>
                  <w:rPr>
                    <w:color w:val="000000"/>
                    <w:szCs w:val="24"/>
                    <w:lang w:eastAsia="lt-LT"/>
                  </w:rPr>
                </w:pPr>
                <w:r>
                  <w:rPr>
                    <w:color w:val="000000"/>
                    <w:szCs w:val="24"/>
                    <w:lang w:eastAsia="lt-LT"/>
                  </w:rPr>
                  <w:t xml:space="preserve">1. Priėmusi sprendimą duoti sutikimą dėl planuojamos veiklos ar atsisakyti jį išduoti, kompetentinga institucija ar institucijos, laikydamosi nacionalinės procedūros, nedelsiant informuoja apie jį visuomenę ir 6 straipsnio 1 dalyje nurodytas institucijas ir užtikrina, kad visuomenei ir 6 straipsnio 1 dalyje nurodytoms institucijoms būtų prieinama ši informacija, kai tinkama, atsižvelgiant į atvejus, išvardytus 8a straipsnio 3 dalyje: </w:t>
                </w:r>
              </w:p>
              <w:p w14:paraId="78D3CBD9" w14:textId="77777777">
                <w:pPr>
                  <w:jc w:val="both"/>
                  <w:rPr>
                    <w:color w:val="000000"/>
                    <w:szCs w:val="24"/>
                    <w:lang w:eastAsia="lt-LT"/>
                  </w:rPr>
                </w:pPr>
                <w:r>
                  <w:rPr>
                    <w:color w:val="000000"/>
                    <w:szCs w:val="24"/>
                    <w:lang w:eastAsia="lt-LT"/>
                  </w:rPr>
                  <w:t xml:space="preserve">a) sprendimo turinys ir su juo susijusios sąlygos, nurodytos 8a straipsnio 1 ir 2 dalyse; </w:t>
                </w:r>
              </w:p>
              <w:p w14:paraId="704037BE" w14:textId="77777777">
                <w:pPr>
                  <w:jc w:val="both"/>
                  <w:rPr>
                    <w:szCs w:val="24"/>
                    <w:lang w:eastAsia="en-GB"/>
                  </w:rPr>
                </w:pPr>
                <w:r>
                  <w:rPr>
                    <w:szCs w:val="24"/>
                    <w:lang w:eastAsia="en-GB"/>
                  </w:rPr>
                  <w:t>b) pagrindiniai motyvai ir aplinkybės, kuriais grindžiamas sprendimas, įskaitant informaciją apie visuomenės dalyvavimą. Kartu pateikiama konsultacijų rezultatų santrauka ir informacija, sukaupta pagal 5–7 straipsnius, taip pat paaiškinimai, kaip tie rezultatai įtraukti ar kitaip į juos atsižvelgta, visų pirma pastabos, gautos iš poveikį patiriančios valstybės narės, nurodytos 7 straipsnyje.</w:t>
                </w:r>
              </w:p>
              <w:p w14:paraId="6AA77439" w14:textId="77777777">
                <w:pPr>
                  <w:jc w:val="both"/>
                  <w:rPr>
                    <w:b/>
                    <w:bCs/>
                    <w:color w:val="000000"/>
                    <w:szCs w:val="24"/>
                    <w:lang w:eastAsia="lt-LT"/>
                  </w:rPr>
                </w:pPr>
              </w:p>
            </w:tc>
            <w:tc>
              <w:tcPr>
                <w:tcW w:w="8930" w:type="dxa"/>
              </w:tcPr>
              <w:p w14:paraId="5B550FD0" w14:textId="77777777">
                <w:pPr>
                  <w:jc w:val="both"/>
                  <w:rPr>
                    <w:kern w:val="1"/>
                    <w:szCs w:val="24"/>
                    <w:lang w:eastAsia="hi-IN" w:bidi="hi-IN"/>
                  </w:rPr>
                </w:pPr>
                <w:r>
                  <w:rPr>
                    <w:color w:val="000000"/>
                    <w:kern w:val="1"/>
                    <w:szCs w:val="24"/>
                    <w:lang w:eastAsia="hi-IN" w:bidi="hi-IN"/>
                  </w:rPr>
                  <w:t>1.4.P</w:t>
                </w:r>
                <w:r>
                  <w:rPr>
                    <w:color w:val="000000"/>
                    <w:szCs w:val="24"/>
                    <w:shd w:val="clear" w:color="auto" w:fill="FFFFFF"/>
                    <w:lang w:eastAsia="ar-SA"/>
                  </w:rPr>
                  <w:t xml:space="preserve">akeičiu 42 punktą </w:t>
                </w:r>
                <w:r>
                  <w:rPr>
                    <w:kern w:val="1"/>
                    <w:szCs w:val="24"/>
                    <w:lang w:eastAsia="hi-IN" w:bidi="hi-IN"/>
                  </w:rPr>
                  <w:t>ir jį išdėstau taip:</w:t>
                </w:r>
              </w:p>
              <w:p w14:paraId="0D668049" w14:textId="694C81C4">
                <w:pPr>
                  <w:suppressAutoHyphens/>
                  <w:jc w:val="both"/>
                  <w:rPr>
                    <w:kern w:val="1"/>
                    <w:szCs w:val="24"/>
                    <w:lang w:val="en-GB" w:eastAsia="hi-IN" w:bidi="hi-IN"/>
                  </w:rPr>
                </w:pPr>
                <w:r>
                  <w:rPr>
                    <w:kern w:val="1"/>
                    <w:szCs w:val="24"/>
                    <w:lang w:eastAsia="hi-IN" w:bidi="hi-IN"/>
                  </w:rPr>
                  <w:t>„</w:t>
                </w:r>
                <w:r>
                  <w:rPr>
                    <w:szCs w:val="24"/>
                    <w:lang w:eastAsia="lt-LT"/>
                  </w:rPr>
                  <w:t xml:space="preserve">42. Agentūra, pasibaigus pasiūlymų teikimo terminui, išnagrinėja ataskaitą, PAV subjektų išvadas, gautus suinteresuotos visuomenės pasiūlymus, suinteresuotos visuomenės pasiūlymų įvertinimą, </w:t>
                </w:r>
                <w:r>
                  <w:rPr>
                    <w:b/>
                    <w:szCs w:val="24"/>
                    <w:lang w:eastAsia="lt-LT"/>
                  </w:rPr>
                  <w:t>patikrina, ar ataskaitos viešinimo ir visuomenės informavimo procedūros atliktos pagal Planuojamos</w:t>
                </w:r>
                <w:r>
                  <w:rPr>
                    <w:szCs w:val="24"/>
                    <w:lang w:eastAsia="lt-LT"/>
                  </w:rPr>
                  <w:t xml:space="preserve"> </w:t>
                </w:r>
                <w:r>
                  <w:rPr>
                    <w:b/>
                    <w:szCs w:val="24"/>
                    <w:lang w:eastAsia="en-GB"/>
                  </w:rPr>
                  <w:t>ūkinės veiklos poveikio aplinkai vertinimo įstatymo</w:t>
                </w:r>
                <w:r>
                  <w:rPr>
                    <w:b/>
                    <w:szCs w:val="24"/>
                    <w:lang w:eastAsia="lt-LT"/>
                  </w:rPr>
                  <w:t xml:space="preserve"> ir Tvarkos aprašo reikalavimus</w:t>
                </w:r>
                <w:r>
                  <w:rPr>
                    <w:szCs w:val="24"/>
                    <w:lang w:eastAsia="lt-LT"/>
                  </w:rPr>
                  <w:t xml:space="preserve">, prireikus Tvarkos aprašo 43 punkte nurodytais atvejais organizuoja pasitarimą Agentūros darbo laiku, parengia pasitarimo protokolą ir ne vėliau kaip per 25 darbo dienas nuo ataskaitos gavimo dienos, remdamasi PAV subjektų išvadomis ir PAV proceso metu gauta informacija, priima sprendimą dėl planuojamos ūkinės veiklos poveikio aplinkai (4 priedas), arba raštu pareikalauja, kad PAV dokumentų rengėjas papildytų ar pataisytų ataskaitą pagal motyvuotus reikalavimus ir (ar) pridedamą protokolą. </w:t>
                </w:r>
                <w:r>
                  <w:rPr>
                    <w:szCs w:val="24"/>
                    <w:lang w:val="en-GB" w:eastAsia="lt-LT"/>
                  </w:rPr>
                  <w:t xml:space="preserve">Tvarkos aprašo 4 priede nustatytos formos sprendimas rašomas ant Agentūros blanko. Agentūra pataisytą ir papildytą ataskaitą išnagrinėja ir sprendimą (4 priedas) priima per 15 darbo dienų nuo jos gavimo dienos arba gali pakartotinai teikti motyvuotus reikalavimus pataisyti ar papildyti ataskaitą, nereikalaudama informacijos ir (ar) duomenų, kurių nenurodė pirmą kartą nagrinėdami PAV ataskaitą, tačiau galėjo jų pareikalauti vadovaujantis Planuojamos ūkinės veiklos poveikio aplinkai vertinimo įstatymo 6 straipsnio 7 dalies nuostatomis. Agentūra sprendimą raštu pateikia planuojamos ūkinės veiklos organizatoriui, PAV dokumentų rengėjui ir PAV subjektams, Tvarkos aprašo V skyriaus 87 punkte nustatyta tvarka jį paskelbia visuomenei susipažinti. Rašte PAV subjektams Agentūra pateikia nuorodą į savo interneto svetainę, kurioje paskelbta Tvarkos aprašo 87 punkte nurodyta informacija. </w:t>
                </w:r>
                <w:r>
                  <w:rPr>
                    <w:strike/>
                    <w:szCs w:val="24"/>
                    <w:lang w:val="en-GB" w:eastAsia="lt-LT"/>
                  </w:rPr>
                  <w:t>Kai ataskaita iš esmės keičiama, taisoma ar papildoma (siūlomos naujos vietos, technologijų alternatyvos) dėl gautų PAV subjektų išvadų ir (ar) Agentūros motyvuotų reikalavimų, vadovaudamasi Planuojamos ūkinės veiklos poveikio aplinkai vertinimo įstatymo 10 straipsnio 10 ir 11 dalimis, Agentūra įpareigoja PAV dokumentų rengėją pakartotinai atlikti PAV procedūras Tvarkos aprašo 38–47 punktuose nustatyta tvarka. Kai PAV proceso metu savivaldybės (-ių) ar seniūnijos (-ų) teritorijoje pasiūloma nauja planuojamo linijinės infrastruktūros objekto vietos alternatyva, viešinimo procedūros atliekamos tik tos teritorijos administruojančios savivaldybės (-ių) ar seniūnijos (-ų) patalpose arba kitoje PAV dokumentų rengėjo pasirinktoje, su seniūnija arba savivaldybe suderintoje vietoje.</w:t>
                </w:r>
                <w:r>
                  <w:rPr>
                    <w:kern w:val="1"/>
                    <w:szCs w:val="24"/>
                    <w:lang w:val="en-GB" w:eastAsia="hi-IN" w:bidi="hi-IN"/>
                  </w:rPr>
                  <w:t>“</w:t>
                </w:r>
              </w:p>
            </w:tc>
            <w:tc>
              <w:tcPr>
                <w:tcW w:w="2126" w:type="dxa"/>
              </w:tcPr>
              <w:p w14:paraId="30543AA0" w14:textId="77777777">
                <w:pPr>
                  <w:jc w:val="center"/>
                  <w:rPr>
                    <w:b/>
                    <w:szCs w:val="24"/>
                  </w:rPr>
                </w:pPr>
                <w:r>
                  <w:rPr>
                    <w:color w:val="000000"/>
                    <w:szCs w:val="24"/>
                    <w:lang w:val="en-US"/>
                  </w:rPr>
                  <w:t>Visiškas</w:t>
                </w:r>
              </w:p>
            </w:tc>
          </w:tr>
          <w:tr w14:paraId="7392A6BD" w14:textId="77777777">
            <w:trPr>
              <w:trHeight w:val="274"/>
            </w:trPr>
            <w:tc>
              <w:tcPr>
                <w:tcW w:w="3970" w:type="dxa"/>
              </w:tcPr>
              <w:p w14:paraId="53C9FE11" w14:textId="77777777">
                <w:pPr>
                  <w:jc w:val="both"/>
                  <w:rPr>
                    <w:szCs w:val="24"/>
                    <w:lang w:val="en-GB" w:eastAsia="en-GB"/>
                  </w:rPr>
                </w:pPr>
                <w:r>
                  <w:rPr>
                    <w:i/>
                    <w:iCs/>
                    <w:color w:val="000000"/>
                    <w:szCs w:val="24"/>
                    <w:shd w:val="clear" w:color="auto" w:fill="FFFFFF"/>
                    <w:lang w:val="en-GB" w:eastAsia="en-GB"/>
                  </w:rPr>
                  <w:t>IV PRIEDAS</w:t>
                </w:r>
                <w:r>
                  <w:rPr>
                    <w:szCs w:val="24"/>
                    <w:lang w:val="en-GB" w:eastAsia="en-GB"/>
                  </w:rPr>
                  <w:t xml:space="preserve"> </w:t>
                </w:r>
              </w:p>
              <w:p w14:paraId="0724C4D2" w14:textId="77777777">
                <w:pPr>
                  <w:jc w:val="both"/>
                  <w:rPr>
                    <w:szCs w:val="24"/>
                    <w:lang w:val="en-GB" w:eastAsia="en-GB"/>
                  </w:rPr>
                </w:pPr>
                <w:r>
                  <w:rPr>
                    <w:szCs w:val="24"/>
                    <w:lang w:val="en-GB" w:eastAsia="en-GB"/>
                  </w:rPr>
                  <w:t>2. Užsakovo svarstytų pagrįstų alternatyvų (pvz., vertinant projekto sumanymą, technologiją, vietą, dydį ir mastą), susijusių su siūlomu projektu ir konkrečiomis jo charakteristikomis, aprašymas, nurodant pagrindines alternatyvos pasirinkimo priežastis, įskaitant poveikio aplinkai palyginimą.</w:t>
                </w:r>
              </w:p>
              <w:p w14:paraId="289F5C52" w14:textId="77777777">
                <w:pPr>
                  <w:jc w:val="both"/>
                  <w:rPr>
                    <w:b/>
                    <w:bCs/>
                    <w:color w:val="000000"/>
                    <w:szCs w:val="24"/>
                    <w:lang w:val="en-GB" w:eastAsia="lt-LT"/>
                  </w:rPr>
                </w:pPr>
              </w:p>
            </w:tc>
            <w:tc>
              <w:tcPr>
                <w:tcW w:w="8930" w:type="dxa"/>
              </w:tcPr>
              <w:p w14:paraId="04A579D4" w14:textId="77777777">
                <w:pPr>
                  <w:widowControl w:val="0"/>
                  <w:suppressAutoHyphens/>
                  <w:jc w:val="both"/>
                  <w:rPr>
                    <w:color w:val="000000"/>
                    <w:szCs w:val="24"/>
                    <w:shd w:val="clear" w:color="auto" w:fill="FFFFFF"/>
                    <w:lang w:val="en-GB" w:eastAsia="ar-SA"/>
                  </w:rPr>
                </w:pPr>
                <w:r>
                  <w:rPr>
                    <w:color w:val="000000"/>
                    <w:szCs w:val="24"/>
                    <w:shd w:val="clear" w:color="auto" w:fill="FFFFFF"/>
                    <w:lang w:val="en-GB" w:eastAsia="ar-SA"/>
                  </w:rPr>
                  <w:t>1.17. 1 priedo buvusius 154-167 punktus laikau atitinkamai 150-163 punktais.</w:t>
                </w:r>
              </w:p>
              <w:p w14:paraId="5B3F6ACB" w14:textId="77777777">
                <w:pPr>
                  <w:suppressAutoHyphens/>
                  <w:ind w:firstLine="709"/>
                  <w:jc w:val="both"/>
                  <w:rPr>
                    <w:kern w:val="1"/>
                    <w:szCs w:val="24"/>
                    <w:lang w:val="en-GB" w:eastAsia="hi-IN" w:bidi="hi-IN"/>
                  </w:rPr>
                </w:pPr>
              </w:p>
            </w:tc>
            <w:tc>
              <w:tcPr>
                <w:tcW w:w="2126" w:type="dxa"/>
              </w:tcPr>
              <w:p w14:paraId="2AF0D11A" w14:textId="77777777">
                <w:pPr>
                  <w:jc w:val="center"/>
                  <w:rPr>
                    <w:b/>
                    <w:szCs w:val="24"/>
                  </w:rPr>
                </w:pPr>
                <w:r>
                  <w:rPr>
                    <w:color w:val="000000"/>
                    <w:szCs w:val="24"/>
                    <w:lang w:val="en-US"/>
                  </w:rPr>
                  <w:t>Visiškas</w:t>
                </w:r>
              </w:p>
            </w:tc>
          </w:tr>
          <w:tr w14:paraId="452E36F4" w14:textId="77777777">
            <w:trPr>
              <w:trHeight w:val="274"/>
            </w:trPr>
            <w:tc>
              <w:tcPr>
                <w:tcW w:w="3970" w:type="dxa"/>
              </w:tcPr>
              <w:p w14:paraId="5C1387C3" w14:textId="77777777">
                <w:pPr>
                  <w:jc w:val="both"/>
                  <w:rPr>
                    <w:b/>
                    <w:iCs/>
                    <w:szCs w:val="24"/>
                    <w:lang w:val="pl-PL" w:eastAsia="en-GB"/>
                  </w:rPr>
                </w:pPr>
                <w:r>
                  <w:rPr>
                    <w:b/>
                    <w:iCs/>
                    <w:szCs w:val="24"/>
                    <w:lang w:val="pl-PL" w:eastAsia="en-GB"/>
                  </w:rPr>
                  <w:t>M1</w:t>
                </w:r>
              </w:p>
              <w:p w14:paraId="744C1B47" w14:textId="77777777">
                <w:pPr>
                  <w:jc w:val="both"/>
                  <w:rPr>
                    <w:i/>
                    <w:iCs/>
                    <w:szCs w:val="24"/>
                    <w:lang w:val="pl-PL" w:eastAsia="en-GB"/>
                  </w:rPr>
                </w:pPr>
                <w:r>
                  <w:rPr>
                    <w:i/>
                    <w:iCs/>
                    <w:szCs w:val="24"/>
                    <w:lang w:val="pl-PL" w:eastAsia="en-GB"/>
                  </w:rPr>
                  <w:t xml:space="preserve">IV PRIEDAS </w:t>
                </w:r>
              </w:p>
              <w:p w14:paraId="26BF7206" w14:textId="77777777">
                <w:pPr>
                  <w:jc w:val="both"/>
                  <w:rPr>
                    <w:b/>
                    <w:bCs/>
                    <w:szCs w:val="24"/>
                    <w:lang w:val="pl-PL" w:eastAsia="en-GB"/>
                  </w:rPr>
                </w:pPr>
                <w:r>
                  <w:rPr>
                    <w:b/>
                    <w:bCs/>
                    <w:szCs w:val="24"/>
                    <w:lang w:val="pl-PL" w:eastAsia="en-GB"/>
                  </w:rPr>
                  <w:t>5 STRAIPSNIO 1 DALYJE NURODYTA INFORMACIJA</w:t>
                </w:r>
              </w:p>
              <w:p w14:paraId="19861424" w14:textId="77777777">
                <w:pPr>
                  <w:ind w:firstLine="62"/>
                  <w:jc w:val="both"/>
                  <w:rPr>
                    <w:szCs w:val="24"/>
                    <w:lang w:val="pl-PL" w:eastAsia="en-GB"/>
                  </w:rPr>
                </w:pPr>
                <w:r>
                  <w:rPr>
                    <w:szCs w:val="24"/>
                    <w:lang w:val="pl-PL" w:eastAsia="en-GB"/>
                  </w:rPr>
                  <w:t>(POVEIKIO APLINKAI VERTINIMO ATASKAITOJE 6. Prognozavimo metodų arba įrodymų, taikytų nustatant ir vertinant reikšmingą poveikį aplinkai, įskaitant sunkumų, patirtų kaupiant reikalingą informaciją, pobūdį (pvz., techniniai sunkumai ar praktinės patirties trūkumas), aprašymas, taip pat pagrindinių susijusių neaiškumų aprašymas.</w:t>
                </w:r>
              </w:p>
              <w:p w14:paraId="47BF7940" w14:textId="77777777">
                <w:pPr>
                  <w:jc w:val="both"/>
                  <w:rPr>
                    <w:szCs w:val="24"/>
                    <w:lang w:val="pl-PL" w:eastAsia="en-GB"/>
                  </w:rPr>
                </w:pPr>
              </w:p>
            </w:tc>
            <w:tc>
              <w:tcPr>
                <w:tcW w:w="8930" w:type="dxa"/>
              </w:tcPr>
              <w:p w14:paraId="179B73BB" w14:textId="77777777">
                <w:pPr>
                  <w:widowControl w:val="0"/>
                  <w:suppressAutoHyphens/>
                  <w:jc w:val="both"/>
                  <w:rPr>
                    <w:color w:val="000000"/>
                    <w:szCs w:val="24"/>
                    <w:shd w:val="clear" w:color="auto" w:fill="FFFFFF"/>
                    <w:lang w:val="pl-PL" w:eastAsia="ar-SA"/>
                  </w:rPr>
                </w:pPr>
                <w:r>
                  <w:rPr>
                    <w:color w:val="000000"/>
                    <w:szCs w:val="24"/>
                    <w:shd w:val="clear" w:color="auto" w:fill="FFFFFF"/>
                    <w:lang w:val="pl-PL" w:eastAsia="ar-SA"/>
                  </w:rPr>
                  <w:t>1.17. 1 priedo buvusius 154-167 punktus laikau atitinkamai 150-163 punktais.</w:t>
                </w:r>
              </w:p>
              <w:p w14:paraId="41B37A7D" w14:textId="77777777">
                <w:pPr>
                  <w:suppressAutoHyphens/>
                  <w:ind w:firstLine="709"/>
                  <w:jc w:val="both"/>
                  <w:rPr>
                    <w:color w:val="000000"/>
                    <w:szCs w:val="24"/>
                    <w:shd w:val="clear" w:color="auto" w:fill="FFFFFF"/>
                    <w:lang w:val="pl-PL" w:eastAsia="ar-SA"/>
                  </w:rPr>
                </w:pPr>
              </w:p>
            </w:tc>
            <w:tc>
              <w:tcPr>
                <w:tcW w:w="2126" w:type="dxa"/>
              </w:tcPr>
              <w:p w14:paraId="1D6EF809" w14:textId="77777777">
                <w:pPr>
                  <w:jc w:val="center"/>
                  <w:rPr>
                    <w:b/>
                    <w:szCs w:val="24"/>
                  </w:rPr>
                </w:pPr>
                <w:r>
                  <w:rPr>
                    <w:color w:val="000000"/>
                    <w:szCs w:val="24"/>
                    <w:lang w:val="en-US"/>
                  </w:rPr>
                  <w:t>Visiškas</w:t>
                </w:r>
              </w:p>
            </w:tc>
          </w:tr>
          <w:tr w14:paraId="069B91B9" w14:textId="77777777">
            <w:trPr>
              <w:trHeight w:val="274"/>
            </w:trPr>
            <w:tc>
              <w:tcPr>
                <w:tcW w:w="3970" w:type="dxa"/>
              </w:tcPr>
              <w:p w14:paraId="18FF05A3" w14:textId="77777777">
                <w:pPr>
                  <w:jc w:val="both"/>
                  <w:rPr>
                    <w:szCs w:val="24"/>
                    <w:lang w:val="en-GB" w:eastAsia="en-GB"/>
                  </w:rPr>
                </w:pPr>
                <w:r>
                  <w:rPr>
                    <w:i/>
                    <w:iCs/>
                    <w:color w:val="000000"/>
                    <w:szCs w:val="24"/>
                    <w:shd w:val="clear" w:color="auto" w:fill="FFFFFF"/>
                    <w:lang w:val="en-GB" w:eastAsia="en-GB"/>
                  </w:rPr>
                  <w:t>IV PRIEDAS</w:t>
                </w:r>
                <w:r>
                  <w:rPr>
                    <w:szCs w:val="24"/>
                    <w:lang w:val="en-GB" w:eastAsia="en-GB"/>
                  </w:rPr>
                  <w:t xml:space="preserve"> </w:t>
                </w:r>
              </w:p>
              <w:p w14:paraId="0A87ED46" w14:textId="77777777">
                <w:pPr>
                  <w:jc w:val="both"/>
                  <w:rPr>
                    <w:szCs w:val="24"/>
                    <w:lang w:val="en-GB" w:eastAsia="en-GB"/>
                  </w:rPr>
                </w:pPr>
                <w:r>
                  <w:rPr>
                    <w:szCs w:val="24"/>
                    <w:lang w:val="en-GB" w:eastAsia="en-GB"/>
                  </w:rPr>
                  <w:t xml:space="preserve">8. Laukto neigiamo poveikio aplinkai, kurį lemia projekto pažeidžiamumas didelių avarijų ir (arba) nelaimių, kurios svarbios atitinkamam projektui, rizikos atžvilgiu aprašymas. Gali būti naudojamasi atitinkama informacija, prieinama ir gauta atlikus rizikos vertinimą pagal Sąjungos teisės aktus, tokius kaip Europos Parlamento ir Tarybos direktyva </w:t>
                </w:r>
                <w:fldSimple w:instr="HYPERLINK http://eur-lex.europa.eu/legal-content/LIT/TXT/?uri=CELEX:32012L0018&amp;locale=lt \t _blank">
                  <w:r>
                    <w:rPr>
                      <w:szCs w:val="24"/>
                      <w:lang w:val="en-GB" w:eastAsia="en-GB"/>
                      <w:u w:val="single"/>
                      <w:color w:val="0000FF" w:themeColor="hyperlink"/>
                    </w:rPr>
                    <w:t>2012/18/ES</w:t>
                  </w:r>
                </w:fldSimple>
                <w:r>
                  <w:rPr>
                    <w:szCs w:val="24"/>
                    <w:lang w:val="en-GB" w:eastAsia="en-GB"/>
                  </w:rPr>
                  <w:t xml:space="preserve"> (*) ar Tarybos direktyva </w:t>
                </w:r>
                <w:fldSimple w:instr="HYPERLINK http://eur-lex.europa.eu/legal-content/LIT/TXT/?uri=CELEX:32009L0071&amp;locale=lt \t _blank">
                  <w:r>
                    <w:rPr>
                      <w:szCs w:val="24"/>
                      <w:lang w:val="en-GB" w:eastAsia="en-GB"/>
                      <w:u w:val="single"/>
                      <w:color w:val="0000FF" w:themeColor="hyperlink"/>
                    </w:rPr>
                    <w:t>2009/71/Euratomas</w:t>
                  </w:r>
                </w:fldSimple>
                <w:r>
                  <w:rPr>
                    <w:szCs w:val="24"/>
                    <w:lang w:val="en-GB" w:eastAsia="en-GB"/>
                  </w:rPr>
                  <w:t xml:space="preserve"> (**), arba atlikus atitinkamus vertinimus pagal nacionalinius įstatymus, su sąlyga, kad vykdomi šios direktyvos reikalavimai. Kai tinkama, priemonių, kurių numatoma imtis siekiant išvengti reikšmingo neigiamo poveikio aplinkai arba jį sušvelninti, aprašymas, taip pat išsamus priemonių, susijusių su pasirengimu ekstremaliosioms situacijoms ir siūlomu reagavimu į jas, aprašymas. </w:t>
                </w:r>
              </w:p>
              <w:p w14:paraId="1BA64C9B" w14:textId="77777777">
                <w:pPr>
                  <w:jc w:val="both"/>
                  <w:rPr>
                    <w:b/>
                    <w:iCs/>
                    <w:szCs w:val="24"/>
                    <w:lang w:val="en-GB" w:eastAsia="en-GB"/>
                  </w:rPr>
                </w:pPr>
              </w:p>
            </w:tc>
            <w:tc>
              <w:tcPr>
                <w:tcW w:w="8930" w:type="dxa"/>
              </w:tcPr>
              <w:p w14:paraId="55D5964C" w14:textId="77777777">
                <w:pPr>
                  <w:widowControl w:val="0"/>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val="en-GB" w:eastAsia="lt-LT"/>
                  </w:rPr>
                </w:pPr>
                <w:r>
                  <w:rPr>
                    <w:color w:val="000000"/>
                    <w:szCs w:val="24"/>
                    <w:shd w:val="clear" w:color="auto" w:fill="FFFFFF"/>
                    <w:lang w:val="en-GB" w:eastAsia="ar-SA"/>
                  </w:rPr>
                  <w:t>1.16. Pakeičiu</w:t>
                </w:r>
                <w:r>
                  <w:rPr>
                    <w:szCs w:val="24"/>
                    <w:lang w:val="en-GB" w:eastAsia="lt-LT"/>
                  </w:rPr>
                  <w:t xml:space="preserve"> 1 priedo II skyriaus devintąjį skirsnį ir jį išdėstau taip:</w:t>
                </w:r>
              </w:p>
              <w:p w14:paraId="7DF3C017" w14:textId="77777777">
                <w:pPr>
                  <w:suppressAutoHyphens/>
                  <w:ind w:firstLine="709"/>
                  <w:jc w:val="center"/>
                  <w:rPr>
                    <w:b/>
                    <w:strike/>
                    <w:szCs w:val="24"/>
                    <w:lang w:val="en-GB" w:eastAsia="lt-LT"/>
                  </w:rPr>
                </w:pPr>
                <w:r>
                  <w:rPr>
                    <w:caps/>
                    <w:szCs w:val="24"/>
                    <w:lang w:val="en-GB" w:eastAsia="en-GB"/>
                  </w:rPr>
                  <w:t>„</w:t>
                </w:r>
                <w:r>
                  <w:rPr>
                    <w:b/>
                    <w:bCs/>
                    <w:strike/>
                    <w:szCs w:val="24"/>
                    <w:lang w:val="en-GB" w:eastAsia="lt-LT"/>
                  </w:rPr>
                  <w:t xml:space="preserve">DEVINTASIS </w:t>
                </w:r>
                <w:r>
                  <w:rPr>
                    <w:b/>
                    <w:strike/>
                    <w:szCs w:val="24"/>
                    <w:lang w:val="en-GB" w:eastAsia="lt-LT"/>
                  </w:rPr>
                  <w:t>SKIRSNIS</w:t>
                </w:r>
              </w:p>
              <w:p w14:paraId="0B1D346F" w14:textId="77777777">
                <w:pPr>
                  <w:suppressAutoHyphens/>
                  <w:ind w:firstLine="709"/>
                  <w:jc w:val="center"/>
                  <w:rPr>
                    <w:b/>
                    <w:bCs/>
                    <w:strike/>
                    <w:szCs w:val="24"/>
                    <w:lang w:val="en-GB" w:eastAsia="lt-LT"/>
                  </w:rPr>
                </w:pPr>
                <w:r>
                  <w:rPr>
                    <w:b/>
                    <w:bCs/>
                    <w:strike/>
                    <w:szCs w:val="24"/>
                    <w:lang w:val="en-GB" w:eastAsia="lt-LT"/>
                  </w:rPr>
                  <w:t>RIZIKOS ANALIZĖ IR JOS VERTINIMAS</w:t>
                </w:r>
              </w:p>
              <w:p w14:paraId="7A714662" w14:textId="77777777">
                <w:pPr>
                  <w:suppressAutoHyphens/>
                  <w:ind w:firstLine="709"/>
                  <w:jc w:val="both"/>
                  <w:rPr>
                    <w:strike/>
                    <w:szCs w:val="24"/>
                    <w:lang w:val="en-GB" w:eastAsia="lt-LT"/>
                  </w:rPr>
                </w:pPr>
              </w:p>
              <w:p w14:paraId="66A6296A" w14:textId="77777777">
                <w:pPr>
                  <w:suppressAutoHyphens/>
                  <w:ind w:firstLine="709"/>
                  <w:rPr>
                    <w:strike/>
                    <w:szCs w:val="24"/>
                    <w:lang w:val="en-GB" w:eastAsia="lt-LT"/>
                  </w:rPr>
                </w:pPr>
                <w:r>
                  <w:rPr>
                    <w:b/>
                    <w:strike/>
                    <w:szCs w:val="24"/>
                    <w:lang w:val="en-GB" w:eastAsia="lt-LT"/>
                  </w:rPr>
                  <w:t>Esamos būklės aprašymas</w:t>
                </w:r>
                <w:r>
                  <w:rPr>
                    <w:strike/>
                    <w:szCs w:val="24"/>
                    <w:lang w:val="en-GB" w:eastAsia="lt-LT"/>
                  </w:rPr>
                  <w:t xml:space="preserve"> </w:t>
                </w:r>
              </w:p>
              <w:p w14:paraId="0F8FC59E" w14:textId="77777777">
                <w:pPr>
                  <w:suppressAutoHyphens/>
                  <w:ind w:firstLine="709"/>
                  <w:jc w:val="both"/>
                  <w:rPr>
                    <w:strike/>
                    <w:szCs w:val="24"/>
                    <w:lang w:val="en-GB" w:eastAsia="lt-LT"/>
                  </w:rPr>
                </w:pPr>
                <w:r>
                  <w:rPr>
                    <w:strike/>
                    <w:szCs w:val="24"/>
                    <w:lang w:val="en-GB" w:eastAsia="lt-LT"/>
                  </w:rPr>
                  <w:t>143. Pateikiama informacija apie vietovėje esančius pavojinguosius ir pažeidžiamus objektus:</w:t>
                </w:r>
              </w:p>
              <w:p w14:paraId="199CE66A" w14:textId="77777777">
                <w:pPr>
                  <w:suppressAutoHyphens/>
                  <w:ind w:firstLine="709"/>
                  <w:jc w:val="both"/>
                  <w:rPr>
                    <w:strike/>
                    <w:szCs w:val="24"/>
                    <w:lang w:val="en-GB" w:eastAsia="lt-LT"/>
                  </w:rPr>
                </w:pPr>
                <w:r>
                  <w:rPr>
                    <w:strike/>
                    <w:szCs w:val="24"/>
                    <w:lang w:val="en-GB" w:eastAsia="lt-LT"/>
                  </w:rPr>
                  <w:t>143.1. informacija apie planuojamame sklype ar teritorijoje ir šalia jos esamus pavojinguosius objektus, kuriuose gaminamos, naudojamos, tvarkomos ar laikomos pavojingosios medžiagos;</w:t>
                </w:r>
              </w:p>
              <w:p w14:paraId="334023D6" w14:textId="77777777">
                <w:pPr>
                  <w:suppressAutoHyphens/>
                  <w:ind w:firstLine="709"/>
                  <w:jc w:val="both"/>
                  <w:rPr>
                    <w:strike/>
                    <w:szCs w:val="24"/>
                    <w:lang w:val="en-GB" w:eastAsia="lt-LT"/>
                  </w:rPr>
                </w:pPr>
                <w:r>
                  <w:rPr>
                    <w:strike/>
                    <w:szCs w:val="24"/>
                    <w:lang w:val="en-GB" w:eastAsia="lt-LT"/>
                  </w:rPr>
                  <w:t>143.2. informacija apie planuojamame sklype ar teritorijoje ir šalia jos esamus valstybinės reikšmės objektus, kurie užtikrina valstybei svarbių ūkio objektų ar infrastruktūros (pvz., energetikos, transporto, telekomunikacijų) funkcionavimą;</w:t>
                </w:r>
              </w:p>
              <w:p w14:paraId="3EAB8C7A" w14:textId="77777777">
                <w:pPr>
                  <w:suppressAutoHyphens/>
                  <w:ind w:firstLine="709"/>
                  <w:jc w:val="both"/>
                  <w:rPr>
                    <w:strike/>
                    <w:szCs w:val="24"/>
                    <w:lang w:val="en-GB" w:eastAsia="lt-LT"/>
                  </w:rPr>
                </w:pPr>
                <w:r>
                  <w:rPr>
                    <w:strike/>
                    <w:szCs w:val="24"/>
                    <w:lang w:val="en-GB" w:eastAsia="lt-LT"/>
                  </w:rPr>
                  <w:t>143.3. informacija apie planuojamos ūkinės veiklos žemės sklypo ar teritorijos gretimybėse esančių sklypų ar teritorijos naudojimo žemės paskirtį (pvz., miškų, vandens, konservacinės ar kitos paskirties žemę), įvertinant šioms teritorijoms galimas pasekmes dėl galimų ekstremaliųjų įvykių vykdant ūkinę veiklą;</w:t>
                </w:r>
              </w:p>
              <w:p w14:paraId="563905F3" w14:textId="77777777">
                <w:pPr>
                  <w:suppressAutoHyphens/>
                  <w:ind w:firstLine="709"/>
                  <w:jc w:val="both"/>
                  <w:rPr>
                    <w:b/>
                    <w:strike/>
                    <w:szCs w:val="24"/>
                    <w:lang w:val="en-GB" w:eastAsia="lt-LT"/>
                  </w:rPr>
                </w:pPr>
                <w:r>
                  <w:rPr>
                    <w:strike/>
                    <w:szCs w:val="24"/>
                    <w:lang w:val="en-GB" w:eastAsia="lt-LT"/>
                  </w:rPr>
                  <w:t>143.4. informacija apie planuojamoje teritorijoje gamtinių pavojingų reiškinių zonas (pvz., žemės drebėjimai, karstinio regiono zona, nuošliaužos, įgriuvos, potvyniai), kurios dėl savo vietos, stiprumo ir dažnumo kelia didelę grėsmę planuojamai ūkinei veiklai.</w:t>
                </w:r>
              </w:p>
              <w:p w14:paraId="64A62F1D" w14:textId="77777777">
                <w:pPr>
                  <w:ind w:firstLine="709"/>
                  <w:jc w:val="both"/>
                  <w:rPr>
                    <w:b/>
                    <w:strike/>
                    <w:szCs w:val="24"/>
                    <w:lang w:val="en-GB" w:eastAsia="ar-SA"/>
                  </w:rPr>
                </w:pPr>
                <w:r>
                  <w:rPr>
                    <w:b/>
                    <w:strike/>
                    <w:szCs w:val="24"/>
                    <w:lang w:val="en-GB" w:eastAsia="ar-SA"/>
                  </w:rPr>
                  <w:t>Numatomas reikšmingas poveikis</w:t>
                </w:r>
              </w:p>
              <w:p w14:paraId="566A64B1" w14:textId="77777777">
                <w:pPr>
                  <w:suppressAutoHyphens/>
                  <w:ind w:firstLine="709"/>
                  <w:jc w:val="both"/>
                  <w:rPr>
                    <w:strike/>
                    <w:szCs w:val="24"/>
                    <w:lang w:val="en-GB" w:eastAsia="lt-LT"/>
                  </w:rPr>
                </w:pPr>
                <w:r>
                  <w:rPr>
                    <w:strike/>
                    <w:szCs w:val="24"/>
                    <w:lang w:val="en-GB" w:eastAsia="lt-LT"/>
                  </w:rPr>
                  <w:t>144. Ekstremaliųjų įvykių tikimybė dėl cheminių medžiagų ir cheminių mišinių, įskaitant ir pavojingąsias chemines medžiagas ir cheminius mišinius, gamybos, naudojimo ar saugojimo; jų naudojimas vykdant ūkinę veiklą gali padidinti avarijų, gaisrų tikimybę.</w:t>
                </w:r>
                <w:r>
                  <w:rPr>
                    <w:strike/>
                    <w:szCs w:val="24"/>
                    <w:lang w:val="en-GB" w:eastAsia="en-GB"/>
                  </w:rPr>
                  <w:t xml:space="preserve"> </w:t>
                </w:r>
              </w:p>
              <w:p w14:paraId="4AA5CF7D" w14:textId="77777777">
                <w:pPr>
                  <w:suppressAutoHyphens/>
                  <w:ind w:firstLine="709"/>
                  <w:jc w:val="both"/>
                  <w:rPr>
                    <w:strike/>
                    <w:szCs w:val="24"/>
                    <w:lang w:val="en-GB" w:eastAsia="lt-LT"/>
                  </w:rPr>
                </w:pPr>
                <w:r>
                  <w:rPr>
                    <w:strike/>
                    <w:szCs w:val="24"/>
                    <w:lang w:val="en-GB" w:eastAsia="lt-LT"/>
                  </w:rPr>
                  <w:t>145. Tikėtina, kad dėl vykdomos ūkinės veiklos techninių ar technologinių procesų sutrikimų, gali įvykti pramoninė avarija (pvz., sprogimas, gaisras</w:t>
                </w:r>
                <w:r>
                  <w:rPr>
                    <w:strike/>
                    <w:w w:val="89"/>
                    <w:szCs w:val="24"/>
                    <w:lang w:val="en-GB" w:eastAsia="lt-LT"/>
                  </w:rPr>
                  <w:t xml:space="preserve">, </w:t>
                </w:r>
                <w:r>
                  <w:rPr>
                    <w:strike/>
                    <w:szCs w:val="24"/>
                    <w:lang w:val="en-GB" w:eastAsia="lt-LT"/>
                  </w:rPr>
                  <w:t>pavojingų medžiagų išsiveržimas į aplinką</w:t>
                </w:r>
                <w:r>
                  <w:rPr>
                    <w:strike/>
                    <w:w w:val="89"/>
                    <w:szCs w:val="24"/>
                    <w:lang w:val="en-GB" w:eastAsia="lt-LT"/>
                  </w:rPr>
                  <w:t xml:space="preserve"> </w:t>
                </w:r>
                <w:r>
                  <w:rPr>
                    <w:strike/>
                    <w:szCs w:val="24"/>
                    <w:lang w:val="en-GB" w:eastAsia="lt-LT"/>
                  </w:rPr>
                  <w:t>gali sukelti</w:t>
                </w:r>
                <w:r>
                  <w:rPr>
                    <w:strike/>
                    <w:w w:val="89"/>
                    <w:szCs w:val="24"/>
                    <w:lang w:val="en-GB" w:eastAsia="lt-LT"/>
                  </w:rPr>
                  <w:t xml:space="preserve"> </w:t>
                </w:r>
                <w:r>
                  <w:rPr>
                    <w:strike/>
                    <w:szCs w:val="24"/>
                    <w:lang w:val="en-GB" w:eastAsia="lt-LT"/>
                  </w:rPr>
                  <w:t xml:space="preserve">nekontroliuojamas chemines reakcijas) ir sukelti pavojų gyventojų gyvybei ir sveikatai, ir (ar) aplinkos komponentams (pvz., aplinkos oro, vandens, dirvožemio, žemės ir jos gelmių užteršimas cheminėmis, biologinėmis, radioaktyviomis medžiagomis ar kraštovaizdžio ir biologinės įvairovės, materialinių ir nekilnojamųjų kultūros paveldo vertybių sunaikinimas). </w:t>
                </w:r>
              </w:p>
              <w:p w14:paraId="5615CB8C" w14:textId="77777777">
                <w:pPr>
                  <w:suppressAutoHyphens/>
                  <w:ind w:firstLine="709"/>
                  <w:jc w:val="both"/>
                  <w:rPr>
                    <w:strike/>
                    <w:szCs w:val="24"/>
                    <w:lang w:val="en-GB" w:eastAsia="lt-LT"/>
                  </w:rPr>
                </w:pPr>
                <w:r>
                  <w:rPr>
                    <w:strike/>
                    <w:szCs w:val="24"/>
                    <w:lang w:val="en-GB" w:eastAsia="lt-LT"/>
                  </w:rPr>
                  <w:t xml:space="preserve">146. Tikėtina, kad stichiniai ar katastrofiniai meteorologiniai ir hidrologiniai </w:t>
                </w:r>
                <w:r>
                  <w:rPr>
                    <w:bCs/>
                    <w:strike/>
                    <w:szCs w:val="24"/>
                    <w:lang w:val="en-GB" w:eastAsia="lt-LT"/>
                  </w:rPr>
                  <w:t>reiškiniai</w:t>
                </w:r>
                <w:r>
                  <w:rPr>
                    <w:strike/>
                    <w:szCs w:val="24"/>
                    <w:lang w:val="en-GB" w:eastAsia="lt-LT"/>
                  </w:rPr>
                  <w:t>,</w:t>
                </w:r>
                <w:r>
                  <w:rPr>
                    <w:bCs/>
                    <w:strike/>
                    <w:szCs w:val="24"/>
                    <w:lang w:val="en-GB" w:eastAsia="lt-LT"/>
                  </w:rPr>
                  <w:t xml:space="preserve"> įskaitant </w:t>
                </w:r>
                <w:r>
                  <w:rPr>
                    <w:strike/>
                    <w:szCs w:val="24"/>
                    <w:lang w:val="en-GB" w:eastAsia="lt-LT"/>
                  </w:rPr>
                  <w:t>geologinius procesus ir reiškinius (pvz., potvyniai, smarkus vėjas, ledų sangrūdos, karstinės įgriuvos, nuošliaužos), gali pažeisti ar sugriauti planuojamos ūkinės veiklos pastatus ar įrenginius ir sukelti pavojų (pvz., išsilieja teršalai, išsilaisvina nevaldoma energija) gyventojų gyvybei ir sveikatai, ir (ar) aplinkos komponentams (vanduo, aplinkos oras, klimatas, žemė, dirvožemis, žemės gelmės, kraštovaizdis ir biologinė įvairovė, materialinės ir nekilnojamosios kultūros paveldo vertybės).</w:t>
                </w:r>
              </w:p>
              <w:p w14:paraId="1D2E8B3C" w14:textId="77777777">
                <w:pPr>
                  <w:suppressAutoHyphens/>
                  <w:ind w:firstLine="709"/>
                  <w:jc w:val="both"/>
                  <w:rPr>
                    <w:strike/>
                    <w:szCs w:val="24"/>
                    <w:lang w:val="en-GB" w:eastAsia="lt-LT"/>
                  </w:rPr>
                </w:pPr>
                <w:r>
                  <w:rPr>
                    <w:strike/>
                    <w:szCs w:val="24"/>
                    <w:lang w:val="en-GB" w:eastAsia="lt-LT"/>
                  </w:rPr>
                  <w:t xml:space="preserve">147. </w:t>
                </w:r>
                <w:r>
                  <w:rPr>
                    <w:bCs/>
                    <w:strike/>
                    <w:szCs w:val="24"/>
                    <w:lang w:val="en-GB" w:eastAsia="lt-LT"/>
                  </w:rPr>
                  <w:t>Ekstremaliųjų įvykių padariniai, sąlygoti ūkinės veiklos pažeidžiamumo, gali sutrikdyti</w:t>
                </w:r>
                <w:r>
                  <w:rPr>
                    <w:strike/>
                    <w:szCs w:val="24"/>
                    <w:lang w:val="en-GB" w:eastAsia="lt-LT"/>
                  </w:rPr>
                  <w:t xml:space="preserve"> valstybinės reikšmės objektų funkcionavimą ir kelti pavojų nacionaliniam saugumui (pvz., sutriktų valstybės valdymas dėl pažeistos energetikos, transporto, telekomunikacijų infrastruktūros). </w:t>
                </w:r>
              </w:p>
              <w:p w14:paraId="1DA03A51" w14:textId="77777777">
                <w:pPr>
                  <w:suppressAutoHyphens/>
                  <w:ind w:firstLine="709"/>
                  <w:jc w:val="both"/>
                  <w:rPr>
                    <w:strike/>
                    <w:szCs w:val="24"/>
                    <w:lang w:val="en-GB" w:eastAsia="lt-LT"/>
                  </w:rPr>
                </w:pPr>
                <w:r>
                  <w:rPr>
                    <w:strike/>
                    <w:szCs w:val="24"/>
                    <w:lang w:val="en-GB" w:eastAsia="lt-LT"/>
                  </w:rPr>
                  <w:t xml:space="preserve">148. Rizikos analizė ir jos vertinamas atliekamas atsižvelgiant į pavojingo veiksnio pobūdį ir į vietovėje esančius pažeidžiamus objektus, tikimybę, kad į aplinką patekę teršalai ar jų turintys produktai sukels pavojų žmogaus sveikatai ir aplinkai. Vienas iš planuojamos ūkinės veiklos mastą apibūdinančių dydžių, lemiančių projekto pažeidžiamumą didelių avarijų ir (arba) nelaimių, kurios svarbios atitinkamam projektui rizikos atžvilgiu, yra laikomų pavojingųjų medžiagų kiekiai. </w:t>
                </w:r>
              </w:p>
              <w:p w14:paraId="26E9EDC6" w14:textId="77777777">
                <w:pPr>
                  <w:suppressAutoHyphens/>
                  <w:ind w:firstLine="709"/>
                  <w:jc w:val="both"/>
                  <w:rPr>
                    <w:strike/>
                    <w:szCs w:val="24"/>
                    <w:lang w:val="en-GB" w:eastAsia="lt-LT"/>
                  </w:rPr>
                </w:pPr>
                <w:r>
                  <w:rPr>
                    <w:strike/>
                    <w:szCs w:val="24"/>
                    <w:lang w:val="en-GB" w:eastAsia="lt-LT"/>
                  </w:rPr>
                  <w:t>149. Aprašomas numatomas neigiamas poveikis aplinkai ir žmonių sveikatai, kurį lemia planuojamos ūkinės veiklos pažeidžiamumo rizika dėl ekstremaliųjų įvykių ir (ar) susidariusių ekstremaliųjų situacijų, įskaitant tas, kurias gali lemti klimato kaita.</w:t>
                </w:r>
              </w:p>
              <w:p w14:paraId="77538F2E" w14:textId="77777777">
                <w:pPr>
                  <w:suppressAutoHyphens/>
                  <w:ind w:firstLine="709"/>
                  <w:jc w:val="both"/>
                  <w:rPr>
                    <w:strike/>
                    <w:szCs w:val="24"/>
                    <w:lang w:val="en-GB" w:eastAsia="lt-LT"/>
                  </w:rPr>
                </w:pPr>
                <w:r>
                  <w:rPr>
                    <w:strike/>
                    <w:szCs w:val="24"/>
                    <w:lang w:val="en-GB" w:eastAsia="lt-LT"/>
                  </w:rPr>
                  <w:t xml:space="preserve">150. Išanalizavus planuojamoje ūkinėje veikloje pavojingųjų, nepavojingųjų ir radioaktyviųjų atliekų susidarymą, laikymą, naudojimą ir šalinimą, įskaitant informaciją apie pavojingųjų atliekų technologinius srautus, planuojamą jų kiekį, tvarkymą, cheminių medžiagų ir cheminių mišinių (žaliavų, produktų, šalutinių produktų, liekanų) naudojimą, saugojimą ir susidarymą, įskaitant radioaktyviąsias medžiagas ir pavojingąsias medžiagas ir mišinius, atitinkančius klasifikavimo kaip pavojingi kriterijus pagal Reglamentą </w:t>
                </w:r>
                <w:fldSimple w:instr="HYPERLINK http://eur-lex.europa.eu/legal-content/LIT/TXT/?uri=CELEX:32008R1272&amp;locale=lt \t _blank">
                  <w:r>
                    <w:rPr>
                      <w:strike/>
                      <w:szCs w:val="24"/>
                      <w:lang w:val="en-GB" w:eastAsia="lt-LT"/>
                      <w:u w:val="single"/>
                      <w:color w:val="0000FF" w:themeColor="hyperlink"/>
                    </w:rPr>
                    <w:t>(EB) Nr. 1272/2008</w:t>
                  </w:r>
                </w:fldSimple>
                <w:r>
                  <w:rPr>
                    <w:strike/>
                    <w:szCs w:val="24"/>
                    <w:lang w:val="en-GB" w:eastAsia="lt-LT"/>
                  </w:rPr>
                  <w:t>, numatomus laikyti tokių medžiagų kiekius, prognozuojama planuojamos ūkinės veiklos pažeidžiamumo rizika dėl ekstremaliųjų įvykių ir (arba) susidariusių ekstremaliųjų situacijų, įskaitant tas, kurias gali lemti klimato kaita.</w:t>
                </w:r>
                <w:r>
                  <w:rPr>
                    <w:strike/>
                    <w:szCs w:val="24"/>
                    <w:lang w:val="en-GB" w:eastAsia="en-GB"/>
                  </w:rPr>
                  <w:t xml:space="preserve"> </w:t>
                </w:r>
              </w:p>
              <w:p w14:paraId="5BA8D823" w14:textId="77777777">
                <w:pPr>
                  <w:suppressAutoHyphens/>
                  <w:ind w:firstLine="709"/>
                  <w:jc w:val="both"/>
                  <w:rPr>
                    <w:b/>
                    <w:strike/>
                    <w:szCs w:val="24"/>
                    <w:lang w:val="en-GB" w:eastAsia="lt-LT"/>
                  </w:rPr>
                </w:pPr>
                <w:r>
                  <w:rPr>
                    <w:b/>
                    <w:bCs/>
                    <w:strike/>
                    <w:color w:val="000000"/>
                    <w:szCs w:val="24"/>
                    <w:lang w:val="en-GB" w:eastAsia="lt-LT"/>
                  </w:rPr>
                  <w:t xml:space="preserve">Reikšmingo neigiamo </w:t>
                </w:r>
                <w:r>
                  <w:rPr>
                    <w:b/>
                    <w:bCs/>
                    <w:strike/>
                    <w:szCs w:val="24"/>
                    <w:lang w:val="en-GB" w:eastAsia="lt-LT"/>
                  </w:rPr>
                  <w:t>poveikio aplinkai</w:t>
                </w:r>
                <w:r>
                  <w:rPr>
                    <w:b/>
                    <w:strike/>
                    <w:szCs w:val="24"/>
                    <w:lang w:val="en-GB" w:eastAsia="lt-LT"/>
                  </w:rPr>
                  <w:t xml:space="preserve"> išvengimo, sumažinimo ir kompensavimo priemonės</w:t>
                </w:r>
                <w:r>
                  <w:rPr>
                    <w:b/>
                    <w:bCs/>
                    <w:strike/>
                    <w:szCs w:val="24"/>
                    <w:lang w:val="en-GB" w:eastAsia="lt-LT"/>
                  </w:rPr>
                  <w:t xml:space="preserve"> </w:t>
                </w:r>
              </w:p>
              <w:p w14:paraId="77789D70" w14:textId="77777777">
                <w:pPr>
                  <w:suppressAutoHyphens/>
                  <w:ind w:firstLine="709"/>
                  <w:jc w:val="both"/>
                  <w:rPr>
                    <w:strike/>
                    <w:szCs w:val="24"/>
                    <w:lang w:val="en-GB" w:eastAsia="lt-LT"/>
                  </w:rPr>
                </w:pPr>
                <w:r>
                  <w:rPr>
                    <w:strike/>
                    <w:szCs w:val="24"/>
                    <w:lang w:val="en-GB" w:eastAsia="lt-LT"/>
                  </w:rPr>
                  <w:t>151. Vertinimo metu įvertinama galima rizika pagal sumodeliuotus konkrečius avarijų scenarijus, parenkami tinkami sprendimai, kaip avarinių situacijų ir avarijų išvengti, maksimaliai sumažinti jų tikimybę. Atliekant planuojamos ūkinės veiklos rizikos analizę ir galimų avarinių situacijų prognozavimą, vertinimą ir numatant prevencines priemones, rekomenduojama vadovautis Planuojamos ūkinės veiklos galimų avarijų rizikos vertinimo rekomendacijomis</w:t>
                </w:r>
                <w:r>
                  <w:rPr>
                    <w:b/>
                    <w:bCs/>
                    <w:strike/>
                    <w:color w:val="000000"/>
                    <w:szCs w:val="24"/>
                    <w:lang w:val="en-GB" w:eastAsia="lt-LT"/>
                  </w:rPr>
                  <w:t xml:space="preserve"> </w:t>
                </w:r>
                <w:r>
                  <w:rPr>
                    <w:bCs/>
                    <w:strike/>
                    <w:color w:val="000000"/>
                    <w:szCs w:val="24"/>
                    <w:lang w:val="en-GB" w:eastAsia="lt-LT"/>
                  </w:rPr>
                  <w:t>R 41-02</w:t>
                </w:r>
                <w:r>
                  <w:rPr>
                    <w:strike/>
                    <w:szCs w:val="24"/>
                    <w:lang w:val="en-GB" w:eastAsia="lt-LT"/>
                  </w:rPr>
                  <w:t>, patvirtintomis Lietuvos Respublikos aplinkos ministro 2002 m. liepos 16 d. įsakymu Nr. 367 „Dėl Planuojamos ūkinės veiklos galimų avarijų rizikos vertinimo rekomendacijų R 41-02 patvirtinimo“, Ekstremaliųjų įvykių kriterijų sąrašu, patvirtintu Lietuvos Respublikos Vyriausybės 2006 m. kovo 9 d. nutarimu Nr. 241 „Dėl Ekstremaliųjų įvykių kriterijų sąrašo patvirtinimo“, Stichinių, katastrofinių meteorologinių ir hidrologinių reiškinių rodikliais, patvirtintais Lietuvos Respublikos aplinkos ministro 2011 m. lapkričio 11 d. įsakymu Nr. D1-870 „Dėl Stichinių, katastrofinių meteorologinių ir hidrologinių reiškinių rodiklių patvirtinimo“. Atliekant pavojingųjų objektų planuojamos ūkinės veiklos rizikos analizę ir galimų avarinių situacijų prognozavimą, vertinimą ir prevencinių priemonių numatymą, rekomenduojama vadovautis Pavojingojo objekto, kuriame pavojingųjų medžiagų kiekiai prilygsta nustatytųjų kvalifikacinių kiekių II lygiui ar jį viršija, saugos ataskaitos rengimo rekomendacijose, patvirtintose Priešgaisrinės apsaugos ir gelbėjimo departamento prie Vidaus reikalų ministerijos direktoriaus 2013 m. lapkričio 6 d. įsakymu Nr. 1-271 „Dėl Pavojingojo objekto, kuriame pavojingųjų medžiagų kiekiai prilygsta nustatytųjų kvalifikacinių kiekių II lygiui ar jį viršija, saugos ataskaitos rengimo rekomendacijų patvirtinimo“ pateiktais rizikos analizės minimaliais reikalavimais ir įvertinti planuojamos ūkinės veiklos keliamą individualią ir socialinę riziką.</w:t>
                </w:r>
                <w:r>
                  <w:rPr>
                    <w:strike/>
                    <w:szCs w:val="24"/>
                    <w:lang w:val="en-GB" w:eastAsia="en-GB"/>
                  </w:rPr>
                  <w:t xml:space="preserve"> </w:t>
                </w:r>
              </w:p>
              <w:p w14:paraId="693CD303" w14:textId="77777777">
                <w:pPr>
                  <w:suppressAutoHyphens/>
                  <w:ind w:firstLine="709"/>
                  <w:jc w:val="both"/>
                  <w:rPr>
                    <w:strike/>
                    <w:szCs w:val="24"/>
                    <w:lang w:val="en-GB" w:eastAsia="lt-LT"/>
                  </w:rPr>
                </w:pPr>
                <w:r>
                  <w:rPr>
                    <w:strike/>
                    <w:szCs w:val="24"/>
                    <w:lang w:val="en-GB" w:eastAsia="lt-LT"/>
                  </w:rPr>
                  <w:t>152.</w:t>
                </w:r>
                <w:r>
                  <w:rPr>
                    <w:i/>
                    <w:strike/>
                    <w:szCs w:val="24"/>
                    <w:lang w:val="en-GB" w:eastAsia="lt-LT"/>
                  </w:rPr>
                  <w:t xml:space="preserve"> </w:t>
                </w:r>
                <w:r>
                  <w:rPr>
                    <w:strike/>
                    <w:szCs w:val="24"/>
                    <w:lang w:val="en-GB" w:eastAsia="lt-LT"/>
                  </w:rPr>
                  <w:t xml:space="preserve">Išanalizavus veiksnius, galinčius lemtį planuojamos ūkinės veiklos pažeidžiamumo riziką ekstremaliųjų įvykių ar ekstremaliųjų situacijų tikimybę, kurios gali sukelti staigų didelį pavojų gyventojų gyvybei ar sveikatai, turtui, aplinkai arba gyventojų žūtį, sužalojimą ar padaryti kitą žalą, numatomos priemonės, kurių bus imtasi siekiant išvengti reikšmingo neigiamo poveikio aplinkai, jį sušvelninti, aprašomas, kai tinkama, išsamus priemonių, susijusių su pasirengimu ekstremaliosioms situacijoms ir siūlomu reagavimu į jas; atlikus galimų pavojų ir ekstremaliųjų situacijų rizikos analizę, nurodoma, ar planuojamos ūkinės veiklos organizatorius privalės rengti ekstremaliųjų situacijų valdymo planą, vadovaujantis Lietuvos Respublikos civilinės saugos įstatymo 16 straipsnį 3 dalies 9 punktu. </w:t>
                </w:r>
              </w:p>
              <w:p w14:paraId="5D7807B5" w14:textId="77777777">
                <w:pPr>
                  <w:suppressAutoHyphens/>
                  <w:ind w:firstLine="709"/>
                  <w:jc w:val="both"/>
                  <w:rPr>
                    <w:b/>
                    <w:strike/>
                    <w:szCs w:val="24"/>
                    <w:lang w:val="pl-PL" w:eastAsia="lt-LT"/>
                  </w:rPr>
                </w:pPr>
                <w:r>
                  <w:rPr>
                    <w:b/>
                    <w:strike/>
                    <w:szCs w:val="24"/>
                    <w:lang w:val="pl-PL" w:eastAsia="lt-LT"/>
                  </w:rPr>
                  <w:t>Grafinė medžiaga</w:t>
                </w:r>
              </w:p>
              <w:p w14:paraId="60CCA0FD" w14:textId="77777777">
                <w:pPr>
                  <w:suppressAutoHyphens/>
                  <w:ind w:firstLine="709"/>
                  <w:jc w:val="both"/>
                  <w:rPr>
                    <w:strike/>
                    <w:color w:val="000000"/>
                    <w:szCs w:val="24"/>
                    <w:lang w:val="pl-PL" w:eastAsia="lt-LT"/>
                  </w:rPr>
                </w:pPr>
                <w:r>
                  <w:rPr>
                    <w:strike/>
                    <w:color w:val="000000"/>
                    <w:szCs w:val="24"/>
                    <w:lang w:val="pl-PL" w:eastAsia="lt-LT"/>
                  </w:rPr>
                  <w:t>153. Pridedama grafinė medžiaga, jei tinkama:</w:t>
                </w:r>
              </w:p>
              <w:p w14:paraId="2548FBE1" w14:textId="77777777">
                <w:pPr>
                  <w:suppressAutoHyphens/>
                  <w:ind w:firstLine="709"/>
                  <w:jc w:val="both"/>
                  <w:rPr>
                    <w:strike/>
                    <w:color w:val="000000"/>
                    <w:szCs w:val="24"/>
                    <w:lang w:val="pl-PL" w:eastAsia="lt-LT"/>
                  </w:rPr>
                </w:pPr>
                <w:r>
                  <w:rPr>
                    <w:strike/>
                    <w:color w:val="000000"/>
                    <w:szCs w:val="24"/>
                    <w:lang w:val="pl-PL" w:eastAsia="lt-LT"/>
                  </w:rPr>
                  <w:t>153.1. p</w:t>
                </w:r>
                <w:r>
                  <w:rPr>
                    <w:strike/>
                    <w:color w:val="000000"/>
                    <w:spacing w:val="-6"/>
                    <w:szCs w:val="24"/>
                    <w:lang w:val="pl-PL" w:eastAsia="lt-LT"/>
                  </w:rPr>
                  <w:t>otvynių grėsmės žemėlapis</w:t>
                </w:r>
                <w:r>
                  <w:rPr>
                    <w:strike/>
                    <w:color w:val="000000"/>
                    <w:szCs w:val="24"/>
                    <w:lang w:val="pl-PL" w:eastAsia="lt-LT"/>
                  </w:rPr>
                  <w:t xml:space="preserve"> (kuriame nustatyti dėl įvairios kilmės ir tikimybės potvynių užliejamų teritorijų plotai);</w:t>
                </w:r>
              </w:p>
              <w:p w14:paraId="7BF3A4C7" w14:textId="77777777">
                <w:pPr>
                  <w:suppressAutoHyphens/>
                  <w:ind w:firstLine="709"/>
                  <w:jc w:val="both"/>
                  <w:rPr>
                    <w:strike/>
                    <w:szCs w:val="24"/>
                    <w:lang w:val="pl-PL" w:eastAsia="lt-LT"/>
                  </w:rPr>
                </w:pPr>
                <w:r>
                  <w:rPr>
                    <w:strike/>
                    <w:color w:val="000000"/>
                    <w:szCs w:val="24"/>
                    <w:lang w:val="pl-PL" w:eastAsia="lt-LT"/>
                  </w:rPr>
                  <w:t xml:space="preserve">153.2. potvynių rizikos žemėlapis (kuriame įvertinti galimi su potvyniais susiję neigiami poveikiai </w:t>
                </w:r>
                <w:r>
                  <w:rPr>
                    <w:strike/>
                    <w:szCs w:val="24"/>
                    <w:lang w:val="pl-PL" w:eastAsia="lt-LT"/>
                  </w:rPr>
                  <w:t xml:space="preserve">gyventojams ir visuomenės sveikatai, </w:t>
                </w:r>
                <w:r>
                  <w:rPr>
                    <w:strike/>
                    <w:color w:val="000000"/>
                    <w:szCs w:val="24"/>
                    <w:lang w:val="pl-PL" w:eastAsia="lt-LT"/>
                  </w:rPr>
                  <w:t>aplinkai, kultūros paveldui ir ūkinei veiklai);</w:t>
                </w:r>
              </w:p>
              <w:p w14:paraId="4D054F6B" w14:textId="77777777">
                <w:pPr>
                  <w:suppressAutoHyphens/>
                  <w:ind w:firstLine="709"/>
                  <w:jc w:val="both"/>
                  <w:rPr>
                    <w:szCs w:val="24"/>
                    <w:lang w:val="pl-PL" w:eastAsia="lt-LT"/>
                  </w:rPr>
                </w:pPr>
                <w:r>
                  <w:rPr>
                    <w:strike/>
                    <w:szCs w:val="24"/>
                    <w:lang w:val="pl-PL" w:eastAsia="lt-LT"/>
                  </w:rPr>
                  <w:t>153.3. kiti žemėlapiai, kai projekto pažeidžiamumas siejamas su kitomis rizikomis (pvz., šalia esantys pavojingi objektai, karstinio regiono zona), kuriame pažymimi pavojingieji objektai, valstybinės reikšmės objektai, potencialios grėsmės.</w:t>
                </w:r>
              </w:p>
              <w:p w14:paraId="5FC48FB7" w14:textId="77777777">
                <w:pPr>
                  <w:suppressAutoHyphens/>
                  <w:ind w:firstLine="709"/>
                  <w:jc w:val="center"/>
                  <w:rPr>
                    <w:b/>
                    <w:szCs w:val="24"/>
                    <w:lang w:val="en-GB" w:eastAsia="lt-LT"/>
                  </w:rPr>
                </w:pPr>
                <w:r>
                  <w:rPr>
                    <w:b/>
                    <w:bCs/>
                    <w:szCs w:val="24"/>
                    <w:lang w:val="en-GB" w:eastAsia="lt-LT"/>
                  </w:rPr>
                  <w:t xml:space="preserve">DEVINTASIS </w:t>
                </w:r>
                <w:r>
                  <w:rPr>
                    <w:b/>
                    <w:szCs w:val="24"/>
                    <w:lang w:val="en-GB" w:eastAsia="lt-LT"/>
                  </w:rPr>
                  <w:t>SKIRSNIS</w:t>
                </w:r>
              </w:p>
              <w:p w14:paraId="12CA4323" w14:textId="77777777">
                <w:pPr>
                  <w:ind w:firstLine="709"/>
                  <w:jc w:val="center"/>
                  <w:rPr>
                    <w:b/>
                    <w:bCs/>
                    <w:szCs w:val="24"/>
                    <w:lang w:eastAsia="lt-LT"/>
                  </w:rPr>
                </w:pPr>
                <w:r>
                  <w:rPr>
                    <w:b/>
                    <w:bCs/>
                    <w:szCs w:val="24"/>
                    <w:lang w:eastAsia="lt-LT"/>
                  </w:rPr>
                  <w:t>RIZIKOS ANALIZĖ</w:t>
                </w:r>
              </w:p>
              <w:p w14:paraId="747E5F84" w14:textId="77777777">
                <w:pPr>
                  <w:suppressAutoHyphens/>
                  <w:ind w:firstLine="709"/>
                  <w:rPr>
                    <w:b/>
                    <w:szCs w:val="24"/>
                    <w:lang w:val="en-GB" w:eastAsia="lt-LT"/>
                  </w:rPr>
                </w:pPr>
              </w:p>
              <w:p w14:paraId="2F2347EF" w14:textId="77777777">
                <w:pPr>
                  <w:suppressAutoHyphens/>
                  <w:ind w:firstLine="709"/>
                  <w:rPr>
                    <w:szCs w:val="24"/>
                    <w:lang w:val="en-GB" w:eastAsia="lt-LT"/>
                  </w:rPr>
                </w:pPr>
                <w:r>
                  <w:rPr>
                    <w:b/>
                    <w:szCs w:val="24"/>
                    <w:lang w:val="en-GB" w:eastAsia="lt-LT"/>
                  </w:rPr>
                  <w:t>Esamos būklės aprašymas</w:t>
                </w:r>
                <w:r>
                  <w:rPr>
                    <w:szCs w:val="24"/>
                    <w:lang w:val="en-GB" w:eastAsia="lt-LT"/>
                  </w:rPr>
                  <w:t xml:space="preserve"> </w:t>
                </w:r>
              </w:p>
              <w:p w14:paraId="778B74C3" w14:textId="77777777">
                <w:pPr>
                  <w:ind w:firstLine="709"/>
                  <w:jc w:val="both"/>
                  <w:rPr>
                    <w:b/>
                    <w:szCs w:val="24"/>
                    <w:lang w:eastAsia="lt-LT"/>
                  </w:rPr>
                </w:pPr>
                <w:r>
                  <w:rPr>
                    <w:b/>
                    <w:szCs w:val="24"/>
                    <w:lang w:eastAsia="lt-LT"/>
                  </w:rPr>
                  <w:t xml:space="preserve">143. Pateikiama informacija apie artimoje planuojamos ūkinės veiklos aplinkoje esančius: </w:t>
                </w:r>
              </w:p>
              <w:p w14:paraId="3C0B4DFB" w14:textId="77777777">
                <w:pPr>
                  <w:ind w:firstLine="709"/>
                  <w:jc w:val="both"/>
                  <w:rPr>
                    <w:b/>
                    <w:szCs w:val="24"/>
                    <w:lang w:eastAsia="lt-LT"/>
                  </w:rPr>
                </w:pPr>
                <w:r>
                  <w:rPr>
                    <w:b/>
                    <w:szCs w:val="24"/>
                    <w:lang w:eastAsia="lt-LT"/>
                  </w:rPr>
                  <w:t xml:space="preserve">143.1. pavojinguosius objektus, kuriuose gaminamos, naudojamos, tvarkomos ar laikomos pavojingosios medžiagos; </w:t>
                </w:r>
              </w:p>
              <w:p w14:paraId="18BB7AD1" w14:textId="77777777">
                <w:pPr>
                  <w:ind w:firstLine="709"/>
                  <w:jc w:val="both"/>
                  <w:rPr>
                    <w:b/>
                    <w:szCs w:val="24"/>
                    <w:lang w:eastAsia="lt-LT"/>
                  </w:rPr>
                </w:pPr>
                <w:r>
                  <w:rPr>
                    <w:b/>
                    <w:szCs w:val="24"/>
                    <w:lang w:eastAsia="lt-LT"/>
                  </w:rPr>
                  <w:t xml:space="preserve">143.2. valstybinės reikšmės objektus, kurie užtikrina valstybei svarbių ūkio objektų ar infrastruktūros (pvz., energetikos, transporto, telekomunikacijų) funkcionavimą; </w:t>
                </w:r>
              </w:p>
              <w:p w14:paraId="6B63553A" w14:textId="77777777">
                <w:pPr>
                  <w:ind w:firstLine="709"/>
                  <w:jc w:val="both"/>
                  <w:rPr>
                    <w:b/>
                    <w:szCs w:val="24"/>
                    <w:lang w:eastAsia="lt-LT"/>
                  </w:rPr>
                </w:pPr>
                <w:r>
                  <w:rPr>
                    <w:b/>
                    <w:szCs w:val="24"/>
                    <w:lang w:eastAsia="lt-LT"/>
                  </w:rPr>
                  <w:t xml:space="preserve">143.3. inžinierinius tinklus, kurie gali patirti ekstremaliųjų įvykių poveikį (pvz., elektros stotys, linijos, dujų tiekimo sistemos, vandens tiekimo, nuotekų tvarkymo tinklai, vandens valymo įrenginiai); </w:t>
                </w:r>
              </w:p>
              <w:p w14:paraId="5CC97FD7" w14:textId="77777777">
                <w:pPr>
                  <w:ind w:firstLine="709"/>
                  <w:jc w:val="both"/>
                  <w:rPr>
                    <w:b/>
                    <w:szCs w:val="24"/>
                    <w:lang w:eastAsia="lt-LT"/>
                  </w:rPr>
                </w:pPr>
                <w:r>
                  <w:rPr>
                    <w:b/>
                    <w:szCs w:val="24"/>
                    <w:lang w:eastAsia="lt-LT"/>
                  </w:rPr>
                  <w:t xml:space="preserve">143.4. sklypus ar teritorijas – jų žemės naudojimo paskirtį (pvz., miškų, vandens, konservacinės ar kitos paskirties), atsižvelgiant į galimą ekstremaliųjų įvykių poveikį; </w:t>
                </w:r>
              </w:p>
              <w:p w14:paraId="393A38FE" w14:textId="77777777">
                <w:pPr>
                  <w:ind w:firstLine="709"/>
                  <w:jc w:val="both"/>
                  <w:rPr>
                    <w:b/>
                    <w:szCs w:val="24"/>
                    <w:lang w:eastAsia="lt-LT"/>
                  </w:rPr>
                </w:pPr>
                <w:r>
                  <w:rPr>
                    <w:b/>
                    <w:szCs w:val="24"/>
                    <w:lang w:eastAsia="lt-LT"/>
                  </w:rPr>
                  <w:t xml:space="preserve">143.5. gamtinių įvykių (pvz., žemės drebėjimų, karstinių reiškinių, nuošliaužų, įgriuvų, potvynių) zonas, kurios dėl savo vietos, stiprumo ir dažnumo kelia grėsmę planuojamai ūkinei veiklai; </w:t>
                </w:r>
              </w:p>
              <w:p w14:paraId="09A9329B" w14:textId="77777777">
                <w:pPr>
                  <w:ind w:firstLine="709"/>
                  <w:jc w:val="both"/>
                  <w:rPr>
                    <w:b/>
                    <w:szCs w:val="24"/>
                    <w:lang w:eastAsia="lt-LT"/>
                  </w:rPr>
                </w:pPr>
                <w:r>
                  <w:rPr>
                    <w:b/>
                    <w:szCs w:val="24"/>
                    <w:lang w:eastAsia="lt-LT"/>
                  </w:rPr>
                  <w:t xml:space="preserve">143.6. gyvenamąsias vietoves, gyventojų skaičių jose; </w:t>
                </w:r>
              </w:p>
              <w:p w14:paraId="3B071EFA" w14:textId="77777777">
                <w:pPr>
                  <w:ind w:firstLine="709"/>
                  <w:jc w:val="both"/>
                  <w:rPr>
                    <w:b/>
                    <w:szCs w:val="24"/>
                    <w:lang w:eastAsia="lt-LT"/>
                  </w:rPr>
                </w:pPr>
                <w:r>
                  <w:rPr>
                    <w:b/>
                    <w:szCs w:val="24"/>
                    <w:lang w:eastAsia="lt-LT"/>
                  </w:rPr>
                  <w:t xml:space="preserve">143.7. įmones ir organizacijas, jose dirbančių darbuotojų skaičių; </w:t>
                </w:r>
              </w:p>
              <w:p w14:paraId="1B3C3F47" w14:textId="77777777">
                <w:pPr>
                  <w:ind w:firstLine="709"/>
                  <w:jc w:val="both"/>
                  <w:rPr>
                    <w:b/>
                    <w:szCs w:val="24"/>
                    <w:lang w:eastAsia="lt-LT"/>
                  </w:rPr>
                </w:pPr>
                <w:r>
                  <w:rPr>
                    <w:b/>
                    <w:szCs w:val="24"/>
                    <w:lang w:eastAsia="lt-LT"/>
                  </w:rPr>
                  <w:t xml:space="preserve">143.8. masinio visuomenės susibūrimo vietas (pvz., stadionus, parkus), visuomeninės paskirties objektus (pvz., mokyklas, ligonines, bažnyčias). </w:t>
                </w:r>
              </w:p>
              <w:p w14:paraId="71545431" w14:textId="77777777">
                <w:pPr>
                  <w:ind w:firstLine="709"/>
                  <w:jc w:val="both"/>
                  <w:rPr>
                    <w:b/>
                    <w:szCs w:val="24"/>
                    <w:lang w:eastAsia="lt-LT"/>
                  </w:rPr>
                </w:pPr>
                <w:r>
                  <w:rPr>
                    <w:b/>
                    <w:szCs w:val="24"/>
                    <w:lang w:eastAsia="lt-LT"/>
                  </w:rPr>
                  <w:t xml:space="preserve">Numatomas reikšmingas poveikis </w:t>
                </w:r>
              </w:p>
              <w:p w14:paraId="4B2ECDFE" w14:textId="77777777">
                <w:pPr>
                  <w:ind w:firstLine="709"/>
                  <w:jc w:val="both"/>
                  <w:rPr>
                    <w:b/>
                    <w:szCs w:val="24"/>
                    <w:lang w:eastAsia="lt-LT"/>
                  </w:rPr>
                </w:pPr>
                <w:r>
                  <w:rPr>
                    <w:b/>
                    <w:szCs w:val="24"/>
                    <w:lang w:eastAsia="lt-LT"/>
                  </w:rPr>
                  <w:t xml:space="preserve">144. Atliekant rizikos analizę, vertinamas galimas planuojamos ūkinės veiklos poveikis aplinkos elementams ir visuomenės sveikatai dėl planuojamos ūkinės veiklos metu galimų įvykių, didelių pramoninių avarijų, </w:t>
                </w:r>
                <w:r>
                  <w:rPr>
                    <w:b/>
                    <w:color w:val="000000"/>
                    <w:szCs w:val="24"/>
                    <w:lang w:eastAsia="lt-LT"/>
                  </w:rPr>
                  <w:t>branduolinių ar radiologinių</w:t>
                </w:r>
                <w:r>
                  <w:rPr>
                    <w:b/>
                    <w:szCs w:val="24"/>
                    <w:lang w:eastAsia="lt-LT"/>
                  </w:rPr>
                  <w:t xml:space="preserve"> avarijų, nelaimingų atsitikimų, ekstremaliųjų įvykių ir (ar) galimų ekstremaliųjų situacijų. Taip pat vertinamas už planuojamos veiklos ribų esančių objektų ar gamtinių, socialinių, ekologinių ar biologinių reiškinių sukeltas poveikis planuojamai ūkinei veiklai ir jos tęstinumui. </w:t>
                </w:r>
              </w:p>
              <w:p w14:paraId="5DA15C38" w14:textId="77777777">
                <w:pPr>
                  <w:ind w:firstLine="709"/>
                  <w:jc w:val="both"/>
                  <w:rPr>
                    <w:b/>
                    <w:szCs w:val="24"/>
                    <w:lang w:eastAsia="lt-LT"/>
                  </w:rPr>
                </w:pPr>
                <w:r>
                  <w:rPr>
                    <w:b/>
                    <w:szCs w:val="24"/>
                    <w:lang w:eastAsia="lt-LT"/>
                  </w:rPr>
                  <w:t xml:space="preserve">145. Atliekant rizikos analizę, vadovaujamasi Ekstremaliųjų įvykių kriterijų sąrašu, patvirtintu Lietuvos Respublikos Vyriausybės 2006 m. kovo 9 d. nutarimu Nr. 241 „Dėl Ekstremaliųjų įvykių kriterijų sąrašo patvirtinimo“, (toliau – Ekstremaliųjų įvykių kriterijų sąrašas), Stichinių, katastrofinių meteorologinių ir hidrologinių reiškinių rodikliais, patvirtintais Lietuvos Respublikos aplinkos ministro 2011 m. lapkričio 11 d. įsakymu Nr. D1-870 „Dėl Stichinių, katastrofinių meteorologinių ir hidrologinių reiškinių rodiklių patvirtinimo“, (toliau – Stichinių, katastrofinių meteorologinių ir hidrologinių reiškinių rodikliai), Ūkio subjekto, kitos įstaigos galimų pavojų ir ekstremaliųjų situacijų rizikos analizės metodinėmis rekomendacijomis, tvirtinamomis Priešgaisrinės apsaugos ir gelbėjimo departamento prie Vidaus reikalų ministerijos direktoriaus įsakymu. Atliekant pavojingųjų objektų planuojamos ūkinės veiklos arba planuojamos ūkinės veiklos, dėl kurios bus reikalinga registruoti naują pavojingąjį objektą rizikos analizę, galimų avarinių situacijų prognozavimą, vertinimą ir prevencinių priemonių numatymą, Pavojingojo objekto, kuriame pavojingųjų medžiagų kiekiai prilygsta nustatytųjų kvalifikacinių kiekių aukštesniajam lygiui ar jį viršija, saugos ataskaitos rengimo rekomendacijose, tvirtinamose Priešgaisrinės apsaugos ir gelbėjimo departamento prie Vidaus reikalų ministerijos direktoriaus įsakymu, pateiktais rizikos analizės minimaliais reikalavimais ir įvertinti planuojamos ūkinės veiklos keliamą individualią ir socialinę riziką. </w:t>
                </w:r>
              </w:p>
              <w:p w14:paraId="125BAD1C" w14:textId="77777777">
                <w:pPr>
                  <w:ind w:firstLine="709"/>
                  <w:jc w:val="both"/>
                  <w:rPr>
                    <w:b/>
                    <w:szCs w:val="24"/>
                    <w:lang w:eastAsia="lt-LT"/>
                  </w:rPr>
                </w:pPr>
                <w:r>
                  <w:rPr>
                    <w:b/>
                    <w:szCs w:val="24"/>
                    <w:lang w:eastAsia="lt-LT"/>
                  </w:rPr>
                  <w:t xml:space="preserve">146. Atliekant rizikos analizę: </w:t>
                </w:r>
              </w:p>
              <w:p w14:paraId="620CB9B3" w14:textId="77777777">
                <w:pPr>
                  <w:ind w:firstLine="709"/>
                  <w:jc w:val="both"/>
                  <w:rPr>
                    <w:b/>
                    <w:szCs w:val="24"/>
                    <w:lang w:eastAsia="lt-LT"/>
                  </w:rPr>
                </w:pPr>
                <w:r>
                  <w:rPr>
                    <w:b/>
                    <w:szCs w:val="24"/>
                    <w:lang w:eastAsia="lt-LT"/>
                  </w:rPr>
                  <w:t xml:space="preserve">146.1. analizuojami atskiri planuojamos ūkinės veiklos rizikos objektai (pvz., įvairios paskirties statiniai, įrenginiai, talpos, transportas ir jo infrastruktūra); </w:t>
                </w:r>
              </w:p>
              <w:p w14:paraId="1D3D0084" w14:textId="77777777">
                <w:pPr>
                  <w:ind w:firstLine="709"/>
                  <w:jc w:val="both"/>
                  <w:rPr>
                    <w:b/>
                    <w:szCs w:val="24"/>
                    <w:lang w:eastAsia="lt-LT"/>
                  </w:rPr>
                </w:pPr>
                <w:r>
                  <w:rPr>
                    <w:b/>
                    <w:szCs w:val="24"/>
                    <w:lang w:eastAsia="lt-LT"/>
                  </w:rPr>
                  <w:t xml:space="preserve">146.2. analizuojamos rizikos objektuose atliekamos operacijos (veiklos), kurios gali būti susijusios su galimų įvykių, didelių pramoninių avarijų, </w:t>
                </w:r>
                <w:r>
                  <w:rPr>
                    <w:b/>
                    <w:color w:val="000000"/>
                    <w:szCs w:val="24"/>
                    <w:lang w:eastAsia="lt-LT"/>
                  </w:rPr>
                  <w:t>branduolinių ar radiologinių</w:t>
                </w:r>
                <w:r>
                  <w:rPr>
                    <w:b/>
                    <w:szCs w:val="24"/>
                    <w:lang w:eastAsia="lt-LT"/>
                  </w:rPr>
                  <w:t xml:space="preserve"> avarijų, nelaimingų atsitikimų, ekstremaliųjų įvykių ir (ar) galimų ekstremaliųjų situacijų grėsme (pvz., gamyba, perdirbimas, surinkimas, pakavimas, saugojimas, krovimas, transportavimas, pardavimas); </w:t>
                </w:r>
              </w:p>
              <w:p w14:paraId="48497E6D" w14:textId="77777777">
                <w:pPr>
                  <w:ind w:firstLine="709"/>
                  <w:jc w:val="both"/>
                  <w:rPr>
                    <w:b/>
                    <w:szCs w:val="24"/>
                    <w:lang w:eastAsia="lt-LT"/>
                  </w:rPr>
                </w:pPr>
                <w:r>
                  <w:rPr>
                    <w:b/>
                    <w:szCs w:val="24"/>
                    <w:lang w:eastAsia="lt-LT"/>
                  </w:rPr>
                  <w:t xml:space="preserve">146.3. analizuojami pavojingieji veiksniai, kurie gali būti susiję su galimų įvykių, didelių pramoninių avarijų, kitų avarijų, nelaimingų atsitikimų, ekstremaliųjų įvykių ir (ar) galimų ekstremaliųjų situacijų grėsme, įskaitant, bet neapsiribojant: </w:t>
                </w:r>
              </w:p>
              <w:p w14:paraId="4683F776" w14:textId="77777777">
                <w:pPr>
                  <w:ind w:firstLine="709"/>
                  <w:jc w:val="both"/>
                  <w:rPr>
                    <w:b/>
                    <w:szCs w:val="24"/>
                    <w:lang w:eastAsia="lt-LT"/>
                  </w:rPr>
                </w:pPr>
                <w:r>
                  <w:rPr>
                    <w:b/>
                    <w:szCs w:val="24"/>
                    <w:lang w:eastAsia="lt-LT"/>
                  </w:rPr>
                  <w:t xml:space="preserve">146.3.1. cheminių medžiagų ir cheminių mišinių, įskaitant ir pavojingąsias chemines medžiagas ir cheminius mišinius, kurios pagal 2008 m. gruodžio 16 d. Europos Parlamento ir Tarybos reglamentą </w:t>
                </w:r>
                <w:fldSimple w:instr="HYPERLINK http://eur-lex.europa.eu/legal-content/LIT/TXT/?uri=CELEX:32008R1272&amp;locale=lt \t _blank">
                  <w:r>
                    <w:rPr>
                      <w:b/>
                      <w:szCs w:val="24"/>
                      <w:lang w:eastAsia="lt-LT"/>
                      <w:u w:val="single"/>
                      <w:color w:val="0000FF" w:themeColor="hyperlink"/>
                    </w:rPr>
                    <w:t>(EB) Nr. 1272/2008</w:t>
                  </w:r>
                </w:fldSimple>
                <w:r>
                  <w:rPr>
                    <w:b/>
                    <w:bCs/>
                    <w:szCs w:val="24"/>
                    <w:shd w:val="clear" w:color="auto" w:fill="FFFFFF"/>
                    <w:lang w:eastAsia="lt-LT"/>
                  </w:rPr>
                  <w:t xml:space="preserve"> dėl cheminių medžiagų ir mišinių klasifikavimo, ženklinimo ir pakavimo, iš dalies keičiantis ir panaikinantis direktyvas </w:t>
                </w:r>
                <w:fldSimple w:instr="HYPERLINK http://eur-lex.europa.eu/legal-content/LIT/TXT/?uri=CELEX:31967L0548&amp;locale=lt \t _blank">
                  <w:r>
                    <w:rPr>
                      <w:b/>
                      <w:bCs/>
                      <w:szCs w:val="24"/>
                      <w:shd w:val="clear" w:color="auto" w:fill="FFFFFF"/>
                      <w:lang w:eastAsia="lt-LT"/>
                      <w:u w:val="single"/>
                      <w:color w:val="0000FF" w:themeColor="hyperlink"/>
                    </w:rPr>
                    <w:t>67/548/EEB</w:t>
                  </w:r>
                </w:fldSimple>
                <w:r>
                  <w:rPr>
                    <w:b/>
                    <w:bCs/>
                    <w:szCs w:val="24"/>
                    <w:shd w:val="clear" w:color="auto" w:fill="FFFFFF"/>
                    <w:lang w:eastAsia="lt-LT"/>
                  </w:rPr>
                  <w:t xml:space="preserve"> bei </w:t>
                </w:r>
                <w:fldSimple w:instr="HYPERLINK http://eur-lex.europa.eu/legal-content/LIT/TXT/?uri=CELEX:31999L0045&amp;locale=lt \t _blank">
                  <w:r>
                    <w:rPr>
                      <w:b/>
                      <w:bCs/>
                      <w:szCs w:val="24"/>
                      <w:shd w:val="clear" w:color="auto" w:fill="FFFFFF"/>
                      <w:lang w:eastAsia="lt-LT"/>
                      <w:u w:val="single"/>
                      <w:color w:val="0000FF" w:themeColor="hyperlink"/>
                    </w:rPr>
                    <w:t>1999/45/EB</w:t>
                  </w:r>
                </w:fldSimple>
                <w:r>
                  <w:rPr>
                    <w:b/>
                    <w:bCs/>
                    <w:szCs w:val="24"/>
                    <w:shd w:val="clear" w:color="auto" w:fill="FFFFFF"/>
                    <w:lang w:eastAsia="lt-LT"/>
                  </w:rPr>
                  <w:t xml:space="preserve"> ir iš dalies keičiantis Reglamentą </w:t>
                </w:r>
                <w:fldSimple w:instr="HYPERLINK http://eur-lex.europa.eu/legal-content/LIT/TXT/?uri=CELEX:32006R1907&amp;locale=lt \t _blank">
                  <w:r>
                    <w:rPr>
                      <w:b/>
                      <w:bCs/>
                      <w:szCs w:val="24"/>
                      <w:shd w:val="clear" w:color="auto" w:fill="FFFFFF"/>
                      <w:lang w:eastAsia="lt-LT"/>
                      <w:u w:val="single"/>
                      <w:color w:val="0000FF" w:themeColor="hyperlink"/>
                    </w:rPr>
                    <w:t>(EB) Nr. 1907/2006</w:t>
                  </w:r>
                </w:fldSimple>
                <w:r>
                  <w:rPr>
                    <w:b/>
                    <w:bCs/>
                    <w:szCs w:val="24"/>
                    <w:shd w:val="clear" w:color="auto" w:fill="FFFFFF"/>
                    <w:lang w:eastAsia="lt-LT"/>
                  </w:rPr>
                  <w:t xml:space="preserve"> su visais pakeitimais</w:t>
                </w:r>
                <w:r>
                  <w:rPr>
                    <w:b/>
                    <w:szCs w:val="24"/>
                    <w:lang w:eastAsia="lt-LT"/>
                  </w:rPr>
                  <w:t xml:space="preserve">, klasifikuojamos kaip pavojingos, radioaktyvių medžiagų gamyba, naudojimas ar saugojimas, atsižvelgiant į tokių medžiagų ir mišinių kiekį bei savybes (pvz., toksiškumas, degumas, sprogumas); </w:t>
                </w:r>
              </w:p>
              <w:p w14:paraId="4FB937DE" w14:textId="77777777">
                <w:pPr>
                  <w:ind w:firstLine="709"/>
                  <w:jc w:val="both"/>
                  <w:rPr>
                    <w:b/>
                    <w:szCs w:val="24"/>
                    <w:lang w:eastAsia="lt-LT"/>
                  </w:rPr>
                </w:pPr>
                <w:r>
                  <w:rPr>
                    <w:b/>
                    <w:szCs w:val="24"/>
                    <w:lang w:eastAsia="lt-LT"/>
                  </w:rPr>
                  <w:t xml:space="preserve">146.3.2. pavojingųjų, nepavojingųjų ir radioaktyviųjų atliekų susidarymas, laikymas, naudojimas ir šalinimas, įskaitant informaciją apie pavojingųjų atliekų technologinius srautus, planuojamą jų kiekį, tvarkymą; </w:t>
                </w:r>
              </w:p>
              <w:p w14:paraId="0FA11CDD" w14:textId="77777777">
                <w:pPr>
                  <w:ind w:firstLine="709"/>
                  <w:jc w:val="both"/>
                  <w:rPr>
                    <w:b/>
                    <w:szCs w:val="24"/>
                    <w:lang w:eastAsia="lt-LT"/>
                  </w:rPr>
                </w:pPr>
                <w:r>
                  <w:rPr>
                    <w:b/>
                    <w:szCs w:val="24"/>
                    <w:lang w:eastAsia="lt-LT"/>
                  </w:rPr>
                  <w:t xml:space="preserve">146.3.3. techninės, technologinės ar sandėliavimo sąlygos, turinčios įtakos talpų, vamzdynų ir technologinės įrangos išsihermetinimui, gaisrui ar sprogimui, statinių griūčiai dėl technologinių sutrikimų, personalo klaidų, erozijos/korozijos, mechaninių pažeidimų, autoįvykių, terorizmo/sabotažo ir pan.; </w:t>
                </w:r>
              </w:p>
              <w:p w14:paraId="32DCFC43" w14:textId="77777777">
                <w:pPr>
                  <w:ind w:firstLine="709"/>
                  <w:jc w:val="both"/>
                  <w:rPr>
                    <w:b/>
                    <w:szCs w:val="24"/>
                    <w:lang w:eastAsia="lt-LT"/>
                  </w:rPr>
                </w:pPr>
                <w:r>
                  <w:rPr>
                    <w:b/>
                    <w:szCs w:val="24"/>
                    <w:lang w:eastAsia="lt-LT"/>
                  </w:rPr>
                  <w:t xml:space="preserve">146.3.4. transporto (kelių, geležinkelių, vandens, oro) organizavimas ir jo intensyvumas planuojamos ūkinės veiklos vykdymo metu; </w:t>
                </w:r>
              </w:p>
              <w:p w14:paraId="62C67619" w14:textId="77777777">
                <w:pPr>
                  <w:ind w:firstLine="709"/>
                  <w:jc w:val="both"/>
                  <w:rPr>
                    <w:b/>
                    <w:szCs w:val="24"/>
                    <w:lang w:eastAsia="lt-LT"/>
                  </w:rPr>
                </w:pPr>
                <w:r>
                  <w:rPr>
                    <w:b/>
                    <w:szCs w:val="24"/>
                    <w:lang w:eastAsia="lt-LT"/>
                  </w:rPr>
                  <w:t xml:space="preserve">146.3.5. planuojamos ūkinės veiklos pažeidžiamumas dėl įvairaus pobūdžio ligų protrūkio, epidemijų, pandemijų ir kitų biologinės kilmės įvykių; </w:t>
                </w:r>
              </w:p>
              <w:p w14:paraId="72AD7C2A" w14:textId="77777777">
                <w:pPr>
                  <w:ind w:firstLine="709"/>
                  <w:jc w:val="both"/>
                  <w:rPr>
                    <w:b/>
                    <w:szCs w:val="24"/>
                    <w:lang w:eastAsia="lt-LT"/>
                  </w:rPr>
                </w:pPr>
                <w:r>
                  <w:rPr>
                    <w:b/>
                    <w:szCs w:val="24"/>
                    <w:lang w:eastAsia="lt-LT"/>
                  </w:rPr>
                  <w:t xml:space="preserve">146.3.6. terorizmo, sabotažo, nusikalstamos veikos ar kitų socialinės kilmės įvykių galimybė; </w:t>
                </w:r>
              </w:p>
              <w:p w14:paraId="0481445B" w14:textId="77777777">
                <w:pPr>
                  <w:ind w:firstLine="709"/>
                  <w:jc w:val="both"/>
                  <w:rPr>
                    <w:b/>
                    <w:szCs w:val="24"/>
                    <w:lang w:eastAsia="lt-LT"/>
                  </w:rPr>
                </w:pPr>
                <w:r>
                  <w:rPr>
                    <w:b/>
                    <w:szCs w:val="24"/>
                    <w:lang w:eastAsia="lt-LT"/>
                  </w:rPr>
                  <w:t xml:space="preserve">146.3.7. branduolinio ar radiologinio incidento keliamas pavojus; </w:t>
                </w:r>
              </w:p>
              <w:p w14:paraId="6E281C84" w14:textId="77777777">
                <w:pPr>
                  <w:ind w:firstLine="709"/>
                  <w:jc w:val="both"/>
                  <w:rPr>
                    <w:b/>
                    <w:szCs w:val="24"/>
                    <w:lang w:eastAsia="lt-LT"/>
                  </w:rPr>
                </w:pPr>
                <w:r>
                  <w:rPr>
                    <w:b/>
                    <w:szCs w:val="24"/>
                    <w:lang w:eastAsia="lt-LT"/>
                  </w:rPr>
                  <w:t xml:space="preserve">146.3.8. ekstremalūs geologiniai, meteorologiniai ar hidrologiniai reiškiniai; </w:t>
                </w:r>
              </w:p>
              <w:p w14:paraId="13DADC68" w14:textId="77777777">
                <w:pPr>
                  <w:ind w:firstLine="709"/>
                  <w:jc w:val="both"/>
                  <w:rPr>
                    <w:b/>
                    <w:szCs w:val="24"/>
                    <w:lang w:eastAsia="lt-LT"/>
                  </w:rPr>
                </w:pPr>
                <w:r>
                  <w:rPr>
                    <w:b/>
                    <w:szCs w:val="24"/>
                    <w:lang w:eastAsia="lt-LT"/>
                  </w:rPr>
                  <w:t xml:space="preserve">146.3.9. neplanuotas energetikos, komunalinių, ryšių paslaugų nutraukimas; </w:t>
                </w:r>
              </w:p>
              <w:p w14:paraId="4E463D59" w14:textId="77777777">
                <w:pPr>
                  <w:ind w:firstLine="709"/>
                  <w:jc w:val="both"/>
                  <w:rPr>
                    <w:b/>
                    <w:szCs w:val="24"/>
                    <w:lang w:eastAsia="lt-LT"/>
                  </w:rPr>
                </w:pPr>
                <w:r>
                  <w:rPr>
                    <w:b/>
                    <w:szCs w:val="24"/>
                    <w:lang w:eastAsia="lt-LT"/>
                  </w:rPr>
                  <w:t xml:space="preserve">146.3.10. kiti veiksniai ir sąlygos, nustatyti vadovaujantis Ekstremaliųjų įvykių kriterijų sąrašu  ir Stichinių, katastrofinių meteorologinių ir hidrologinių reiškinių rodikliais; </w:t>
                </w:r>
              </w:p>
              <w:p w14:paraId="77AC68AE" w14:textId="77777777">
                <w:pPr>
                  <w:ind w:firstLine="709"/>
                  <w:jc w:val="both"/>
                  <w:rPr>
                    <w:b/>
                    <w:szCs w:val="24"/>
                    <w:lang w:eastAsia="lt-LT"/>
                  </w:rPr>
                </w:pPr>
                <w:r>
                  <w:rPr>
                    <w:b/>
                    <w:szCs w:val="24"/>
                    <w:lang w:eastAsia="lt-LT"/>
                  </w:rPr>
                  <w:t xml:space="preserve">146.4. analizuojami blogiausi (sukeliantys didžiausias, blogiausias, sunkiausias pasekmes) ir charakteringi (sukeliantys vidutines ar mažas labiausiai tikėtinas planuojamos ūkinės veiklos vykdymo metu pasekmes) galimų įvykių scenarijai; </w:t>
                </w:r>
              </w:p>
              <w:p w14:paraId="2C38C3E3" w14:textId="77777777">
                <w:pPr>
                  <w:ind w:firstLine="709"/>
                  <w:jc w:val="both"/>
                  <w:rPr>
                    <w:b/>
                    <w:szCs w:val="24"/>
                    <w:lang w:eastAsia="lt-LT"/>
                  </w:rPr>
                </w:pPr>
                <w:r>
                  <w:rPr>
                    <w:b/>
                    <w:szCs w:val="24"/>
                    <w:lang w:eastAsia="lt-LT"/>
                  </w:rPr>
                  <w:t xml:space="preserve">146.5. analizuojama, kokio pobūdžio įvykius, dideles pramonines avarijas, kitas avarijas, nelaimingus atsitikimus, ekstremaliuosius įvykius ir (ar) galimas ekstremaliąsias situacijas (pvz., sprogimas, gaisras, pavojingų medžiagų išsiveržimas į aplinką, nekontroliuojamos cheminės reakcijos, išsilaisvinusi nevaldoma energija, griuvimas) gali sukelti pavojingi veiksniai pavieniui ar kartu su kitais pavojingais veiksniais, įskaitant tas, kurias gali lemti klimato kaita; </w:t>
                </w:r>
              </w:p>
              <w:p w14:paraId="18BFABDE" w14:textId="77777777">
                <w:pPr>
                  <w:ind w:firstLine="709"/>
                  <w:jc w:val="both"/>
                  <w:rPr>
                    <w:b/>
                    <w:szCs w:val="24"/>
                    <w:lang w:eastAsia="lt-LT"/>
                  </w:rPr>
                </w:pPr>
                <w:r>
                  <w:rPr>
                    <w:b/>
                    <w:szCs w:val="24"/>
                    <w:lang w:eastAsia="lt-LT"/>
                  </w:rPr>
                  <w:t xml:space="preserve">146.6. analizuojama, kokį poveikį planuojamos ūkinės veiklos sukeliami įvykiai, didelės pramoninės avarijos, kitos avarijos, nelaimingi atsitikimai, ekstremalieji įvykiai ir (ar) galimos ekstremaliosios situacijos gali daryti artimoje planuojamos ūkinės veiklos aplinkoje esantiems pavojingiesiems ir pažeidžiamiems objektams (pvz., keliams, geležinkeliams, oro ir jūrų uostams, gyvenamiesiems pastatams, parduotuvėms, sandėliams, degalinėms, pramonės objektams, elektros perdavimo linijoms, vandentiekio ir šilumos tinklams, nutekamojo vandens vamzdynams, vandenvietėms, gruntiniams bei paviršiniams vandenims, dujotiekiams bei naftotiekiams, saugykloms (rezervuarams), įmonėms ir organizacijoms, esančioms ir vykdančioms ūkinę veiklą nagrinėjamoje teritorijoje, ir kt.), aplinkos elementams ir visuomenės sveikatai (pvz., aplinkos oro, vandens, dirvožemio, žemės ir jos gelmių užteršimas cheminėmis, biologinėmis, radioaktyviomis medžiagomis ar kraštovaizdžio ir biologinės įvairovės, materialinių ir nekilnojamųjų kultūros paveldo vertybių sunaikinimas), ir kaip aplinkos objektai, elementai ir reiškiniai gali paveikti planuojamą ūkinę veiklą; </w:t>
                </w:r>
              </w:p>
              <w:p w14:paraId="0C31134E" w14:textId="77777777">
                <w:pPr>
                  <w:ind w:firstLine="709"/>
                  <w:jc w:val="both"/>
                  <w:rPr>
                    <w:b/>
                    <w:szCs w:val="24"/>
                    <w:lang w:eastAsia="lt-LT"/>
                  </w:rPr>
                </w:pPr>
                <w:r>
                  <w:rPr>
                    <w:b/>
                    <w:szCs w:val="24"/>
                    <w:lang w:eastAsia="lt-LT"/>
                  </w:rPr>
                  <w:t xml:space="preserve">146.7. atsižvelgiant į analizuotus rizikos objektus, operacijas (veiklas) ir pavojinguosius veiksnius, nustatoma galimų įvykių, didelių pramoninių avarijų, </w:t>
                </w:r>
                <w:r>
                  <w:rPr>
                    <w:b/>
                    <w:color w:val="000000"/>
                    <w:szCs w:val="24"/>
                    <w:lang w:eastAsia="lt-LT"/>
                  </w:rPr>
                  <w:t>branduolinių ar radiologinių</w:t>
                </w:r>
                <w:r>
                  <w:rPr>
                    <w:b/>
                    <w:szCs w:val="24"/>
                    <w:lang w:eastAsia="lt-LT"/>
                  </w:rPr>
                  <w:t xml:space="preserve"> avarijų, nelaimingų atsitikimų, ekstremaliųjų įvykių ir (ar) galimų ekstremaliųjų situacijų galimo pavojaus padarinių (poveikio) zonos (išplitimas) ir tikimybė; </w:t>
                </w:r>
              </w:p>
              <w:p w14:paraId="51BE5EE4" w14:textId="77777777">
                <w:pPr>
                  <w:ind w:firstLine="709"/>
                  <w:jc w:val="both"/>
                  <w:rPr>
                    <w:b/>
                    <w:szCs w:val="24"/>
                    <w:lang w:eastAsia="lt-LT"/>
                  </w:rPr>
                </w:pPr>
                <w:r>
                  <w:rPr>
                    <w:b/>
                    <w:szCs w:val="24"/>
                    <w:lang w:eastAsia="lt-LT"/>
                  </w:rPr>
                  <w:t xml:space="preserve">146.8. nustatoma galimų įvykių, didelių pramoninių avarijų, </w:t>
                </w:r>
                <w:r>
                  <w:rPr>
                    <w:b/>
                    <w:color w:val="000000"/>
                    <w:szCs w:val="24"/>
                    <w:lang w:eastAsia="lt-LT"/>
                  </w:rPr>
                  <w:t>branduolinių ar radiologinių</w:t>
                </w:r>
                <w:r>
                  <w:rPr>
                    <w:b/>
                    <w:szCs w:val="24"/>
                    <w:lang w:eastAsia="lt-LT"/>
                  </w:rPr>
                  <w:t xml:space="preserve"> avarijų, nelaimingų atsitikimų, ekstremaliųjų įvykių ir (ar) galimų ekstremaliųjų situacijų rizika, kurią nusako poveikio ir tikimybės dydžiai; </w:t>
                </w:r>
              </w:p>
              <w:p w14:paraId="0F4B3C94" w14:textId="77777777">
                <w:pPr>
                  <w:ind w:firstLine="709"/>
                  <w:jc w:val="both"/>
                  <w:rPr>
                    <w:b/>
                    <w:szCs w:val="24"/>
                    <w:lang w:eastAsia="lt-LT"/>
                  </w:rPr>
                </w:pPr>
                <w:r>
                  <w:rPr>
                    <w:b/>
                    <w:szCs w:val="24"/>
                    <w:lang w:eastAsia="lt-LT"/>
                  </w:rPr>
                  <w:t xml:space="preserve">146.9. nustatomas galimų įvykių, didelių pramoninių avarijų, </w:t>
                </w:r>
                <w:r>
                  <w:rPr>
                    <w:b/>
                    <w:color w:val="000000"/>
                    <w:szCs w:val="24"/>
                    <w:lang w:eastAsia="lt-LT"/>
                  </w:rPr>
                  <w:t>branduolinių ar radiologinių</w:t>
                </w:r>
                <w:r>
                  <w:rPr>
                    <w:b/>
                    <w:szCs w:val="24"/>
                    <w:lang w:eastAsia="lt-LT"/>
                  </w:rPr>
                  <w:t xml:space="preserve"> avarijų, nelaimingų atsitikimų, ekstremaliųjų įvykių ir (ar) galimų ekstremaliųjų situacijų rizikos priimtinumas. </w:t>
                </w:r>
              </w:p>
              <w:p w14:paraId="545FB4E2" w14:textId="77777777">
                <w:pPr>
                  <w:ind w:firstLine="709"/>
                  <w:jc w:val="both"/>
                  <w:rPr>
                    <w:b/>
                    <w:szCs w:val="24"/>
                    <w:lang w:eastAsia="lt-LT"/>
                  </w:rPr>
                </w:pPr>
                <w:r>
                  <w:rPr>
                    <w:b/>
                    <w:szCs w:val="24"/>
                    <w:lang w:eastAsia="lt-LT"/>
                  </w:rPr>
                  <w:t>Reikšmingo neigiamo poveikio aplinkai išvengimo, sumažinimo ir kompensavimo priemonės</w:t>
                </w:r>
              </w:p>
              <w:p w14:paraId="76AB2800" w14:textId="77777777">
                <w:pPr>
                  <w:ind w:firstLine="709"/>
                  <w:jc w:val="both"/>
                  <w:rPr>
                    <w:b/>
                    <w:szCs w:val="24"/>
                    <w:lang w:eastAsia="lt-LT"/>
                  </w:rPr>
                </w:pPr>
                <w:r>
                  <w:rPr>
                    <w:b/>
                    <w:szCs w:val="24"/>
                    <w:lang w:eastAsia="lt-LT"/>
                  </w:rPr>
                  <w:t xml:space="preserve">147. Atlikus planuojamos ūkinės veiklos rizikos analizę, turi būti numatomos prevencinės ir likvidavimo priemonės, kurių numatoma imtis siekiant išvengti numatomo reikšmingo neigiamo poveikio, jį sumažinti ar, jeigu įmanoma, jį kompensuoti. Pateikiamas aprašymas priemonių, susijusių su pasirengimu ekstremaliosioms situacijoms ir siūlomu reagavimu į jas. Atlikus rizikos analizę, nurodoma, ar planuojantis ūkinę veiklą ūkio subjektas atitinka (atitiks) kriterijus ūkio subjektams ir kitoms įstaigoms, kurių vadovai turi organizuoti ekstremaliųjų situacijų valdymo planų rengimą, derinimą ir tvirtinimą, ir ūkio subjektams, kurių vadovai turi sudaryti ekstremaliųjų situacijų operacijų centrą, atvirtinamus Priešgaisrinės apsaugos ir gelbėjimo departamento prie Vidaus reikalų ministerijos direktoriaus įsakymu ir privalo (privalės) rengti (koreguoti) ekstremaliųjų situacijų valdymo planą, vadovaujantis Lietuvos Respublikos civilinės saugos įstatymo 16 straipsnį 3 dalies 9 punktu, ir ekstremaliųjų situacijų prevencijos priemonių planą. Esamų ar naujai registruojamų pavojingųjų objektų atveju nurodoma ar bus privaloma rengti (koreguoti) dokumentus, nurodytus Pramoninių avarijų prevencijos, likvidavimo ir tyrimo nuostatuose, patvirtintuose Lietuvos Respublikos Vyriausybės 2004 m. rugpjūčio 17 d. nutarimu Nr. 966 „Dėl Pramoninių avarijų prevencijos, likvidavimo ir tyrimo nuostatų ir Pavojingųjų medžiagų ir mišinių sąrašo, jų kvalifikacinių kiekių nustatymo ir cheminių medžiagų bei mišinių priskyrimo pavojingosioms medžiagoms kriterijų aprašo patvirtinimo“, (toliau – Pramoninių avarijų prevencijos, likvidavimo ir tyrimo nuostatai). </w:t>
                </w:r>
              </w:p>
              <w:p w14:paraId="1F2A8967" w14:textId="77777777">
                <w:pPr>
                  <w:ind w:firstLine="709"/>
                  <w:jc w:val="both"/>
                  <w:rPr>
                    <w:b/>
                    <w:szCs w:val="24"/>
                    <w:lang w:eastAsia="lt-LT"/>
                  </w:rPr>
                </w:pPr>
                <w:r>
                  <w:rPr>
                    <w:b/>
                    <w:szCs w:val="24"/>
                    <w:lang w:eastAsia="lt-LT"/>
                  </w:rPr>
                  <w:t xml:space="preserve">148. Planuojamos ūkinės veiklos poveikio aplinkai vertinimo metu ekstremaliųjų situacijų valdymo planas, ekstremalių situacijų prevencijos priemonių planas ar pavojingųjų objektų dokumentai, nurodyti Pramoninių avarijų prevencijos, likvidavimo ir tyrimo nuostatuose, nerengiami. </w:t>
                </w:r>
              </w:p>
              <w:p w14:paraId="3DE60292" w14:textId="77777777">
                <w:pPr>
                  <w:ind w:firstLine="709"/>
                  <w:jc w:val="both"/>
                  <w:rPr>
                    <w:b/>
                    <w:szCs w:val="24"/>
                    <w:lang w:eastAsia="lt-LT"/>
                  </w:rPr>
                </w:pPr>
                <w:r>
                  <w:rPr>
                    <w:b/>
                    <w:szCs w:val="24"/>
                    <w:lang w:eastAsia="lt-LT"/>
                  </w:rPr>
                  <w:t xml:space="preserve">Grafinė medžiaga </w:t>
                </w:r>
              </w:p>
              <w:p w14:paraId="3BFD5FD3" w14:textId="77777777">
                <w:pPr>
                  <w:ind w:firstLine="709"/>
                  <w:jc w:val="both"/>
                  <w:rPr>
                    <w:b/>
                    <w:szCs w:val="24"/>
                    <w:lang w:eastAsia="lt-LT"/>
                  </w:rPr>
                </w:pPr>
                <w:r>
                  <w:rPr>
                    <w:b/>
                    <w:szCs w:val="24"/>
                    <w:lang w:eastAsia="lt-LT"/>
                  </w:rPr>
                  <w:t xml:space="preserve">149. Pridedama grafinė medžiaga. </w:t>
                </w:r>
                <w:r>
                  <w:rPr>
                    <w:b/>
                    <w:color w:val="000000"/>
                    <w:szCs w:val="24"/>
                    <w:lang w:eastAsia="lt-LT"/>
                  </w:rPr>
                  <w:t>Žemėlapio mastelis (1:500, 1:1000, 1:2000; 1:5000, 1:10 000, 1:50 000) pasirenkamas įvertinus planuojamos ūkinės veiklos apimtį, planuojamos teritorijos ir teritorijos, kurią planuojama ūkinė veikla gali paveikti, arba kurioje esančios gamtinių įvykių zonos gali paveikti planuojamą ūkinę veiklą, dydį, planuojamos ūkinės veiklos specifiką</w:t>
                </w:r>
                <w:r>
                  <w:rPr>
                    <w:b/>
                    <w:szCs w:val="24"/>
                    <w:lang w:eastAsia="lt-LT"/>
                  </w:rPr>
                  <w:t xml:space="preserve">: </w:t>
                </w:r>
              </w:p>
              <w:p w14:paraId="0251F1C1" w14:textId="77777777">
                <w:pPr>
                  <w:ind w:firstLine="709"/>
                  <w:jc w:val="both"/>
                  <w:rPr>
                    <w:b/>
                    <w:szCs w:val="24"/>
                    <w:lang w:eastAsia="lt-LT"/>
                  </w:rPr>
                </w:pPr>
                <w:r>
                  <w:rPr>
                    <w:b/>
                    <w:szCs w:val="24"/>
                    <w:lang w:eastAsia="lt-LT"/>
                  </w:rPr>
                  <w:t>149.1. potvynių grėsmės žemėlapis (kuriame nustatyti dėl įvairios kilmės ir tikimybės potvynių užliejamų teritorijų plotai), jei artimoje planuojamos ūkinės veiklos aplinkoje yra potvynių zonos;</w:t>
                </w:r>
              </w:p>
              <w:p w14:paraId="1CB43343" w14:textId="77777777">
                <w:pPr>
                  <w:ind w:firstLine="709"/>
                  <w:jc w:val="both"/>
                  <w:rPr>
                    <w:b/>
                    <w:szCs w:val="24"/>
                    <w:lang w:eastAsia="lt-LT"/>
                  </w:rPr>
                </w:pPr>
                <w:r>
                  <w:rPr>
                    <w:b/>
                    <w:szCs w:val="24"/>
                    <w:lang w:eastAsia="lt-LT"/>
                  </w:rPr>
                  <w:t>149.2. potvynių rizikos žemėlapis (kuriame įvertinti galimi su potvyniais susiję neigiami poveikiai gyventojams ir visuomenės sveikatai, aplinkai, kultūros paveldui ir ūkinei veiklai), jei artimoje planuojamos ūkinės veiklos aplinkoje yra potvynių zonos;</w:t>
                </w:r>
              </w:p>
              <w:p w14:paraId="481F4305" w14:textId="77777777">
                <w:pPr>
                  <w:ind w:firstLine="709"/>
                  <w:jc w:val="both"/>
                  <w:rPr>
                    <w:b/>
                    <w:szCs w:val="24"/>
                    <w:lang w:eastAsia="lt-LT"/>
                  </w:rPr>
                </w:pPr>
                <w:r>
                  <w:rPr>
                    <w:b/>
                    <w:szCs w:val="24"/>
                    <w:lang w:eastAsia="lt-LT"/>
                  </w:rPr>
                  <w:t xml:space="preserve">149.3. planuojamos ūkinės veiklos poveikio aplinkai, įvykus galimam įvykiui, didelei pramoninei avarijai, branduolinei ar radiologinei avarijai, ekstremaliajam įvykiui ir (ar) galimai ekstremaliajai situacijai, zonos (išplitimo) žemėlapiai; </w:t>
                </w:r>
              </w:p>
              <w:p w14:paraId="725AF1B4" w14:textId="77777777">
                <w:pPr>
                  <w:ind w:firstLine="709"/>
                  <w:jc w:val="both"/>
                  <w:rPr>
                    <w:b/>
                    <w:szCs w:val="24"/>
                    <w:lang w:eastAsia="lt-LT"/>
                  </w:rPr>
                </w:pPr>
                <w:r>
                  <w:rPr>
                    <w:b/>
                    <w:szCs w:val="24"/>
                    <w:lang w:eastAsia="lt-LT"/>
                  </w:rPr>
                  <w:t>149.4. kiti žemėlapiai, kai planuojamos ūkinės veiklos pažeidžiamumas siejamas su kitomis rizikomis (pvz., šalia esantys pavojingi objektai, karstinio regiono zona), kuriame pažymimi pavojingieji objektai, valstybinės reikšmės objektai, potencialios grėsmės.</w:t>
                </w:r>
                <w:r>
                  <w:rPr>
                    <w:szCs w:val="24"/>
                    <w:lang w:eastAsia="lt-LT"/>
                  </w:rPr>
                  <w:t>“</w:t>
                </w:r>
              </w:p>
              <w:p w14:paraId="25F76CE5" w14:textId="77777777">
                <w:pPr>
                  <w:ind w:firstLine="709"/>
                  <w:jc w:val="both"/>
                  <w:rPr>
                    <w:b/>
                    <w:szCs w:val="24"/>
                    <w:lang w:eastAsia="lt-LT"/>
                  </w:rPr>
                </w:pPr>
              </w:p>
            </w:tc>
            <w:tc>
              <w:tcPr>
                <w:tcW w:w="2126" w:type="dxa"/>
              </w:tcPr>
              <w:p w14:paraId="20195340" w14:textId="77777777">
                <w:pPr>
                  <w:jc w:val="center"/>
                  <w:rPr>
                    <w:b/>
                    <w:szCs w:val="24"/>
                  </w:rPr>
                </w:pPr>
                <w:r>
                  <w:rPr>
                    <w:color w:val="000000"/>
                    <w:szCs w:val="24"/>
                    <w:lang w:val="en-US"/>
                  </w:rPr>
                  <w:t>Visiškas</w:t>
                </w:r>
              </w:p>
            </w:tc>
          </w:tr>
        </w:tbl>
        <w:p w14:paraId="19322706" w14:textId="77777777">
          <w:pPr>
            <w:jc w:val="both"/>
            <w:rPr>
              <w:szCs w:val="24"/>
              <w:lang w:eastAsia="en-GB"/>
            </w:rPr>
          </w:pPr>
        </w:p>
      </w:sdtContent>
    </w:sdt>
    <w:sectPr>
      <w:headerReference w:type="even" r:id="rId7"/>
      <w:headerReference w:type="default" r:id="rId8"/>
      <w:footerReference w:type="even" r:id="rId9"/>
      <w:footerReference w:type="default" r:id="rId10"/>
      <w:headerReference w:type="first" r:id="rId11"/>
      <w:footerReference w:type="first" r:id="rId12"/>
      <w:pgSz w:w="16838" w:h="11906" w:orient="landscape"/>
      <w:pgMar w:top="1276" w:right="1134" w:bottom="567" w:left="1134" w:header="709" w:footer="709"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410F38" w14:textId="77777777">
      <w:pPr>
        <w:rPr>
          <w:szCs w:val="24"/>
          <w:lang w:val="en-GB" w:eastAsia="en-GB"/>
        </w:rPr>
      </w:pPr>
      <w:r>
        <w:rPr>
          <w:szCs w:val="24"/>
          <w:lang w:val="en-GB" w:eastAsia="en-GB"/>
        </w:rPr>
        <w:separator/>
      </w:r>
    </w:p>
  </w:endnote>
  <w:endnote w:type="continuationSeparator" w:id="0">
    <w:p w14:paraId="5868EFC0" w14:textId="77777777">
      <w:pPr>
        <w:rPr>
          <w:szCs w:val="24"/>
          <w:lang w:val="en-GB" w:eastAsia="en-GB"/>
        </w:rPr>
      </w:pPr>
      <w:r>
        <w:rPr>
          <w:szCs w:val="24"/>
          <w:lang w:val="en-GB" w:eastAsia="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BBEB81" w14:textId="77777777">
    <w:pPr>
      <w:tabs>
        <w:tab w:val="center" w:pos="4819"/>
        <w:tab w:val="right" w:pos="9638"/>
      </w:tabs>
      <w:rPr>
        <w:szCs w:val="24"/>
        <w:lang w:val="en-GB" w:eastAsia="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C99F5E" w14:textId="77777777">
    <w:pPr>
      <w:tabs>
        <w:tab w:val="center" w:pos="4819"/>
        <w:tab w:val="right" w:pos="9638"/>
      </w:tabs>
      <w:rPr>
        <w:szCs w:val="24"/>
        <w:lang w:val="en-GB" w:eastAsia="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2970F6" w14:textId="77777777">
    <w:pPr>
      <w:tabs>
        <w:tab w:val="center" w:pos="4819"/>
        <w:tab w:val="right" w:pos="9638"/>
      </w:tabs>
      <w:rPr>
        <w:szCs w:val="24"/>
        <w:lang w:val="en-GB" w:eastAsia="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8D6EAB" w14:textId="77777777">
      <w:pPr>
        <w:rPr>
          <w:szCs w:val="24"/>
          <w:lang w:val="en-GB" w:eastAsia="en-GB"/>
        </w:rPr>
      </w:pPr>
      <w:r>
        <w:rPr>
          <w:szCs w:val="24"/>
          <w:lang w:val="en-GB" w:eastAsia="en-GB"/>
        </w:rPr>
        <w:separator/>
      </w:r>
    </w:p>
  </w:footnote>
  <w:footnote w:type="continuationSeparator" w:id="0">
    <w:p w14:paraId="25D37404" w14:textId="77777777">
      <w:pPr>
        <w:rPr>
          <w:szCs w:val="24"/>
          <w:lang w:val="en-GB" w:eastAsia="en-GB"/>
        </w:rPr>
      </w:pPr>
      <w:r>
        <w:rPr>
          <w:szCs w:val="24"/>
          <w:lang w:val="en-GB" w:eastAsia="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4A07D3" w14:textId="77777777">
    <w:pPr>
      <w:tabs>
        <w:tab w:val="center" w:pos="4819"/>
        <w:tab w:val="right" w:pos="9638"/>
      </w:tabs>
      <w:rPr>
        <w:szCs w:val="24"/>
        <w:lang w:val="en-GB" w:eastAsia="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6DF3D2" w14:textId="294A5A39">
    <w:pPr>
      <w:tabs>
        <w:tab w:val="center" w:pos="4819"/>
        <w:tab w:val="right" w:pos="9638"/>
      </w:tabs>
      <w:jc w:val="center"/>
      <w:rPr>
        <w:szCs w:val="24"/>
        <w:lang w:val="en-GB" w:eastAsia="en-GB"/>
      </w:rPr>
    </w:pPr>
    <w:r>
      <w:rPr>
        <w:szCs w:val="24"/>
        <w:lang w:val="en-GB" w:eastAsia="en-GB"/>
      </w:rPr>
      <w:fldChar w:fldCharType="begin"/>
    </w:r>
    <w:r>
      <w:rPr>
        <w:szCs w:val="24"/>
        <w:lang w:val="en-GB" w:eastAsia="en-GB"/>
      </w:rPr>
      <w:instrText>PAGE   \* MERGEFORMAT</w:instrText>
    </w:r>
    <w:r>
      <w:rPr>
        <w:szCs w:val="24"/>
        <w:lang w:val="en-GB" w:eastAsia="en-GB"/>
      </w:rPr>
      <w:fldChar w:fldCharType="separate"/>
    </w:r>
    <w:r>
      <w:rPr>
        <w:szCs w:val="24"/>
        <w:lang w:eastAsia="en-GB"/>
      </w:rPr>
      <w:t>8</w:t>
    </w:r>
    <w:r>
      <w:rPr>
        <w:szCs w:val="24"/>
        <w:lang w:eastAsia="en-GB"/>
      </w:rPr>
      <w:fldChar w:fldCharType="end"/>
    </w:r>
  </w:p>
  <w:p w14:paraId="5B2FB394" w14:textId="77777777">
    <w:pPr>
      <w:tabs>
        <w:tab w:val="center" w:pos="4819"/>
        <w:tab w:val="right" w:pos="9638"/>
      </w:tabs>
      <w:rPr>
        <w:szCs w:val="24"/>
        <w:lang w:val="en-GB" w:eastAsia="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2A98D3" w14:textId="77777777">
    <w:pPr>
      <w:tabs>
        <w:tab w:val="center" w:pos="4819"/>
        <w:tab w:val="right" w:pos="9638"/>
      </w:tabs>
      <w:rPr>
        <w:szCs w:val="24"/>
        <w:lang w:val="en-GB" w:eastAsia="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rawingGridHorizontalSpacing w:val="12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784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5F365DF7"/>
  <w15:docId w15:val="{2F407F83-1561-4F65-877B-250B1776916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110362">
      <w:bodyDiv w:val="1"/>
      <w:marLeft w:val="0"/>
      <w:marRight w:val="0"/>
      <w:marTop w:val="0"/>
      <w:marBottom w:val="0"/>
      <w:divBdr>
        <w:top w:val="none" w:sz="0" w:space="0" w:color="auto"/>
        <w:left w:val="none" w:sz="0" w:space="0" w:color="auto"/>
        <w:bottom w:val="none" w:sz="0" w:space="0" w:color="auto"/>
        <w:right w:val="none" w:sz="0" w:space="0" w:color="auto"/>
      </w:divBdr>
    </w:div>
    <w:div w:id="17513103">
      <w:bodyDiv w:val="1"/>
      <w:marLeft w:val="0"/>
      <w:marRight w:val="0"/>
      <w:marTop w:val="0"/>
      <w:marBottom w:val="0"/>
      <w:divBdr>
        <w:top w:val="none" w:sz="0" w:space="0" w:color="auto"/>
        <w:left w:val="none" w:sz="0" w:space="0" w:color="auto"/>
        <w:bottom w:val="none" w:sz="0" w:space="0" w:color="auto"/>
        <w:right w:val="none" w:sz="0" w:space="0" w:color="auto"/>
      </w:divBdr>
    </w:div>
    <w:div w:id="44329329">
      <w:bodyDiv w:val="1"/>
      <w:marLeft w:val="0"/>
      <w:marRight w:val="0"/>
      <w:marTop w:val="0"/>
      <w:marBottom w:val="0"/>
      <w:divBdr>
        <w:top w:val="none" w:sz="0" w:space="0" w:color="auto"/>
        <w:left w:val="none" w:sz="0" w:space="0" w:color="auto"/>
        <w:bottom w:val="none" w:sz="0" w:space="0" w:color="auto"/>
        <w:right w:val="none" w:sz="0" w:space="0" w:color="auto"/>
      </w:divBdr>
    </w:div>
    <w:div w:id="53240160">
      <w:bodyDiv w:val="1"/>
      <w:marLeft w:val="225"/>
      <w:marRight w:val="225"/>
      <w:marTop w:val="0"/>
      <w:marBottom w:val="0"/>
      <w:divBdr>
        <w:top w:val="none" w:sz="0" w:space="0" w:color="auto"/>
        <w:left w:val="none" w:sz="0" w:space="0" w:color="auto"/>
        <w:bottom w:val="none" w:sz="0" w:space="0" w:color="auto"/>
        <w:right w:val="none" w:sz="0" w:space="0" w:color="auto"/>
      </w:divBdr>
      <w:divsChild>
        <w:div w:id="1812090805">
          <w:marLeft w:val="0"/>
          <w:marRight w:val="0"/>
          <w:marTop w:val="0"/>
          <w:marBottom w:val="0"/>
          <w:divBdr>
            <w:top w:val="none" w:sz="0" w:space="0" w:color="auto"/>
            <w:left w:val="none" w:sz="0" w:space="0" w:color="auto"/>
            <w:bottom w:val="none" w:sz="0" w:space="0" w:color="auto"/>
            <w:right w:val="none" w:sz="0" w:space="0" w:color="auto"/>
          </w:divBdr>
        </w:div>
      </w:divsChild>
    </w:div>
    <w:div w:id="63181611">
      <w:bodyDiv w:val="1"/>
      <w:marLeft w:val="188"/>
      <w:marRight w:val="188"/>
      <w:marTop w:val="0"/>
      <w:marBottom w:val="0"/>
      <w:divBdr>
        <w:top w:val="none" w:sz="0" w:space="0" w:color="auto"/>
        <w:left w:val="none" w:sz="0" w:space="0" w:color="auto"/>
        <w:bottom w:val="none" w:sz="0" w:space="0" w:color="auto"/>
        <w:right w:val="none" w:sz="0" w:space="0" w:color="auto"/>
      </w:divBdr>
      <w:divsChild>
        <w:div w:id="304624590">
          <w:marLeft w:val="0"/>
          <w:marRight w:val="0"/>
          <w:marTop w:val="0"/>
          <w:marBottom w:val="0"/>
          <w:divBdr>
            <w:top w:val="none" w:sz="0" w:space="0" w:color="auto"/>
            <w:left w:val="none" w:sz="0" w:space="0" w:color="auto"/>
            <w:bottom w:val="none" w:sz="0" w:space="0" w:color="auto"/>
            <w:right w:val="none" w:sz="0" w:space="0" w:color="auto"/>
          </w:divBdr>
        </w:div>
      </w:divsChild>
    </w:div>
    <w:div w:id="65080594">
      <w:bodyDiv w:val="1"/>
      <w:marLeft w:val="0"/>
      <w:marRight w:val="0"/>
      <w:marTop w:val="0"/>
      <w:marBottom w:val="0"/>
      <w:divBdr>
        <w:top w:val="none" w:sz="0" w:space="0" w:color="auto"/>
        <w:left w:val="none" w:sz="0" w:space="0" w:color="auto"/>
        <w:bottom w:val="none" w:sz="0" w:space="0" w:color="auto"/>
        <w:right w:val="none" w:sz="0" w:space="0" w:color="auto"/>
      </w:divBdr>
    </w:div>
    <w:div w:id="65804302">
      <w:bodyDiv w:val="1"/>
      <w:marLeft w:val="225"/>
      <w:marRight w:val="225"/>
      <w:marTop w:val="0"/>
      <w:marBottom w:val="0"/>
      <w:divBdr>
        <w:top w:val="none" w:sz="0" w:space="0" w:color="auto"/>
        <w:left w:val="none" w:sz="0" w:space="0" w:color="auto"/>
        <w:bottom w:val="none" w:sz="0" w:space="0" w:color="auto"/>
        <w:right w:val="none" w:sz="0" w:space="0" w:color="auto"/>
      </w:divBdr>
      <w:divsChild>
        <w:div w:id="75176545">
          <w:marLeft w:val="0"/>
          <w:marRight w:val="0"/>
          <w:marTop w:val="0"/>
          <w:marBottom w:val="0"/>
          <w:divBdr>
            <w:top w:val="none" w:sz="0" w:space="0" w:color="auto"/>
            <w:left w:val="none" w:sz="0" w:space="0" w:color="auto"/>
            <w:bottom w:val="none" w:sz="0" w:space="0" w:color="auto"/>
            <w:right w:val="none" w:sz="0" w:space="0" w:color="auto"/>
          </w:divBdr>
        </w:div>
      </w:divsChild>
    </w:div>
    <w:div w:id="74669140">
      <w:bodyDiv w:val="1"/>
      <w:marLeft w:val="0"/>
      <w:marRight w:val="0"/>
      <w:marTop w:val="0"/>
      <w:marBottom w:val="0"/>
      <w:divBdr>
        <w:top w:val="none" w:sz="0" w:space="0" w:color="auto"/>
        <w:left w:val="none" w:sz="0" w:space="0" w:color="auto"/>
        <w:bottom w:val="none" w:sz="0" w:space="0" w:color="auto"/>
        <w:right w:val="none" w:sz="0" w:space="0" w:color="auto"/>
      </w:divBdr>
    </w:div>
    <w:div w:id="76287712">
      <w:bodyDiv w:val="1"/>
      <w:marLeft w:val="188"/>
      <w:marRight w:val="188"/>
      <w:marTop w:val="0"/>
      <w:marBottom w:val="0"/>
      <w:divBdr>
        <w:top w:val="none" w:sz="0" w:space="0" w:color="auto"/>
        <w:left w:val="none" w:sz="0" w:space="0" w:color="auto"/>
        <w:bottom w:val="none" w:sz="0" w:space="0" w:color="auto"/>
        <w:right w:val="none" w:sz="0" w:space="0" w:color="auto"/>
      </w:divBdr>
      <w:divsChild>
        <w:div w:id="839931576">
          <w:marLeft w:val="0"/>
          <w:marRight w:val="0"/>
          <w:marTop w:val="0"/>
          <w:marBottom w:val="0"/>
          <w:divBdr>
            <w:top w:val="none" w:sz="0" w:space="0" w:color="auto"/>
            <w:left w:val="none" w:sz="0" w:space="0" w:color="auto"/>
            <w:bottom w:val="none" w:sz="0" w:space="0" w:color="auto"/>
            <w:right w:val="none" w:sz="0" w:space="0" w:color="auto"/>
          </w:divBdr>
        </w:div>
      </w:divsChild>
    </w:div>
    <w:div w:id="82798242">
      <w:bodyDiv w:val="1"/>
      <w:marLeft w:val="0"/>
      <w:marRight w:val="0"/>
      <w:marTop w:val="0"/>
      <w:marBottom w:val="0"/>
      <w:divBdr>
        <w:top w:val="none" w:sz="0" w:space="0" w:color="auto"/>
        <w:left w:val="none" w:sz="0" w:space="0" w:color="auto"/>
        <w:bottom w:val="none" w:sz="0" w:space="0" w:color="auto"/>
        <w:right w:val="none" w:sz="0" w:space="0" w:color="auto"/>
      </w:divBdr>
    </w:div>
    <w:div w:id="84503672">
      <w:bodyDiv w:val="1"/>
      <w:marLeft w:val="225"/>
      <w:marRight w:val="225"/>
      <w:marTop w:val="0"/>
      <w:marBottom w:val="0"/>
      <w:divBdr>
        <w:top w:val="none" w:sz="0" w:space="0" w:color="auto"/>
        <w:left w:val="none" w:sz="0" w:space="0" w:color="auto"/>
        <w:bottom w:val="none" w:sz="0" w:space="0" w:color="auto"/>
        <w:right w:val="none" w:sz="0" w:space="0" w:color="auto"/>
      </w:divBdr>
      <w:divsChild>
        <w:div w:id="1743479118">
          <w:marLeft w:val="0"/>
          <w:marRight w:val="0"/>
          <w:marTop w:val="0"/>
          <w:marBottom w:val="0"/>
          <w:divBdr>
            <w:top w:val="none" w:sz="0" w:space="0" w:color="auto"/>
            <w:left w:val="none" w:sz="0" w:space="0" w:color="auto"/>
            <w:bottom w:val="none" w:sz="0" w:space="0" w:color="auto"/>
            <w:right w:val="none" w:sz="0" w:space="0" w:color="auto"/>
          </w:divBdr>
        </w:div>
      </w:divsChild>
    </w:div>
    <w:div w:id="86777708">
      <w:bodyDiv w:val="1"/>
      <w:marLeft w:val="0"/>
      <w:marRight w:val="0"/>
      <w:marTop w:val="0"/>
      <w:marBottom w:val="0"/>
      <w:divBdr>
        <w:top w:val="none" w:sz="0" w:space="0" w:color="auto"/>
        <w:left w:val="none" w:sz="0" w:space="0" w:color="auto"/>
        <w:bottom w:val="none" w:sz="0" w:space="0" w:color="auto"/>
        <w:right w:val="none" w:sz="0" w:space="0" w:color="auto"/>
      </w:divBdr>
    </w:div>
    <w:div w:id="92097315">
      <w:bodyDiv w:val="1"/>
      <w:marLeft w:val="0"/>
      <w:marRight w:val="0"/>
      <w:marTop w:val="0"/>
      <w:marBottom w:val="0"/>
      <w:divBdr>
        <w:top w:val="none" w:sz="0" w:space="0" w:color="auto"/>
        <w:left w:val="none" w:sz="0" w:space="0" w:color="auto"/>
        <w:bottom w:val="none" w:sz="0" w:space="0" w:color="auto"/>
        <w:right w:val="none" w:sz="0" w:space="0" w:color="auto"/>
      </w:divBdr>
    </w:div>
    <w:div w:id="102846987">
      <w:bodyDiv w:val="1"/>
      <w:marLeft w:val="0"/>
      <w:marRight w:val="0"/>
      <w:marTop w:val="0"/>
      <w:marBottom w:val="0"/>
      <w:divBdr>
        <w:top w:val="none" w:sz="0" w:space="0" w:color="auto"/>
        <w:left w:val="none" w:sz="0" w:space="0" w:color="auto"/>
        <w:bottom w:val="none" w:sz="0" w:space="0" w:color="auto"/>
        <w:right w:val="none" w:sz="0" w:space="0" w:color="auto"/>
      </w:divBdr>
    </w:div>
    <w:div w:id="111020789">
      <w:bodyDiv w:val="1"/>
      <w:marLeft w:val="0"/>
      <w:marRight w:val="0"/>
      <w:marTop w:val="0"/>
      <w:marBottom w:val="0"/>
      <w:divBdr>
        <w:top w:val="none" w:sz="0" w:space="0" w:color="auto"/>
        <w:left w:val="none" w:sz="0" w:space="0" w:color="auto"/>
        <w:bottom w:val="none" w:sz="0" w:space="0" w:color="auto"/>
        <w:right w:val="none" w:sz="0" w:space="0" w:color="auto"/>
      </w:divBdr>
      <w:divsChild>
        <w:div w:id="1516381551">
          <w:marLeft w:val="0"/>
          <w:marRight w:val="0"/>
          <w:marTop w:val="0"/>
          <w:marBottom w:val="0"/>
          <w:divBdr>
            <w:top w:val="none" w:sz="0" w:space="0" w:color="auto"/>
            <w:left w:val="none" w:sz="0" w:space="0" w:color="auto"/>
            <w:bottom w:val="none" w:sz="0" w:space="0" w:color="auto"/>
            <w:right w:val="none" w:sz="0" w:space="0" w:color="auto"/>
          </w:divBdr>
        </w:div>
        <w:div w:id="393353723">
          <w:marLeft w:val="0"/>
          <w:marRight w:val="0"/>
          <w:marTop w:val="0"/>
          <w:marBottom w:val="0"/>
          <w:divBdr>
            <w:top w:val="none" w:sz="0" w:space="0" w:color="auto"/>
            <w:left w:val="none" w:sz="0" w:space="0" w:color="auto"/>
            <w:bottom w:val="none" w:sz="0" w:space="0" w:color="auto"/>
            <w:right w:val="none" w:sz="0" w:space="0" w:color="auto"/>
          </w:divBdr>
        </w:div>
        <w:div w:id="1168520163">
          <w:marLeft w:val="0"/>
          <w:marRight w:val="0"/>
          <w:marTop w:val="0"/>
          <w:marBottom w:val="0"/>
          <w:divBdr>
            <w:top w:val="none" w:sz="0" w:space="0" w:color="auto"/>
            <w:left w:val="none" w:sz="0" w:space="0" w:color="auto"/>
            <w:bottom w:val="none" w:sz="0" w:space="0" w:color="auto"/>
            <w:right w:val="none" w:sz="0" w:space="0" w:color="auto"/>
          </w:divBdr>
        </w:div>
        <w:div w:id="464200508">
          <w:marLeft w:val="0"/>
          <w:marRight w:val="0"/>
          <w:marTop w:val="0"/>
          <w:marBottom w:val="0"/>
          <w:divBdr>
            <w:top w:val="none" w:sz="0" w:space="0" w:color="auto"/>
            <w:left w:val="none" w:sz="0" w:space="0" w:color="auto"/>
            <w:bottom w:val="none" w:sz="0" w:space="0" w:color="auto"/>
            <w:right w:val="none" w:sz="0" w:space="0" w:color="auto"/>
          </w:divBdr>
        </w:div>
        <w:div w:id="904727797">
          <w:marLeft w:val="0"/>
          <w:marRight w:val="0"/>
          <w:marTop w:val="0"/>
          <w:marBottom w:val="0"/>
          <w:divBdr>
            <w:top w:val="none" w:sz="0" w:space="0" w:color="auto"/>
            <w:left w:val="none" w:sz="0" w:space="0" w:color="auto"/>
            <w:bottom w:val="none" w:sz="0" w:space="0" w:color="auto"/>
            <w:right w:val="none" w:sz="0" w:space="0" w:color="auto"/>
          </w:divBdr>
        </w:div>
        <w:div w:id="645091939">
          <w:marLeft w:val="0"/>
          <w:marRight w:val="0"/>
          <w:marTop w:val="0"/>
          <w:marBottom w:val="0"/>
          <w:divBdr>
            <w:top w:val="none" w:sz="0" w:space="0" w:color="auto"/>
            <w:left w:val="none" w:sz="0" w:space="0" w:color="auto"/>
            <w:bottom w:val="none" w:sz="0" w:space="0" w:color="auto"/>
            <w:right w:val="none" w:sz="0" w:space="0" w:color="auto"/>
          </w:divBdr>
        </w:div>
        <w:div w:id="1199926525">
          <w:marLeft w:val="0"/>
          <w:marRight w:val="0"/>
          <w:marTop w:val="0"/>
          <w:marBottom w:val="0"/>
          <w:divBdr>
            <w:top w:val="none" w:sz="0" w:space="0" w:color="auto"/>
            <w:left w:val="none" w:sz="0" w:space="0" w:color="auto"/>
            <w:bottom w:val="none" w:sz="0" w:space="0" w:color="auto"/>
            <w:right w:val="none" w:sz="0" w:space="0" w:color="auto"/>
          </w:divBdr>
        </w:div>
        <w:div w:id="1472136687">
          <w:marLeft w:val="0"/>
          <w:marRight w:val="0"/>
          <w:marTop w:val="0"/>
          <w:marBottom w:val="0"/>
          <w:divBdr>
            <w:top w:val="none" w:sz="0" w:space="0" w:color="auto"/>
            <w:left w:val="none" w:sz="0" w:space="0" w:color="auto"/>
            <w:bottom w:val="none" w:sz="0" w:space="0" w:color="auto"/>
            <w:right w:val="none" w:sz="0" w:space="0" w:color="auto"/>
          </w:divBdr>
        </w:div>
        <w:div w:id="667751614">
          <w:marLeft w:val="0"/>
          <w:marRight w:val="0"/>
          <w:marTop w:val="0"/>
          <w:marBottom w:val="0"/>
          <w:divBdr>
            <w:top w:val="none" w:sz="0" w:space="0" w:color="auto"/>
            <w:left w:val="none" w:sz="0" w:space="0" w:color="auto"/>
            <w:bottom w:val="none" w:sz="0" w:space="0" w:color="auto"/>
            <w:right w:val="none" w:sz="0" w:space="0" w:color="auto"/>
          </w:divBdr>
        </w:div>
        <w:div w:id="984040947">
          <w:marLeft w:val="0"/>
          <w:marRight w:val="0"/>
          <w:marTop w:val="0"/>
          <w:marBottom w:val="0"/>
          <w:divBdr>
            <w:top w:val="none" w:sz="0" w:space="0" w:color="auto"/>
            <w:left w:val="none" w:sz="0" w:space="0" w:color="auto"/>
            <w:bottom w:val="none" w:sz="0" w:space="0" w:color="auto"/>
            <w:right w:val="none" w:sz="0" w:space="0" w:color="auto"/>
          </w:divBdr>
        </w:div>
        <w:div w:id="126438611">
          <w:marLeft w:val="0"/>
          <w:marRight w:val="0"/>
          <w:marTop w:val="0"/>
          <w:marBottom w:val="0"/>
          <w:divBdr>
            <w:top w:val="none" w:sz="0" w:space="0" w:color="auto"/>
            <w:left w:val="none" w:sz="0" w:space="0" w:color="auto"/>
            <w:bottom w:val="none" w:sz="0" w:space="0" w:color="auto"/>
            <w:right w:val="none" w:sz="0" w:space="0" w:color="auto"/>
          </w:divBdr>
        </w:div>
        <w:div w:id="1397433733">
          <w:marLeft w:val="0"/>
          <w:marRight w:val="0"/>
          <w:marTop w:val="0"/>
          <w:marBottom w:val="0"/>
          <w:divBdr>
            <w:top w:val="none" w:sz="0" w:space="0" w:color="auto"/>
            <w:left w:val="none" w:sz="0" w:space="0" w:color="auto"/>
            <w:bottom w:val="none" w:sz="0" w:space="0" w:color="auto"/>
            <w:right w:val="none" w:sz="0" w:space="0" w:color="auto"/>
          </w:divBdr>
        </w:div>
        <w:div w:id="2025470915">
          <w:marLeft w:val="0"/>
          <w:marRight w:val="0"/>
          <w:marTop w:val="0"/>
          <w:marBottom w:val="0"/>
          <w:divBdr>
            <w:top w:val="none" w:sz="0" w:space="0" w:color="auto"/>
            <w:left w:val="none" w:sz="0" w:space="0" w:color="auto"/>
            <w:bottom w:val="none" w:sz="0" w:space="0" w:color="auto"/>
            <w:right w:val="none" w:sz="0" w:space="0" w:color="auto"/>
          </w:divBdr>
        </w:div>
        <w:div w:id="835807220">
          <w:marLeft w:val="0"/>
          <w:marRight w:val="0"/>
          <w:marTop w:val="0"/>
          <w:marBottom w:val="0"/>
          <w:divBdr>
            <w:top w:val="none" w:sz="0" w:space="0" w:color="auto"/>
            <w:left w:val="none" w:sz="0" w:space="0" w:color="auto"/>
            <w:bottom w:val="none" w:sz="0" w:space="0" w:color="auto"/>
            <w:right w:val="none" w:sz="0" w:space="0" w:color="auto"/>
          </w:divBdr>
        </w:div>
        <w:div w:id="618687476">
          <w:marLeft w:val="0"/>
          <w:marRight w:val="0"/>
          <w:marTop w:val="0"/>
          <w:marBottom w:val="0"/>
          <w:divBdr>
            <w:top w:val="none" w:sz="0" w:space="0" w:color="auto"/>
            <w:left w:val="none" w:sz="0" w:space="0" w:color="auto"/>
            <w:bottom w:val="none" w:sz="0" w:space="0" w:color="auto"/>
            <w:right w:val="none" w:sz="0" w:space="0" w:color="auto"/>
          </w:divBdr>
        </w:div>
        <w:div w:id="704142484">
          <w:marLeft w:val="0"/>
          <w:marRight w:val="0"/>
          <w:marTop w:val="0"/>
          <w:marBottom w:val="0"/>
          <w:divBdr>
            <w:top w:val="none" w:sz="0" w:space="0" w:color="auto"/>
            <w:left w:val="none" w:sz="0" w:space="0" w:color="auto"/>
            <w:bottom w:val="none" w:sz="0" w:space="0" w:color="auto"/>
            <w:right w:val="none" w:sz="0" w:space="0" w:color="auto"/>
          </w:divBdr>
        </w:div>
        <w:div w:id="1078869022">
          <w:marLeft w:val="0"/>
          <w:marRight w:val="0"/>
          <w:marTop w:val="0"/>
          <w:marBottom w:val="0"/>
          <w:divBdr>
            <w:top w:val="none" w:sz="0" w:space="0" w:color="auto"/>
            <w:left w:val="none" w:sz="0" w:space="0" w:color="auto"/>
            <w:bottom w:val="none" w:sz="0" w:space="0" w:color="auto"/>
            <w:right w:val="none" w:sz="0" w:space="0" w:color="auto"/>
          </w:divBdr>
        </w:div>
        <w:div w:id="1963417094">
          <w:marLeft w:val="0"/>
          <w:marRight w:val="0"/>
          <w:marTop w:val="0"/>
          <w:marBottom w:val="0"/>
          <w:divBdr>
            <w:top w:val="none" w:sz="0" w:space="0" w:color="auto"/>
            <w:left w:val="none" w:sz="0" w:space="0" w:color="auto"/>
            <w:bottom w:val="none" w:sz="0" w:space="0" w:color="auto"/>
            <w:right w:val="none" w:sz="0" w:space="0" w:color="auto"/>
          </w:divBdr>
        </w:div>
        <w:div w:id="492186010">
          <w:marLeft w:val="0"/>
          <w:marRight w:val="0"/>
          <w:marTop w:val="0"/>
          <w:marBottom w:val="0"/>
          <w:divBdr>
            <w:top w:val="none" w:sz="0" w:space="0" w:color="auto"/>
            <w:left w:val="none" w:sz="0" w:space="0" w:color="auto"/>
            <w:bottom w:val="none" w:sz="0" w:space="0" w:color="auto"/>
            <w:right w:val="none" w:sz="0" w:space="0" w:color="auto"/>
          </w:divBdr>
        </w:div>
        <w:div w:id="23673402">
          <w:marLeft w:val="0"/>
          <w:marRight w:val="0"/>
          <w:marTop w:val="0"/>
          <w:marBottom w:val="0"/>
          <w:divBdr>
            <w:top w:val="none" w:sz="0" w:space="0" w:color="auto"/>
            <w:left w:val="none" w:sz="0" w:space="0" w:color="auto"/>
            <w:bottom w:val="none" w:sz="0" w:space="0" w:color="auto"/>
            <w:right w:val="none" w:sz="0" w:space="0" w:color="auto"/>
          </w:divBdr>
        </w:div>
        <w:div w:id="1500072311">
          <w:marLeft w:val="0"/>
          <w:marRight w:val="0"/>
          <w:marTop w:val="0"/>
          <w:marBottom w:val="0"/>
          <w:divBdr>
            <w:top w:val="none" w:sz="0" w:space="0" w:color="auto"/>
            <w:left w:val="none" w:sz="0" w:space="0" w:color="auto"/>
            <w:bottom w:val="none" w:sz="0" w:space="0" w:color="auto"/>
            <w:right w:val="none" w:sz="0" w:space="0" w:color="auto"/>
          </w:divBdr>
        </w:div>
        <w:div w:id="1897546723">
          <w:marLeft w:val="0"/>
          <w:marRight w:val="0"/>
          <w:marTop w:val="0"/>
          <w:marBottom w:val="0"/>
          <w:divBdr>
            <w:top w:val="none" w:sz="0" w:space="0" w:color="auto"/>
            <w:left w:val="none" w:sz="0" w:space="0" w:color="auto"/>
            <w:bottom w:val="none" w:sz="0" w:space="0" w:color="auto"/>
            <w:right w:val="none" w:sz="0" w:space="0" w:color="auto"/>
          </w:divBdr>
        </w:div>
        <w:div w:id="2056352116">
          <w:marLeft w:val="0"/>
          <w:marRight w:val="0"/>
          <w:marTop w:val="0"/>
          <w:marBottom w:val="0"/>
          <w:divBdr>
            <w:top w:val="none" w:sz="0" w:space="0" w:color="auto"/>
            <w:left w:val="none" w:sz="0" w:space="0" w:color="auto"/>
            <w:bottom w:val="none" w:sz="0" w:space="0" w:color="auto"/>
            <w:right w:val="none" w:sz="0" w:space="0" w:color="auto"/>
          </w:divBdr>
        </w:div>
        <w:div w:id="292441268">
          <w:marLeft w:val="0"/>
          <w:marRight w:val="0"/>
          <w:marTop w:val="0"/>
          <w:marBottom w:val="0"/>
          <w:divBdr>
            <w:top w:val="none" w:sz="0" w:space="0" w:color="auto"/>
            <w:left w:val="none" w:sz="0" w:space="0" w:color="auto"/>
            <w:bottom w:val="none" w:sz="0" w:space="0" w:color="auto"/>
            <w:right w:val="none" w:sz="0" w:space="0" w:color="auto"/>
          </w:divBdr>
        </w:div>
        <w:div w:id="1104039966">
          <w:marLeft w:val="0"/>
          <w:marRight w:val="0"/>
          <w:marTop w:val="0"/>
          <w:marBottom w:val="0"/>
          <w:divBdr>
            <w:top w:val="none" w:sz="0" w:space="0" w:color="auto"/>
            <w:left w:val="none" w:sz="0" w:space="0" w:color="auto"/>
            <w:bottom w:val="none" w:sz="0" w:space="0" w:color="auto"/>
            <w:right w:val="none" w:sz="0" w:space="0" w:color="auto"/>
          </w:divBdr>
        </w:div>
        <w:div w:id="1098790515">
          <w:marLeft w:val="0"/>
          <w:marRight w:val="0"/>
          <w:marTop w:val="0"/>
          <w:marBottom w:val="0"/>
          <w:divBdr>
            <w:top w:val="none" w:sz="0" w:space="0" w:color="auto"/>
            <w:left w:val="none" w:sz="0" w:space="0" w:color="auto"/>
            <w:bottom w:val="none" w:sz="0" w:space="0" w:color="auto"/>
            <w:right w:val="none" w:sz="0" w:space="0" w:color="auto"/>
          </w:divBdr>
        </w:div>
        <w:div w:id="2041204458">
          <w:marLeft w:val="0"/>
          <w:marRight w:val="0"/>
          <w:marTop w:val="0"/>
          <w:marBottom w:val="0"/>
          <w:divBdr>
            <w:top w:val="none" w:sz="0" w:space="0" w:color="auto"/>
            <w:left w:val="none" w:sz="0" w:space="0" w:color="auto"/>
            <w:bottom w:val="none" w:sz="0" w:space="0" w:color="auto"/>
            <w:right w:val="none" w:sz="0" w:space="0" w:color="auto"/>
          </w:divBdr>
        </w:div>
        <w:div w:id="2083214319">
          <w:marLeft w:val="0"/>
          <w:marRight w:val="0"/>
          <w:marTop w:val="0"/>
          <w:marBottom w:val="0"/>
          <w:divBdr>
            <w:top w:val="none" w:sz="0" w:space="0" w:color="auto"/>
            <w:left w:val="none" w:sz="0" w:space="0" w:color="auto"/>
            <w:bottom w:val="none" w:sz="0" w:space="0" w:color="auto"/>
            <w:right w:val="none" w:sz="0" w:space="0" w:color="auto"/>
          </w:divBdr>
        </w:div>
        <w:div w:id="636840831">
          <w:marLeft w:val="0"/>
          <w:marRight w:val="0"/>
          <w:marTop w:val="0"/>
          <w:marBottom w:val="0"/>
          <w:divBdr>
            <w:top w:val="none" w:sz="0" w:space="0" w:color="auto"/>
            <w:left w:val="none" w:sz="0" w:space="0" w:color="auto"/>
            <w:bottom w:val="none" w:sz="0" w:space="0" w:color="auto"/>
            <w:right w:val="none" w:sz="0" w:space="0" w:color="auto"/>
          </w:divBdr>
        </w:div>
        <w:div w:id="555513107">
          <w:marLeft w:val="0"/>
          <w:marRight w:val="0"/>
          <w:marTop w:val="0"/>
          <w:marBottom w:val="0"/>
          <w:divBdr>
            <w:top w:val="none" w:sz="0" w:space="0" w:color="auto"/>
            <w:left w:val="none" w:sz="0" w:space="0" w:color="auto"/>
            <w:bottom w:val="none" w:sz="0" w:space="0" w:color="auto"/>
            <w:right w:val="none" w:sz="0" w:space="0" w:color="auto"/>
          </w:divBdr>
        </w:div>
        <w:div w:id="1933971504">
          <w:marLeft w:val="0"/>
          <w:marRight w:val="0"/>
          <w:marTop w:val="0"/>
          <w:marBottom w:val="0"/>
          <w:divBdr>
            <w:top w:val="none" w:sz="0" w:space="0" w:color="auto"/>
            <w:left w:val="none" w:sz="0" w:space="0" w:color="auto"/>
            <w:bottom w:val="none" w:sz="0" w:space="0" w:color="auto"/>
            <w:right w:val="none" w:sz="0" w:space="0" w:color="auto"/>
          </w:divBdr>
        </w:div>
        <w:div w:id="461504758">
          <w:marLeft w:val="0"/>
          <w:marRight w:val="0"/>
          <w:marTop w:val="0"/>
          <w:marBottom w:val="0"/>
          <w:divBdr>
            <w:top w:val="none" w:sz="0" w:space="0" w:color="auto"/>
            <w:left w:val="none" w:sz="0" w:space="0" w:color="auto"/>
            <w:bottom w:val="none" w:sz="0" w:space="0" w:color="auto"/>
            <w:right w:val="none" w:sz="0" w:space="0" w:color="auto"/>
          </w:divBdr>
        </w:div>
        <w:div w:id="1757752874">
          <w:marLeft w:val="0"/>
          <w:marRight w:val="0"/>
          <w:marTop w:val="0"/>
          <w:marBottom w:val="0"/>
          <w:divBdr>
            <w:top w:val="none" w:sz="0" w:space="0" w:color="auto"/>
            <w:left w:val="none" w:sz="0" w:space="0" w:color="auto"/>
            <w:bottom w:val="none" w:sz="0" w:space="0" w:color="auto"/>
            <w:right w:val="none" w:sz="0" w:space="0" w:color="auto"/>
          </w:divBdr>
        </w:div>
        <w:div w:id="198973391">
          <w:marLeft w:val="0"/>
          <w:marRight w:val="0"/>
          <w:marTop w:val="0"/>
          <w:marBottom w:val="0"/>
          <w:divBdr>
            <w:top w:val="none" w:sz="0" w:space="0" w:color="auto"/>
            <w:left w:val="none" w:sz="0" w:space="0" w:color="auto"/>
            <w:bottom w:val="none" w:sz="0" w:space="0" w:color="auto"/>
            <w:right w:val="none" w:sz="0" w:space="0" w:color="auto"/>
          </w:divBdr>
        </w:div>
        <w:div w:id="1997955543">
          <w:marLeft w:val="0"/>
          <w:marRight w:val="0"/>
          <w:marTop w:val="0"/>
          <w:marBottom w:val="0"/>
          <w:divBdr>
            <w:top w:val="none" w:sz="0" w:space="0" w:color="auto"/>
            <w:left w:val="none" w:sz="0" w:space="0" w:color="auto"/>
            <w:bottom w:val="none" w:sz="0" w:space="0" w:color="auto"/>
            <w:right w:val="none" w:sz="0" w:space="0" w:color="auto"/>
          </w:divBdr>
        </w:div>
        <w:div w:id="128592620">
          <w:marLeft w:val="0"/>
          <w:marRight w:val="0"/>
          <w:marTop w:val="0"/>
          <w:marBottom w:val="0"/>
          <w:divBdr>
            <w:top w:val="none" w:sz="0" w:space="0" w:color="auto"/>
            <w:left w:val="none" w:sz="0" w:space="0" w:color="auto"/>
            <w:bottom w:val="none" w:sz="0" w:space="0" w:color="auto"/>
            <w:right w:val="none" w:sz="0" w:space="0" w:color="auto"/>
          </w:divBdr>
        </w:div>
        <w:div w:id="1099912459">
          <w:marLeft w:val="0"/>
          <w:marRight w:val="0"/>
          <w:marTop w:val="0"/>
          <w:marBottom w:val="0"/>
          <w:divBdr>
            <w:top w:val="none" w:sz="0" w:space="0" w:color="auto"/>
            <w:left w:val="none" w:sz="0" w:space="0" w:color="auto"/>
            <w:bottom w:val="none" w:sz="0" w:space="0" w:color="auto"/>
            <w:right w:val="none" w:sz="0" w:space="0" w:color="auto"/>
          </w:divBdr>
        </w:div>
        <w:div w:id="648746830">
          <w:marLeft w:val="0"/>
          <w:marRight w:val="0"/>
          <w:marTop w:val="0"/>
          <w:marBottom w:val="0"/>
          <w:divBdr>
            <w:top w:val="none" w:sz="0" w:space="0" w:color="auto"/>
            <w:left w:val="none" w:sz="0" w:space="0" w:color="auto"/>
            <w:bottom w:val="none" w:sz="0" w:space="0" w:color="auto"/>
            <w:right w:val="none" w:sz="0" w:space="0" w:color="auto"/>
          </w:divBdr>
        </w:div>
        <w:div w:id="241530595">
          <w:marLeft w:val="0"/>
          <w:marRight w:val="0"/>
          <w:marTop w:val="0"/>
          <w:marBottom w:val="0"/>
          <w:divBdr>
            <w:top w:val="none" w:sz="0" w:space="0" w:color="auto"/>
            <w:left w:val="none" w:sz="0" w:space="0" w:color="auto"/>
            <w:bottom w:val="none" w:sz="0" w:space="0" w:color="auto"/>
            <w:right w:val="none" w:sz="0" w:space="0" w:color="auto"/>
          </w:divBdr>
        </w:div>
        <w:div w:id="19399135">
          <w:marLeft w:val="0"/>
          <w:marRight w:val="0"/>
          <w:marTop w:val="0"/>
          <w:marBottom w:val="0"/>
          <w:divBdr>
            <w:top w:val="none" w:sz="0" w:space="0" w:color="auto"/>
            <w:left w:val="none" w:sz="0" w:space="0" w:color="auto"/>
            <w:bottom w:val="none" w:sz="0" w:space="0" w:color="auto"/>
            <w:right w:val="none" w:sz="0" w:space="0" w:color="auto"/>
          </w:divBdr>
        </w:div>
        <w:div w:id="1164932965">
          <w:marLeft w:val="0"/>
          <w:marRight w:val="0"/>
          <w:marTop w:val="0"/>
          <w:marBottom w:val="0"/>
          <w:divBdr>
            <w:top w:val="none" w:sz="0" w:space="0" w:color="auto"/>
            <w:left w:val="none" w:sz="0" w:space="0" w:color="auto"/>
            <w:bottom w:val="none" w:sz="0" w:space="0" w:color="auto"/>
            <w:right w:val="none" w:sz="0" w:space="0" w:color="auto"/>
          </w:divBdr>
        </w:div>
      </w:divsChild>
    </w:div>
    <w:div w:id="150567910">
      <w:bodyDiv w:val="1"/>
      <w:marLeft w:val="188"/>
      <w:marRight w:val="188"/>
      <w:marTop w:val="0"/>
      <w:marBottom w:val="0"/>
      <w:divBdr>
        <w:top w:val="none" w:sz="0" w:space="0" w:color="auto"/>
        <w:left w:val="none" w:sz="0" w:space="0" w:color="auto"/>
        <w:bottom w:val="none" w:sz="0" w:space="0" w:color="auto"/>
        <w:right w:val="none" w:sz="0" w:space="0" w:color="auto"/>
      </w:divBdr>
      <w:divsChild>
        <w:div w:id="1836533368">
          <w:marLeft w:val="0"/>
          <w:marRight w:val="0"/>
          <w:marTop w:val="0"/>
          <w:marBottom w:val="0"/>
          <w:divBdr>
            <w:top w:val="none" w:sz="0" w:space="0" w:color="auto"/>
            <w:left w:val="none" w:sz="0" w:space="0" w:color="auto"/>
            <w:bottom w:val="none" w:sz="0" w:space="0" w:color="auto"/>
            <w:right w:val="none" w:sz="0" w:space="0" w:color="auto"/>
          </w:divBdr>
        </w:div>
      </w:divsChild>
    </w:div>
    <w:div w:id="188489411">
      <w:bodyDiv w:val="1"/>
      <w:marLeft w:val="0"/>
      <w:marRight w:val="0"/>
      <w:marTop w:val="0"/>
      <w:marBottom w:val="0"/>
      <w:divBdr>
        <w:top w:val="none" w:sz="0" w:space="0" w:color="auto"/>
        <w:left w:val="none" w:sz="0" w:space="0" w:color="auto"/>
        <w:bottom w:val="none" w:sz="0" w:space="0" w:color="auto"/>
        <w:right w:val="none" w:sz="0" w:space="0" w:color="auto"/>
      </w:divBdr>
    </w:div>
    <w:div w:id="190001532">
      <w:bodyDiv w:val="1"/>
      <w:marLeft w:val="225"/>
      <w:marRight w:val="225"/>
      <w:marTop w:val="0"/>
      <w:marBottom w:val="0"/>
      <w:divBdr>
        <w:top w:val="none" w:sz="0" w:space="0" w:color="auto"/>
        <w:left w:val="none" w:sz="0" w:space="0" w:color="auto"/>
        <w:bottom w:val="none" w:sz="0" w:space="0" w:color="auto"/>
        <w:right w:val="none" w:sz="0" w:space="0" w:color="auto"/>
      </w:divBdr>
      <w:divsChild>
        <w:div w:id="856231830">
          <w:marLeft w:val="0"/>
          <w:marRight w:val="0"/>
          <w:marTop w:val="0"/>
          <w:marBottom w:val="0"/>
          <w:divBdr>
            <w:top w:val="none" w:sz="0" w:space="0" w:color="auto"/>
            <w:left w:val="none" w:sz="0" w:space="0" w:color="auto"/>
            <w:bottom w:val="none" w:sz="0" w:space="0" w:color="auto"/>
            <w:right w:val="none" w:sz="0" w:space="0" w:color="auto"/>
          </w:divBdr>
        </w:div>
      </w:divsChild>
    </w:div>
    <w:div w:id="233973814">
      <w:bodyDiv w:val="1"/>
      <w:marLeft w:val="0"/>
      <w:marRight w:val="0"/>
      <w:marTop w:val="0"/>
      <w:marBottom w:val="0"/>
      <w:divBdr>
        <w:top w:val="none" w:sz="0" w:space="0" w:color="auto"/>
        <w:left w:val="none" w:sz="0" w:space="0" w:color="auto"/>
        <w:bottom w:val="none" w:sz="0" w:space="0" w:color="auto"/>
        <w:right w:val="none" w:sz="0" w:space="0" w:color="auto"/>
      </w:divBdr>
    </w:div>
    <w:div w:id="242423193">
      <w:bodyDiv w:val="1"/>
      <w:marLeft w:val="188"/>
      <w:marRight w:val="188"/>
      <w:marTop w:val="0"/>
      <w:marBottom w:val="0"/>
      <w:divBdr>
        <w:top w:val="none" w:sz="0" w:space="0" w:color="auto"/>
        <w:left w:val="none" w:sz="0" w:space="0" w:color="auto"/>
        <w:bottom w:val="none" w:sz="0" w:space="0" w:color="auto"/>
        <w:right w:val="none" w:sz="0" w:space="0" w:color="auto"/>
      </w:divBdr>
      <w:divsChild>
        <w:div w:id="1565556375">
          <w:marLeft w:val="0"/>
          <w:marRight w:val="0"/>
          <w:marTop w:val="0"/>
          <w:marBottom w:val="0"/>
          <w:divBdr>
            <w:top w:val="none" w:sz="0" w:space="0" w:color="auto"/>
            <w:left w:val="none" w:sz="0" w:space="0" w:color="auto"/>
            <w:bottom w:val="none" w:sz="0" w:space="0" w:color="auto"/>
            <w:right w:val="none" w:sz="0" w:space="0" w:color="auto"/>
          </w:divBdr>
        </w:div>
      </w:divsChild>
    </w:div>
    <w:div w:id="242566934">
      <w:bodyDiv w:val="1"/>
      <w:marLeft w:val="0"/>
      <w:marRight w:val="0"/>
      <w:marTop w:val="0"/>
      <w:marBottom w:val="0"/>
      <w:divBdr>
        <w:top w:val="none" w:sz="0" w:space="0" w:color="auto"/>
        <w:left w:val="none" w:sz="0" w:space="0" w:color="auto"/>
        <w:bottom w:val="none" w:sz="0" w:space="0" w:color="auto"/>
        <w:right w:val="none" w:sz="0" w:space="0" w:color="auto"/>
      </w:divBdr>
    </w:div>
    <w:div w:id="248851150">
      <w:bodyDiv w:val="1"/>
      <w:marLeft w:val="0"/>
      <w:marRight w:val="0"/>
      <w:marTop w:val="0"/>
      <w:marBottom w:val="0"/>
      <w:divBdr>
        <w:top w:val="none" w:sz="0" w:space="0" w:color="auto"/>
        <w:left w:val="none" w:sz="0" w:space="0" w:color="auto"/>
        <w:bottom w:val="none" w:sz="0" w:space="0" w:color="auto"/>
        <w:right w:val="none" w:sz="0" w:space="0" w:color="auto"/>
      </w:divBdr>
    </w:div>
    <w:div w:id="262613782">
      <w:bodyDiv w:val="1"/>
      <w:marLeft w:val="225"/>
      <w:marRight w:val="225"/>
      <w:marTop w:val="0"/>
      <w:marBottom w:val="0"/>
      <w:divBdr>
        <w:top w:val="none" w:sz="0" w:space="0" w:color="auto"/>
        <w:left w:val="none" w:sz="0" w:space="0" w:color="auto"/>
        <w:bottom w:val="none" w:sz="0" w:space="0" w:color="auto"/>
        <w:right w:val="none" w:sz="0" w:space="0" w:color="auto"/>
      </w:divBdr>
      <w:divsChild>
        <w:div w:id="728263948">
          <w:marLeft w:val="0"/>
          <w:marRight w:val="0"/>
          <w:marTop w:val="0"/>
          <w:marBottom w:val="0"/>
          <w:divBdr>
            <w:top w:val="none" w:sz="0" w:space="0" w:color="auto"/>
            <w:left w:val="none" w:sz="0" w:space="0" w:color="auto"/>
            <w:bottom w:val="none" w:sz="0" w:space="0" w:color="auto"/>
            <w:right w:val="none" w:sz="0" w:space="0" w:color="auto"/>
          </w:divBdr>
        </w:div>
      </w:divsChild>
    </w:div>
    <w:div w:id="275253536">
      <w:bodyDiv w:val="1"/>
      <w:marLeft w:val="0"/>
      <w:marRight w:val="0"/>
      <w:marTop w:val="0"/>
      <w:marBottom w:val="0"/>
      <w:divBdr>
        <w:top w:val="none" w:sz="0" w:space="0" w:color="auto"/>
        <w:left w:val="none" w:sz="0" w:space="0" w:color="auto"/>
        <w:bottom w:val="none" w:sz="0" w:space="0" w:color="auto"/>
        <w:right w:val="none" w:sz="0" w:space="0" w:color="auto"/>
      </w:divBdr>
    </w:div>
    <w:div w:id="310402984">
      <w:bodyDiv w:val="1"/>
      <w:marLeft w:val="0"/>
      <w:marRight w:val="0"/>
      <w:marTop w:val="0"/>
      <w:marBottom w:val="0"/>
      <w:divBdr>
        <w:top w:val="none" w:sz="0" w:space="0" w:color="auto"/>
        <w:left w:val="none" w:sz="0" w:space="0" w:color="auto"/>
        <w:bottom w:val="none" w:sz="0" w:space="0" w:color="auto"/>
        <w:right w:val="none" w:sz="0" w:space="0" w:color="auto"/>
      </w:divBdr>
    </w:div>
    <w:div w:id="312027010">
      <w:bodyDiv w:val="1"/>
      <w:marLeft w:val="0"/>
      <w:marRight w:val="0"/>
      <w:marTop w:val="0"/>
      <w:marBottom w:val="0"/>
      <w:divBdr>
        <w:top w:val="none" w:sz="0" w:space="0" w:color="auto"/>
        <w:left w:val="none" w:sz="0" w:space="0" w:color="auto"/>
        <w:bottom w:val="none" w:sz="0" w:space="0" w:color="auto"/>
        <w:right w:val="none" w:sz="0" w:space="0" w:color="auto"/>
      </w:divBdr>
    </w:div>
    <w:div w:id="315719629">
      <w:bodyDiv w:val="1"/>
      <w:marLeft w:val="0"/>
      <w:marRight w:val="0"/>
      <w:marTop w:val="0"/>
      <w:marBottom w:val="0"/>
      <w:divBdr>
        <w:top w:val="none" w:sz="0" w:space="0" w:color="auto"/>
        <w:left w:val="none" w:sz="0" w:space="0" w:color="auto"/>
        <w:bottom w:val="none" w:sz="0" w:space="0" w:color="auto"/>
        <w:right w:val="none" w:sz="0" w:space="0" w:color="auto"/>
      </w:divBdr>
    </w:div>
    <w:div w:id="347683932">
      <w:bodyDiv w:val="1"/>
      <w:marLeft w:val="0"/>
      <w:marRight w:val="0"/>
      <w:marTop w:val="0"/>
      <w:marBottom w:val="0"/>
      <w:divBdr>
        <w:top w:val="none" w:sz="0" w:space="0" w:color="auto"/>
        <w:left w:val="none" w:sz="0" w:space="0" w:color="auto"/>
        <w:bottom w:val="none" w:sz="0" w:space="0" w:color="auto"/>
        <w:right w:val="none" w:sz="0" w:space="0" w:color="auto"/>
      </w:divBdr>
    </w:div>
    <w:div w:id="353112116">
      <w:bodyDiv w:val="1"/>
      <w:marLeft w:val="0"/>
      <w:marRight w:val="0"/>
      <w:marTop w:val="0"/>
      <w:marBottom w:val="0"/>
      <w:divBdr>
        <w:top w:val="none" w:sz="0" w:space="0" w:color="auto"/>
        <w:left w:val="none" w:sz="0" w:space="0" w:color="auto"/>
        <w:bottom w:val="none" w:sz="0" w:space="0" w:color="auto"/>
        <w:right w:val="none" w:sz="0" w:space="0" w:color="auto"/>
      </w:divBdr>
    </w:div>
    <w:div w:id="407113634">
      <w:bodyDiv w:val="1"/>
      <w:marLeft w:val="0"/>
      <w:marRight w:val="0"/>
      <w:marTop w:val="0"/>
      <w:marBottom w:val="0"/>
      <w:divBdr>
        <w:top w:val="none" w:sz="0" w:space="0" w:color="auto"/>
        <w:left w:val="none" w:sz="0" w:space="0" w:color="auto"/>
        <w:bottom w:val="none" w:sz="0" w:space="0" w:color="auto"/>
        <w:right w:val="none" w:sz="0" w:space="0" w:color="auto"/>
      </w:divBdr>
    </w:div>
    <w:div w:id="457917810">
      <w:bodyDiv w:val="1"/>
      <w:marLeft w:val="0"/>
      <w:marRight w:val="0"/>
      <w:marTop w:val="0"/>
      <w:marBottom w:val="0"/>
      <w:divBdr>
        <w:top w:val="none" w:sz="0" w:space="0" w:color="auto"/>
        <w:left w:val="none" w:sz="0" w:space="0" w:color="auto"/>
        <w:bottom w:val="none" w:sz="0" w:space="0" w:color="auto"/>
        <w:right w:val="none" w:sz="0" w:space="0" w:color="auto"/>
      </w:divBdr>
    </w:div>
    <w:div w:id="461194500">
      <w:bodyDiv w:val="1"/>
      <w:marLeft w:val="0"/>
      <w:marRight w:val="0"/>
      <w:marTop w:val="0"/>
      <w:marBottom w:val="0"/>
      <w:divBdr>
        <w:top w:val="none" w:sz="0" w:space="0" w:color="auto"/>
        <w:left w:val="none" w:sz="0" w:space="0" w:color="auto"/>
        <w:bottom w:val="none" w:sz="0" w:space="0" w:color="auto"/>
        <w:right w:val="none" w:sz="0" w:space="0" w:color="auto"/>
      </w:divBdr>
    </w:div>
    <w:div w:id="465046618">
      <w:bodyDiv w:val="1"/>
      <w:marLeft w:val="0"/>
      <w:marRight w:val="0"/>
      <w:marTop w:val="0"/>
      <w:marBottom w:val="0"/>
      <w:divBdr>
        <w:top w:val="none" w:sz="0" w:space="0" w:color="auto"/>
        <w:left w:val="none" w:sz="0" w:space="0" w:color="auto"/>
        <w:bottom w:val="none" w:sz="0" w:space="0" w:color="auto"/>
        <w:right w:val="none" w:sz="0" w:space="0" w:color="auto"/>
      </w:divBdr>
    </w:div>
    <w:div w:id="470177925">
      <w:bodyDiv w:val="1"/>
      <w:marLeft w:val="225"/>
      <w:marRight w:val="225"/>
      <w:marTop w:val="0"/>
      <w:marBottom w:val="0"/>
      <w:divBdr>
        <w:top w:val="none" w:sz="0" w:space="0" w:color="auto"/>
        <w:left w:val="none" w:sz="0" w:space="0" w:color="auto"/>
        <w:bottom w:val="none" w:sz="0" w:space="0" w:color="auto"/>
        <w:right w:val="none" w:sz="0" w:space="0" w:color="auto"/>
      </w:divBdr>
      <w:divsChild>
        <w:div w:id="223377827">
          <w:marLeft w:val="0"/>
          <w:marRight w:val="0"/>
          <w:marTop w:val="0"/>
          <w:marBottom w:val="0"/>
          <w:divBdr>
            <w:top w:val="none" w:sz="0" w:space="0" w:color="auto"/>
            <w:left w:val="none" w:sz="0" w:space="0" w:color="auto"/>
            <w:bottom w:val="none" w:sz="0" w:space="0" w:color="auto"/>
            <w:right w:val="none" w:sz="0" w:space="0" w:color="auto"/>
          </w:divBdr>
        </w:div>
      </w:divsChild>
    </w:div>
    <w:div w:id="473301977">
      <w:bodyDiv w:val="1"/>
      <w:marLeft w:val="0"/>
      <w:marRight w:val="0"/>
      <w:marTop w:val="0"/>
      <w:marBottom w:val="0"/>
      <w:divBdr>
        <w:top w:val="none" w:sz="0" w:space="0" w:color="auto"/>
        <w:left w:val="none" w:sz="0" w:space="0" w:color="auto"/>
        <w:bottom w:val="none" w:sz="0" w:space="0" w:color="auto"/>
        <w:right w:val="none" w:sz="0" w:space="0" w:color="auto"/>
      </w:divBdr>
    </w:div>
    <w:div w:id="476725740">
      <w:bodyDiv w:val="1"/>
      <w:marLeft w:val="0"/>
      <w:marRight w:val="0"/>
      <w:marTop w:val="0"/>
      <w:marBottom w:val="0"/>
      <w:divBdr>
        <w:top w:val="none" w:sz="0" w:space="0" w:color="auto"/>
        <w:left w:val="none" w:sz="0" w:space="0" w:color="auto"/>
        <w:bottom w:val="none" w:sz="0" w:space="0" w:color="auto"/>
        <w:right w:val="none" w:sz="0" w:space="0" w:color="auto"/>
      </w:divBdr>
    </w:div>
    <w:div w:id="488404376">
      <w:bodyDiv w:val="1"/>
      <w:marLeft w:val="225"/>
      <w:marRight w:val="225"/>
      <w:marTop w:val="0"/>
      <w:marBottom w:val="0"/>
      <w:divBdr>
        <w:top w:val="none" w:sz="0" w:space="0" w:color="auto"/>
        <w:left w:val="none" w:sz="0" w:space="0" w:color="auto"/>
        <w:bottom w:val="none" w:sz="0" w:space="0" w:color="auto"/>
        <w:right w:val="none" w:sz="0" w:space="0" w:color="auto"/>
      </w:divBdr>
      <w:divsChild>
        <w:div w:id="1203325918">
          <w:marLeft w:val="0"/>
          <w:marRight w:val="0"/>
          <w:marTop w:val="0"/>
          <w:marBottom w:val="0"/>
          <w:divBdr>
            <w:top w:val="none" w:sz="0" w:space="0" w:color="auto"/>
            <w:left w:val="none" w:sz="0" w:space="0" w:color="auto"/>
            <w:bottom w:val="none" w:sz="0" w:space="0" w:color="auto"/>
            <w:right w:val="none" w:sz="0" w:space="0" w:color="auto"/>
          </w:divBdr>
        </w:div>
      </w:divsChild>
    </w:div>
    <w:div w:id="490172635">
      <w:bodyDiv w:val="1"/>
      <w:marLeft w:val="0"/>
      <w:marRight w:val="0"/>
      <w:marTop w:val="0"/>
      <w:marBottom w:val="0"/>
      <w:divBdr>
        <w:top w:val="none" w:sz="0" w:space="0" w:color="auto"/>
        <w:left w:val="none" w:sz="0" w:space="0" w:color="auto"/>
        <w:bottom w:val="none" w:sz="0" w:space="0" w:color="auto"/>
        <w:right w:val="none" w:sz="0" w:space="0" w:color="auto"/>
      </w:divBdr>
    </w:div>
    <w:div w:id="514147738">
      <w:bodyDiv w:val="1"/>
      <w:marLeft w:val="0"/>
      <w:marRight w:val="0"/>
      <w:marTop w:val="0"/>
      <w:marBottom w:val="0"/>
      <w:divBdr>
        <w:top w:val="none" w:sz="0" w:space="0" w:color="auto"/>
        <w:left w:val="none" w:sz="0" w:space="0" w:color="auto"/>
        <w:bottom w:val="none" w:sz="0" w:space="0" w:color="auto"/>
        <w:right w:val="none" w:sz="0" w:space="0" w:color="auto"/>
      </w:divBdr>
    </w:div>
    <w:div w:id="522213503">
      <w:bodyDiv w:val="1"/>
      <w:marLeft w:val="0"/>
      <w:marRight w:val="0"/>
      <w:marTop w:val="0"/>
      <w:marBottom w:val="0"/>
      <w:divBdr>
        <w:top w:val="none" w:sz="0" w:space="0" w:color="auto"/>
        <w:left w:val="none" w:sz="0" w:space="0" w:color="auto"/>
        <w:bottom w:val="none" w:sz="0" w:space="0" w:color="auto"/>
        <w:right w:val="none" w:sz="0" w:space="0" w:color="auto"/>
      </w:divBdr>
    </w:div>
    <w:div w:id="523986199">
      <w:bodyDiv w:val="1"/>
      <w:marLeft w:val="0"/>
      <w:marRight w:val="0"/>
      <w:marTop w:val="0"/>
      <w:marBottom w:val="0"/>
      <w:divBdr>
        <w:top w:val="none" w:sz="0" w:space="0" w:color="auto"/>
        <w:left w:val="none" w:sz="0" w:space="0" w:color="auto"/>
        <w:bottom w:val="none" w:sz="0" w:space="0" w:color="auto"/>
        <w:right w:val="none" w:sz="0" w:space="0" w:color="auto"/>
      </w:divBdr>
      <w:divsChild>
        <w:div w:id="737440446">
          <w:marLeft w:val="0"/>
          <w:marRight w:val="0"/>
          <w:marTop w:val="0"/>
          <w:marBottom w:val="0"/>
          <w:divBdr>
            <w:top w:val="none" w:sz="0" w:space="0" w:color="auto"/>
            <w:left w:val="none" w:sz="0" w:space="0" w:color="auto"/>
            <w:bottom w:val="none" w:sz="0" w:space="0" w:color="auto"/>
            <w:right w:val="none" w:sz="0" w:space="0" w:color="auto"/>
          </w:divBdr>
          <w:divsChild>
            <w:div w:id="2005618333">
              <w:marLeft w:val="0"/>
              <w:marRight w:val="0"/>
              <w:marTop w:val="0"/>
              <w:marBottom w:val="0"/>
              <w:divBdr>
                <w:top w:val="none" w:sz="0" w:space="0" w:color="auto"/>
                <w:left w:val="none" w:sz="0" w:space="0" w:color="auto"/>
                <w:bottom w:val="none" w:sz="0" w:space="0" w:color="auto"/>
                <w:right w:val="none" w:sz="0" w:space="0" w:color="auto"/>
              </w:divBdr>
            </w:div>
            <w:div w:id="261962019">
              <w:marLeft w:val="0"/>
              <w:marRight w:val="0"/>
              <w:marTop w:val="0"/>
              <w:marBottom w:val="0"/>
              <w:divBdr>
                <w:top w:val="none" w:sz="0" w:space="0" w:color="auto"/>
                <w:left w:val="none" w:sz="0" w:space="0" w:color="auto"/>
                <w:bottom w:val="none" w:sz="0" w:space="0" w:color="auto"/>
                <w:right w:val="none" w:sz="0" w:space="0" w:color="auto"/>
              </w:divBdr>
            </w:div>
            <w:div w:id="454369747">
              <w:marLeft w:val="0"/>
              <w:marRight w:val="0"/>
              <w:marTop w:val="0"/>
              <w:marBottom w:val="0"/>
              <w:divBdr>
                <w:top w:val="none" w:sz="0" w:space="0" w:color="auto"/>
                <w:left w:val="none" w:sz="0" w:space="0" w:color="auto"/>
                <w:bottom w:val="none" w:sz="0" w:space="0" w:color="auto"/>
                <w:right w:val="none" w:sz="0" w:space="0" w:color="auto"/>
              </w:divBdr>
            </w:div>
            <w:div w:id="585263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9104636">
      <w:bodyDiv w:val="1"/>
      <w:marLeft w:val="0"/>
      <w:marRight w:val="0"/>
      <w:marTop w:val="0"/>
      <w:marBottom w:val="0"/>
      <w:divBdr>
        <w:top w:val="none" w:sz="0" w:space="0" w:color="auto"/>
        <w:left w:val="none" w:sz="0" w:space="0" w:color="auto"/>
        <w:bottom w:val="none" w:sz="0" w:space="0" w:color="auto"/>
        <w:right w:val="none" w:sz="0" w:space="0" w:color="auto"/>
      </w:divBdr>
    </w:div>
    <w:div w:id="530151234">
      <w:bodyDiv w:val="1"/>
      <w:marLeft w:val="0"/>
      <w:marRight w:val="0"/>
      <w:marTop w:val="0"/>
      <w:marBottom w:val="0"/>
      <w:divBdr>
        <w:top w:val="none" w:sz="0" w:space="0" w:color="auto"/>
        <w:left w:val="none" w:sz="0" w:space="0" w:color="auto"/>
        <w:bottom w:val="none" w:sz="0" w:space="0" w:color="auto"/>
        <w:right w:val="none" w:sz="0" w:space="0" w:color="auto"/>
      </w:divBdr>
    </w:div>
    <w:div w:id="547569316">
      <w:bodyDiv w:val="1"/>
      <w:marLeft w:val="0"/>
      <w:marRight w:val="0"/>
      <w:marTop w:val="0"/>
      <w:marBottom w:val="0"/>
      <w:divBdr>
        <w:top w:val="none" w:sz="0" w:space="0" w:color="auto"/>
        <w:left w:val="none" w:sz="0" w:space="0" w:color="auto"/>
        <w:bottom w:val="none" w:sz="0" w:space="0" w:color="auto"/>
        <w:right w:val="none" w:sz="0" w:space="0" w:color="auto"/>
      </w:divBdr>
      <w:divsChild>
        <w:div w:id="1745682530">
          <w:marLeft w:val="0"/>
          <w:marRight w:val="0"/>
          <w:marTop w:val="0"/>
          <w:marBottom w:val="0"/>
          <w:divBdr>
            <w:top w:val="none" w:sz="0" w:space="0" w:color="auto"/>
            <w:left w:val="none" w:sz="0" w:space="0" w:color="auto"/>
            <w:bottom w:val="none" w:sz="0" w:space="0" w:color="auto"/>
            <w:right w:val="none" w:sz="0" w:space="0" w:color="auto"/>
          </w:divBdr>
        </w:div>
        <w:div w:id="1217232431">
          <w:marLeft w:val="0"/>
          <w:marRight w:val="0"/>
          <w:marTop w:val="0"/>
          <w:marBottom w:val="0"/>
          <w:divBdr>
            <w:top w:val="none" w:sz="0" w:space="0" w:color="auto"/>
            <w:left w:val="none" w:sz="0" w:space="0" w:color="auto"/>
            <w:bottom w:val="none" w:sz="0" w:space="0" w:color="auto"/>
            <w:right w:val="none" w:sz="0" w:space="0" w:color="auto"/>
          </w:divBdr>
        </w:div>
        <w:div w:id="1995837719">
          <w:marLeft w:val="0"/>
          <w:marRight w:val="0"/>
          <w:marTop w:val="0"/>
          <w:marBottom w:val="0"/>
          <w:divBdr>
            <w:top w:val="none" w:sz="0" w:space="0" w:color="auto"/>
            <w:left w:val="none" w:sz="0" w:space="0" w:color="auto"/>
            <w:bottom w:val="none" w:sz="0" w:space="0" w:color="auto"/>
            <w:right w:val="none" w:sz="0" w:space="0" w:color="auto"/>
          </w:divBdr>
        </w:div>
        <w:div w:id="1020081368">
          <w:marLeft w:val="0"/>
          <w:marRight w:val="0"/>
          <w:marTop w:val="0"/>
          <w:marBottom w:val="0"/>
          <w:divBdr>
            <w:top w:val="none" w:sz="0" w:space="0" w:color="auto"/>
            <w:left w:val="none" w:sz="0" w:space="0" w:color="auto"/>
            <w:bottom w:val="none" w:sz="0" w:space="0" w:color="auto"/>
            <w:right w:val="none" w:sz="0" w:space="0" w:color="auto"/>
          </w:divBdr>
        </w:div>
        <w:div w:id="1323435364">
          <w:marLeft w:val="0"/>
          <w:marRight w:val="0"/>
          <w:marTop w:val="0"/>
          <w:marBottom w:val="0"/>
          <w:divBdr>
            <w:top w:val="none" w:sz="0" w:space="0" w:color="auto"/>
            <w:left w:val="none" w:sz="0" w:space="0" w:color="auto"/>
            <w:bottom w:val="none" w:sz="0" w:space="0" w:color="auto"/>
            <w:right w:val="none" w:sz="0" w:space="0" w:color="auto"/>
          </w:divBdr>
        </w:div>
        <w:div w:id="1253778590">
          <w:marLeft w:val="0"/>
          <w:marRight w:val="0"/>
          <w:marTop w:val="0"/>
          <w:marBottom w:val="0"/>
          <w:divBdr>
            <w:top w:val="none" w:sz="0" w:space="0" w:color="auto"/>
            <w:left w:val="none" w:sz="0" w:space="0" w:color="auto"/>
            <w:bottom w:val="none" w:sz="0" w:space="0" w:color="auto"/>
            <w:right w:val="none" w:sz="0" w:space="0" w:color="auto"/>
          </w:divBdr>
        </w:div>
        <w:div w:id="1489322544">
          <w:marLeft w:val="0"/>
          <w:marRight w:val="0"/>
          <w:marTop w:val="0"/>
          <w:marBottom w:val="0"/>
          <w:divBdr>
            <w:top w:val="none" w:sz="0" w:space="0" w:color="auto"/>
            <w:left w:val="none" w:sz="0" w:space="0" w:color="auto"/>
            <w:bottom w:val="none" w:sz="0" w:space="0" w:color="auto"/>
            <w:right w:val="none" w:sz="0" w:space="0" w:color="auto"/>
          </w:divBdr>
        </w:div>
        <w:div w:id="1105492969">
          <w:marLeft w:val="0"/>
          <w:marRight w:val="0"/>
          <w:marTop w:val="0"/>
          <w:marBottom w:val="0"/>
          <w:divBdr>
            <w:top w:val="none" w:sz="0" w:space="0" w:color="auto"/>
            <w:left w:val="none" w:sz="0" w:space="0" w:color="auto"/>
            <w:bottom w:val="none" w:sz="0" w:space="0" w:color="auto"/>
            <w:right w:val="none" w:sz="0" w:space="0" w:color="auto"/>
          </w:divBdr>
        </w:div>
        <w:div w:id="873231663">
          <w:marLeft w:val="0"/>
          <w:marRight w:val="0"/>
          <w:marTop w:val="0"/>
          <w:marBottom w:val="0"/>
          <w:divBdr>
            <w:top w:val="none" w:sz="0" w:space="0" w:color="auto"/>
            <w:left w:val="none" w:sz="0" w:space="0" w:color="auto"/>
            <w:bottom w:val="none" w:sz="0" w:space="0" w:color="auto"/>
            <w:right w:val="none" w:sz="0" w:space="0" w:color="auto"/>
          </w:divBdr>
        </w:div>
        <w:div w:id="655692994">
          <w:marLeft w:val="0"/>
          <w:marRight w:val="0"/>
          <w:marTop w:val="0"/>
          <w:marBottom w:val="0"/>
          <w:divBdr>
            <w:top w:val="none" w:sz="0" w:space="0" w:color="auto"/>
            <w:left w:val="none" w:sz="0" w:space="0" w:color="auto"/>
            <w:bottom w:val="none" w:sz="0" w:space="0" w:color="auto"/>
            <w:right w:val="none" w:sz="0" w:space="0" w:color="auto"/>
          </w:divBdr>
        </w:div>
        <w:div w:id="1663704633">
          <w:marLeft w:val="0"/>
          <w:marRight w:val="0"/>
          <w:marTop w:val="0"/>
          <w:marBottom w:val="0"/>
          <w:divBdr>
            <w:top w:val="none" w:sz="0" w:space="0" w:color="auto"/>
            <w:left w:val="none" w:sz="0" w:space="0" w:color="auto"/>
            <w:bottom w:val="none" w:sz="0" w:space="0" w:color="auto"/>
            <w:right w:val="none" w:sz="0" w:space="0" w:color="auto"/>
          </w:divBdr>
        </w:div>
        <w:div w:id="69928206">
          <w:marLeft w:val="0"/>
          <w:marRight w:val="0"/>
          <w:marTop w:val="0"/>
          <w:marBottom w:val="0"/>
          <w:divBdr>
            <w:top w:val="none" w:sz="0" w:space="0" w:color="auto"/>
            <w:left w:val="none" w:sz="0" w:space="0" w:color="auto"/>
            <w:bottom w:val="none" w:sz="0" w:space="0" w:color="auto"/>
            <w:right w:val="none" w:sz="0" w:space="0" w:color="auto"/>
          </w:divBdr>
        </w:div>
        <w:div w:id="1847210802">
          <w:marLeft w:val="0"/>
          <w:marRight w:val="0"/>
          <w:marTop w:val="0"/>
          <w:marBottom w:val="0"/>
          <w:divBdr>
            <w:top w:val="none" w:sz="0" w:space="0" w:color="auto"/>
            <w:left w:val="none" w:sz="0" w:space="0" w:color="auto"/>
            <w:bottom w:val="none" w:sz="0" w:space="0" w:color="auto"/>
            <w:right w:val="none" w:sz="0" w:space="0" w:color="auto"/>
          </w:divBdr>
        </w:div>
        <w:div w:id="669992901">
          <w:marLeft w:val="0"/>
          <w:marRight w:val="0"/>
          <w:marTop w:val="0"/>
          <w:marBottom w:val="0"/>
          <w:divBdr>
            <w:top w:val="none" w:sz="0" w:space="0" w:color="auto"/>
            <w:left w:val="none" w:sz="0" w:space="0" w:color="auto"/>
            <w:bottom w:val="none" w:sz="0" w:space="0" w:color="auto"/>
            <w:right w:val="none" w:sz="0" w:space="0" w:color="auto"/>
          </w:divBdr>
        </w:div>
        <w:div w:id="1545678538">
          <w:marLeft w:val="0"/>
          <w:marRight w:val="0"/>
          <w:marTop w:val="0"/>
          <w:marBottom w:val="0"/>
          <w:divBdr>
            <w:top w:val="none" w:sz="0" w:space="0" w:color="auto"/>
            <w:left w:val="none" w:sz="0" w:space="0" w:color="auto"/>
            <w:bottom w:val="none" w:sz="0" w:space="0" w:color="auto"/>
            <w:right w:val="none" w:sz="0" w:space="0" w:color="auto"/>
          </w:divBdr>
        </w:div>
      </w:divsChild>
    </w:div>
    <w:div w:id="564100973">
      <w:bodyDiv w:val="1"/>
      <w:marLeft w:val="0"/>
      <w:marRight w:val="0"/>
      <w:marTop w:val="0"/>
      <w:marBottom w:val="0"/>
      <w:divBdr>
        <w:top w:val="none" w:sz="0" w:space="0" w:color="auto"/>
        <w:left w:val="none" w:sz="0" w:space="0" w:color="auto"/>
        <w:bottom w:val="none" w:sz="0" w:space="0" w:color="auto"/>
        <w:right w:val="none" w:sz="0" w:space="0" w:color="auto"/>
      </w:divBdr>
    </w:div>
    <w:div w:id="582837179">
      <w:bodyDiv w:val="1"/>
      <w:marLeft w:val="0"/>
      <w:marRight w:val="0"/>
      <w:marTop w:val="0"/>
      <w:marBottom w:val="0"/>
      <w:divBdr>
        <w:top w:val="none" w:sz="0" w:space="0" w:color="auto"/>
        <w:left w:val="none" w:sz="0" w:space="0" w:color="auto"/>
        <w:bottom w:val="none" w:sz="0" w:space="0" w:color="auto"/>
        <w:right w:val="none" w:sz="0" w:space="0" w:color="auto"/>
      </w:divBdr>
    </w:div>
    <w:div w:id="590553517">
      <w:bodyDiv w:val="1"/>
      <w:marLeft w:val="0"/>
      <w:marRight w:val="0"/>
      <w:marTop w:val="0"/>
      <w:marBottom w:val="0"/>
      <w:divBdr>
        <w:top w:val="none" w:sz="0" w:space="0" w:color="auto"/>
        <w:left w:val="none" w:sz="0" w:space="0" w:color="auto"/>
        <w:bottom w:val="none" w:sz="0" w:space="0" w:color="auto"/>
        <w:right w:val="none" w:sz="0" w:space="0" w:color="auto"/>
      </w:divBdr>
    </w:div>
    <w:div w:id="592669506">
      <w:bodyDiv w:val="1"/>
      <w:marLeft w:val="0"/>
      <w:marRight w:val="0"/>
      <w:marTop w:val="0"/>
      <w:marBottom w:val="0"/>
      <w:divBdr>
        <w:top w:val="none" w:sz="0" w:space="0" w:color="auto"/>
        <w:left w:val="none" w:sz="0" w:space="0" w:color="auto"/>
        <w:bottom w:val="none" w:sz="0" w:space="0" w:color="auto"/>
        <w:right w:val="none" w:sz="0" w:space="0" w:color="auto"/>
      </w:divBdr>
    </w:div>
    <w:div w:id="595946239">
      <w:bodyDiv w:val="1"/>
      <w:marLeft w:val="0"/>
      <w:marRight w:val="0"/>
      <w:marTop w:val="0"/>
      <w:marBottom w:val="0"/>
      <w:divBdr>
        <w:top w:val="none" w:sz="0" w:space="0" w:color="auto"/>
        <w:left w:val="none" w:sz="0" w:space="0" w:color="auto"/>
        <w:bottom w:val="none" w:sz="0" w:space="0" w:color="auto"/>
        <w:right w:val="none" w:sz="0" w:space="0" w:color="auto"/>
      </w:divBdr>
    </w:div>
    <w:div w:id="596718735">
      <w:bodyDiv w:val="1"/>
      <w:marLeft w:val="0"/>
      <w:marRight w:val="0"/>
      <w:marTop w:val="0"/>
      <w:marBottom w:val="0"/>
      <w:divBdr>
        <w:top w:val="none" w:sz="0" w:space="0" w:color="auto"/>
        <w:left w:val="none" w:sz="0" w:space="0" w:color="auto"/>
        <w:bottom w:val="none" w:sz="0" w:space="0" w:color="auto"/>
        <w:right w:val="none" w:sz="0" w:space="0" w:color="auto"/>
      </w:divBdr>
    </w:div>
    <w:div w:id="613169721">
      <w:bodyDiv w:val="1"/>
      <w:marLeft w:val="0"/>
      <w:marRight w:val="0"/>
      <w:marTop w:val="0"/>
      <w:marBottom w:val="0"/>
      <w:divBdr>
        <w:top w:val="none" w:sz="0" w:space="0" w:color="auto"/>
        <w:left w:val="none" w:sz="0" w:space="0" w:color="auto"/>
        <w:bottom w:val="none" w:sz="0" w:space="0" w:color="auto"/>
        <w:right w:val="none" w:sz="0" w:space="0" w:color="auto"/>
      </w:divBdr>
    </w:div>
    <w:div w:id="623972662">
      <w:bodyDiv w:val="1"/>
      <w:marLeft w:val="225"/>
      <w:marRight w:val="225"/>
      <w:marTop w:val="0"/>
      <w:marBottom w:val="0"/>
      <w:divBdr>
        <w:top w:val="none" w:sz="0" w:space="0" w:color="auto"/>
        <w:left w:val="none" w:sz="0" w:space="0" w:color="auto"/>
        <w:bottom w:val="none" w:sz="0" w:space="0" w:color="auto"/>
        <w:right w:val="none" w:sz="0" w:space="0" w:color="auto"/>
      </w:divBdr>
      <w:divsChild>
        <w:div w:id="2059160482">
          <w:marLeft w:val="0"/>
          <w:marRight w:val="0"/>
          <w:marTop w:val="0"/>
          <w:marBottom w:val="0"/>
          <w:divBdr>
            <w:top w:val="none" w:sz="0" w:space="0" w:color="auto"/>
            <w:left w:val="none" w:sz="0" w:space="0" w:color="auto"/>
            <w:bottom w:val="none" w:sz="0" w:space="0" w:color="auto"/>
            <w:right w:val="none" w:sz="0" w:space="0" w:color="auto"/>
          </w:divBdr>
        </w:div>
      </w:divsChild>
    </w:div>
    <w:div w:id="638993989">
      <w:bodyDiv w:val="1"/>
      <w:marLeft w:val="0"/>
      <w:marRight w:val="0"/>
      <w:marTop w:val="0"/>
      <w:marBottom w:val="0"/>
      <w:divBdr>
        <w:top w:val="none" w:sz="0" w:space="0" w:color="auto"/>
        <w:left w:val="none" w:sz="0" w:space="0" w:color="auto"/>
        <w:bottom w:val="none" w:sz="0" w:space="0" w:color="auto"/>
        <w:right w:val="none" w:sz="0" w:space="0" w:color="auto"/>
      </w:divBdr>
    </w:div>
    <w:div w:id="715543129">
      <w:bodyDiv w:val="1"/>
      <w:marLeft w:val="0"/>
      <w:marRight w:val="0"/>
      <w:marTop w:val="0"/>
      <w:marBottom w:val="0"/>
      <w:divBdr>
        <w:top w:val="none" w:sz="0" w:space="0" w:color="auto"/>
        <w:left w:val="none" w:sz="0" w:space="0" w:color="auto"/>
        <w:bottom w:val="none" w:sz="0" w:space="0" w:color="auto"/>
        <w:right w:val="none" w:sz="0" w:space="0" w:color="auto"/>
      </w:divBdr>
    </w:div>
    <w:div w:id="728117113">
      <w:bodyDiv w:val="1"/>
      <w:marLeft w:val="0"/>
      <w:marRight w:val="0"/>
      <w:marTop w:val="0"/>
      <w:marBottom w:val="0"/>
      <w:divBdr>
        <w:top w:val="none" w:sz="0" w:space="0" w:color="auto"/>
        <w:left w:val="none" w:sz="0" w:space="0" w:color="auto"/>
        <w:bottom w:val="none" w:sz="0" w:space="0" w:color="auto"/>
        <w:right w:val="none" w:sz="0" w:space="0" w:color="auto"/>
      </w:divBdr>
    </w:div>
    <w:div w:id="743331386">
      <w:bodyDiv w:val="1"/>
      <w:marLeft w:val="0"/>
      <w:marRight w:val="0"/>
      <w:marTop w:val="0"/>
      <w:marBottom w:val="0"/>
      <w:divBdr>
        <w:top w:val="none" w:sz="0" w:space="0" w:color="auto"/>
        <w:left w:val="none" w:sz="0" w:space="0" w:color="auto"/>
        <w:bottom w:val="none" w:sz="0" w:space="0" w:color="auto"/>
        <w:right w:val="none" w:sz="0" w:space="0" w:color="auto"/>
      </w:divBdr>
    </w:div>
    <w:div w:id="755058234">
      <w:bodyDiv w:val="1"/>
      <w:marLeft w:val="0"/>
      <w:marRight w:val="0"/>
      <w:marTop w:val="0"/>
      <w:marBottom w:val="0"/>
      <w:divBdr>
        <w:top w:val="none" w:sz="0" w:space="0" w:color="auto"/>
        <w:left w:val="none" w:sz="0" w:space="0" w:color="auto"/>
        <w:bottom w:val="none" w:sz="0" w:space="0" w:color="auto"/>
        <w:right w:val="none" w:sz="0" w:space="0" w:color="auto"/>
      </w:divBdr>
    </w:div>
    <w:div w:id="769470859">
      <w:bodyDiv w:val="1"/>
      <w:marLeft w:val="225"/>
      <w:marRight w:val="225"/>
      <w:marTop w:val="0"/>
      <w:marBottom w:val="0"/>
      <w:divBdr>
        <w:top w:val="none" w:sz="0" w:space="0" w:color="auto"/>
        <w:left w:val="none" w:sz="0" w:space="0" w:color="auto"/>
        <w:bottom w:val="none" w:sz="0" w:space="0" w:color="auto"/>
        <w:right w:val="none" w:sz="0" w:space="0" w:color="auto"/>
      </w:divBdr>
      <w:divsChild>
        <w:div w:id="325792723">
          <w:marLeft w:val="0"/>
          <w:marRight w:val="0"/>
          <w:marTop w:val="0"/>
          <w:marBottom w:val="0"/>
          <w:divBdr>
            <w:top w:val="none" w:sz="0" w:space="0" w:color="auto"/>
            <w:left w:val="none" w:sz="0" w:space="0" w:color="auto"/>
            <w:bottom w:val="none" w:sz="0" w:space="0" w:color="auto"/>
            <w:right w:val="none" w:sz="0" w:space="0" w:color="auto"/>
          </w:divBdr>
        </w:div>
      </w:divsChild>
    </w:div>
    <w:div w:id="774012332">
      <w:bodyDiv w:val="1"/>
      <w:marLeft w:val="0"/>
      <w:marRight w:val="0"/>
      <w:marTop w:val="0"/>
      <w:marBottom w:val="0"/>
      <w:divBdr>
        <w:top w:val="none" w:sz="0" w:space="0" w:color="auto"/>
        <w:left w:val="none" w:sz="0" w:space="0" w:color="auto"/>
        <w:bottom w:val="none" w:sz="0" w:space="0" w:color="auto"/>
        <w:right w:val="none" w:sz="0" w:space="0" w:color="auto"/>
      </w:divBdr>
    </w:div>
    <w:div w:id="790784896">
      <w:bodyDiv w:val="1"/>
      <w:marLeft w:val="0"/>
      <w:marRight w:val="0"/>
      <w:marTop w:val="0"/>
      <w:marBottom w:val="0"/>
      <w:divBdr>
        <w:top w:val="none" w:sz="0" w:space="0" w:color="auto"/>
        <w:left w:val="none" w:sz="0" w:space="0" w:color="auto"/>
        <w:bottom w:val="none" w:sz="0" w:space="0" w:color="auto"/>
        <w:right w:val="none" w:sz="0" w:space="0" w:color="auto"/>
      </w:divBdr>
      <w:divsChild>
        <w:div w:id="946238102">
          <w:marLeft w:val="0"/>
          <w:marRight w:val="0"/>
          <w:marTop w:val="0"/>
          <w:marBottom w:val="0"/>
          <w:divBdr>
            <w:top w:val="none" w:sz="0" w:space="0" w:color="auto"/>
            <w:left w:val="none" w:sz="0" w:space="0" w:color="auto"/>
            <w:bottom w:val="none" w:sz="0" w:space="0" w:color="auto"/>
            <w:right w:val="none" w:sz="0" w:space="0" w:color="auto"/>
          </w:divBdr>
        </w:div>
        <w:div w:id="2134783345">
          <w:marLeft w:val="0"/>
          <w:marRight w:val="0"/>
          <w:marTop w:val="0"/>
          <w:marBottom w:val="0"/>
          <w:divBdr>
            <w:top w:val="none" w:sz="0" w:space="0" w:color="auto"/>
            <w:left w:val="none" w:sz="0" w:space="0" w:color="auto"/>
            <w:bottom w:val="none" w:sz="0" w:space="0" w:color="auto"/>
            <w:right w:val="none" w:sz="0" w:space="0" w:color="auto"/>
          </w:divBdr>
        </w:div>
        <w:div w:id="1337732863">
          <w:marLeft w:val="0"/>
          <w:marRight w:val="0"/>
          <w:marTop w:val="0"/>
          <w:marBottom w:val="0"/>
          <w:divBdr>
            <w:top w:val="none" w:sz="0" w:space="0" w:color="auto"/>
            <w:left w:val="none" w:sz="0" w:space="0" w:color="auto"/>
            <w:bottom w:val="none" w:sz="0" w:space="0" w:color="auto"/>
            <w:right w:val="none" w:sz="0" w:space="0" w:color="auto"/>
          </w:divBdr>
        </w:div>
        <w:div w:id="1931309607">
          <w:marLeft w:val="0"/>
          <w:marRight w:val="0"/>
          <w:marTop w:val="0"/>
          <w:marBottom w:val="0"/>
          <w:divBdr>
            <w:top w:val="none" w:sz="0" w:space="0" w:color="auto"/>
            <w:left w:val="none" w:sz="0" w:space="0" w:color="auto"/>
            <w:bottom w:val="none" w:sz="0" w:space="0" w:color="auto"/>
            <w:right w:val="none" w:sz="0" w:space="0" w:color="auto"/>
          </w:divBdr>
        </w:div>
        <w:div w:id="1519002732">
          <w:marLeft w:val="0"/>
          <w:marRight w:val="0"/>
          <w:marTop w:val="0"/>
          <w:marBottom w:val="0"/>
          <w:divBdr>
            <w:top w:val="none" w:sz="0" w:space="0" w:color="auto"/>
            <w:left w:val="none" w:sz="0" w:space="0" w:color="auto"/>
            <w:bottom w:val="none" w:sz="0" w:space="0" w:color="auto"/>
            <w:right w:val="none" w:sz="0" w:space="0" w:color="auto"/>
          </w:divBdr>
        </w:div>
        <w:div w:id="1286159668">
          <w:marLeft w:val="0"/>
          <w:marRight w:val="0"/>
          <w:marTop w:val="0"/>
          <w:marBottom w:val="0"/>
          <w:divBdr>
            <w:top w:val="none" w:sz="0" w:space="0" w:color="auto"/>
            <w:left w:val="none" w:sz="0" w:space="0" w:color="auto"/>
            <w:bottom w:val="none" w:sz="0" w:space="0" w:color="auto"/>
            <w:right w:val="none" w:sz="0" w:space="0" w:color="auto"/>
          </w:divBdr>
        </w:div>
        <w:div w:id="183204993">
          <w:marLeft w:val="0"/>
          <w:marRight w:val="0"/>
          <w:marTop w:val="0"/>
          <w:marBottom w:val="0"/>
          <w:divBdr>
            <w:top w:val="none" w:sz="0" w:space="0" w:color="auto"/>
            <w:left w:val="none" w:sz="0" w:space="0" w:color="auto"/>
            <w:bottom w:val="none" w:sz="0" w:space="0" w:color="auto"/>
            <w:right w:val="none" w:sz="0" w:space="0" w:color="auto"/>
          </w:divBdr>
        </w:div>
        <w:div w:id="349307843">
          <w:marLeft w:val="0"/>
          <w:marRight w:val="0"/>
          <w:marTop w:val="0"/>
          <w:marBottom w:val="0"/>
          <w:divBdr>
            <w:top w:val="none" w:sz="0" w:space="0" w:color="auto"/>
            <w:left w:val="none" w:sz="0" w:space="0" w:color="auto"/>
            <w:bottom w:val="none" w:sz="0" w:space="0" w:color="auto"/>
            <w:right w:val="none" w:sz="0" w:space="0" w:color="auto"/>
          </w:divBdr>
        </w:div>
        <w:div w:id="1177573141">
          <w:marLeft w:val="0"/>
          <w:marRight w:val="0"/>
          <w:marTop w:val="0"/>
          <w:marBottom w:val="0"/>
          <w:divBdr>
            <w:top w:val="none" w:sz="0" w:space="0" w:color="auto"/>
            <w:left w:val="none" w:sz="0" w:space="0" w:color="auto"/>
            <w:bottom w:val="none" w:sz="0" w:space="0" w:color="auto"/>
            <w:right w:val="none" w:sz="0" w:space="0" w:color="auto"/>
          </w:divBdr>
        </w:div>
        <w:div w:id="1475945227">
          <w:marLeft w:val="0"/>
          <w:marRight w:val="0"/>
          <w:marTop w:val="0"/>
          <w:marBottom w:val="0"/>
          <w:divBdr>
            <w:top w:val="none" w:sz="0" w:space="0" w:color="auto"/>
            <w:left w:val="none" w:sz="0" w:space="0" w:color="auto"/>
            <w:bottom w:val="none" w:sz="0" w:space="0" w:color="auto"/>
            <w:right w:val="none" w:sz="0" w:space="0" w:color="auto"/>
          </w:divBdr>
        </w:div>
        <w:div w:id="2125692323">
          <w:marLeft w:val="0"/>
          <w:marRight w:val="0"/>
          <w:marTop w:val="0"/>
          <w:marBottom w:val="0"/>
          <w:divBdr>
            <w:top w:val="none" w:sz="0" w:space="0" w:color="auto"/>
            <w:left w:val="none" w:sz="0" w:space="0" w:color="auto"/>
            <w:bottom w:val="none" w:sz="0" w:space="0" w:color="auto"/>
            <w:right w:val="none" w:sz="0" w:space="0" w:color="auto"/>
          </w:divBdr>
        </w:div>
        <w:div w:id="112134553">
          <w:marLeft w:val="0"/>
          <w:marRight w:val="0"/>
          <w:marTop w:val="0"/>
          <w:marBottom w:val="0"/>
          <w:divBdr>
            <w:top w:val="none" w:sz="0" w:space="0" w:color="auto"/>
            <w:left w:val="none" w:sz="0" w:space="0" w:color="auto"/>
            <w:bottom w:val="none" w:sz="0" w:space="0" w:color="auto"/>
            <w:right w:val="none" w:sz="0" w:space="0" w:color="auto"/>
          </w:divBdr>
        </w:div>
        <w:div w:id="1249146462">
          <w:marLeft w:val="0"/>
          <w:marRight w:val="0"/>
          <w:marTop w:val="0"/>
          <w:marBottom w:val="0"/>
          <w:divBdr>
            <w:top w:val="none" w:sz="0" w:space="0" w:color="auto"/>
            <w:left w:val="none" w:sz="0" w:space="0" w:color="auto"/>
            <w:bottom w:val="none" w:sz="0" w:space="0" w:color="auto"/>
            <w:right w:val="none" w:sz="0" w:space="0" w:color="auto"/>
          </w:divBdr>
        </w:div>
        <w:div w:id="837579929">
          <w:marLeft w:val="0"/>
          <w:marRight w:val="0"/>
          <w:marTop w:val="0"/>
          <w:marBottom w:val="0"/>
          <w:divBdr>
            <w:top w:val="none" w:sz="0" w:space="0" w:color="auto"/>
            <w:left w:val="none" w:sz="0" w:space="0" w:color="auto"/>
            <w:bottom w:val="none" w:sz="0" w:space="0" w:color="auto"/>
            <w:right w:val="none" w:sz="0" w:space="0" w:color="auto"/>
          </w:divBdr>
        </w:div>
        <w:div w:id="915673225">
          <w:marLeft w:val="0"/>
          <w:marRight w:val="0"/>
          <w:marTop w:val="0"/>
          <w:marBottom w:val="0"/>
          <w:divBdr>
            <w:top w:val="none" w:sz="0" w:space="0" w:color="auto"/>
            <w:left w:val="none" w:sz="0" w:space="0" w:color="auto"/>
            <w:bottom w:val="none" w:sz="0" w:space="0" w:color="auto"/>
            <w:right w:val="none" w:sz="0" w:space="0" w:color="auto"/>
          </w:divBdr>
        </w:div>
        <w:div w:id="1428771705">
          <w:marLeft w:val="0"/>
          <w:marRight w:val="0"/>
          <w:marTop w:val="0"/>
          <w:marBottom w:val="0"/>
          <w:divBdr>
            <w:top w:val="none" w:sz="0" w:space="0" w:color="auto"/>
            <w:left w:val="none" w:sz="0" w:space="0" w:color="auto"/>
            <w:bottom w:val="none" w:sz="0" w:space="0" w:color="auto"/>
            <w:right w:val="none" w:sz="0" w:space="0" w:color="auto"/>
          </w:divBdr>
        </w:div>
        <w:div w:id="1965429893">
          <w:marLeft w:val="0"/>
          <w:marRight w:val="0"/>
          <w:marTop w:val="0"/>
          <w:marBottom w:val="0"/>
          <w:divBdr>
            <w:top w:val="none" w:sz="0" w:space="0" w:color="auto"/>
            <w:left w:val="none" w:sz="0" w:space="0" w:color="auto"/>
            <w:bottom w:val="none" w:sz="0" w:space="0" w:color="auto"/>
            <w:right w:val="none" w:sz="0" w:space="0" w:color="auto"/>
          </w:divBdr>
        </w:div>
        <w:div w:id="1388803397">
          <w:marLeft w:val="0"/>
          <w:marRight w:val="0"/>
          <w:marTop w:val="0"/>
          <w:marBottom w:val="0"/>
          <w:divBdr>
            <w:top w:val="none" w:sz="0" w:space="0" w:color="auto"/>
            <w:left w:val="none" w:sz="0" w:space="0" w:color="auto"/>
            <w:bottom w:val="none" w:sz="0" w:space="0" w:color="auto"/>
            <w:right w:val="none" w:sz="0" w:space="0" w:color="auto"/>
          </w:divBdr>
        </w:div>
        <w:div w:id="2139297863">
          <w:marLeft w:val="0"/>
          <w:marRight w:val="0"/>
          <w:marTop w:val="0"/>
          <w:marBottom w:val="0"/>
          <w:divBdr>
            <w:top w:val="none" w:sz="0" w:space="0" w:color="auto"/>
            <w:left w:val="none" w:sz="0" w:space="0" w:color="auto"/>
            <w:bottom w:val="none" w:sz="0" w:space="0" w:color="auto"/>
            <w:right w:val="none" w:sz="0" w:space="0" w:color="auto"/>
          </w:divBdr>
        </w:div>
        <w:div w:id="1499537148">
          <w:marLeft w:val="0"/>
          <w:marRight w:val="0"/>
          <w:marTop w:val="0"/>
          <w:marBottom w:val="0"/>
          <w:divBdr>
            <w:top w:val="none" w:sz="0" w:space="0" w:color="auto"/>
            <w:left w:val="none" w:sz="0" w:space="0" w:color="auto"/>
            <w:bottom w:val="none" w:sz="0" w:space="0" w:color="auto"/>
            <w:right w:val="none" w:sz="0" w:space="0" w:color="auto"/>
          </w:divBdr>
        </w:div>
        <w:div w:id="1054045472">
          <w:marLeft w:val="0"/>
          <w:marRight w:val="0"/>
          <w:marTop w:val="0"/>
          <w:marBottom w:val="0"/>
          <w:divBdr>
            <w:top w:val="none" w:sz="0" w:space="0" w:color="auto"/>
            <w:left w:val="none" w:sz="0" w:space="0" w:color="auto"/>
            <w:bottom w:val="none" w:sz="0" w:space="0" w:color="auto"/>
            <w:right w:val="none" w:sz="0" w:space="0" w:color="auto"/>
          </w:divBdr>
        </w:div>
        <w:div w:id="61953463">
          <w:marLeft w:val="0"/>
          <w:marRight w:val="0"/>
          <w:marTop w:val="0"/>
          <w:marBottom w:val="0"/>
          <w:divBdr>
            <w:top w:val="none" w:sz="0" w:space="0" w:color="auto"/>
            <w:left w:val="none" w:sz="0" w:space="0" w:color="auto"/>
            <w:bottom w:val="none" w:sz="0" w:space="0" w:color="auto"/>
            <w:right w:val="none" w:sz="0" w:space="0" w:color="auto"/>
          </w:divBdr>
        </w:div>
        <w:div w:id="1562985748">
          <w:marLeft w:val="0"/>
          <w:marRight w:val="0"/>
          <w:marTop w:val="0"/>
          <w:marBottom w:val="0"/>
          <w:divBdr>
            <w:top w:val="none" w:sz="0" w:space="0" w:color="auto"/>
            <w:left w:val="none" w:sz="0" w:space="0" w:color="auto"/>
            <w:bottom w:val="none" w:sz="0" w:space="0" w:color="auto"/>
            <w:right w:val="none" w:sz="0" w:space="0" w:color="auto"/>
          </w:divBdr>
        </w:div>
        <w:div w:id="504591926">
          <w:marLeft w:val="0"/>
          <w:marRight w:val="0"/>
          <w:marTop w:val="0"/>
          <w:marBottom w:val="0"/>
          <w:divBdr>
            <w:top w:val="none" w:sz="0" w:space="0" w:color="auto"/>
            <w:left w:val="none" w:sz="0" w:space="0" w:color="auto"/>
            <w:bottom w:val="none" w:sz="0" w:space="0" w:color="auto"/>
            <w:right w:val="none" w:sz="0" w:space="0" w:color="auto"/>
          </w:divBdr>
        </w:div>
        <w:div w:id="659699188">
          <w:marLeft w:val="0"/>
          <w:marRight w:val="0"/>
          <w:marTop w:val="0"/>
          <w:marBottom w:val="0"/>
          <w:divBdr>
            <w:top w:val="none" w:sz="0" w:space="0" w:color="auto"/>
            <w:left w:val="none" w:sz="0" w:space="0" w:color="auto"/>
            <w:bottom w:val="none" w:sz="0" w:space="0" w:color="auto"/>
            <w:right w:val="none" w:sz="0" w:space="0" w:color="auto"/>
          </w:divBdr>
        </w:div>
        <w:div w:id="1647321577">
          <w:marLeft w:val="0"/>
          <w:marRight w:val="0"/>
          <w:marTop w:val="0"/>
          <w:marBottom w:val="0"/>
          <w:divBdr>
            <w:top w:val="none" w:sz="0" w:space="0" w:color="auto"/>
            <w:left w:val="none" w:sz="0" w:space="0" w:color="auto"/>
            <w:bottom w:val="none" w:sz="0" w:space="0" w:color="auto"/>
            <w:right w:val="none" w:sz="0" w:space="0" w:color="auto"/>
          </w:divBdr>
        </w:div>
        <w:div w:id="2041936307">
          <w:marLeft w:val="0"/>
          <w:marRight w:val="0"/>
          <w:marTop w:val="0"/>
          <w:marBottom w:val="0"/>
          <w:divBdr>
            <w:top w:val="none" w:sz="0" w:space="0" w:color="auto"/>
            <w:left w:val="none" w:sz="0" w:space="0" w:color="auto"/>
            <w:bottom w:val="none" w:sz="0" w:space="0" w:color="auto"/>
            <w:right w:val="none" w:sz="0" w:space="0" w:color="auto"/>
          </w:divBdr>
        </w:div>
        <w:div w:id="1777093112">
          <w:marLeft w:val="0"/>
          <w:marRight w:val="0"/>
          <w:marTop w:val="0"/>
          <w:marBottom w:val="0"/>
          <w:divBdr>
            <w:top w:val="none" w:sz="0" w:space="0" w:color="auto"/>
            <w:left w:val="none" w:sz="0" w:space="0" w:color="auto"/>
            <w:bottom w:val="none" w:sz="0" w:space="0" w:color="auto"/>
            <w:right w:val="none" w:sz="0" w:space="0" w:color="auto"/>
          </w:divBdr>
        </w:div>
        <w:div w:id="1038969806">
          <w:marLeft w:val="0"/>
          <w:marRight w:val="0"/>
          <w:marTop w:val="0"/>
          <w:marBottom w:val="0"/>
          <w:divBdr>
            <w:top w:val="none" w:sz="0" w:space="0" w:color="auto"/>
            <w:left w:val="none" w:sz="0" w:space="0" w:color="auto"/>
            <w:bottom w:val="none" w:sz="0" w:space="0" w:color="auto"/>
            <w:right w:val="none" w:sz="0" w:space="0" w:color="auto"/>
          </w:divBdr>
        </w:div>
        <w:div w:id="1521504097">
          <w:marLeft w:val="0"/>
          <w:marRight w:val="0"/>
          <w:marTop w:val="0"/>
          <w:marBottom w:val="0"/>
          <w:divBdr>
            <w:top w:val="none" w:sz="0" w:space="0" w:color="auto"/>
            <w:left w:val="none" w:sz="0" w:space="0" w:color="auto"/>
            <w:bottom w:val="none" w:sz="0" w:space="0" w:color="auto"/>
            <w:right w:val="none" w:sz="0" w:space="0" w:color="auto"/>
          </w:divBdr>
        </w:div>
        <w:div w:id="1629628983">
          <w:marLeft w:val="0"/>
          <w:marRight w:val="0"/>
          <w:marTop w:val="0"/>
          <w:marBottom w:val="0"/>
          <w:divBdr>
            <w:top w:val="none" w:sz="0" w:space="0" w:color="auto"/>
            <w:left w:val="none" w:sz="0" w:space="0" w:color="auto"/>
            <w:bottom w:val="none" w:sz="0" w:space="0" w:color="auto"/>
            <w:right w:val="none" w:sz="0" w:space="0" w:color="auto"/>
          </w:divBdr>
        </w:div>
        <w:div w:id="536310148">
          <w:marLeft w:val="0"/>
          <w:marRight w:val="0"/>
          <w:marTop w:val="0"/>
          <w:marBottom w:val="0"/>
          <w:divBdr>
            <w:top w:val="none" w:sz="0" w:space="0" w:color="auto"/>
            <w:left w:val="none" w:sz="0" w:space="0" w:color="auto"/>
            <w:bottom w:val="none" w:sz="0" w:space="0" w:color="auto"/>
            <w:right w:val="none" w:sz="0" w:space="0" w:color="auto"/>
          </w:divBdr>
        </w:div>
        <w:div w:id="2102944303">
          <w:marLeft w:val="0"/>
          <w:marRight w:val="0"/>
          <w:marTop w:val="0"/>
          <w:marBottom w:val="0"/>
          <w:divBdr>
            <w:top w:val="none" w:sz="0" w:space="0" w:color="auto"/>
            <w:left w:val="none" w:sz="0" w:space="0" w:color="auto"/>
            <w:bottom w:val="none" w:sz="0" w:space="0" w:color="auto"/>
            <w:right w:val="none" w:sz="0" w:space="0" w:color="auto"/>
          </w:divBdr>
        </w:div>
        <w:div w:id="1324745592">
          <w:marLeft w:val="0"/>
          <w:marRight w:val="0"/>
          <w:marTop w:val="0"/>
          <w:marBottom w:val="0"/>
          <w:divBdr>
            <w:top w:val="none" w:sz="0" w:space="0" w:color="auto"/>
            <w:left w:val="none" w:sz="0" w:space="0" w:color="auto"/>
            <w:bottom w:val="none" w:sz="0" w:space="0" w:color="auto"/>
            <w:right w:val="none" w:sz="0" w:space="0" w:color="auto"/>
          </w:divBdr>
        </w:div>
        <w:div w:id="537860957">
          <w:marLeft w:val="0"/>
          <w:marRight w:val="0"/>
          <w:marTop w:val="0"/>
          <w:marBottom w:val="0"/>
          <w:divBdr>
            <w:top w:val="none" w:sz="0" w:space="0" w:color="auto"/>
            <w:left w:val="none" w:sz="0" w:space="0" w:color="auto"/>
            <w:bottom w:val="none" w:sz="0" w:space="0" w:color="auto"/>
            <w:right w:val="none" w:sz="0" w:space="0" w:color="auto"/>
          </w:divBdr>
        </w:div>
        <w:div w:id="1279340578">
          <w:marLeft w:val="0"/>
          <w:marRight w:val="0"/>
          <w:marTop w:val="0"/>
          <w:marBottom w:val="0"/>
          <w:divBdr>
            <w:top w:val="none" w:sz="0" w:space="0" w:color="auto"/>
            <w:left w:val="none" w:sz="0" w:space="0" w:color="auto"/>
            <w:bottom w:val="none" w:sz="0" w:space="0" w:color="auto"/>
            <w:right w:val="none" w:sz="0" w:space="0" w:color="auto"/>
          </w:divBdr>
        </w:div>
        <w:div w:id="254828515">
          <w:marLeft w:val="0"/>
          <w:marRight w:val="0"/>
          <w:marTop w:val="0"/>
          <w:marBottom w:val="0"/>
          <w:divBdr>
            <w:top w:val="none" w:sz="0" w:space="0" w:color="auto"/>
            <w:left w:val="none" w:sz="0" w:space="0" w:color="auto"/>
            <w:bottom w:val="none" w:sz="0" w:space="0" w:color="auto"/>
            <w:right w:val="none" w:sz="0" w:space="0" w:color="auto"/>
          </w:divBdr>
        </w:div>
        <w:div w:id="695540869">
          <w:marLeft w:val="0"/>
          <w:marRight w:val="0"/>
          <w:marTop w:val="0"/>
          <w:marBottom w:val="0"/>
          <w:divBdr>
            <w:top w:val="none" w:sz="0" w:space="0" w:color="auto"/>
            <w:left w:val="none" w:sz="0" w:space="0" w:color="auto"/>
            <w:bottom w:val="none" w:sz="0" w:space="0" w:color="auto"/>
            <w:right w:val="none" w:sz="0" w:space="0" w:color="auto"/>
          </w:divBdr>
        </w:div>
        <w:div w:id="490560467">
          <w:marLeft w:val="0"/>
          <w:marRight w:val="0"/>
          <w:marTop w:val="0"/>
          <w:marBottom w:val="0"/>
          <w:divBdr>
            <w:top w:val="none" w:sz="0" w:space="0" w:color="auto"/>
            <w:left w:val="none" w:sz="0" w:space="0" w:color="auto"/>
            <w:bottom w:val="none" w:sz="0" w:space="0" w:color="auto"/>
            <w:right w:val="none" w:sz="0" w:space="0" w:color="auto"/>
          </w:divBdr>
        </w:div>
        <w:div w:id="1672445324">
          <w:marLeft w:val="0"/>
          <w:marRight w:val="0"/>
          <w:marTop w:val="0"/>
          <w:marBottom w:val="0"/>
          <w:divBdr>
            <w:top w:val="none" w:sz="0" w:space="0" w:color="auto"/>
            <w:left w:val="none" w:sz="0" w:space="0" w:color="auto"/>
            <w:bottom w:val="none" w:sz="0" w:space="0" w:color="auto"/>
            <w:right w:val="none" w:sz="0" w:space="0" w:color="auto"/>
          </w:divBdr>
        </w:div>
        <w:div w:id="89283431">
          <w:marLeft w:val="0"/>
          <w:marRight w:val="0"/>
          <w:marTop w:val="0"/>
          <w:marBottom w:val="0"/>
          <w:divBdr>
            <w:top w:val="none" w:sz="0" w:space="0" w:color="auto"/>
            <w:left w:val="none" w:sz="0" w:space="0" w:color="auto"/>
            <w:bottom w:val="none" w:sz="0" w:space="0" w:color="auto"/>
            <w:right w:val="none" w:sz="0" w:space="0" w:color="auto"/>
          </w:divBdr>
        </w:div>
      </w:divsChild>
    </w:div>
    <w:div w:id="811875092">
      <w:bodyDiv w:val="1"/>
      <w:marLeft w:val="0"/>
      <w:marRight w:val="0"/>
      <w:marTop w:val="0"/>
      <w:marBottom w:val="0"/>
      <w:divBdr>
        <w:top w:val="none" w:sz="0" w:space="0" w:color="auto"/>
        <w:left w:val="none" w:sz="0" w:space="0" w:color="auto"/>
        <w:bottom w:val="none" w:sz="0" w:space="0" w:color="auto"/>
        <w:right w:val="none" w:sz="0" w:space="0" w:color="auto"/>
      </w:divBdr>
    </w:div>
    <w:div w:id="818617149">
      <w:bodyDiv w:val="1"/>
      <w:marLeft w:val="0"/>
      <w:marRight w:val="0"/>
      <w:marTop w:val="0"/>
      <w:marBottom w:val="0"/>
      <w:divBdr>
        <w:top w:val="none" w:sz="0" w:space="0" w:color="auto"/>
        <w:left w:val="none" w:sz="0" w:space="0" w:color="auto"/>
        <w:bottom w:val="none" w:sz="0" w:space="0" w:color="auto"/>
        <w:right w:val="none" w:sz="0" w:space="0" w:color="auto"/>
      </w:divBdr>
    </w:div>
    <w:div w:id="825164669">
      <w:bodyDiv w:val="1"/>
      <w:marLeft w:val="0"/>
      <w:marRight w:val="0"/>
      <w:marTop w:val="0"/>
      <w:marBottom w:val="0"/>
      <w:divBdr>
        <w:top w:val="none" w:sz="0" w:space="0" w:color="auto"/>
        <w:left w:val="none" w:sz="0" w:space="0" w:color="auto"/>
        <w:bottom w:val="none" w:sz="0" w:space="0" w:color="auto"/>
        <w:right w:val="none" w:sz="0" w:space="0" w:color="auto"/>
      </w:divBdr>
    </w:div>
    <w:div w:id="846098354">
      <w:bodyDiv w:val="1"/>
      <w:marLeft w:val="0"/>
      <w:marRight w:val="0"/>
      <w:marTop w:val="0"/>
      <w:marBottom w:val="0"/>
      <w:divBdr>
        <w:top w:val="none" w:sz="0" w:space="0" w:color="auto"/>
        <w:left w:val="none" w:sz="0" w:space="0" w:color="auto"/>
        <w:bottom w:val="none" w:sz="0" w:space="0" w:color="auto"/>
        <w:right w:val="none" w:sz="0" w:space="0" w:color="auto"/>
      </w:divBdr>
    </w:div>
    <w:div w:id="851605087">
      <w:bodyDiv w:val="1"/>
      <w:marLeft w:val="0"/>
      <w:marRight w:val="0"/>
      <w:marTop w:val="0"/>
      <w:marBottom w:val="0"/>
      <w:divBdr>
        <w:top w:val="none" w:sz="0" w:space="0" w:color="auto"/>
        <w:left w:val="none" w:sz="0" w:space="0" w:color="auto"/>
        <w:bottom w:val="none" w:sz="0" w:space="0" w:color="auto"/>
        <w:right w:val="none" w:sz="0" w:space="0" w:color="auto"/>
      </w:divBdr>
    </w:div>
    <w:div w:id="854727188">
      <w:bodyDiv w:val="1"/>
      <w:marLeft w:val="0"/>
      <w:marRight w:val="0"/>
      <w:marTop w:val="0"/>
      <w:marBottom w:val="0"/>
      <w:divBdr>
        <w:top w:val="none" w:sz="0" w:space="0" w:color="auto"/>
        <w:left w:val="none" w:sz="0" w:space="0" w:color="auto"/>
        <w:bottom w:val="none" w:sz="0" w:space="0" w:color="auto"/>
        <w:right w:val="none" w:sz="0" w:space="0" w:color="auto"/>
      </w:divBdr>
    </w:div>
    <w:div w:id="858619374">
      <w:bodyDiv w:val="1"/>
      <w:marLeft w:val="188"/>
      <w:marRight w:val="188"/>
      <w:marTop w:val="0"/>
      <w:marBottom w:val="0"/>
      <w:divBdr>
        <w:top w:val="none" w:sz="0" w:space="0" w:color="auto"/>
        <w:left w:val="none" w:sz="0" w:space="0" w:color="auto"/>
        <w:bottom w:val="none" w:sz="0" w:space="0" w:color="auto"/>
        <w:right w:val="none" w:sz="0" w:space="0" w:color="auto"/>
      </w:divBdr>
      <w:divsChild>
        <w:div w:id="1594240415">
          <w:marLeft w:val="0"/>
          <w:marRight w:val="0"/>
          <w:marTop w:val="0"/>
          <w:marBottom w:val="0"/>
          <w:divBdr>
            <w:top w:val="none" w:sz="0" w:space="0" w:color="auto"/>
            <w:left w:val="none" w:sz="0" w:space="0" w:color="auto"/>
            <w:bottom w:val="none" w:sz="0" w:space="0" w:color="auto"/>
            <w:right w:val="none" w:sz="0" w:space="0" w:color="auto"/>
          </w:divBdr>
        </w:div>
      </w:divsChild>
    </w:div>
    <w:div w:id="868185073">
      <w:bodyDiv w:val="1"/>
      <w:marLeft w:val="0"/>
      <w:marRight w:val="0"/>
      <w:marTop w:val="0"/>
      <w:marBottom w:val="0"/>
      <w:divBdr>
        <w:top w:val="none" w:sz="0" w:space="0" w:color="auto"/>
        <w:left w:val="none" w:sz="0" w:space="0" w:color="auto"/>
        <w:bottom w:val="none" w:sz="0" w:space="0" w:color="auto"/>
        <w:right w:val="none" w:sz="0" w:space="0" w:color="auto"/>
      </w:divBdr>
    </w:div>
    <w:div w:id="871115370">
      <w:bodyDiv w:val="1"/>
      <w:marLeft w:val="0"/>
      <w:marRight w:val="0"/>
      <w:marTop w:val="0"/>
      <w:marBottom w:val="0"/>
      <w:divBdr>
        <w:top w:val="none" w:sz="0" w:space="0" w:color="auto"/>
        <w:left w:val="none" w:sz="0" w:space="0" w:color="auto"/>
        <w:bottom w:val="none" w:sz="0" w:space="0" w:color="auto"/>
        <w:right w:val="none" w:sz="0" w:space="0" w:color="auto"/>
      </w:divBdr>
    </w:div>
    <w:div w:id="875460673">
      <w:bodyDiv w:val="1"/>
      <w:marLeft w:val="0"/>
      <w:marRight w:val="0"/>
      <w:marTop w:val="0"/>
      <w:marBottom w:val="0"/>
      <w:divBdr>
        <w:top w:val="none" w:sz="0" w:space="0" w:color="auto"/>
        <w:left w:val="none" w:sz="0" w:space="0" w:color="auto"/>
        <w:bottom w:val="none" w:sz="0" w:space="0" w:color="auto"/>
        <w:right w:val="none" w:sz="0" w:space="0" w:color="auto"/>
      </w:divBdr>
    </w:div>
    <w:div w:id="884872077">
      <w:bodyDiv w:val="1"/>
      <w:marLeft w:val="0"/>
      <w:marRight w:val="0"/>
      <w:marTop w:val="0"/>
      <w:marBottom w:val="0"/>
      <w:divBdr>
        <w:top w:val="none" w:sz="0" w:space="0" w:color="auto"/>
        <w:left w:val="none" w:sz="0" w:space="0" w:color="auto"/>
        <w:bottom w:val="none" w:sz="0" w:space="0" w:color="auto"/>
        <w:right w:val="none" w:sz="0" w:space="0" w:color="auto"/>
      </w:divBdr>
    </w:div>
    <w:div w:id="890114652">
      <w:bodyDiv w:val="1"/>
      <w:marLeft w:val="225"/>
      <w:marRight w:val="225"/>
      <w:marTop w:val="0"/>
      <w:marBottom w:val="0"/>
      <w:divBdr>
        <w:top w:val="none" w:sz="0" w:space="0" w:color="auto"/>
        <w:left w:val="none" w:sz="0" w:space="0" w:color="auto"/>
        <w:bottom w:val="none" w:sz="0" w:space="0" w:color="auto"/>
        <w:right w:val="none" w:sz="0" w:space="0" w:color="auto"/>
      </w:divBdr>
      <w:divsChild>
        <w:div w:id="1085883545">
          <w:marLeft w:val="0"/>
          <w:marRight w:val="0"/>
          <w:marTop w:val="0"/>
          <w:marBottom w:val="0"/>
          <w:divBdr>
            <w:top w:val="none" w:sz="0" w:space="0" w:color="auto"/>
            <w:left w:val="none" w:sz="0" w:space="0" w:color="auto"/>
            <w:bottom w:val="none" w:sz="0" w:space="0" w:color="auto"/>
            <w:right w:val="none" w:sz="0" w:space="0" w:color="auto"/>
          </w:divBdr>
        </w:div>
      </w:divsChild>
    </w:div>
    <w:div w:id="940264693">
      <w:bodyDiv w:val="1"/>
      <w:marLeft w:val="188"/>
      <w:marRight w:val="188"/>
      <w:marTop w:val="0"/>
      <w:marBottom w:val="0"/>
      <w:divBdr>
        <w:top w:val="none" w:sz="0" w:space="0" w:color="auto"/>
        <w:left w:val="none" w:sz="0" w:space="0" w:color="auto"/>
        <w:bottom w:val="none" w:sz="0" w:space="0" w:color="auto"/>
        <w:right w:val="none" w:sz="0" w:space="0" w:color="auto"/>
      </w:divBdr>
      <w:divsChild>
        <w:div w:id="2093578897">
          <w:marLeft w:val="0"/>
          <w:marRight w:val="0"/>
          <w:marTop w:val="0"/>
          <w:marBottom w:val="0"/>
          <w:divBdr>
            <w:top w:val="none" w:sz="0" w:space="0" w:color="auto"/>
            <w:left w:val="none" w:sz="0" w:space="0" w:color="auto"/>
            <w:bottom w:val="none" w:sz="0" w:space="0" w:color="auto"/>
            <w:right w:val="none" w:sz="0" w:space="0" w:color="auto"/>
          </w:divBdr>
        </w:div>
      </w:divsChild>
    </w:div>
    <w:div w:id="951590095">
      <w:bodyDiv w:val="1"/>
      <w:marLeft w:val="225"/>
      <w:marRight w:val="225"/>
      <w:marTop w:val="0"/>
      <w:marBottom w:val="0"/>
      <w:divBdr>
        <w:top w:val="none" w:sz="0" w:space="0" w:color="auto"/>
        <w:left w:val="none" w:sz="0" w:space="0" w:color="auto"/>
        <w:bottom w:val="none" w:sz="0" w:space="0" w:color="auto"/>
        <w:right w:val="none" w:sz="0" w:space="0" w:color="auto"/>
      </w:divBdr>
      <w:divsChild>
        <w:div w:id="1858739213">
          <w:marLeft w:val="0"/>
          <w:marRight w:val="0"/>
          <w:marTop w:val="0"/>
          <w:marBottom w:val="0"/>
          <w:divBdr>
            <w:top w:val="none" w:sz="0" w:space="0" w:color="auto"/>
            <w:left w:val="none" w:sz="0" w:space="0" w:color="auto"/>
            <w:bottom w:val="none" w:sz="0" w:space="0" w:color="auto"/>
            <w:right w:val="none" w:sz="0" w:space="0" w:color="auto"/>
          </w:divBdr>
        </w:div>
      </w:divsChild>
    </w:div>
    <w:div w:id="973028310">
      <w:bodyDiv w:val="1"/>
      <w:marLeft w:val="0"/>
      <w:marRight w:val="0"/>
      <w:marTop w:val="0"/>
      <w:marBottom w:val="0"/>
      <w:divBdr>
        <w:top w:val="none" w:sz="0" w:space="0" w:color="auto"/>
        <w:left w:val="none" w:sz="0" w:space="0" w:color="auto"/>
        <w:bottom w:val="none" w:sz="0" w:space="0" w:color="auto"/>
        <w:right w:val="none" w:sz="0" w:space="0" w:color="auto"/>
      </w:divBdr>
      <w:divsChild>
        <w:div w:id="1571113397">
          <w:marLeft w:val="376"/>
          <w:marRight w:val="376"/>
          <w:marTop w:val="0"/>
          <w:marBottom w:val="125"/>
          <w:divBdr>
            <w:top w:val="single" w:sz="4" w:space="6" w:color="112449"/>
            <w:left w:val="single" w:sz="4" w:space="6" w:color="112449"/>
            <w:bottom w:val="single" w:sz="4" w:space="6" w:color="112449"/>
            <w:right w:val="single" w:sz="4" w:space="6" w:color="112449"/>
          </w:divBdr>
        </w:div>
      </w:divsChild>
    </w:div>
    <w:div w:id="995381000">
      <w:bodyDiv w:val="1"/>
      <w:marLeft w:val="0"/>
      <w:marRight w:val="0"/>
      <w:marTop w:val="0"/>
      <w:marBottom w:val="0"/>
      <w:divBdr>
        <w:top w:val="none" w:sz="0" w:space="0" w:color="auto"/>
        <w:left w:val="none" w:sz="0" w:space="0" w:color="auto"/>
        <w:bottom w:val="none" w:sz="0" w:space="0" w:color="auto"/>
        <w:right w:val="none" w:sz="0" w:space="0" w:color="auto"/>
      </w:divBdr>
    </w:div>
    <w:div w:id="1007631107">
      <w:bodyDiv w:val="1"/>
      <w:marLeft w:val="188"/>
      <w:marRight w:val="188"/>
      <w:marTop w:val="0"/>
      <w:marBottom w:val="0"/>
      <w:divBdr>
        <w:top w:val="none" w:sz="0" w:space="0" w:color="auto"/>
        <w:left w:val="none" w:sz="0" w:space="0" w:color="auto"/>
        <w:bottom w:val="none" w:sz="0" w:space="0" w:color="auto"/>
        <w:right w:val="none" w:sz="0" w:space="0" w:color="auto"/>
      </w:divBdr>
      <w:divsChild>
        <w:div w:id="703212252">
          <w:marLeft w:val="0"/>
          <w:marRight w:val="0"/>
          <w:marTop w:val="0"/>
          <w:marBottom w:val="0"/>
          <w:divBdr>
            <w:top w:val="none" w:sz="0" w:space="0" w:color="auto"/>
            <w:left w:val="none" w:sz="0" w:space="0" w:color="auto"/>
            <w:bottom w:val="none" w:sz="0" w:space="0" w:color="auto"/>
            <w:right w:val="none" w:sz="0" w:space="0" w:color="auto"/>
          </w:divBdr>
        </w:div>
      </w:divsChild>
    </w:div>
    <w:div w:id="1016924386">
      <w:bodyDiv w:val="1"/>
      <w:marLeft w:val="188"/>
      <w:marRight w:val="188"/>
      <w:marTop w:val="0"/>
      <w:marBottom w:val="0"/>
      <w:divBdr>
        <w:top w:val="none" w:sz="0" w:space="0" w:color="auto"/>
        <w:left w:val="none" w:sz="0" w:space="0" w:color="auto"/>
        <w:bottom w:val="none" w:sz="0" w:space="0" w:color="auto"/>
        <w:right w:val="none" w:sz="0" w:space="0" w:color="auto"/>
      </w:divBdr>
      <w:divsChild>
        <w:div w:id="1952011975">
          <w:marLeft w:val="0"/>
          <w:marRight w:val="0"/>
          <w:marTop w:val="0"/>
          <w:marBottom w:val="0"/>
          <w:divBdr>
            <w:top w:val="none" w:sz="0" w:space="0" w:color="auto"/>
            <w:left w:val="none" w:sz="0" w:space="0" w:color="auto"/>
            <w:bottom w:val="none" w:sz="0" w:space="0" w:color="auto"/>
            <w:right w:val="none" w:sz="0" w:space="0" w:color="auto"/>
          </w:divBdr>
        </w:div>
      </w:divsChild>
    </w:div>
    <w:div w:id="1026255164">
      <w:bodyDiv w:val="1"/>
      <w:marLeft w:val="188"/>
      <w:marRight w:val="188"/>
      <w:marTop w:val="0"/>
      <w:marBottom w:val="0"/>
      <w:divBdr>
        <w:top w:val="none" w:sz="0" w:space="0" w:color="auto"/>
        <w:left w:val="none" w:sz="0" w:space="0" w:color="auto"/>
        <w:bottom w:val="none" w:sz="0" w:space="0" w:color="auto"/>
        <w:right w:val="none" w:sz="0" w:space="0" w:color="auto"/>
      </w:divBdr>
      <w:divsChild>
        <w:div w:id="1109735670">
          <w:marLeft w:val="0"/>
          <w:marRight w:val="0"/>
          <w:marTop w:val="0"/>
          <w:marBottom w:val="0"/>
          <w:divBdr>
            <w:top w:val="none" w:sz="0" w:space="0" w:color="auto"/>
            <w:left w:val="none" w:sz="0" w:space="0" w:color="auto"/>
            <w:bottom w:val="none" w:sz="0" w:space="0" w:color="auto"/>
            <w:right w:val="none" w:sz="0" w:space="0" w:color="auto"/>
          </w:divBdr>
        </w:div>
      </w:divsChild>
    </w:div>
    <w:div w:id="1054885975">
      <w:bodyDiv w:val="1"/>
      <w:marLeft w:val="0"/>
      <w:marRight w:val="0"/>
      <w:marTop w:val="0"/>
      <w:marBottom w:val="0"/>
      <w:divBdr>
        <w:top w:val="none" w:sz="0" w:space="0" w:color="auto"/>
        <w:left w:val="none" w:sz="0" w:space="0" w:color="auto"/>
        <w:bottom w:val="none" w:sz="0" w:space="0" w:color="auto"/>
        <w:right w:val="none" w:sz="0" w:space="0" w:color="auto"/>
      </w:divBdr>
    </w:div>
    <w:div w:id="1064139497">
      <w:bodyDiv w:val="1"/>
      <w:marLeft w:val="225"/>
      <w:marRight w:val="225"/>
      <w:marTop w:val="0"/>
      <w:marBottom w:val="0"/>
      <w:divBdr>
        <w:top w:val="none" w:sz="0" w:space="0" w:color="auto"/>
        <w:left w:val="none" w:sz="0" w:space="0" w:color="auto"/>
        <w:bottom w:val="none" w:sz="0" w:space="0" w:color="auto"/>
        <w:right w:val="none" w:sz="0" w:space="0" w:color="auto"/>
      </w:divBdr>
      <w:divsChild>
        <w:div w:id="681974407">
          <w:marLeft w:val="0"/>
          <w:marRight w:val="0"/>
          <w:marTop w:val="0"/>
          <w:marBottom w:val="0"/>
          <w:divBdr>
            <w:top w:val="none" w:sz="0" w:space="0" w:color="auto"/>
            <w:left w:val="none" w:sz="0" w:space="0" w:color="auto"/>
            <w:bottom w:val="none" w:sz="0" w:space="0" w:color="auto"/>
            <w:right w:val="none" w:sz="0" w:space="0" w:color="auto"/>
          </w:divBdr>
        </w:div>
      </w:divsChild>
    </w:div>
    <w:div w:id="1066993086">
      <w:bodyDiv w:val="1"/>
      <w:marLeft w:val="0"/>
      <w:marRight w:val="0"/>
      <w:marTop w:val="0"/>
      <w:marBottom w:val="0"/>
      <w:divBdr>
        <w:top w:val="none" w:sz="0" w:space="0" w:color="auto"/>
        <w:left w:val="none" w:sz="0" w:space="0" w:color="auto"/>
        <w:bottom w:val="none" w:sz="0" w:space="0" w:color="auto"/>
        <w:right w:val="none" w:sz="0" w:space="0" w:color="auto"/>
      </w:divBdr>
    </w:div>
    <w:div w:id="1071274737">
      <w:bodyDiv w:val="1"/>
      <w:marLeft w:val="0"/>
      <w:marRight w:val="0"/>
      <w:marTop w:val="0"/>
      <w:marBottom w:val="0"/>
      <w:divBdr>
        <w:top w:val="none" w:sz="0" w:space="0" w:color="auto"/>
        <w:left w:val="none" w:sz="0" w:space="0" w:color="auto"/>
        <w:bottom w:val="none" w:sz="0" w:space="0" w:color="auto"/>
        <w:right w:val="none" w:sz="0" w:space="0" w:color="auto"/>
      </w:divBdr>
    </w:div>
    <w:div w:id="1080559464">
      <w:bodyDiv w:val="1"/>
      <w:marLeft w:val="188"/>
      <w:marRight w:val="188"/>
      <w:marTop w:val="0"/>
      <w:marBottom w:val="0"/>
      <w:divBdr>
        <w:top w:val="none" w:sz="0" w:space="0" w:color="auto"/>
        <w:left w:val="none" w:sz="0" w:space="0" w:color="auto"/>
        <w:bottom w:val="none" w:sz="0" w:space="0" w:color="auto"/>
        <w:right w:val="none" w:sz="0" w:space="0" w:color="auto"/>
      </w:divBdr>
      <w:divsChild>
        <w:div w:id="404228805">
          <w:marLeft w:val="0"/>
          <w:marRight w:val="0"/>
          <w:marTop w:val="0"/>
          <w:marBottom w:val="0"/>
          <w:divBdr>
            <w:top w:val="none" w:sz="0" w:space="0" w:color="auto"/>
            <w:left w:val="none" w:sz="0" w:space="0" w:color="auto"/>
            <w:bottom w:val="none" w:sz="0" w:space="0" w:color="auto"/>
            <w:right w:val="none" w:sz="0" w:space="0" w:color="auto"/>
          </w:divBdr>
        </w:div>
      </w:divsChild>
    </w:div>
    <w:div w:id="1080638622">
      <w:bodyDiv w:val="1"/>
      <w:marLeft w:val="0"/>
      <w:marRight w:val="0"/>
      <w:marTop w:val="0"/>
      <w:marBottom w:val="0"/>
      <w:divBdr>
        <w:top w:val="none" w:sz="0" w:space="0" w:color="auto"/>
        <w:left w:val="none" w:sz="0" w:space="0" w:color="auto"/>
        <w:bottom w:val="none" w:sz="0" w:space="0" w:color="auto"/>
        <w:right w:val="none" w:sz="0" w:space="0" w:color="auto"/>
      </w:divBdr>
    </w:div>
    <w:div w:id="1084961161">
      <w:bodyDiv w:val="1"/>
      <w:marLeft w:val="188"/>
      <w:marRight w:val="188"/>
      <w:marTop w:val="0"/>
      <w:marBottom w:val="0"/>
      <w:divBdr>
        <w:top w:val="none" w:sz="0" w:space="0" w:color="auto"/>
        <w:left w:val="none" w:sz="0" w:space="0" w:color="auto"/>
        <w:bottom w:val="none" w:sz="0" w:space="0" w:color="auto"/>
        <w:right w:val="none" w:sz="0" w:space="0" w:color="auto"/>
      </w:divBdr>
      <w:divsChild>
        <w:div w:id="1240479332">
          <w:marLeft w:val="0"/>
          <w:marRight w:val="0"/>
          <w:marTop w:val="0"/>
          <w:marBottom w:val="0"/>
          <w:divBdr>
            <w:top w:val="none" w:sz="0" w:space="0" w:color="auto"/>
            <w:left w:val="none" w:sz="0" w:space="0" w:color="auto"/>
            <w:bottom w:val="none" w:sz="0" w:space="0" w:color="auto"/>
            <w:right w:val="none" w:sz="0" w:space="0" w:color="auto"/>
          </w:divBdr>
        </w:div>
      </w:divsChild>
    </w:div>
    <w:div w:id="1101954079">
      <w:bodyDiv w:val="1"/>
      <w:marLeft w:val="188"/>
      <w:marRight w:val="188"/>
      <w:marTop w:val="0"/>
      <w:marBottom w:val="0"/>
      <w:divBdr>
        <w:top w:val="none" w:sz="0" w:space="0" w:color="auto"/>
        <w:left w:val="none" w:sz="0" w:space="0" w:color="auto"/>
        <w:bottom w:val="none" w:sz="0" w:space="0" w:color="auto"/>
        <w:right w:val="none" w:sz="0" w:space="0" w:color="auto"/>
      </w:divBdr>
      <w:divsChild>
        <w:div w:id="1074277204">
          <w:marLeft w:val="0"/>
          <w:marRight w:val="0"/>
          <w:marTop w:val="0"/>
          <w:marBottom w:val="0"/>
          <w:divBdr>
            <w:top w:val="none" w:sz="0" w:space="0" w:color="auto"/>
            <w:left w:val="none" w:sz="0" w:space="0" w:color="auto"/>
            <w:bottom w:val="none" w:sz="0" w:space="0" w:color="auto"/>
            <w:right w:val="none" w:sz="0" w:space="0" w:color="auto"/>
          </w:divBdr>
        </w:div>
      </w:divsChild>
    </w:div>
    <w:div w:id="1136141450">
      <w:bodyDiv w:val="1"/>
      <w:marLeft w:val="188"/>
      <w:marRight w:val="188"/>
      <w:marTop w:val="0"/>
      <w:marBottom w:val="0"/>
      <w:divBdr>
        <w:top w:val="none" w:sz="0" w:space="0" w:color="auto"/>
        <w:left w:val="none" w:sz="0" w:space="0" w:color="auto"/>
        <w:bottom w:val="none" w:sz="0" w:space="0" w:color="auto"/>
        <w:right w:val="none" w:sz="0" w:space="0" w:color="auto"/>
      </w:divBdr>
      <w:divsChild>
        <w:div w:id="973946265">
          <w:marLeft w:val="0"/>
          <w:marRight w:val="0"/>
          <w:marTop w:val="0"/>
          <w:marBottom w:val="0"/>
          <w:divBdr>
            <w:top w:val="none" w:sz="0" w:space="0" w:color="auto"/>
            <w:left w:val="none" w:sz="0" w:space="0" w:color="auto"/>
            <w:bottom w:val="none" w:sz="0" w:space="0" w:color="auto"/>
            <w:right w:val="none" w:sz="0" w:space="0" w:color="auto"/>
          </w:divBdr>
        </w:div>
      </w:divsChild>
    </w:div>
    <w:div w:id="1138959468">
      <w:bodyDiv w:val="1"/>
      <w:marLeft w:val="0"/>
      <w:marRight w:val="0"/>
      <w:marTop w:val="0"/>
      <w:marBottom w:val="0"/>
      <w:divBdr>
        <w:top w:val="none" w:sz="0" w:space="0" w:color="auto"/>
        <w:left w:val="none" w:sz="0" w:space="0" w:color="auto"/>
        <w:bottom w:val="none" w:sz="0" w:space="0" w:color="auto"/>
        <w:right w:val="none" w:sz="0" w:space="0" w:color="auto"/>
      </w:divBdr>
    </w:div>
    <w:div w:id="1140532329">
      <w:bodyDiv w:val="1"/>
      <w:marLeft w:val="0"/>
      <w:marRight w:val="0"/>
      <w:marTop w:val="0"/>
      <w:marBottom w:val="0"/>
      <w:divBdr>
        <w:top w:val="none" w:sz="0" w:space="0" w:color="auto"/>
        <w:left w:val="none" w:sz="0" w:space="0" w:color="auto"/>
        <w:bottom w:val="none" w:sz="0" w:space="0" w:color="auto"/>
        <w:right w:val="none" w:sz="0" w:space="0" w:color="auto"/>
      </w:divBdr>
    </w:div>
    <w:div w:id="1141072734">
      <w:bodyDiv w:val="1"/>
      <w:marLeft w:val="225"/>
      <w:marRight w:val="225"/>
      <w:marTop w:val="0"/>
      <w:marBottom w:val="0"/>
      <w:divBdr>
        <w:top w:val="none" w:sz="0" w:space="0" w:color="auto"/>
        <w:left w:val="none" w:sz="0" w:space="0" w:color="auto"/>
        <w:bottom w:val="none" w:sz="0" w:space="0" w:color="auto"/>
        <w:right w:val="none" w:sz="0" w:space="0" w:color="auto"/>
      </w:divBdr>
      <w:divsChild>
        <w:div w:id="519465252">
          <w:marLeft w:val="0"/>
          <w:marRight w:val="0"/>
          <w:marTop w:val="0"/>
          <w:marBottom w:val="0"/>
          <w:divBdr>
            <w:top w:val="none" w:sz="0" w:space="0" w:color="auto"/>
            <w:left w:val="none" w:sz="0" w:space="0" w:color="auto"/>
            <w:bottom w:val="none" w:sz="0" w:space="0" w:color="auto"/>
            <w:right w:val="none" w:sz="0" w:space="0" w:color="auto"/>
          </w:divBdr>
        </w:div>
      </w:divsChild>
    </w:div>
    <w:div w:id="1166819225">
      <w:bodyDiv w:val="1"/>
      <w:marLeft w:val="188"/>
      <w:marRight w:val="188"/>
      <w:marTop w:val="0"/>
      <w:marBottom w:val="0"/>
      <w:divBdr>
        <w:top w:val="none" w:sz="0" w:space="0" w:color="auto"/>
        <w:left w:val="none" w:sz="0" w:space="0" w:color="auto"/>
        <w:bottom w:val="none" w:sz="0" w:space="0" w:color="auto"/>
        <w:right w:val="none" w:sz="0" w:space="0" w:color="auto"/>
      </w:divBdr>
      <w:divsChild>
        <w:div w:id="1108542182">
          <w:marLeft w:val="0"/>
          <w:marRight w:val="0"/>
          <w:marTop w:val="0"/>
          <w:marBottom w:val="0"/>
          <w:divBdr>
            <w:top w:val="none" w:sz="0" w:space="0" w:color="auto"/>
            <w:left w:val="none" w:sz="0" w:space="0" w:color="auto"/>
            <w:bottom w:val="none" w:sz="0" w:space="0" w:color="auto"/>
            <w:right w:val="none" w:sz="0" w:space="0" w:color="auto"/>
          </w:divBdr>
        </w:div>
      </w:divsChild>
    </w:div>
    <w:div w:id="1172254750">
      <w:bodyDiv w:val="1"/>
      <w:marLeft w:val="0"/>
      <w:marRight w:val="0"/>
      <w:marTop w:val="0"/>
      <w:marBottom w:val="0"/>
      <w:divBdr>
        <w:top w:val="none" w:sz="0" w:space="0" w:color="auto"/>
        <w:left w:val="none" w:sz="0" w:space="0" w:color="auto"/>
        <w:bottom w:val="none" w:sz="0" w:space="0" w:color="auto"/>
        <w:right w:val="none" w:sz="0" w:space="0" w:color="auto"/>
      </w:divBdr>
    </w:div>
    <w:div w:id="1180388010">
      <w:bodyDiv w:val="1"/>
      <w:marLeft w:val="0"/>
      <w:marRight w:val="0"/>
      <w:marTop w:val="0"/>
      <w:marBottom w:val="0"/>
      <w:divBdr>
        <w:top w:val="none" w:sz="0" w:space="0" w:color="auto"/>
        <w:left w:val="none" w:sz="0" w:space="0" w:color="auto"/>
        <w:bottom w:val="none" w:sz="0" w:space="0" w:color="auto"/>
        <w:right w:val="none" w:sz="0" w:space="0" w:color="auto"/>
      </w:divBdr>
    </w:div>
    <w:div w:id="1187602191">
      <w:bodyDiv w:val="1"/>
      <w:marLeft w:val="0"/>
      <w:marRight w:val="0"/>
      <w:marTop w:val="0"/>
      <w:marBottom w:val="0"/>
      <w:divBdr>
        <w:top w:val="none" w:sz="0" w:space="0" w:color="auto"/>
        <w:left w:val="none" w:sz="0" w:space="0" w:color="auto"/>
        <w:bottom w:val="none" w:sz="0" w:space="0" w:color="auto"/>
        <w:right w:val="none" w:sz="0" w:space="0" w:color="auto"/>
      </w:divBdr>
    </w:div>
    <w:div w:id="1201866214">
      <w:bodyDiv w:val="1"/>
      <w:marLeft w:val="0"/>
      <w:marRight w:val="0"/>
      <w:marTop w:val="0"/>
      <w:marBottom w:val="0"/>
      <w:divBdr>
        <w:top w:val="none" w:sz="0" w:space="0" w:color="auto"/>
        <w:left w:val="none" w:sz="0" w:space="0" w:color="auto"/>
        <w:bottom w:val="none" w:sz="0" w:space="0" w:color="auto"/>
        <w:right w:val="none" w:sz="0" w:space="0" w:color="auto"/>
      </w:divBdr>
    </w:div>
    <w:div w:id="1228762322">
      <w:bodyDiv w:val="1"/>
      <w:marLeft w:val="0"/>
      <w:marRight w:val="0"/>
      <w:marTop w:val="0"/>
      <w:marBottom w:val="0"/>
      <w:divBdr>
        <w:top w:val="none" w:sz="0" w:space="0" w:color="auto"/>
        <w:left w:val="none" w:sz="0" w:space="0" w:color="auto"/>
        <w:bottom w:val="none" w:sz="0" w:space="0" w:color="auto"/>
        <w:right w:val="none" w:sz="0" w:space="0" w:color="auto"/>
      </w:divBdr>
    </w:div>
    <w:div w:id="1263957917">
      <w:bodyDiv w:val="1"/>
      <w:marLeft w:val="225"/>
      <w:marRight w:val="225"/>
      <w:marTop w:val="0"/>
      <w:marBottom w:val="0"/>
      <w:divBdr>
        <w:top w:val="none" w:sz="0" w:space="0" w:color="auto"/>
        <w:left w:val="none" w:sz="0" w:space="0" w:color="auto"/>
        <w:bottom w:val="none" w:sz="0" w:space="0" w:color="auto"/>
        <w:right w:val="none" w:sz="0" w:space="0" w:color="auto"/>
      </w:divBdr>
      <w:divsChild>
        <w:div w:id="1870609871">
          <w:marLeft w:val="0"/>
          <w:marRight w:val="0"/>
          <w:marTop w:val="0"/>
          <w:marBottom w:val="0"/>
          <w:divBdr>
            <w:top w:val="none" w:sz="0" w:space="0" w:color="auto"/>
            <w:left w:val="none" w:sz="0" w:space="0" w:color="auto"/>
            <w:bottom w:val="none" w:sz="0" w:space="0" w:color="auto"/>
            <w:right w:val="none" w:sz="0" w:space="0" w:color="auto"/>
          </w:divBdr>
        </w:div>
      </w:divsChild>
    </w:div>
    <w:div w:id="1266301243">
      <w:bodyDiv w:val="1"/>
      <w:marLeft w:val="188"/>
      <w:marRight w:val="188"/>
      <w:marTop w:val="0"/>
      <w:marBottom w:val="0"/>
      <w:divBdr>
        <w:top w:val="none" w:sz="0" w:space="0" w:color="auto"/>
        <w:left w:val="none" w:sz="0" w:space="0" w:color="auto"/>
        <w:bottom w:val="none" w:sz="0" w:space="0" w:color="auto"/>
        <w:right w:val="none" w:sz="0" w:space="0" w:color="auto"/>
      </w:divBdr>
      <w:divsChild>
        <w:div w:id="1735544983">
          <w:marLeft w:val="0"/>
          <w:marRight w:val="0"/>
          <w:marTop w:val="0"/>
          <w:marBottom w:val="0"/>
          <w:divBdr>
            <w:top w:val="none" w:sz="0" w:space="0" w:color="auto"/>
            <w:left w:val="none" w:sz="0" w:space="0" w:color="auto"/>
            <w:bottom w:val="none" w:sz="0" w:space="0" w:color="auto"/>
            <w:right w:val="none" w:sz="0" w:space="0" w:color="auto"/>
          </w:divBdr>
        </w:div>
      </w:divsChild>
    </w:div>
    <w:div w:id="1271930970">
      <w:bodyDiv w:val="1"/>
      <w:marLeft w:val="0"/>
      <w:marRight w:val="0"/>
      <w:marTop w:val="0"/>
      <w:marBottom w:val="0"/>
      <w:divBdr>
        <w:top w:val="none" w:sz="0" w:space="0" w:color="auto"/>
        <w:left w:val="none" w:sz="0" w:space="0" w:color="auto"/>
        <w:bottom w:val="none" w:sz="0" w:space="0" w:color="auto"/>
        <w:right w:val="none" w:sz="0" w:space="0" w:color="auto"/>
      </w:divBdr>
    </w:div>
    <w:div w:id="1278755808">
      <w:bodyDiv w:val="1"/>
      <w:marLeft w:val="0"/>
      <w:marRight w:val="0"/>
      <w:marTop w:val="0"/>
      <w:marBottom w:val="0"/>
      <w:divBdr>
        <w:top w:val="none" w:sz="0" w:space="0" w:color="auto"/>
        <w:left w:val="none" w:sz="0" w:space="0" w:color="auto"/>
        <w:bottom w:val="none" w:sz="0" w:space="0" w:color="auto"/>
        <w:right w:val="none" w:sz="0" w:space="0" w:color="auto"/>
      </w:divBdr>
    </w:div>
    <w:div w:id="1312632549">
      <w:bodyDiv w:val="1"/>
      <w:marLeft w:val="0"/>
      <w:marRight w:val="0"/>
      <w:marTop w:val="0"/>
      <w:marBottom w:val="0"/>
      <w:divBdr>
        <w:top w:val="none" w:sz="0" w:space="0" w:color="auto"/>
        <w:left w:val="none" w:sz="0" w:space="0" w:color="auto"/>
        <w:bottom w:val="none" w:sz="0" w:space="0" w:color="auto"/>
        <w:right w:val="none" w:sz="0" w:space="0" w:color="auto"/>
      </w:divBdr>
    </w:div>
    <w:div w:id="1348681070">
      <w:bodyDiv w:val="1"/>
      <w:marLeft w:val="0"/>
      <w:marRight w:val="0"/>
      <w:marTop w:val="0"/>
      <w:marBottom w:val="0"/>
      <w:divBdr>
        <w:top w:val="none" w:sz="0" w:space="0" w:color="auto"/>
        <w:left w:val="none" w:sz="0" w:space="0" w:color="auto"/>
        <w:bottom w:val="none" w:sz="0" w:space="0" w:color="auto"/>
        <w:right w:val="none" w:sz="0" w:space="0" w:color="auto"/>
      </w:divBdr>
    </w:div>
    <w:div w:id="1352148106">
      <w:bodyDiv w:val="1"/>
      <w:marLeft w:val="225"/>
      <w:marRight w:val="225"/>
      <w:marTop w:val="0"/>
      <w:marBottom w:val="0"/>
      <w:divBdr>
        <w:top w:val="none" w:sz="0" w:space="0" w:color="auto"/>
        <w:left w:val="none" w:sz="0" w:space="0" w:color="auto"/>
        <w:bottom w:val="none" w:sz="0" w:space="0" w:color="auto"/>
        <w:right w:val="none" w:sz="0" w:space="0" w:color="auto"/>
      </w:divBdr>
      <w:divsChild>
        <w:div w:id="1927766775">
          <w:marLeft w:val="0"/>
          <w:marRight w:val="0"/>
          <w:marTop w:val="0"/>
          <w:marBottom w:val="0"/>
          <w:divBdr>
            <w:top w:val="none" w:sz="0" w:space="0" w:color="auto"/>
            <w:left w:val="none" w:sz="0" w:space="0" w:color="auto"/>
            <w:bottom w:val="none" w:sz="0" w:space="0" w:color="auto"/>
            <w:right w:val="none" w:sz="0" w:space="0" w:color="auto"/>
          </w:divBdr>
        </w:div>
      </w:divsChild>
    </w:div>
    <w:div w:id="1360816473">
      <w:bodyDiv w:val="1"/>
      <w:marLeft w:val="225"/>
      <w:marRight w:val="225"/>
      <w:marTop w:val="0"/>
      <w:marBottom w:val="0"/>
      <w:divBdr>
        <w:top w:val="none" w:sz="0" w:space="0" w:color="auto"/>
        <w:left w:val="none" w:sz="0" w:space="0" w:color="auto"/>
        <w:bottom w:val="none" w:sz="0" w:space="0" w:color="auto"/>
        <w:right w:val="none" w:sz="0" w:space="0" w:color="auto"/>
      </w:divBdr>
      <w:divsChild>
        <w:div w:id="1071465202">
          <w:marLeft w:val="0"/>
          <w:marRight w:val="0"/>
          <w:marTop w:val="0"/>
          <w:marBottom w:val="0"/>
          <w:divBdr>
            <w:top w:val="none" w:sz="0" w:space="0" w:color="auto"/>
            <w:left w:val="none" w:sz="0" w:space="0" w:color="auto"/>
            <w:bottom w:val="none" w:sz="0" w:space="0" w:color="auto"/>
            <w:right w:val="none" w:sz="0" w:space="0" w:color="auto"/>
          </w:divBdr>
        </w:div>
      </w:divsChild>
    </w:div>
    <w:div w:id="1360861736">
      <w:bodyDiv w:val="1"/>
      <w:marLeft w:val="0"/>
      <w:marRight w:val="0"/>
      <w:marTop w:val="0"/>
      <w:marBottom w:val="0"/>
      <w:divBdr>
        <w:top w:val="none" w:sz="0" w:space="0" w:color="auto"/>
        <w:left w:val="none" w:sz="0" w:space="0" w:color="auto"/>
        <w:bottom w:val="none" w:sz="0" w:space="0" w:color="auto"/>
        <w:right w:val="none" w:sz="0" w:space="0" w:color="auto"/>
      </w:divBdr>
    </w:div>
    <w:div w:id="1381322953">
      <w:bodyDiv w:val="1"/>
      <w:marLeft w:val="0"/>
      <w:marRight w:val="0"/>
      <w:marTop w:val="0"/>
      <w:marBottom w:val="0"/>
      <w:divBdr>
        <w:top w:val="none" w:sz="0" w:space="0" w:color="auto"/>
        <w:left w:val="none" w:sz="0" w:space="0" w:color="auto"/>
        <w:bottom w:val="none" w:sz="0" w:space="0" w:color="auto"/>
        <w:right w:val="none" w:sz="0" w:space="0" w:color="auto"/>
      </w:divBdr>
      <w:divsChild>
        <w:div w:id="1061057879">
          <w:marLeft w:val="0"/>
          <w:marRight w:val="0"/>
          <w:marTop w:val="0"/>
          <w:marBottom w:val="0"/>
          <w:divBdr>
            <w:top w:val="none" w:sz="0" w:space="0" w:color="auto"/>
            <w:left w:val="none" w:sz="0" w:space="0" w:color="auto"/>
            <w:bottom w:val="none" w:sz="0" w:space="0" w:color="auto"/>
            <w:right w:val="none" w:sz="0" w:space="0" w:color="auto"/>
          </w:divBdr>
        </w:div>
        <w:div w:id="1214344856">
          <w:marLeft w:val="0"/>
          <w:marRight w:val="0"/>
          <w:marTop w:val="0"/>
          <w:marBottom w:val="0"/>
          <w:divBdr>
            <w:top w:val="none" w:sz="0" w:space="0" w:color="auto"/>
            <w:left w:val="none" w:sz="0" w:space="0" w:color="auto"/>
            <w:bottom w:val="none" w:sz="0" w:space="0" w:color="auto"/>
            <w:right w:val="none" w:sz="0" w:space="0" w:color="auto"/>
          </w:divBdr>
        </w:div>
        <w:div w:id="1527254717">
          <w:marLeft w:val="0"/>
          <w:marRight w:val="0"/>
          <w:marTop w:val="0"/>
          <w:marBottom w:val="0"/>
          <w:divBdr>
            <w:top w:val="none" w:sz="0" w:space="0" w:color="auto"/>
            <w:left w:val="none" w:sz="0" w:space="0" w:color="auto"/>
            <w:bottom w:val="none" w:sz="0" w:space="0" w:color="auto"/>
            <w:right w:val="none" w:sz="0" w:space="0" w:color="auto"/>
          </w:divBdr>
        </w:div>
        <w:div w:id="1707441355">
          <w:marLeft w:val="0"/>
          <w:marRight w:val="0"/>
          <w:marTop w:val="0"/>
          <w:marBottom w:val="0"/>
          <w:divBdr>
            <w:top w:val="none" w:sz="0" w:space="0" w:color="auto"/>
            <w:left w:val="none" w:sz="0" w:space="0" w:color="auto"/>
            <w:bottom w:val="none" w:sz="0" w:space="0" w:color="auto"/>
            <w:right w:val="none" w:sz="0" w:space="0" w:color="auto"/>
          </w:divBdr>
        </w:div>
        <w:div w:id="508060903">
          <w:marLeft w:val="0"/>
          <w:marRight w:val="0"/>
          <w:marTop w:val="0"/>
          <w:marBottom w:val="0"/>
          <w:divBdr>
            <w:top w:val="none" w:sz="0" w:space="0" w:color="auto"/>
            <w:left w:val="none" w:sz="0" w:space="0" w:color="auto"/>
            <w:bottom w:val="none" w:sz="0" w:space="0" w:color="auto"/>
            <w:right w:val="none" w:sz="0" w:space="0" w:color="auto"/>
          </w:divBdr>
        </w:div>
        <w:div w:id="639457771">
          <w:marLeft w:val="0"/>
          <w:marRight w:val="0"/>
          <w:marTop w:val="0"/>
          <w:marBottom w:val="0"/>
          <w:divBdr>
            <w:top w:val="none" w:sz="0" w:space="0" w:color="auto"/>
            <w:left w:val="none" w:sz="0" w:space="0" w:color="auto"/>
            <w:bottom w:val="none" w:sz="0" w:space="0" w:color="auto"/>
            <w:right w:val="none" w:sz="0" w:space="0" w:color="auto"/>
          </w:divBdr>
        </w:div>
        <w:div w:id="1086920377">
          <w:marLeft w:val="0"/>
          <w:marRight w:val="0"/>
          <w:marTop w:val="0"/>
          <w:marBottom w:val="0"/>
          <w:divBdr>
            <w:top w:val="none" w:sz="0" w:space="0" w:color="auto"/>
            <w:left w:val="none" w:sz="0" w:space="0" w:color="auto"/>
            <w:bottom w:val="none" w:sz="0" w:space="0" w:color="auto"/>
            <w:right w:val="none" w:sz="0" w:space="0" w:color="auto"/>
          </w:divBdr>
        </w:div>
        <w:div w:id="1097604787">
          <w:marLeft w:val="0"/>
          <w:marRight w:val="0"/>
          <w:marTop w:val="0"/>
          <w:marBottom w:val="0"/>
          <w:divBdr>
            <w:top w:val="none" w:sz="0" w:space="0" w:color="auto"/>
            <w:left w:val="none" w:sz="0" w:space="0" w:color="auto"/>
            <w:bottom w:val="none" w:sz="0" w:space="0" w:color="auto"/>
            <w:right w:val="none" w:sz="0" w:space="0" w:color="auto"/>
          </w:divBdr>
        </w:div>
        <w:div w:id="1432748509">
          <w:marLeft w:val="0"/>
          <w:marRight w:val="0"/>
          <w:marTop w:val="0"/>
          <w:marBottom w:val="0"/>
          <w:divBdr>
            <w:top w:val="none" w:sz="0" w:space="0" w:color="auto"/>
            <w:left w:val="none" w:sz="0" w:space="0" w:color="auto"/>
            <w:bottom w:val="none" w:sz="0" w:space="0" w:color="auto"/>
            <w:right w:val="none" w:sz="0" w:space="0" w:color="auto"/>
          </w:divBdr>
        </w:div>
        <w:div w:id="1954482810">
          <w:marLeft w:val="0"/>
          <w:marRight w:val="0"/>
          <w:marTop w:val="0"/>
          <w:marBottom w:val="0"/>
          <w:divBdr>
            <w:top w:val="none" w:sz="0" w:space="0" w:color="auto"/>
            <w:left w:val="none" w:sz="0" w:space="0" w:color="auto"/>
            <w:bottom w:val="none" w:sz="0" w:space="0" w:color="auto"/>
            <w:right w:val="none" w:sz="0" w:space="0" w:color="auto"/>
          </w:divBdr>
        </w:div>
        <w:div w:id="1759984142">
          <w:marLeft w:val="0"/>
          <w:marRight w:val="0"/>
          <w:marTop w:val="0"/>
          <w:marBottom w:val="0"/>
          <w:divBdr>
            <w:top w:val="none" w:sz="0" w:space="0" w:color="auto"/>
            <w:left w:val="none" w:sz="0" w:space="0" w:color="auto"/>
            <w:bottom w:val="none" w:sz="0" w:space="0" w:color="auto"/>
            <w:right w:val="none" w:sz="0" w:space="0" w:color="auto"/>
          </w:divBdr>
        </w:div>
        <w:div w:id="1079130647">
          <w:marLeft w:val="0"/>
          <w:marRight w:val="0"/>
          <w:marTop w:val="0"/>
          <w:marBottom w:val="0"/>
          <w:divBdr>
            <w:top w:val="none" w:sz="0" w:space="0" w:color="auto"/>
            <w:left w:val="none" w:sz="0" w:space="0" w:color="auto"/>
            <w:bottom w:val="none" w:sz="0" w:space="0" w:color="auto"/>
            <w:right w:val="none" w:sz="0" w:space="0" w:color="auto"/>
          </w:divBdr>
        </w:div>
        <w:div w:id="632296425">
          <w:marLeft w:val="0"/>
          <w:marRight w:val="0"/>
          <w:marTop w:val="0"/>
          <w:marBottom w:val="0"/>
          <w:divBdr>
            <w:top w:val="none" w:sz="0" w:space="0" w:color="auto"/>
            <w:left w:val="none" w:sz="0" w:space="0" w:color="auto"/>
            <w:bottom w:val="none" w:sz="0" w:space="0" w:color="auto"/>
            <w:right w:val="none" w:sz="0" w:space="0" w:color="auto"/>
          </w:divBdr>
        </w:div>
        <w:div w:id="1608810052">
          <w:marLeft w:val="0"/>
          <w:marRight w:val="0"/>
          <w:marTop w:val="0"/>
          <w:marBottom w:val="0"/>
          <w:divBdr>
            <w:top w:val="none" w:sz="0" w:space="0" w:color="auto"/>
            <w:left w:val="none" w:sz="0" w:space="0" w:color="auto"/>
            <w:bottom w:val="none" w:sz="0" w:space="0" w:color="auto"/>
            <w:right w:val="none" w:sz="0" w:space="0" w:color="auto"/>
          </w:divBdr>
        </w:div>
        <w:div w:id="313030957">
          <w:marLeft w:val="0"/>
          <w:marRight w:val="0"/>
          <w:marTop w:val="0"/>
          <w:marBottom w:val="0"/>
          <w:divBdr>
            <w:top w:val="none" w:sz="0" w:space="0" w:color="auto"/>
            <w:left w:val="none" w:sz="0" w:space="0" w:color="auto"/>
            <w:bottom w:val="none" w:sz="0" w:space="0" w:color="auto"/>
            <w:right w:val="none" w:sz="0" w:space="0" w:color="auto"/>
          </w:divBdr>
        </w:div>
        <w:div w:id="1894003028">
          <w:marLeft w:val="0"/>
          <w:marRight w:val="0"/>
          <w:marTop w:val="0"/>
          <w:marBottom w:val="0"/>
          <w:divBdr>
            <w:top w:val="none" w:sz="0" w:space="0" w:color="auto"/>
            <w:left w:val="none" w:sz="0" w:space="0" w:color="auto"/>
            <w:bottom w:val="none" w:sz="0" w:space="0" w:color="auto"/>
            <w:right w:val="none" w:sz="0" w:space="0" w:color="auto"/>
          </w:divBdr>
        </w:div>
        <w:div w:id="152643442">
          <w:marLeft w:val="0"/>
          <w:marRight w:val="0"/>
          <w:marTop w:val="0"/>
          <w:marBottom w:val="0"/>
          <w:divBdr>
            <w:top w:val="none" w:sz="0" w:space="0" w:color="auto"/>
            <w:left w:val="none" w:sz="0" w:space="0" w:color="auto"/>
            <w:bottom w:val="none" w:sz="0" w:space="0" w:color="auto"/>
            <w:right w:val="none" w:sz="0" w:space="0" w:color="auto"/>
          </w:divBdr>
        </w:div>
        <w:div w:id="1184125939">
          <w:marLeft w:val="0"/>
          <w:marRight w:val="0"/>
          <w:marTop w:val="0"/>
          <w:marBottom w:val="0"/>
          <w:divBdr>
            <w:top w:val="none" w:sz="0" w:space="0" w:color="auto"/>
            <w:left w:val="none" w:sz="0" w:space="0" w:color="auto"/>
            <w:bottom w:val="none" w:sz="0" w:space="0" w:color="auto"/>
            <w:right w:val="none" w:sz="0" w:space="0" w:color="auto"/>
          </w:divBdr>
        </w:div>
        <w:div w:id="1032656086">
          <w:marLeft w:val="0"/>
          <w:marRight w:val="0"/>
          <w:marTop w:val="0"/>
          <w:marBottom w:val="0"/>
          <w:divBdr>
            <w:top w:val="none" w:sz="0" w:space="0" w:color="auto"/>
            <w:left w:val="none" w:sz="0" w:space="0" w:color="auto"/>
            <w:bottom w:val="none" w:sz="0" w:space="0" w:color="auto"/>
            <w:right w:val="none" w:sz="0" w:space="0" w:color="auto"/>
          </w:divBdr>
        </w:div>
        <w:div w:id="1608926890">
          <w:marLeft w:val="0"/>
          <w:marRight w:val="0"/>
          <w:marTop w:val="0"/>
          <w:marBottom w:val="0"/>
          <w:divBdr>
            <w:top w:val="none" w:sz="0" w:space="0" w:color="auto"/>
            <w:left w:val="none" w:sz="0" w:space="0" w:color="auto"/>
            <w:bottom w:val="none" w:sz="0" w:space="0" w:color="auto"/>
            <w:right w:val="none" w:sz="0" w:space="0" w:color="auto"/>
          </w:divBdr>
        </w:div>
        <w:div w:id="102111116">
          <w:marLeft w:val="0"/>
          <w:marRight w:val="0"/>
          <w:marTop w:val="0"/>
          <w:marBottom w:val="0"/>
          <w:divBdr>
            <w:top w:val="none" w:sz="0" w:space="0" w:color="auto"/>
            <w:left w:val="none" w:sz="0" w:space="0" w:color="auto"/>
            <w:bottom w:val="none" w:sz="0" w:space="0" w:color="auto"/>
            <w:right w:val="none" w:sz="0" w:space="0" w:color="auto"/>
          </w:divBdr>
        </w:div>
        <w:div w:id="1823545695">
          <w:marLeft w:val="0"/>
          <w:marRight w:val="0"/>
          <w:marTop w:val="0"/>
          <w:marBottom w:val="0"/>
          <w:divBdr>
            <w:top w:val="none" w:sz="0" w:space="0" w:color="auto"/>
            <w:left w:val="none" w:sz="0" w:space="0" w:color="auto"/>
            <w:bottom w:val="none" w:sz="0" w:space="0" w:color="auto"/>
            <w:right w:val="none" w:sz="0" w:space="0" w:color="auto"/>
          </w:divBdr>
        </w:div>
        <w:div w:id="1330670871">
          <w:marLeft w:val="0"/>
          <w:marRight w:val="0"/>
          <w:marTop w:val="0"/>
          <w:marBottom w:val="0"/>
          <w:divBdr>
            <w:top w:val="none" w:sz="0" w:space="0" w:color="auto"/>
            <w:left w:val="none" w:sz="0" w:space="0" w:color="auto"/>
            <w:bottom w:val="none" w:sz="0" w:space="0" w:color="auto"/>
            <w:right w:val="none" w:sz="0" w:space="0" w:color="auto"/>
          </w:divBdr>
        </w:div>
        <w:div w:id="861284785">
          <w:marLeft w:val="0"/>
          <w:marRight w:val="0"/>
          <w:marTop w:val="0"/>
          <w:marBottom w:val="0"/>
          <w:divBdr>
            <w:top w:val="none" w:sz="0" w:space="0" w:color="auto"/>
            <w:left w:val="none" w:sz="0" w:space="0" w:color="auto"/>
            <w:bottom w:val="none" w:sz="0" w:space="0" w:color="auto"/>
            <w:right w:val="none" w:sz="0" w:space="0" w:color="auto"/>
          </w:divBdr>
        </w:div>
        <w:div w:id="2048721547">
          <w:marLeft w:val="0"/>
          <w:marRight w:val="0"/>
          <w:marTop w:val="0"/>
          <w:marBottom w:val="0"/>
          <w:divBdr>
            <w:top w:val="none" w:sz="0" w:space="0" w:color="auto"/>
            <w:left w:val="none" w:sz="0" w:space="0" w:color="auto"/>
            <w:bottom w:val="none" w:sz="0" w:space="0" w:color="auto"/>
            <w:right w:val="none" w:sz="0" w:space="0" w:color="auto"/>
          </w:divBdr>
        </w:div>
        <w:div w:id="239293855">
          <w:marLeft w:val="0"/>
          <w:marRight w:val="0"/>
          <w:marTop w:val="0"/>
          <w:marBottom w:val="0"/>
          <w:divBdr>
            <w:top w:val="none" w:sz="0" w:space="0" w:color="auto"/>
            <w:left w:val="none" w:sz="0" w:space="0" w:color="auto"/>
            <w:bottom w:val="none" w:sz="0" w:space="0" w:color="auto"/>
            <w:right w:val="none" w:sz="0" w:space="0" w:color="auto"/>
          </w:divBdr>
        </w:div>
        <w:div w:id="1345472015">
          <w:marLeft w:val="0"/>
          <w:marRight w:val="0"/>
          <w:marTop w:val="0"/>
          <w:marBottom w:val="0"/>
          <w:divBdr>
            <w:top w:val="none" w:sz="0" w:space="0" w:color="auto"/>
            <w:left w:val="none" w:sz="0" w:space="0" w:color="auto"/>
            <w:bottom w:val="none" w:sz="0" w:space="0" w:color="auto"/>
            <w:right w:val="none" w:sz="0" w:space="0" w:color="auto"/>
          </w:divBdr>
        </w:div>
        <w:div w:id="1243755445">
          <w:marLeft w:val="0"/>
          <w:marRight w:val="0"/>
          <w:marTop w:val="0"/>
          <w:marBottom w:val="0"/>
          <w:divBdr>
            <w:top w:val="none" w:sz="0" w:space="0" w:color="auto"/>
            <w:left w:val="none" w:sz="0" w:space="0" w:color="auto"/>
            <w:bottom w:val="none" w:sz="0" w:space="0" w:color="auto"/>
            <w:right w:val="none" w:sz="0" w:space="0" w:color="auto"/>
          </w:divBdr>
        </w:div>
        <w:div w:id="723261155">
          <w:marLeft w:val="0"/>
          <w:marRight w:val="0"/>
          <w:marTop w:val="0"/>
          <w:marBottom w:val="0"/>
          <w:divBdr>
            <w:top w:val="none" w:sz="0" w:space="0" w:color="auto"/>
            <w:left w:val="none" w:sz="0" w:space="0" w:color="auto"/>
            <w:bottom w:val="none" w:sz="0" w:space="0" w:color="auto"/>
            <w:right w:val="none" w:sz="0" w:space="0" w:color="auto"/>
          </w:divBdr>
        </w:div>
        <w:div w:id="560288366">
          <w:marLeft w:val="0"/>
          <w:marRight w:val="0"/>
          <w:marTop w:val="0"/>
          <w:marBottom w:val="0"/>
          <w:divBdr>
            <w:top w:val="none" w:sz="0" w:space="0" w:color="auto"/>
            <w:left w:val="none" w:sz="0" w:space="0" w:color="auto"/>
            <w:bottom w:val="none" w:sz="0" w:space="0" w:color="auto"/>
            <w:right w:val="none" w:sz="0" w:space="0" w:color="auto"/>
          </w:divBdr>
        </w:div>
        <w:div w:id="1472358627">
          <w:marLeft w:val="0"/>
          <w:marRight w:val="0"/>
          <w:marTop w:val="0"/>
          <w:marBottom w:val="0"/>
          <w:divBdr>
            <w:top w:val="none" w:sz="0" w:space="0" w:color="auto"/>
            <w:left w:val="none" w:sz="0" w:space="0" w:color="auto"/>
            <w:bottom w:val="none" w:sz="0" w:space="0" w:color="auto"/>
            <w:right w:val="none" w:sz="0" w:space="0" w:color="auto"/>
          </w:divBdr>
        </w:div>
        <w:div w:id="1681858016">
          <w:marLeft w:val="0"/>
          <w:marRight w:val="0"/>
          <w:marTop w:val="0"/>
          <w:marBottom w:val="0"/>
          <w:divBdr>
            <w:top w:val="none" w:sz="0" w:space="0" w:color="auto"/>
            <w:left w:val="none" w:sz="0" w:space="0" w:color="auto"/>
            <w:bottom w:val="none" w:sz="0" w:space="0" w:color="auto"/>
            <w:right w:val="none" w:sz="0" w:space="0" w:color="auto"/>
          </w:divBdr>
        </w:div>
        <w:div w:id="966663130">
          <w:marLeft w:val="0"/>
          <w:marRight w:val="0"/>
          <w:marTop w:val="0"/>
          <w:marBottom w:val="0"/>
          <w:divBdr>
            <w:top w:val="none" w:sz="0" w:space="0" w:color="auto"/>
            <w:left w:val="none" w:sz="0" w:space="0" w:color="auto"/>
            <w:bottom w:val="none" w:sz="0" w:space="0" w:color="auto"/>
            <w:right w:val="none" w:sz="0" w:space="0" w:color="auto"/>
          </w:divBdr>
        </w:div>
        <w:div w:id="116487026">
          <w:marLeft w:val="0"/>
          <w:marRight w:val="0"/>
          <w:marTop w:val="0"/>
          <w:marBottom w:val="0"/>
          <w:divBdr>
            <w:top w:val="none" w:sz="0" w:space="0" w:color="auto"/>
            <w:left w:val="none" w:sz="0" w:space="0" w:color="auto"/>
            <w:bottom w:val="none" w:sz="0" w:space="0" w:color="auto"/>
            <w:right w:val="none" w:sz="0" w:space="0" w:color="auto"/>
          </w:divBdr>
        </w:div>
        <w:div w:id="342588064">
          <w:marLeft w:val="0"/>
          <w:marRight w:val="0"/>
          <w:marTop w:val="0"/>
          <w:marBottom w:val="0"/>
          <w:divBdr>
            <w:top w:val="none" w:sz="0" w:space="0" w:color="auto"/>
            <w:left w:val="none" w:sz="0" w:space="0" w:color="auto"/>
            <w:bottom w:val="none" w:sz="0" w:space="0" w:color="auto"/>
            <w:right w:val="none" w:sz="0" w:space="0" w:color="auto"/>
          </w:divBdr>
        </w:div>
        <w:div w:id="2097168408">
          <w:marLeft w:val="0"/>
          <w:marRight w:val="0"/>
          <w:marTop w:val="0"/>
          <w:marBottom w:val="0"/>
          <w:divBdr>
            <w:top w:val="none" w:sz="0" w:space="0" w:color="auto"/>
            <w:left w:val="none" w:sz="0" w:space="0" w:color="auto"/>
            <w:bottom w:val="none" w:sz="0" w:space="0" w:color="auto"/>
            <w:right w:val="none" w:sz="0" w:space="0" w:color="auto"/>
          </w:divBdr>
        </w:div>
        <w:div w:id="52625415">
          <w:marLeft w:val="0"/>
          <w:marRight w:val="0"/>
          <w:marTop w:val="0"/>
          <w:marBottom w:val="0"/>
          <w:divBdr>
            <w:top w:val="none" w:sz="0" w:space="0" w:color="auto"/>
            <w:left w:val="none" w:sz="0" w:space="0" w:color="auto"/>
            <w:bottom w:val="none" w:sz="0" w:space="0" w:color="auto"/>
            <w:right w:val="none" w:sz="0" w:space="0" w:color="auto"/>
          </w:divBdr>
        </w:div>
        <w:div w:id="91975724">
          <w:marLeft w:val="0"/>
          <w:marRight w:val="0"/>
          <w:marTop w:val="0"/>
          <w:marBottom w:val="0"/>
          <w:divBdr>
            <w:top w:val="none" w:sz="0" w:space="0" w:color="auto"/>
            <w:left w:val="none" w:sz="0" w:space="0" w:color="auto"/>
            <w:bottom w:val="none" w:sz="0" w:space="0" w:color="auto"/>
            <w:right w:val="none" w:sz="0" w:space="0" w:color="auto"/>
          </w:divBdr>
        </w:div>
        <w:div w:id="64425217">
          <w:marLeft w:val="0"/>
          <w:marRight w:val="0"/>
          <w:marTop w:val="0"/>
          <w:marBottom w:val="0"/>
          <w:divBdr>
            <w:top w:val="none" w:sz="0" w:space="0" w:color="auto"/>
            <w:left w:val="none" w:sz="0" w:space="0" w:color="auto"/>
            <w:bottom w:val="none" w:sz="0" w:space="0" w:color="auto"/>
            <w:right w:val="none" w:sz="0" w:space="0" w:color="auto"/>
          </w:divBdr>
        </w:div>
        <w:div w:id="1940481994">
          <w:marLeft w:val="0"/>
          <w:marRight w:val="0"/>
          <w:marTop w:val="0"/>
          <w:marBottom w:val="0"/>
          <w:divBdr>
            <w:top w:val="none" w:sz="0" w:space="0" w:color="auto"/>
            <w:left w:val="none" w:sz="0" w:space="0" w:color="auto"/>
            <w:bottom w:val="none" w:sz="0" w:space="0" w:color="auto"/>
            <w:right w:val="none" w:sz="0" w:space="0" w:color="auto"/>
          </w:divBdr>
        </w:div>
        <w:div w:id="1406299759">
          <w:marLeft w:val="0"/>
          <w:marRight w:val="0"/>
          <w:marTop w:val="0"/>
          <w:marBottom w:val="0"/>
          <w:divBdr>
            <w:top w:val="none" w:sz="0" w:space="0" w:color="auto"/>
            <w:left w:val="none" w:sz="0" w:space="0" w:color="auto"/>
            <w:bottom w:val="none" w:sz="0" w:space="0" w:color="auto"/>
            <w:right w:val="none" w:sz="0" w:space="0" w:color="auto"/>
          </w:divBdr>
        </w:div>
      </w:divsChild>
    </w:div>
    <w:div w:id="1381711772">
      <w:bodyDiv w:val="1"/>
      <w:marLeft w:val="188"/>
      <w:marRight w:val="188"/>
      <w:marTop w:val="0"/>
      <w:marBottom w:val="0"/>
      <w:divBdr>
        <w:top w:val="none" w:sz="0" w:space="0" w:color="auto"/>
        <w:left w:val="none" w:sz="0" w:space="0" w:color="auto"/>
        <w:bottom w:val="none" w:sz="0" w:space="0" w:color="auto"/>
        <w:right w:val="none" w:sz="0" w:space="0" w:color="auto"/>
      </w:divBdr>
      <w:divsChild>
        <w:div w:id="1753968830">
          <w:marLeft w:val="0"/>
          <w:marRight w:val="0"/>
          <w:marTop w:val="0"/>
          <w:marBottom w:val="0"/>
          <w:divBdr>
            <w:top w:val="none" w:sz="0" w:space="0" w:color="auto"/>
            <w:left w:val="none" w:sz="0" w:space="0" w:color="auto"/>
            <w:bottom w:val="none" w:sz="0" w:space="0" w:color="auto"/>
            <w:right w:val="none" w:sz="0" w:space="0" w:color="auto"/>
          </w:divBdr>
        </w:div>
      </w:divsChild>
    </w:div>
    <w:div w:id="1385905131">
      <w:bodyDiv w:val="1"/>
      <w:marLeft w:val="0"/>
      <w:marRight w:val="0"/>
      <w:marTop w:val="0"/>
      <w:marBottom w:val="0"/>
      <w:divBdr>
        <w:top w:val="none" w:sz="0" w:space="0" w:color="auto"/>
        <w:left w:val="none" w:sz="0" w:space="0" w:color="auto"/>
        <w:bottom w:val="none" w:sz="0" w:space="0" w:color="auto"/>
        <w:right w:val="none" w:sz="0" w:space="0" w:color="auto"/>
      </w:divBdr>
      <w:divsChild>
        <w:div w:id="1150754588">
          <w:marLeft w:val="0"/>
          <w:marRight w:val="0"/>
          <w:marTop w:val="0"/>
          <w:marBottom w:val="0"/>
          <w:divBdr>
            <w:top w:val="none" w:sz="0" w:space="0" w:color="auto"/>
            <w:left w:val="none" w:sz="0" w:space="0" w:color="auto"/>
            <w:bottom w:val="none" w:sz="0" w:space="0" w:color="auto"/>
            <w:right w:val="none" w:sz="0" w:space="0" w:color="auto"/>
          </w:divBdr>
        </w:div>
        <w:div w:id="93720166">
          <w:marLeft w:val="0"/>
          <w:marRight w:val="0"/>
          <w:marTop w:val="0"/>
          <w:marBottom w:val="0"/>
          <w:divBdr>
            <w:top w:val="none" w:sz="0" w:space="0" w:color="auto"/>
            <w:left w:val="none" w:sz="0" w:space="0" w:color="auto"/>
            <w:bottom w:val="none" w:sz="0" w:space="0" w:color="auto"/>
            <w:right w:val="none" w:sz="0" w:space="0" w:color="auto"/>
          </w:divBdr>
        </w:div>
        <w:div w:id="1858692716">
          <w:marLeft w:val="0"/>
          <w:marRight w:val="0"/>
          <w:marTop w:val="0"/>
          <w:marBottom w:val="0"/>
          <w:divBdr>
            <w:top w:val="none" w:sz="0" w:space="0" w:color="auto"/>
            <w:left w:val="none" w:sz="0" w:space="0" w:color="auto"/>
            <w:bottom w:val="none" w:sz="0" w:space="0" w:color="auto"/>
            <w:right w:val="none" w:sz="0" w:space="0" w:color="auto"/>
          </w:divBdr>
        </w:div>
      </w:divsChild>
    </w:div>
    <w:div w:id="1387683285">
      <w:bodyDiv w:val="1"/>
      <w:marLeft w:val="188"/>
      <w:marRight w:val="188"/>
      <w:marTop w:val="0"/>
      <w:marBottom w:val="0"/>
      <w:divBdr>
        <w:top w:val="none" w:sz="0" w:space="0" w:color="auto"/>
        <w:left w:val="none" w:sz="0" w:space="0" w:color="auto"/>
        <w:bottom w:val="none" w:sz="0" w:space="0" w:color="auto"/>
        <w:right w:val="none" w:sz="0" w:space="0" w:color="auto"/>
      </w:divBdr>
    </w:div>
    <w:div w:id="1409963700">
      <w:bodyDiv w:val="1"/>
      <w:marLeft w:val="225"/>
      <w:marRight w:val="225"/>
      <w:marTop w:val="0"/>
      <w:marBottom w:val="0"/>
      <w:divBdr>
        <w:top w:val="none" w:sz="0" w:space="0" w:color="auto"/>
        <w:left w:val="none" w:sz="0" w:space="0" w:color="auto"/>
        <w:bottom w:val="none" w:sz="0" w:space="0" w:color="auto"/>
        <w:right w:val="none" w:sz="0" w:space="0" w:color="auto"/>
      </w:divBdr>
      <w:divsChild>
        <w:div w:id="1576939272">
          <w:marLeft w:val="0"/>
          <w:marRight w:val="0"/>
          <w:marTop w:val="0"/>
          <w:marBottom w:val="0"/>
          <w:divBdr>
            <w:top w:val="none" w:sz="0" w:space="0" w:color="auto"/>
            <w:left w:val="none" w:sz="0" w:space="0" w:color="auto"/>
            <w:bottom w:val="none" w:sz="0" w:space="0" w:color="auto"/>
            <w:right w:val="none" w:sz="0" w:space="0" w:color="auto"/>
          </w:divBdr>
        </w:div>
      </w:divsChild>
    </w:div>
    <w:div w:id="1447655996">
      <w:bodyDiv w:val="1"/>
      <w:marLeft w:val="0"/>
      <w:marRight w:val="0"/>
      <w:marTop w:val="0"/>
      <w:marBottom w:val="0"/>
      <w:divBdr>
        <w:top w:val="none" w:sz="0" w:space="0" w:color="auto"/>
        <w:left w:val="none" w:sz="0" w:space="0" w:color="auto"/>
        <w:bottom w:val="none" w:sz="0" w:space="0" w:color="auto"/>
        <w:right w:val="none" w:sz="0" w:space="0" w:color="auto"/>
      </w:divBdr>
    </w:div>
    <w:div w:id="1453789769">
      <w:bodyDiv w:val="1"/>
      <w:marLeft w:val="225"/>
      <w:marRight w:val="225"/>
      <w:marTop w:val="0"/>
      <w:marBottom w:val="0"/>
      <w:divBdr>
        <w:top w:val="none" w:sz="0" w:space="0" w:color="auto"/>
        <w:left w:val="none" w:sz="0" w:space="0" w:color="auto"/>
        <w:bottom w:val="none" w:sz="0" w:space="0" w:color="auto"/>
        <w:right w:val="none" w:sz="0" w:space="0" w:color="auto"/>
      </w:divBdr>
      <w:divsChild>
        <w:div w:id="1796867792">
          <w:marLeft w:val="0"/>
          <w:marRight w:val="0"/>
          <w:marTop w:val="0"/>
          <w:marBottom w:val="0"/>
          <w:divBdr>
            <w:top w:val="none" w:sz="0" w:space="0" w:color="auto"/>
            <w:left w:val="none" w:sz="0" w:space="0" w:color="auto"/>
            <w:bottom w:val="none" w:sz="0" w:space="0" w:color="auto"/>
            <w:right w:val="none" w:sz="0" w:space="0" w:color="auto"/>
          </w:divBdr>
        </w:div>
      </w:divsChild>
    </w:div>
    <w:div w:id="1455906916">
      <w:bodyDiv w:val="1"/>
      <w:marLeft w:val="0"/>
      <w:marRight w:val="0"/>
      <w:marTop w:val="0"/>
      <w:marBottom w:val="0"/>
      <w:divBdr>
        <w:top w:val="none" w:sz="0" w:space="0" w:color="auto"/>
        <w:left w:val="none" w:sz="0" w:space="0" w:color="auto"/>
        <w:bottom w:val="none" w:sz="0" w:space="0" w:color="auto"/>
        <w:right w:val="none" w:sz="0" w:space="0" w:color="auto"/>
      </w:divBdr>
    </w:div>
    <w:div w:id="1466116665">
      <w:bodyDiv w:val="1"/>
      <w:marLeft w:val="0"/>
      <w:marRight w:val="0"/>
      <w:marTop w:val="0"/>
      <w:marBottom w:val="0"/>
      <w:divBdr>
        <w:top w:val="none" w:sz="0" w:space="0" w:color="auto"/>
        <w:left w:val="none" w:sz="0" w:space="0" w:color="auto"/>
        <w:bottom w:val="none" w:sz="0" w:space="0" w:color="auto"/>
        <w:right w:val="none" w:sz="0" w:space="0" w:color="auto"/>
      </w:divBdr>
    </w:div>
    <w:div w:id="1467045942">
      <w:bodyDiv w:val="1"/>
      <w:marLeft w:val="0"/>
      <w:marRight w:val="0"/>
      <w:marTop w:val="0"/>
      <w:marBottom w:val="0"/>
      <w:divBdr>
        <w:top w:val="none" w:sz="0" w:space="0" w:color="auto"/>
        <w:left w:val="none" w:sz="0" w:space="0" w:color="auto"/>
        <w:bottom w:val="none" w:sz="0" w:space="0" w:color="auto"/>
        <w:right w:val="none" w:sz="0" w:space="0" w:color="auto"/>
      </w:divBdr>
    </w:div>
    <w:div w:id="1470392622">
      <w:bodyDiv w:val="1"/>
      <w:marLeft w:val="225"/>
      <w:marRight w:val="225"/>
      <w:marTop w:val="0"/>
      <w:marBottom w:val="0"/>
      <w:divBdr>
        <w:top w:val="none" w:sz="0" w:space="0" w:color="auto"/>
        <w:left w:val="none" w:sz="0" w:space="0" w:color="auto"/>
        <w:bottom w:val="none" w:sz="0" w:space="0" w:color="auto"/>
        <w:right w:val="none" w:sz="0" w:space="0" w:color="auto"/>
      </w:divBdr>
      <w:divsChild>
        <w:div w:id="234440504">
          <w:marLeft w:val="0"/>
          <w:marRight w:val="0"/>
          <w:marTop w:val="0"/>
          <w:marBottom w:val="0"/>
          <w:divBdr>
            <w:top w:val="none" w:sz="0" w:space="0" w:color="auto"/>
            <w:left w:val="none" w:sz="0" w:space="0" w:color="auto"/>
            <w:bottom w:val="none" w:sz="0" w:space="0" w:color="auto"/>
            <w:right w:val="none" w:sz="0" w:space="0" w:color="auto"/>
          </w:divBdr>
        </w:div>
      </w:divsChild>
    </w:div>
    <w:div w:id="1474373743">
      <w:bodyDiv w:val="1"/>
      <w:marLeft w:val="0"/>
      <w:marRight w:val="0"/>
      <w:marTop w:val="0"/>
      <w:marBottom w:val="0"/>
      <w:divBdr>
        <w:top w:val="none" w:sz="0" w:space="0" w:color="auto"/>
        <w:left w:val="none" w:sz="0" w:space="0" w:color="auto"/>
        <w:bottom w:val="none" w:sz="0" w:space="0" w:color="auto"/>
        <w:right w:val="none" w:sz="0" w:space="0" w:color="auto"/>
      </w:divBdr>
    </w:div>
    <w:div w:id="1493066747">
      <w:bodyDiv w:val="1"/>
      <w:marLeft w:val="0"/>
      <w:marRight w:val="0"/>
      <w:marTop w:val="0"/>
      <w:marBottom w:val="0"/>
      <w:divBdr>
        <w:top w:val="none" w:sz="0" w:space="0" w:color="auto"/>
        <w:left w:val="none" w:sz="0" w:space="0" w:color="auto"/>
        <w:bottom w:val="none" w:sz="0" w:space="0" w:color="auto"/>
        <w:right w:val="none" w:sz="0" w:space="0" w:color="auto"/>
      </w:divBdr>
      <w:divsChild>
        <w:div w:id="1606619738">
          <w:marLeft w:val="0"/>
          <w:marRight w:val="0"/>
          <w:marTop w:val="0"/>
          <w:marBottom w:val="0"/>
          <w:divBdr>
            <w:top w:val="none" w:sz="0" w:space="0" w:color="auto"/>
            <w:left w:val="none" w:sz="0" w:space="0" w:color="auto"/>
            <w:bottom w:val="none" w:sz="0" w:space="0" w:color="auto"/>
            <w:right w:val="none" w:sz="0" w:space="0" w:color="auto"/>
          </w:divBdr>
        </w:div>
        <w:div w:id="344794598">
          <w:marLeft w:val="0"/>
          <w:marRight w:val="0"/>
          <w:marTop w:val="0"/>
          <w:marBottom w:val="0"/>
          <w:divBdr>
            <w:top w:val="none" w:sz="0" w:space="0" w:color="auto"/>
            <w:left w:val="none" w:sz="0" w:space="0" w:color="auto"/>
            <w:bottom w:val="none" w:sz="0" w:space="0" w:color="auto"/>
            <w:right w:val="none" w:sz="0" w:space="0" w:color="auto"/>
          </w:divBdr>
        </w:div>
        <w:div w:id="1778214775">
          <w:marLeft w:val="0"/>
          <w:marRight w:val="0"/>
          <w:marTop w:val="0"/>
          <w:marBottom w:val="0"/>
          <w:divBdr>
            <w:top w:val="none" w:sz="0" w:space="0" w:color="auto"/>
            <w:left w:val="none" w:sz="0" w:space="0" w:color="auto"/>
            <w:bottom w:val="none" w:sz="0" w:space="0" w:color="auto"/>
            <w:right w:val="none" w:sz="0" w:space="0" w:color="auto"/>
          </w:divBdr>
        </w:div>
        <w:div w:id="1964530762">
          <w:marLeft w:val="0"/>
          <w:marRight w:val="0"/>
          <w:marTop w:val="0"/>
          <w:marBottom w:val="0"/>
          <w:divBdr>
            <w:top w:val="none" w:sz="0" w:space="0" w:color="auto"/>
            <w:left w:val="none" w:sz="0" w:space="0" w:color="auto"/>
            <w:bottom w:val="none" w:sz="0" w:space="0" w:color="auto"/>
            <w:right w:val="none" w:sz="0" w:space="0" w:color="auto"/>
          </w:divBdr>
        </w:div>
        <w:div w:id="475031361">
          <w:marLeft w:val="0"/>
          <w:marRight w:val="0"/>
          <w:marTop w:val="0"/>
          <w:marBottom w:val="0"/>
          <w:divBdr>
            <w:top w:val="none" w:sz="0" w:space="0" w:color="auto"/>
            <w:left w:val="none" w:sz="0" w:space="0" w:color="auto"/>
            <w:bottom w:val="none" w:sz="0" w:space="0" w:color="auto"/>
            <w:right w:val="none" w:sz="0" w:space="0" w:color="auto"/>
          </w:divBdr>
        </w:div>
        <w:div w:id="1501894147">
          <w:marLeft w:val="0"/>
          <w:marRight w:val="0"/>
          <w:marTop w:val="0"/>
          <w:marBottom w:val="0"/>
          <w:divBdr>
            <w:top w:val="none" w:sz="0" w:space="0" w:color="auto"/>
            <w:left w:val="none" w:sz="0" w:space="0" w:color="auto"/>
            <w:bottom w:val="none" w:sz="0" w:space="0" w:color="auto"/>
            <w:right w:val="none" w:sz="0" w:space="0" w:color="auto"/>
          </w:divBdr>
        </w:div>
        <w:div w:id="310250633">
          <w:marLeft w:val="0"/>
          <w:marRight w:val="0"/>
          <w:marTop w:val="0"/>
          <w:marBottom w:val="0"/>
          <w:divBdr>
            <w:top w:val="none" w:sz="0" w:space="0" w:color="auto"/>
            <w:left w:val="none" w:sz="0" w:space="0" w:color="auto"/>
            <w:bottom w:val="none" w:sz="0" w:space="0" w:color="auto"/>
            <w:right w:val="none" w:sz="0" w:space="0" w:color="auto"/>
          </w:divBdr>
        </w:div>
        <w:div w:id="1894386281">
          <w:marLeft w:val="0"/>
          <w:marRight w:val="0"/>
          <w:marTop w:val="0"/>
          <w:marBottom w:val="0"/>
          <w:divBdr>
            <w:top w:val="none" w:sz="0" w:space="0" w:color="auto"/>
            <w:left w:val="none" w:sz="0" w:space="0" w:color="auto"/>
            <w:bottom w:val="none" w:sz="0" w:space="0" w:color="auto"/>
            <w:right w:val="none" w:sz="0" w:space="0" w:color="auto"/>
          </w:divBdr>
        </w:div>
        <w:div w:id="1757022303">
          <w:marLeft w:val="0"/>
          <w:marRight w:val="0"/>
          <w:marTop w:val="0"/>
          <w:marBottom w:val="0"/>
          <w:divBdr>
            <w:top w:val="none" w:sz="0" w:space="0" w:color="auto"/>
            <w:left w:val="none" w:sz="0" w:space="0" w:color="auto"/>
            <w:bottom w:val="none" w:sz="0" w:space="0" w:color="auto"/>
            <w:right w:val="none" w:sz="0" w:space="0" w:color="auto"/>
          </w:divBdr>
        </w:div>
        <w:div w:id="758139297">
          <w:marLeft w:val="0"/>
          <w:marRight w:val="0"/>
          <w:marTop w:val="0"/>
          <w:marBottom w:val="0"/>
          <w:divBdr>
            <w:top w:val="none" w:sz="0" w:space="0" w:color="auto"/>
            <w:left w:val="none" w:sz="0" w:space="0" w:color="auto"/>
            <w:bottom w:val="none" w:sz="0" w:space="0" w:color="auto"/>
            <w:right w:val="none" w:sz="0" w:space="0" w:color="auto"/>
          </w:divBdr>
        </w:div>
        <w:div w:id="1127046869">
          <w:marLeft w:val="0"/>
          <w:marRight w:val="0"/>
          <w:marTop w:val="0"/>
          <w:marBottom w:val="0"/>
          <w:divBdr>
            <w:top w:val="none" w:sz="0" w:space="0" w:color="auto"/>
            <w:left w:val="none" w:sz="0" w:space="0" w:color="auto"/>
            <w:bottom w:val="none" w:sz="0" w:space="0" w:color="auto"/>
            <w:right w:val="none" w:sz="0" w:space="0" w:color="auto"/>
          </w:divBdr>
        </w:div>
        <w:div w:id="891424479">
          <w:marLeft w:val="0"/>
          <w:marRight w:val="0"/>
          <w:marTop w:val="0"/>
          <w:marBottom w:val="0"/>
          <w:divBdr>
            <w:top w:val="none" w:sz="0" w:space="0" w:color="auto"/>
            <w:left w:val="none" w:sz="0" w:space="0" w:color="auto"/>
            <w:bottom w:val="none" w:sz="0" w:space="0" w:color="auto"/>
            <w:right w:val="none" w:sz="0" w:space="0" w:color="auto"/>
          </w:divBdr>
        </w:div>
        <w:div w:id="87580815">
          <w:marLeft w:val="0"/>
          <w:marRight w:val="0"/>
          <w:marTop w:val="0"/>
          <w:marBottom w:val="0"/>
          <w:divBdr>
            <w:top w:val="none" w:sz="0" w:space="0" w:color="auto"/>
            <w:left w:val="none" w:sz="0" w:space="0" w:color="auto"/>
            <w:bottom w:val="none" w:sz="0" w:space="0" w:color="auto"/>
            <w:right w:val="none" w:sz="0" w:space="0" w:color="auto"/>
          </w:divBdr>
        </w:div>
        <w:div w:id="1604655806">
          <w:marLeft w:val="0"/>
          <w:marRight w:val="0"/>
          <w:marTop w:val="0"/>
          <w:marBottom w:val="0"/>
          <w:divBdr>
            <w:top w:val="none" w:sz="0" w:space="0" w:color="auto"/>
            <w:left w:val="none" w:sz="0" w:space="0" w:color="auto"/>
            <w:bottom w:val="none" w:sz="0" w:space="0" w:color="auto"/>
            <w:right w:val="none" w:sz="0" w:space="0" w:color="auto"/>
          </w:divBdr>
        </w:div>
        <w:div w:id="1842967342">
          <w:marLeft w:val="0"/>
          <w:marRight w:val="0"/>
          <w:marTop w:val="0"/>
          <w:marBottom w:val="0"/>
          <w:divBdr>
            <w:top w:val="none" w:sz="0" w:space="0" w:color="auto"/>
            <w:left w:val="none" w:sz="0" w:space="0" w:color="auto"/>
            <w:bottom w:val="none" w:sz="0" w:space="0" w:color="auto"/>
            <w:right w:val="none" w:sz="0" w:space="0" w:color="auto"/>
          </w:divBdr>
        </w:div>
        <w:div w:id="1420718060">
          <w:marLeft w:val="0"/>
          <w:marRight w:val="0"/>
          <w:marTop w:val="0"/>
          <w:marBottom w:val="0"/>
          <w:divBdr>
            <w:top w:val="none" w:sz="0" w:space="0" w:color="auto"/>
            <w:left w:val="none" w:sz="0" w:space="0" w:color="auto"/>
            <w:bottom w:val="none" w:sz="0" w:space="0" w:color="auto"/>
            <w:right w:val="none" w:sz="0" w:space="0" w:color="auto"/>
          </w:divBdr>
        </w:div>
        <w:div w:id="1668904355">
          <w:marLeft w:val="0"/>
          <w:marRight w:val="0"/>
          <w:marTop w:val="0"/>
          <w:marBottom w:val="0"/>
          <w:divBdr>
            <w:top w:val="none" w:sz="0" w:space="0" w:color="auto"/>
            <w:left w:val="none" w:sz="0" w:space="0" w:color="auto"/>
            <w:bottom w:val="none" w:sz="0" w:space="0" w:color="auto"/>
            <w:right w:val="none" w:sz="0" w:space="0" w:color="auto"/>
          </w:divBdr>
        </w:div>
        <w:div w:id="702168189">
          <w:marLeft w:val="0"/>
          <w:marRight w:val="0"/>
          <w:marTop w:val="0"/>
          <w:marBottom w:val="0"/>
          <w:divBdr>
            <w:top w:val="none" w:sz="0" w:space="0" w:color="auto"/>
            <w:left w:val="none" w:sz="0" w:space="0" w:color="auto"/>
            <w:bottom w:val="none" w:sz="0" w:space="0" w:color="auto"/>
            <w:right w:val="none" w:sz="0" w:space="0" w:color="auto"/>
          </w:divBdr>
        </w:div>
        <w:div w:id="551888075">
          <w:marLeft w:val="0"/>
          <w:marRight w:val="0"/>
          <w:marTop w:val="0"/>
          <w:marBottom w:val="0"/>
          <w:divBdr>
            <w:top w:val="none" w:sz="0" w:space="0" w:color="auto"/>
            <w:left w:val="none" w:sz="0" w:space="0" w:color="auto"/>
            <w:bottom w:val="none" w:sz="0" w:space="0" w:color="auto"/>
            <w:right w:val="none" w:sz="0" w:space="0" w:color="auto"/>
          </w:divBdr>
        </w:div>
        <w:div w:id="293484852">
          <w:marLeft w:val="0"/>
          <w:marRight w:val="0"/>
          <w:marTop w:val="0"/>
          <w:marBottom w:val="0"/>
          <w:divBdr>
            <w:top w:val="none" w:sz="0" w:space="0" w:color="auto"/>
            <w:left w:val="none" w:sz="0" w:space="0" w:color="auto"/>
            <w:bottom w:val="none" w:sz="0" w:space="0" w:color="auto"/>
            <w:right w:val="none" w:sz="0" w:space="0" w:color="auto"/>
          </w:divBdr>
        </w:div>
        <w:div w:id="527111097">
          <w:marLeft w:val="0"/>
          <w:marRight w:val="0"/>
          <w:marTop w:val="0"/>
          <w:marBottom w:val="0"/>
          <w:divBdr>
            <w:top w:val="none" w:sz="0" w:space="0" w:color="auto"/>
            <w:left w:val="none" w:sz="0" w:space="0" w:color="auto"/>
            <w:bottom w:val="none" w:sz="0" w:space="0" w:color="auto"/>
            <w:right w:val="none" w:sz="0" w:space="0" w:color="auto"/>
          </w:divBdr>
        </w:div>
        <w:div w:id="499731611">
          <w:marLeft w:val="0"/>
          <w:marRight w:val="0"/>
          <w:marTop w:val="0"/>
          <w:marBottom w:val="0"/>
          <w:divBdr>
            <w:top w:val="none" w:sz="0" w:space="0" w:color="auto"/>
            <w:left w:val="none" w:sz="0" w:space="0" w:color="auto"/>
            <w:bottom w:val="none" w:sz="0" w:space="0" w:color="auto"/>
            <w:right w:val="none" w:sz="0" w:space="0" w:color="auto"/>
          </w:divBdr>
        </w:div>
        <w:div w:id="2026324904">
          <w:marLeft w:val="0"/>
          <w:marRight w:val="0"/>
          <w:marTop w:val="0"/>
          <w:marBottom w:val="0"/>
          <w:divBdr>
            <w:top w:val="none" w:sz="0" w:space="0" w:color="auto"/>
            <w:left w:val="none" w:sz="0" w:space="0" w:color="auto"/>
            <w:bottom w:val="none" w:sz="0" w:space="0" w:color="auto"/>
            <w:right w:val="none" w:sz="0" w:space="0" w:color="auto"/>
          </w:divBdr>
        </w:div>
        <w:div w:id="694700164">
          <w:marLeft w:val="0"/>
          <w:marRight w:val="0"/>
          <w:marTop w:val="0"/>
          <w:marBottom w:val="0"/>
          <w:divBdr>
            <w:top w:val="none" w:sz="0" w:space="0" w:color="auto"/>
            <w:left w:val="none" w:sz="0" w:space="0" w:color="auto"/>
            <w:bottom w:val="none" w:sz="0" w:space="0" w:color="auto"/>
            <w:right w:val="none" w:sz="0" w:space="0" w:color="auto"/>
          </w:divBdr>
        </w:div>
        <w:div w:id="362828243">
          <w:marLeft w:val="0"/>
          <w:marRight w:val="0"/>
          <w:marTop w:val="0"/>
          <w:marBottom w:val="0"/>
          <w:divBdr>
            <w:top w:val="none" w:sz="0" w:space="0" w:color="auto"/>
            <w:left w:val="none" w:sz="0" w:space="0" w:color="auto"/>
            <w:bottom w:val="none" w:sz="0" w:space="0" w:color="auto"/>
            <w:right w:val="none" w:sz="0" w:space="0" w:color="auto"/>
          </w:divBdr>
        </w:div>
        <w:div w:id="577053866">
          <w:marLeft w:val="0"/>
          <w:marRight w:val="0"/>
          <w:marTop w:val="0"/>
          <w:marBottom w:val="0"/>
          <w:divBdr>
            <w:top w:val="none" w:sz="0" w:space="0" w:color="auto"/>
            <w:left w:val="none" w:sz="0" w:space="0" w:color="auto"/>
            <w:bottom w:val="none" w:sz="0" w:space="0" w:color="auto"/>
            <w:right w:val="none" w:sz="0" w:space="0" w:color="auto"/>
          </w:divBdr>
        </w:div>
        <w:div w:id="719595169">
          <w:marLeft w:val="0"/>
          <w:marRight w:val="0"/>
          <w:marTop w:val="0"/>
          <w:marBottom w:val="0"/>
          <w:divBdr>
            <w:top w:val="none" w:sz="0" w:space="0" w:color="auto"/>
            <w:left w:val="none" w:sz="0" w:space="0" w:color="auto"/>
            <w:bottom w:val="none" w:sz="0" w:space="0" w:color="auto"/>
            <w:right w:val="none" w:sz="0" w:space="0" w:color="auto"/>
          </w:divBdr>
        </w:div>
        <w:div w:id="336273678">
          <w:marLeft w:val="0"/>
          <w:marRight w:val="0"/>
          <w:marTop w:val="0"/>
          <w:marBottom w:val="0"/>
          <w:divBdr>
            <w:top w:val="none" w:sz="0" w:space="0" w:color="auto"/>
            <w:left w:val="none" w:sz="0" w:space="0" w:color="auto"/>
            <w:bottom w:val="none" w:sz="0" w:space="0" w:color="auto"/>
            <w:right w:val="none" w:sz="0" w:space="0" w:color="auto"/>
          </w:divBdr>
        </w:div>
        <w:div w:id="760876634">
          <w:marLeft w:val="0"/>
          <w:marRight w:val="0"/>
          <w:marTop w:val="0"/>
          <w:marBottom w:val="0"/>
          <w:divBdr>
            <w:top w:val="none" w:sz="0" w:space="0" w:color="auto"/>
            <w:left w:val="none" w:sz="0" w:space="0" w:color="auto"/>
            <w:bottom w:val="none" w:sz="0" w:space="0" w:color="auto"/>
            <w:right w:val="none" w:sz="0" w:space="0" w:color="auto"/>
          </w:divBdr>
        </w:div>
        <w:div w:id="297956494">
          <w:marLeft w:val="0"/>
          <w:marRight w:val="0"/>
          <w:marTop w:val="0"/>
          <w:marBottom w:val="0"/>
          <w:divBdr>
            <w:top w:val="none" w:sz="0" w:space="0" w:color="auto"/>
            <w:left w:val="none" w:sz="0" w:space="0" w:color="auto"/>
            <w:bottom w:val="none" w:sz="0" w:space="0" w:color="auto"/>
            <w:right w:val="none" w:sz="0" w:space="0" w:color="auto"/>
          </w:divBdr>
        </w:div>
        <w:div w:id="399864079">
          <w:marLeft w:val="0"/>
          <w:marRight w:val="0"/>
          <w:marTop w:val="0"/>
          <w:marBottom w:val="0"/>
          <w:divBdr>
            <w:top w:val="none" w:sz="0" w:space="0" w:color="auto"/>
            <w:left w:val="none" w:sz="0" w:space="0" w:color="auto"/>
            <w:bottom w:val="none" w:sz="0" w:space="0" w:color="auto"/>
            <w:right w:val="none" w:sz="0" w:space="0" w:color="auto"/>
          </w:divBdr>
        </w:div>
        <w:div w:id="1786998619">
          <w:marLeft w:val="0"/>
          <w:marRight w:val="0"/>
          <w:marTop w:val="0"/>
          <w:marBottom w:val="0"/>
          <w:divBdr>
            <w:top w:val="none" w:sz="0" w:space="0" w:color="auto"/>
            <w:left w:val="none" w:sz="0" w:space="0" w:color="auto"/>
            <w:bottom w:val="none" w:sz="0" w:space="0" w:color="auto"/>
            <w:right w:val="none" w:sz="0" w:space="0" w:color="auto"/>
          </w:divBdr>
        </w:div>
        <w:div w:id="804273102">
          <w:marLeft w:val="0"/>
          <w:marRight w:val="0"/>
          <w:marTop w:val="0"/>
          <w:marBottom w:val="0"/>
          <w:divBdr>
            <w:top w:val="none" w:sz="0" w:space="0" w:color="auto"/>
            <w:left w:val="none" w:sz="0" w:space="0" w:color="auto"/>
            <w:bottom w:val="none" w:sz="0" w:space="0" w:color="auto"/>
            <w:right w:val="none" w:sz="0" w:space="0" w:color="auto"/>
          </w:divBdr>
        </w:div>
        <w:div w:id="1706565466">
          <w:marLeft w:val="0"/>
          <w:marRight w:val="0"/>
          <w:marTop w:val="0"/>
          <w:marBottom w:val="0"/>
          <w:divBdr>
            <w:top w:val="none" w:sz="0" w:space="0" w:color="auto"/>
            <w:left w:val="none" w:sz="0" w:space="0" w:color="auto"/>
            <w:bottom w:val="none" w:sz="0" w:space="0" w:color="auto"/>
            <w:right w:val="none" w:sz="0" w:space="0" w:color="auto"/>
          </w:divBdr>
        </w:div>
        <w:div w:id="1599680049">
          <w:marLeft w:val="0"/>
          <w:marRight w:val="0"/>
          <w:marTop w:val="0"/>
          <w:marBottom w:val="0"/>
          <w:divBdr>
            <w:top w:val="none" w:sz="0" w:space="0" w:color="auto"/>
            <w:left w:val="none" w:sz="0" w:space="0" w:color="auto"/>
            <w:bottom w:val="none" w:sz="0" w:space="0" w:color="auto"/>
            <w:right w:val="none" w:sz="0" w:space="0" w:color="auto"/>
          </w:divBdr>
        </w:div>
        <w:div w:id="791245456">
          <w:marLeft w:val="0"/>
          <w:marRight w:val="0"/>
          <w:marTop w:val="0"/>
          <w:marBottom w:val="0"/>
          <w:divBdr>
            <w:top w:val="none" w:sz="0" w:space="0" w:color="auto"/>
            <w:left w:val="none" w:sz="0" w:space="0" w:color="auto"/>
            <w:bottom w:val="none" w:sz="0" w:space="0" w:color="auto"/>
            <w:right w:val="none" w:sz="0" w:space="0" w:color="auto"/>
          </w:divBdr>
        </w:div>
        <w:div w:id="961500551">
          <w:marLeft w:val="0"/>
          <w:marRight w:val="0"/>
          <w:marTop w:val="0"/>
          <w:marBottom w:val="0"/>
          <w:divBdr>
            <w:top w:val="none" w:sz="0" w:space="0" w:color="auto"/>
            <w:left w:val="none" w:sz="0" w:space="0" w:color="auto"/>
            <w:bottom w:val="none" w:sz="0" w:space="0" w:color="auto"/>
            <w:right w:val="none" w:sz="0" w:space="0" w:color="auto"/>
          </w:divBdr>
        </w:div>
        <w:div w:id="1048846840">
          <w:marLeft w:val="0"/>
          <w:marRight w:val="0"/>
          <w:marTop w:val="0"/>
          <w:marBottom w:val="0"/>
          <w:divBdr>
            <w:top w:val="none" w:sz="0" w:space="0" w:color="auto"/>
            <w:left w:val="none" w:sz="0" w:space="0" w:color="auto"/>
            <w:bottom w:val="none" w:sz="0" w:space="0" w:color="auto"/>
            <w:right w:val="none" w:sz="0" w:space="0" w:color="auto"/>
          </w:divBdr>
        </w:div>
        <w:div w:id="648897942">
          <w:marLeft w:val="0"/>
          <w:marRight w:val="0"/>
          <w:marTop w:val="0"/>
          <w:marBottom w:val="0"/>
          <w:divBdr>
            <w:top w:val="none" w:sz="0" w:space="0" w:color="auto"/>
            <w:left w:val="none" w:sz="0" w:space="0" w:color="auto"/>
            <w:bottom w:val="none" w:sz="0" w:space="0" w:color="auto"/>
            <w:right w:val="none" w:sz="0" w:space="0" w:color="auto"/>
          </w:divBdr>
        </w:div>
      </w:divsChild>
    </w:div>
    <w:div w:id="1493334375">
      <w:bodyDiv w:val="1"/>
      <w:marLeft w:val="0"/>
      <w:marRight w:val="0"/>
      <w:marTop w:val="0"/>
      <w:marBottom w:val="0"/>
      <w:divBdr>
        <w:top w:val="none" w:sz="0" w:space="0" w:color="auto"/>
        <w:left w:val="none" w:sz="0" w:space="0" w:color="auto"/>
        <w:bottom w:val="none" w:sz="0" w:space="0" w:color="auto"/>
        <w:right w:val="none" w:sz="0" w:space="0" w:color="auto"/>
      </w:divBdr>
    </w:div>
    <w:div w:id="1498424176">
      <w:bodyDiv w:val="1"/>
      <w:marLeft w:val="0"/>
      <w:marRight w:val="0"/>
      <w:marTop w:val="0"/>
      <w:marBottom w:val="0"/>
      <w:divBdr>
        <w:top w:val="none" w:sz="0" w:space="0" w:color="auto"/>
        <w:left w:val="none" w:sz="0" w:space="0" w:color="auto"/>
        <w:bottom w:val="none" w:sz="0" w:space="0" w:color="auto"/>
        <w:right w:val="none" w:sz="0" w:space="0" w:color="auto"/>
      </w:divBdr>
    </w:div>
    <w:div w:id="1508592131">
      <w:bodyDiv w:val="1"/>
      <w:marLeft w:val="0"/>
      <w:marRight w:val="0"/>
      <w:marTop w:val="0"/>
      <w:marBottom w:val="0"/>
      <w:divBdr>
        <w:top w:val="none" w:sz="0" w:space="0" w:color="auto"/>
        <w:left w:val="none" w:sz="0" w:space="0" w:color="auto"/>
        <w:bottom w:val="none" w:sz="0" w:space="0" w:color="auto"/>
        <w:right w:val="none" w:sz="0" w:space="0" w:color="auto"/>
      </w:divBdr>
    </w:div>
    <w:div w:id="1527134398">
      <w:bodyDiv w:val="1"/>
      <w:marLeft w:val="0"/>
      <w:marRight w:val="0"/>
      <w:marTop w:val="0"/>
      <w:marBottom w:val="0"/>
      <w:divBdr>
        <w:top w:val="none" w:sz="0" w:space="0" w:color="auto"/>
        <w:left w:val="none" w:sz="0" w:space="0" w:color="auto"/>
        <w:bottom w:val="none" w:sz="0" w:space="0" w:color="auto"/>
        <w:right w:val="none" w:sz="0" w:space="0" w:color="auto"/>
      </w:divBdr>
    </w:div>
    <w:div w:id="1545605020">
      <w:bodyDiv w:val="1"/>
      <w:marLeft w:val="0"/>
      <w:marRight w:val="0"/>
      <w:marTop w:val="0"/>
      <w:marBottom w:val="0"/>
      <w:divBdr>
        <w:top w:val="none" w:sz="0" w:space="0" w:color="auto"/>
        <w:left w:val="none" w:sz="0" w:space="0" w:color="auto"/>
        <w:bottom w:val="none" w:sz="0" w:space="0" w:color="auto"/>
        <w:right w:val="none" w:sz="0" w:space="0" w:color="auto"/>
      </w:divBdr>
    </w:div>
    <w:div w:id="1551380807">
      <w:bodyDiv w:val="1"/>
      <w:marLeft w:val="0"/>
      <w:marRight w:val="0"/>
      <w:marTop w:val="0"/>
      <w:marBottom w:val="0"/>
      <w:divBdr>
        <w:top w:val="none" w:sz="0" w:space="0" w:color="auto"/>
        <w:left w:val="none" w:sz="0" w:space="0" w:color="auto"/>
        <w:bottom w:val="none" w:sz="0" w:space="0" w:color="auto"/>
        <w:right w:val="none" w:sz="0" w:space="0" w:color="auto"/>
      </w:divBdr>
    </w:div>
    <w:div w:id="1554151564">
      <w:bodyDiv w:val="1"/>
      <w:marLeft w:val="225"/>
      <w:marRight w:val="225"/>
      <w:marTop w:val="0"/>
      <w:marBottom w:val="0"/>
      <w:divBdr>
        <w:top w:val="none" w:sz="0" w:space="0" w:color="auto"/>
        <w:left w:val="none" w:sz="0" w:space="0" w:color="auto"/>
        <w:bottom w:val="none" w:sz="0" w:space="0" w:color="auto"/>
        <w:right w:val="none" w:sz="0" w:space="0" w:color="auto"/>
      </w:divBdr>
      <w:divsChild>
        <w:div w:id="2116363429">
          <w:marLeft w:val="0"/>
          <w:marRight w:val="0"/>
          <w:marTop w:val="0"/>
          <w:marBottom w:val="0"/>
          <w:divBdr>
            <w:top w:val="none" w:sz="0" w:space="0" w:color="auto"/>
            <w:left w:val="none" w:sz="0" w:space="0" w:color="auto"/>
            <w:bottom w:val="none" w:sz="0" w:space="0" w:color="auto"/>
            <w:right w:val="none" w:sz="0" w:space="0" w:color="auto"/>
          </w:divBdr>
        </w:div>
      </w:divsChild>
    </w:div>
    <w:div w:id="1562328665">
      <w:bodyDiv w:val="1"/>
      <w:marLeft w:val="225"/>
      <w:marRight w:val="225"/>
      <w:marTop w:val="0"/>
      <w:marBottom w:val="0"/>
      <w:divBdr>
        <w:top w:val="none" w:sz="0" w:space="0" w:color="auto"/>
        <w:left w:val="none" w:sz="0" w:space="0" w:color="auto"/>
        <w:bottom w:val="none" w:sz="0" w:space="0" w:color="auto"/>
        <w:right w:val="none" w:sz="0" w:space="0" w:color="auto"/>
      </w:divBdr>
      <w:divsChild>
        <w:div w:id="88935687">
          <w:marLeft w:val="0"/>
          <w:marRight w:val="0"/>
          <w:marTop w:val="0"/>
          <w:marBottom w:val="0"/>
          <w:divBdr>
            <w:top w:val="none" w:sz="0" w:space="0" w:color="auto"/>
            <w:left w:val="none" w:sz="0" w:space="0" w:color="auto"/>
            <w:bottom w:val="none" w:sz="0" w:space="0" w:color="auto"/>
            <w:right w:val="none" w:sz="0" w:space="0" w:color="auto"/>
          </w:divBdr>
        </w:div>
      </w:divsChild>
    </w:div>
    <w:div w:id="1568957715">
      <w:bodyDiv w:val="1"/>
      <w:marLeft w:val="0"/>
      <w:marRight w:val="0"/>
      <w:marTop w:val="0"/>
      <w:marBottom w:val="0"/>
      <w:divBdr>
        <w:top w:val="none" w:sz="0" w:space="0" w:color="auto"/>
        <w:left w:val="none" w:sz="0" w:space="0" w:color="auto"/>
        <w:bottom w:val="none" w:sz="0" w:space="0" w:color="auto"/>
        <w:right w:val="none" w:sz="0" w:space="0" w:color="auto"/>
      </w:divBdr>
    </w:div>
    <w:div w:id="1586576895">
      <w:bodyDiv w:val="1"/>
      <w:marLeft w:val="0"/>
      <w:marRight w:val="0"/>
      <w:marTop w:val="0"/>
      <w:marBottom w:val="0"/>
      <w:divBdr>
        <w:top w:val="none" w:sz="0" w:space="0" w:color="auto"/>
        <w:left w:val="none" w:sz="0" w:space="0" w:color="auto"/>
        <w:bottom w:val="none" w:sz="0" w:space="0" w:color="auto"/>
        <w:right w:val="none" w:sz="0" w:space="0" w:color="auto"/>
      </w:divBdr>
    </w:div>
    <w:div w:id="1593902264">
      <w:bodyDiv w:val="1"/>
      <w:marLeft w:val="0"/>
      <w:marRight w:val="0"/>
      <w:marTop w:val="0"/>
      <w:marBottom w:val="0"/>
      <w:divBdr>
        <w:top w:val="none" w:sz="0" w:space="0" w:color="auto"/>
        <w:left w:val="none" w:sz="0" w:space="0" w:color="auto"/>
        <w:bottom w:val="none" w:sz="0" w:space="0" w:color="auto"/>
        <w:right w:val="none" w:sz="0" w:space="0" w:color="auto"/>
      </w:divBdr>
    </w:div>
    <w:div w:id="1597638453">
      <w:bodyDiv w:val="1"/>
      <w:marLeft w:val="225"/>
      <w:marRight w:val="225"/>
      <w:marTop w:val="0"/>
      <w:marBottom w:val="0"/>
      <w:divBdr>
        <w:top w:val="none" w:sz="0" w:space="0" w:color="auto"/>
        <w:left w:val="none" w:sz="0" w:space="0" w:color="auto"/>
        <w:bottom w:val="none" w:sz="0" w:space="0" w:color="auto"/>
        <w:right w:val="none" w:sz="0" w:space="0" w:color="auto"/>
      </w:divBdr>
      <w:divsChild>
        <w:div w:id="2069451007">
          <w:marLeft w:val="0"/>
          <w:marRight w:val="0"/>
          <w:marTop w:val="0"/>
          <w:marBottom w:val="0"/>
          <w:divBdr>
            <w:top w:val="none" w:sz="0" w:space="0" w:color="auto"/>
            <w:left w:val="none" w:sz="0" w:space="0" w:color="auto"/>
            <w:bottom w:val="none" w:sz="0" w:space="0" w:color="auto"/>
            <w:right w:val="none" w:sz="0" w:space="0" w:color="auto"/>
          </w:divBdr>
        </w:div>
      </w:divsChild>
    </w:div>
    <w:div w:id="1600286243">
      <w:bodyDiv w:val="1"/>
      <w:marLeft w:val="188"/>
      <w:marRight w:val="188"/>
      <w:marTop w:val="0"/>
      <w:marBottom w:val="0"/>
      <w:divBdr>
        <w:top w:val="none" w:sz="0" w:space="0" w:color="auto"/>
        <w:left w:val="none" w:sz="0" w:space="0" w:color="auto"/>
        <w:bottom w:val="none" w:sz="0" w:space="0" w:color="auto"/>
        <w:right w:val="none" w:sz="0" w:space="0" w:color="auto"/>
      </w:divBdr>
      <w:divsChild>
        <w:div w:id="2078898554">
          <w:marLeft w:val="0"/>
          <w:marRight w:val="0"/>
          <w:marTop w:val="0"/>
          <w:marBottom w:val="0"/>
          <w:divBdr>
            <w:top w:val="none" w:sz="0" w:space="0" w:color="auto"/>
            <w:left w:val="none" w:sz="0" w:space="0" w:color="auto"/>
            <w:bottom w:val="none" w:sz="0" w:space="0" w:color="auto"/>
            <w:right w:val="none" w:sz="0" w:space="0" w:color="auto"/>
          </w:divBdr>
        </w:div>
      </w:divsChild>
    </w:div>
    <w:div w:id="1604068101">
      <w:bodyDiv w:val="1"/>
      <w:marLeft w:val="0"/>
      <w:marRight w:val="0"/>
      <w:marTop w:val="0"/>
      <w:marBottom w:val="0"/>
      <w:divBdr>
        <w:top w:val="none" w:sz="0" w:space="0" w:color="auto"/>
        <w:left w:val="none" w:sz="0" w:space="0" w:color="auto"/>
        <w:bottom w:val="none" w:sz="0" w:space="0" w:color="auto"/>
        <w:right w:val="none" w:sz="0" w:space="0" w:color="auto"/>
      </w:divBdr>
    </w:div>
    <w:div w:id="1604528588">
      <w:bodyDiv w:val="1"/>
      <w:marLeft w:val="225"/>
      <w:marRight w:val="225"/>
      <w:marTop w:val="0"/>
      <w:marBottom w:val="0"/>
      <w:divBdr>
        <w:top w:val="none" w:sz="0" w:space="0" w:color="auto"/>
        <w:left w:val="none" w:sz="0" w:space="0" w:color="auto"/>
        <w:bottom w:val="none" w:sz="0" w:space="0" w:color="auto"/>
        <w:right w:val="none" w:sz="0" w:space="0" w:color="auto"/>
      </w:divBdr>
      <w:divsChild>
        <w:div w:id="1400395761">
          <w:marLeft w:val="0"/>
          <w:marRight w:val="0"/>
          <w:marTop w:val="0"/>
          <w:marBottom w:val="0"/>
          <w:divBdr>
            <w:top w:val="none" w:sz="0" w:space="0" w:color="auto"/>
            <w:left w:val="none" w:sz="0" w:space="0" w:color="auto"/>
            <w:bottom w:val="none" w:sz="0" w:space="0" w:color="auto"/>
            <w:right w:val="none" w:sz="0" w:space="0" w:color="auto"/>
          </w:divBdr>
        </w:div>
      </w:divsChild>
    </w:div>
    <w:div w:id="1607499372">
      <w:bodyDiv w:val="1"/>
      <w:marLeft w:val="0"/>
      <w:marRight w:val="0"/>
      <w:marTop w:val="0"/>
      <w:marBottom w:val="0"/>
      <w:divBdr>
        <w:top w:val="none" w:sz="0" w:space="0" w:color="auto"/>
        <w:left w:val="none" w:sz="0" w:space="0" w:color="auto"/>
        <w:bottom w:val="none" w:sz="0" w:space="0" w:color="auto"/>
        <w:right w:val="none" w:sz="0" w:space="0" w:color="auto"/>
      </w:divBdr>
    </w:div>
    <w:div w:id="1633512886">
      <w:bodyDiv w:val="1"/>
      <w:marLeft w:val="0"/>
      <w:marRight w:val="0"/>
      <w:marTop w:val="0"/>
      <w:marBottom w:val="0"/>
      <w:divBdr>
        <w:top w:val="none" w:sz="0" w:space="0" w:color="auto"/>
        <w:left w:val="none" w:sz="0" w:space="0" w:color="auto"/>
        <w:bottom w:val="none" w:sz="0" w:space="0" w:color="auto"/>
        <w:right w:val="none" w:sz="0" w:space="0" w:color="auto"/>
      </w:divBdr>
    </w:div>
    <w:div w:id="1636641762">
      <w:bodyDiv w:val="1"/>
      <w:marLeft w:val="0"/>
      <w:marRight w:val="0"/>
      <w:marTop w:val="0"/>
      <w:marBottom w:val="0"/>
      <w:divBdr>
        <w:top w:val="none" w:sz="0" w:space="0" w:color="auto"/>
        <w:left w:val="none" w:sz="0" w:space="0" w:color="auto"/>
        <w:bottom w:val="none" w:sz="0" w:space="0" w:color="auto"/>
        <w:right w:val="none" w:sz="0" w:space="0" w:color="auto"/>
      </w:divBdr>
      <w:divsChild>
        <w:div w:id="186217536">
          <w:marLeft w:val="0"/>
          <w:marRight w:val="0"/>
          <w:marTop w:val="0"/>
          <w:marBottom w:val="0"/>
          <w:divBdr>
            <w:top w:val="none" w:sz="0" w:space="0" w:color="auto"/>
            <w:left w:val="none" w:sz="0" w:space="0" w:color="auto"/>
            <w:bottom w:val="none" w:sz="0" w:space="0" w:color="auto"/>
            <w:right w:val="none" w:sz="0" w:space="0" w:color="auto"/>
          </w:divBdr>
        </w:div>
        <w:div w:id="1790314495">
          <w:marLeft w:val="0"/>
          <w:marRight w:val="0"/>
          <w:marTop w:val="0"/>
          <w:marBottom w:val="0"/>
          <w:divBdr>
            <w:top w:val="none" w:sz="0" w:space="0" w:color="auto"/>
            <w:left w:val="none" w:sz="0" w:space="0" w:color="auto"/>
            <w:bottom w:val="none" w:sz="0" w:space="0" w:color="auto"/>
            <w:right w:val="none" w:sz="0" w:space="0" w:color="auto"/>
          </w:divBdr>
        </w:div>
        <w:div w:id="1478256427">
          <w:marLeft w:val="0"/>
          <w:marRight w:val="0"/>
          <w:marTop w:val="0"/>
          <w:marBottom w:val="0"/>
          <w:divBdr>
            <w:top w:val="none" w:sz="0" w:space="0" w:color="auto"/>
            <w:left w:val="none" w:sz="0" w:space="0" w:color="auto"/>
            <w:bottom w:val="none" w:sz="0" w:space="0" w:color="auto"/>
            <w:right w:val="none" w:sz="0" w:space="0" w:color="auto"/>
          </w:divBdr>
        </w:div>
        <w:div w:id="70782027">
          <w:marLeft w:val="0"/>
          <w:marRight w:val="0"/>
          <w:marTop w:val="0"/>
          <w:marBottom w:val="0"/>
          <w:divBdr>
            <w:top w:val="none" w:sz="0" w:space="0" w:color="auto"/>
            <w:left w:val="none" w:sz="0" w:space="0" w:color="auto"/>
            <w:bottom w:val="none" w:sz="0" w:space="0" w:color="auto"/>
            <w:right w:val="none" w:sz="0" w:space="0" w:color="auto"/>
          </w:divBdr>
        </w:div>
        <w:div w:id="697660624">
          <w:marLeft w:val="0"/>
          <w:marRight w:val="0"/>
          <w:marTop w:val="0"/>
          <w:marBottom w:val="0"/>
          <w:divBdr>
            <w:top w:val="none" w:sz="0" w:space="0" w:color="auto"/>
            <w:left w:val="none" w:sz="0" w:space="0" w:color="auto"/>
            <w:bottom w:val="none" w:sz="0" w:space="0" w:color="auto"/>
            <w:right w:val="none" w:sz="0" w:space="0" w:color="auto"/>
          </w:divBdr>
        </w:div>
        <w:div w:id="2061980781">
          <w:marLeft w:val="0"/>
          <w:marRight w:val="0"/>
          <w:marTop w:val="0"/>
          <w:marBottom w:val="0"/>
          <w:divBdr>
            <w:top w:val="none" w:sz="0" w:space="0" w:color="auto"/>
            <w:left w:val="none" w:sz="0" w:space="0" w:color="auto"/>
            <w:bottom w:val="none" w:sz="0" w:space="0" w:color="auto"/>
            <w:right w:val="none" w:sz="0" w:space="0" w:color="auto"/>
          </w:divBdr>
        </w:div>
        <w:div w:id="152255712">
          <w:marLeft w:val="0"/>
          <w:marRight w:val="0"/>
          <w:marTop w:val="0"/>
          <w:marBottom w:val="0"/>
          <w:divBdr>
            <w:top w:val="none" w:sz="0" w:space="0" w:color="auto"/>
            <w:left w:val="none" w:sz="0" w:space="0" w:color="auto"/>
            <w:bottom w:val="none" w:sz="0" w:space="0" w:color="auto"/>
            <w:right w:val="none" w:sz="0" w:space="0" w:color="auto"/>
          </w:divBdr>
        </w:div>
        <w:div w:id="166947077">
          <w:marLeft w:val="0"/>
          <w:marRight w:val="0"/>
          <w:marTop w:val="0"/>
          <w:marBottom w:val="0"/>
          <w:divBdr>
            <w:top w:val="none" w:sz="0" w:space="0" w:color="auto"/>
            <w:left w:val="none" w:sz="0" w:space="0" w:color="auto"/>
            <w:bottom w:val="none" w:sz="0" w:space="0" w:color="auto"/>
            <w:right w:val="none" w:sz="0" w:space="0" w:color="auto"/>
          </w:divBdr>
        </w:div>
        <w:div w:id="266156709">
          <w:marLeft w:val="0"/>
          <w:marRight w:val="0"/>
          <w:marTop w:val="0"/>
          <w:marBottom w:val="0"/>
          <w:divBdr>
            <w:top w:val="none" w:sz="0" w:space="0" w:color="auto"/>
            <w:left w:val="none" w:sz="0" w:space="0" w:color="auto"/>
            <w:bottom w:val="none" w:sz="0" w:space="0" w:color="auto"/>
            <w:right w:val="none" w:sz="0" w:space="0" w:color="auto"/>
          </w:divBdr>
        </w:div>
        <w:div w:id="1578782573">
          <w:marLeft w:val="0"/>
          <w:marRight w:val="0"/>
          <w:marTop w:val="0"/>
          <w:marBottom w:val="0"/>
          <w:divBdr>
            <w:top w:val="none" w:sz="0" w:space="0" w:color="auto"/>
            <w:left w:val="none" w:sz="0" w:space="0" w:color="auto"/>
            <w:bottom w:val="none" w:sz="0" w:space="0" w:color="auto"/>
            <w:right w:val="none" w:sz="0" w:space="0" w:color="auto"/>
          </w:divBdr>
        </w:div>
        <w:div w:id="364328789">
          <w:marLeft w:val="0"/>
          <w:marRight w:val="0"/>
          <w:marTop w:val="0"/>
          <w:marBottom w:val="0"/>
          <w:divBdr>
            <w:top w:val="none" w:sz="0" w:space="0" w:color="auto"/>
            <w:left w:val="none" w:sz="0" w:space="0" w:color="auto"/>
            <w:bottom w:val="none" w:sz="0" w:space="0" w:color="auto"/>
            <w:right w:val="none" w:sz="0" w:space="0" w:color="auto"/>
          </w:divBdr>
        </w:div>
        <w:div w:id="1276907398">
          <w:marLeft w:val="0"/>
          <w:marRight w:val="0"/>
          <w:marTop w:val="0"/>
          <w:marBottom w:val="0"/>
          <w:divBdr>
            <w:top w:val="none" w:sz="0" w:space="0" w:color="auto"/>
            <w:left w:val="none" w:sz="0" w:space="0" w:color="auto"/>
            <w:bottom w:val="none" w:sz="0" w:space="0" w:color="auto"/>
            <w:right w:val="none" w:sz="0" w:space="0" w:color="auto"/>
          </w:divBdr>
        </w:div>
        <w:div w:id="246427128">
          <w:marLeft w:val="0"/>
          <w:marRight w:val="0"/>
          <w:marTop w:val="0"/>
          <w:marBottom w:val="0"/>
          <w:divBdr>
            <w:top w:val="none" w:sz="0" w:space="0" w:color="auto"/>
            <w:left w:val="none" w:sz="0" w:space="0" w:color="auto"/>
            <w:bottom w:val="none" w:sz="0" w:space="0" w:color="auto"/>
            <w:right w:val="none" w:sz="0" w:space="0" w:color="auto"/>
          </w:divBdr>
        </w:div>
        <w:div w:id="596445627">
          <w:marLeft w:val="0"/>
          <w:marRight w:val="0"/>
          <w:marTop w:val="0"/>
          <w:marBottom w:val="0"/>
          <w:divBdr>
            <w:top w:val="none" w:sz="0" w:space="0" w:color="auto"/>
            <w:left w:val="none" w:sz="0" w:space="0" w:color="auto"/>
            <w:bottom w:val="none" w:sz="0" w:space="0" w:color="auto"/>
            <w:right w:val="none" w:sz="0" w:space="0" w:color="auto"/>
          </w:divBdr>
        </w:div>
        <w:div w:id="1276597693">
          <w:marLeft w:val="0"/>
          <w:marRight w:val="0"/>
          <w:marTop w:val="0"/>
          <w:marBottom w:val="0"/>
          <w:divBdr>
            <w:top w:val="none" w:sz="0" w:space="0" w:color="auto"/>
            <w:left w:val="none" w:sz="0" w:space="0" w:color="auto"/>
            <w:bottom w:val="none" w:sz="0" w:space="0" w:color="auto"/>
            <w:right w:val="none" w:sz="0" w:space="0" w:color="auto"/>
          </w:divBdr>
        </w:div>
      </w:divsChild>
    </w:div>
    <w:div w:id="1644234906">
      <w:bodyDiv w:val="1"/>
      <w:marLeft w:val="0"/>
      <w:marRight w:val="0"/>
      <w:marTop w:val="0"/>
      <w:marBottom w:val="0"/>
      <w:divBdr>
        <w:top w:val="none" w:sz="0" w:space="0" w:color="auto"/>
        <w:left w:val="none" w:sz="0" w:space="0" w:color="auto"/>
        <w:bottom w:val="none" w:sz="0" w:space="0" w:color="auto"/>
        <w:right w:val="none" w:sz="0" w:space="0" w:color="auto"/>
      </w:divBdr>
    </w:div>
    <w:div w:id="1653099036">
      <w:bodyDiv w:val="1"/>
      <w:marLeft w:val="225"/>
      <w:marRight w:val="225"/>
      <w:marTop w:val="0"/>
      <w:marBottom w:val="0"/>
      <w:divBdr>
        <w:top w:val="none" w:sz="0" w:space="0" w:color="auto"/>
        <w:left w:val="none" w:sz="0" w:space="0" w:color="auto"/>
        <w:bottom w:val="none" w:sz="0" w:space="0" w:color="auto"/>
        <w:right w:val="none" w:sz="0" w:space="0" w:color="auto"/>
      </w:divBdr>
      <w:divsChild>
        <w:div w:id="991327710">
          <w:marLeft w:val="0"/>
          <w:marRight w:val="0"/>
          <w:marTop w:val="0"/>
          <w:marBottom w:val="0"/>
          <w:divBdr>
            <w:top w:val="none" w:sz="0" w:space="0" w:color="auto"/>
            <w:left w:val="none" w:sz="0" w:space="0" w:color="auto"/>
            <w:bottom w:val="none" w:sz="0" w:space="0" w:color="auto"/>
            <w:right w:val="none" w:sz="0" w:space="0" w:color="auto"/>
          </w:divBdr>
        </w:div>
      </w:divsChild>
    </w:div>
    <w:div w:id="1674527837">
      <w:bodyDiv w:val="1"/>
      <w:marLeft w:val="225"/>
      <w:marRight w:val="225"/>
      <w:marTop w:val="0"/>
      <w:marBottom w:val="0"/>
      <w:divBdr>
        <w:top w:val="none" w:sz="0" w:space="0" w:color="auto"/>
        <w:left w:val="none" w:sz="0" w:space="0" w:color="auto"/>
        <w:bottom w:val="none" w:sz="0" w:space="0" w:color="auto"/>
        <w:right w:val="none" w:sz="0" w:space="0" w:color="auto"/>
      </w:divBdr>
      <w:divsChild>
        <w:div w:id="1898854667">
          <w:marLeft w:val="0"/>
          <w:marRight w:val="0"/>
          <w:marTop w:val="0"/>
          <w:marBottom w:val="0"/>
          <w:divBdr>
            <w:top w:val="none" w:sz="0" w:space="0" w:color="auto"/>
            <w:left w:val="none" w:sz="0" w:space="0" w:color="auto"/>
            <w:bottom w:val="none" w:sz="0" w:space="0" w:color="auto"/>
            <w:right w:val="none" w:sz="0" w:space="0" w:color="auto"/>
          </w:divBdr>
        </w:div>
      </w:divsChild>
    </w:div>
    <w:div w:id="1676690314">
      <w:bodyDiv w:val="1"/>
      <w:marLeft w:val="0"/>
      <w:marRight w:val="0"/>
      <w:marTop w:val="0"/>
      <w:marBottom w:val="0"/>
      <w:divBdr>
        <w:top w:val="none" w:sz="0" w:space="0" w:color="auto"/>
        <w:left w:val="none" w:sz="0" w:space="0" w:color="auto"/>
        <w:bottom w:val="none" w:sz="0" w:space="0" w:color="auto"/>
        <w:right w:val="none" w:sz="0" w:space="0" w:color="auto"/>
      </w:divBdr>
      <w:divsChild>
        <w:div w:id="42022802">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1708601903">
      <w:bodyDiv w:val="1"/>
      <w:marLeft w:val="0"/>
      <w:marRight w:val="0"/>
      <w:marTop w:val="0"/>
      <w:marBottom w:val="0"/>
      <w:divBdr>
        <w:top w:val="none" w:sz="0" w:space="0" w:color="auto"/>
        <w:left w:val="none" w:sz="0" w:space="0" w:color="auto"/>
        <w:bottom w:val="none" w:sz="0" w:space="0" w:color="auto"/>
        <w:right w:val="none" w:sz="0" w:space="0" w:color="auto"/>
      </w:divBdr>
    </w:div>
    <w:div w:id="1714039355">
      <w:bodyDiv w:val="1"/>
      <w:marLeft w:val="0"/>
      <w:marRight w:val="0"/>
      <w:marTop w:val="0"/>
      <w:marBottom w:val="0"/>
      <w:divBdr>
        <w:top w:val="none" w:sz="0" w:space="0" w:color="auto"/>
        <w:left w:val="none" w:sz="0" w:space="0" w:color="auto"/>
        <w:bottom w:val="none" w:sz="0" w:space="0" w:color="auto"/>
        <w:right w:val="none" w:sz="0" w:space="0" w:color="auto"/>
      </w:divBdr>
    </w:div>
    <w:div w:id="1715545520">
      <w:bodyDiv w:val="1"/>
      <w:marLeft w:val="0"/>
      <w:marRight w:val="0"/>
      <w:marTop w:val="0"/>
      <w:marBottom w:val="0"/>
      <w:divBdr>
        <w:top w:val="none" w:sz="0" w:space="0" w:color="auto"/>
        <w:left w:val="none" w:sz="0" w:space="0" w:color="auto"/>
        <w:bottom w:val="none" w:sz="0" w:space="0" w:color="auto"/>
        <w:right w:val="none" w:sz="0" w:space="0" w:color="auto"/>
      </w:divBdr>
    </w:div>
    <w:div w:id="1721902118">
      <w:bodyDiv w:val="1"/>
      <w:marLeft w:val="0"/>
      <w:marRight w:val="0"/>
      <w:marTop w:val="0"/>
      <w:marBottom w:val="0"/>
      <w:divBdr>
        <w:top w:val="none" w:sz="0" w:space="0" w:color="auto"/>
        <w:left w:val="none" w:sz="0" w:space="0" w:color="auto"/>
        <w:bottom w:val="none" w:sz="0" w:space="0" w:color="auto"/>
        <w:right w:val="none" w:sz="0" w:space="0" w:color="auto"/>
      </w:divBdr>
      <w:divsChild>
        <w:div w:id="1533104881">
          <w:marLeft w:val="0"/>
          <w:marRight w:val="0"/>
          <w:marTop w:val="0"/>
          <w:marBottom w:val="0"/>
          <w:divBdr>
            <w:top w:val="none" w:sz="0" w:space="0" w:color="auto"/>
            <w:left w:val="none" w:sz="0" w:space="0" w:color="auto"/>
            <w:bottom w:val="none" w:sz="0" w:space="0" w:color="auto"/>
            <w:right w:val="none" w:sz="0" w:space="0" w:color="auto"/>
          </w:divBdr>
        </w:div>
        <w:div w:id="185101894">
          <w:marLeft w:val="0"/>
          <w:marRight w:val="0"/>
          <w:marTop w:val="0"/>
          <w:marBottom w:val="0"/>
          <w:divBdr>
            <w:top w:val="none" w:sz="0" w:space="0" w:color="auto"/>
            <w:left w:val="none" w:sz="0" w:space="0" w:color="auto"/>
            <w:bottom w:val="none" w:sz="0" w:space="0" w:color="auto"/>
            <w:right w:val="none" w:sz="0" w:space="0" w:color="auto"/>
          </w:divBdr>
        </w:div>
        <w:div w:id="188882779">
          <w:marLeft w:val="0"/>
          <w:marRight w:val="0"/>
          <w:marTop w:val="0"/>
          <w:marBottom w:val="0"/>
          <w:divBdr>
            <w:top w:val="none" w:sz="0" w:space="0" w:color="auto"/>
            <w:left w:val="none" w:sz="0" w:space="0" w:color="auto"/>
            <w:bottom w:val="none" w:sz="0" w:space="0" w:color="auto"/>
            <w:right w:val="none" w:sz="0" w:space="0" w:color="auto"/>
          </w:divBdr>
        </w:div>
      </w:divsChild>
    </w:div>
    <w:div w:id="1736927659">
      <w:bodyDiv w:val="1"/>
      <w:marLeft w:val="0"/>
      <w:marRight w:val="0"/>
      <w:marTop w:val="0"/>
      <w:marBottom w:val="0"/>
      <w:divBdr>
        <w:top w:val="none" w:sz="0" w:space="0" w:color="auto"/>
        <w:left w:val="none" w:sz="0" w:space="0" w:color="auto"/>
        <w:bottom w:val="none" w:sz="0" w:space="0" w:color="auto"/>
        <w:right w:val="none" w:sz="0" w:space="0" w:color="auto"/>
      </w:divBdr>
    </w:div>
    <w:div w:id="1747649911">
      <w:bodyDiv w:val="1"/>
      <w:marLeft w:val="0"/>
      <w:marRight w:val="0"/>
      <w:marTop w:val="0"/>
      <w:marBottom w:val="0"/>
      <w:divBdr>
        <w:top w:val="none" w:sz="0" w:space="0" w:color="auto"/>
        <w:left w:val="none" w:sz="0" w:space="0" w:color="auto"/>
        <w:bottom w:val="none" w:sz="0" w:space="0" w:color="auto"/>
        <w:right w:val="none" w:sz="0" w:space="0" w:color="auto"/>
      </w:divBdr>
      <w:divsChild>
        <w:div w:id="1345326364">
          <w:marLeft w:val="0"/>
          <w:marRight w:val="0"/>
          <w:marTop w:val="0"/>
          <w:marBottom w:val="0"/>
          <w:divBdr>
            <w:top w:val="none" w:sz="0" w:space="0" w:color="auto"/>
            <w:left w:val="none" w:sz="0" w:space="0" w:color="auto"/>
            <w:bottom w:val="none" w:sz="0" w:space="0" w:color="auto"/>
            <w:right w:val="none" w:sz="0" w:space="0" w:color="auto"/>
          </w:divBdr>
        </w:div>
        <w:div w:id="2049331555">
          <w:marLeft w:val="0"/>
          <w:marRight w:val="0"/>
          <w:marTop w:val="0"/>
          <w:marBottom w:val="0"/>
          <w:divBdr>
            <w:top w:val="none" w:sz="0" w:space="0" w:color="auto"/>
            <w:left w:val="none" w:sz="0" w:space="0" w:color="auto"/>
            <w:bottom w:val="none" w:sz="0" w:space="0" w:color="auto"/>
            <w:right w:val="none" w:sz="0" w:space="0" w:color="auto"/>
          </w:divBdr>
        </w:div>
        <w:div w:id="1667976093">
          <w:marLeft w:val="0"/>
          <w:marRight w:val="0"/>
          <w:marTop w:val="0"/>
          <w:marBottom w:val="0"/>
          <w:divBdr>
            <w:top w:val="none" w:sz="0" w:space="0" w:color="auto"/>
            <w:left w:val="none" w:sz="0" w:space="0" w:color="auto"/>
            <w:bottom w:val="none" w:sz="0" w:space="0" w:color="auto"/>
            <w:right w:val="none" w:sz="0" w:space="0" w:color="auto"/>
          </w:divBdr>
        </w:div>
        <w:div w:id="1545560870">
          <w:marLeft w:val="0"/>
          <w:marRight w:val="0"/>
          <w:marTop w:val="0"/>
          <w:marBottom w:val="0"/>
          <w:divBdr>
            <w:top w:val="none" w:sz="0" w:space="0" w:color="auto"/>
            <w:left w:val="none" w:sz="0" w:space="0" w:color="auto"/>
            <w:bottom w:val="none" w:sz="0" w:space="0" w:color="auto"/>
            <w:right w:val="none" w:sz="0" w:space="0" w:color="auto"/>
          </w:divBdr>
        </w:div>
        <w:div w:id="1225794027">
          <w:marLeft w:val="0"/>
          <w:marRight w:val="0"/>
          <w:marTop w:val="0"/>
          <w:marBottom w:val="0"/>
          <w:divBdr>
            <w:top w:val="none" w:sz="0" w:space="0" w:color="auto"/>
            <w:left w:val="none" w:sz="0" w:space="0" w:color="auto"/>
            <w:bottom w:val="none" w:sz="0" w:space="0" w:color="auto"/>
            <w:right w:val="none" w:sz="0" w:space="0" w:color="auto"/>
          </w:divBdr>
        </w:div>
        <w:div w:id="1074353209">
          <w:marLeft w:val="0"/>
          <w:marRight w:val="0"/>
          <w:marTop w:val="0"/>
          <w:marBottom w:val="0"/>
          <w:divBdr>
            <w:top w:val="none" w:sz="0" w:space="0" w:color="auto"/>
            <w:left w:val="none" w:sz="0" w:space="0" w:color="auto"/>
            <w:bottom w:val="none" w:sz="0" w:space="0" w:color="auto"/>
            <w:right w:val="none" w:sz="0" w:space="0" w:color="auto"/>
          </w:divBdr>
        </w:div>
        <w:div w:id="1101529159">
          <w:marLeft w:val="0"/>
          <w:marRight w:val="0"/>
          <w:marTop w:val="0"/>
          <w:marBottom w:val="0"/>
          <w:divBdr>
            <w:top w:val="none" w:sz="0" w:space="0" w:color="auto"/>
            <w:left w:val="none" w:sz="0" w:space="0" w:color="auto"/>
            <w:bottom w:val="none" w:sz="0" w:space="0" w:color="auto"/>
            <w:right w:val="none" w:sz="0" w:space="0" w:color="auto"/>
          </w:divBdr>
        </w:div>
        <w:div w:id="571696894">
          <w:marLeft w:val="0"/>
          <w:marRight w:val="0"/>
          <w:marTop w:val="0"/>
          <w:marBottom w:val="0"/>
          <w:divBdr>
            <w:top w:val="none" w:sz="0" w:space="0" w:color="auto"/>
            <w:left w:val="none" w:sz="0" w:space="0" w:color="auto"/>
            <w:bottom w:val="none" w:sz="0" w:space="0" w:color="auto"/>
            <w:right w:val="none" w:sz="0" w:space="0" w:color="auto"/>
          </w:divBdr>
        </w:div>
        <w:div w:id="1406948762">
          <w:marLeft w:val="0"/>
          <w:marRight w:val="0"/>
          <w:marTop w:val="0"/>
          <w:marBottom w:val="0"/>
          <w:divBdr>
            <w:top w:val="none" w:sz="0" w:space="0" w:color="auto"/>
            <w:left w:val="none" w:sz="0" w:space="0" w:color="auto"/>
            <w:bottom w:val="none" w:sz="0" w:space="0" w:color="auto"/>
            <w:right w:val="none" w:sz="0" w:space="0" w:color="auto"/>
          </w:divBdr>
        </w:div>
        <w:div w:id="64768356">
          <w:marLeft w:val="0"/>
          <w:marRight w:val="0"/>
          <w:marTop w:val="0"/>
          <w:marBottom w:val="0"/>
          <w:divBdr>
            <w:top w:val="none" w:sz="0" w:space="0" w:color="auto"/>
            <w:left w:val="none" w:sz="0" w:space="0" w:color="auto"/>
            <w:bottom w:val="none" w:sz="0" w:space="0" w:color="auto"/>
            <w:right w:val="none" w:sz="0" w:space="0" w:color="auto"/>
          </w:divBdr>
        </w:div>
        <w:div w:id="229538111">
          <w:marLeft w:val="0"/>
          <w:marRight w:val="0"/>
          <w:marTop w:val="0"/>
          <w:marBottom w:val="0"/>
          <w:divBdr>
            <w:top w:val="none" w:sz="0" w:space="0" w:color="auto"/>
            <w:left w:val="none" w:sz="0" w:space="0" w:color="auto"/>
            <w:bottom w:val="none" w:sz="0" w:space="0" w:color="auto"/>
            <w:right w:val="none" w:sz="0" w:space="0" w:color="auto"/>
          </w:divBdr>
        </w:div>
        <w:div w:id="159933128">
          <w:marLeft w:val="0"/>
          <w:marRight w:val="0"/>
          <w:marTop w:val="0"/>
          <w:marBottom w:val="0"/>
          <w:divBdr>
            <w:top w:val="none" w:sz="0" w:space="0" w:color="auto"/>
            <w:left w:val="none" w:sz="0" w:space="0" w:color="auto"/>
            <w:bottom w:val="none" w:sz="0" w:space="0" w:color="auto"/>
            <w:right w:val="none" w:sz="0" w:space="0" w:color="auto"/>
          </w:divBdr>
        </w:div>
        <w:div w:id="878930915">
          <w:marLeft w:val="0"/>
          <w:marRight w:val="0"/>
          <w:marTop w:val="0"/>
          <w:marBottom w:val="0"/>
          <w:divBdr>
            <w:top w:val="none" w:sz="0" w:space="0" w:color="auto"/>
            <w:left w:val="none" w:sz="0" w:space="0" w:color="auto"/>
            <w:bottom w:val="none" w:sz="0" w:space="0" w:color="auto"/>
            <w:right w:val="none" w:sz="0" w:space="0" w:color="auto"/>
          </w:divBdr>
        </w:div>
        <w:div w:id="301274010">
          <w:marLeft w:val="0"/>
          <w:marRight w:val="0"/>
          <w:marTop w:val="0"/>
          <w:marBottom w:val="0"/>
          <w:divBdr>
            <w:top w:val="none" w:sz="0" w:space="0" w:color="auto"/>
            <w:left w:val="none" w:sz="0" w:space="0" w:color="auto"/>
            <w:bottom w:val="none" w:sz="0" w:space="0" w:color="auto"/>
            <w:right w:val="none" w:sz="0" w:space="0" w:color="auto"/>
          </w:divBdr>
        </w:div>
        <w:div w:id="69624972">
          <w:marLeft w:val="0"/>
          <w:marRight w:val="0"/>
          <w:marTop w:val="0"/>
          <w:marBottom w:val="0"/>
          <w:divBdr>
            <w:top w:val="none" w:sz="0" w:space="0" w:color="auto"/>
            <w:left w:val="none" w:sz="0" w:space="0" w:color="auto"/>
            <w:bottom w:val="none" w:sz="0" w:space="0" w:color="auto"/>
            <w:right w:val="none" w:sz="0" w:space="0" w:color="auto"/>
          </w:divBdr>
        </w:div>
      </w:divsChild>
    </w:div>
    <w:div w:id="1752392199">
      <w:bodyDiv w:val="1"/>
      <w:marLeft w:val="0"/>
      <w:marRight w:val="0"/>
      <w:marTop w:val="0"/>
      <w:marBottom w:val="0"/>
      <w:divBdr>
        <w:top w:val="none" w:sz="0" w:space="0" w:color="auto"/>
        <w:left w:val="none" w:sz="0" w:space="0" w:color="auto"/>
        <w:bottom w:val="none" w:sz="0" w:space="0" w:color="auto"/>
        <w:right w:val="none" w:sz="0" w:space="0" w:color="auto"/>
      </w:divBdr>
    </w:div>
    <w:div w:id="1753503053">
      <w:bodyDiv w:val="1"/>
      <w:marLeft w:val="0"/>
      <w:marRight w:val="0"/>
      <w:marTop w:val="0"/>
      <w:marBottom w:val="0"/>
      <w:divBdr>
        <w:top w:val="none" w:sz="0" w:space="0" w:color="auto"/>
        <w:left w:val="none" w:sz="0" w:space="0" w:color="auto"/>
        <w:bottom w:val="none" w:sz="0" w:space="0" w:color="auto"/>
        <w:right w:val="none" w:sz="0" w:space="0" w:color="auto"/>
      </w:divBdr>
    </w:div>
    <w:div w:id="1759208369">
      <w:bodyDiv w:val="1"/>
      <w:marLeft w:val="225"/>
      <w:marRight w:val="225"/>
      <w:marTop w:val="0"/>
      <w:marBottom w:val="0"/>
      <w:divBdr>
        <w:top w:val="none" w:sz="0" w:space="0" w:color="auto"/>
        <w:left w:val="none" w:sz="0" w:space="0" w:color="auto"/>
        <w:bottom w:val="none" w:sz="0" w:space="0" w:color="auto"/>
        <w:right w:val="none" w:sz="0" w:space="0" w:color="auto"/>
      </w:divBdr>
      <w:divsChild>
        <w:div w:id="1854956857">
          <w:marLeft w:val="0"/>
          <w:marRight w:val="0"/>
          <w:marTop w:val="0"/>
          <w:marBottom w:val="0"/>
          <w:divBdr>
            <w:top w:val="none" w:sz="0" w:space="0" w:color="auto"/>
            <w:left w:val="none" w:sz="0" w:space="0" w:color="auto"/>
            <w:bottom w:val="none" w:sz="0" w:space="0" w:color="auto"/>
            <w:right w:val="none" w:sz="0" w:space="0" w:color="auto"/>
          </w:divBdr>
        </w:div>
      </w:divsChild>
    </w:div>
    <w:div w:id="1763836590">
      <w:bodyDiv w:val="1"/>
      <w:marLeft w:val="0"/>
      <w:marRight w:val="0"/>
      <w:marTop w:val="0"/>
      <w:marBottom w:val="0"/>
      <w:divBdr>
        <w:top w:val="none" w:sz="0" w:space="0" w:color="auto"/>
        <w:left w:val="none" w:sz="0" w:space="0" w:color="auto"/>
        <w:bottom w:val="none" w:sz="0" w:space="0" w:color="auto"/>
        <w:right w:val="none" w:sz="0" w:space="0" w:color="auto"/>
      </w:divBdr>
    </w:div>
    <w:div w:id="1783452319">
      <w:bodyDiv w:val="1"/>
      <w:marLeft w:val="0"/>
      <w:marRight w:val="0"/>
      <w:marTop w:val="0"/>
      <w:marBottom w:val="0"/>
      <w:divBdr>
        <w:top w:val="none" w:sz="0" w:space="0" w:color="auto"/>
        <w:left w:val="none" w:sz="0" w:space="0" w:color="auto"/>
        <w:bottom w:val="none" w:sz="0" w:space="0" w:color="auto"/>
        <w:right w:val="none" w:sz="0" w:space="0" w:color="auto"/>
      </w:divBdr>
    </w:div>
    <w:div w:id="1788427141">
      <w:bodyDiv w:val="1"/>
      <w:marLeft w:val="0"/>
      <w:marRight w:val="0"/>
      <w:marTop w:val="0"/>
      <w:marBottom w:val="0"/>
      <w:divBdr>
        <w:top w:val="none" w:sz="0" w:space="0" w:color="auto"/>
        <w:left w:val="none" w:sz="0" w:space="0" w:color="auto"/>
        <w:bottom w:val="none" w:sz="0" w:space="0" w:color="auto"/>
        <w:right w:val="none" w:sz="0" w:space="0" w:color="auto"/>
      </w:divBdr>
    </w:div>
    <w:div w:id="1802653383">
      <w:bodyDiv w:val="1"/>
      <w:marLeft w:val="0"/>
      <w:marRight w:val="0"/>
      <w:marTop w:val="0"/>
      <w:marBottom w:val="0"/>
      <w:divBdr>
        <w:top w:val="none" w:sz="0" w:space="0" w:color="auto"/>
        <w:left w:val="none" w:sz="0" w:space="0" w:color="auto"/>
        <w:bottom w:val="none" w:sz="0" w:space="0" w:color="auto"/>
        <w:right w:val="none" w:sz="0" w:space="0" w:color="auto"/>
      </w:divBdr>
    </w:div>
    <w:div w:id="1806501693">
      <w:bodyDiv w:val="1"/>
      <w:marLeft w:val="0"/>
      <w:marRight w:val="0"/>
      <w:marTop w:val="0"/>
      <w:marBottom w:val="0"/>
      <w:divBdr>
        <w:top w:val="none" w:sz="0" w:space="0" w:color="auto"/>
        <w:left w:val="none" w:sz="0" w:space="0" w:color="auto"/>
        <w:bottom w:val="none" w:sz="0" w:space="0" w:color="auto"/>
        <w:right w:val="none" w:sz="0" w:space="0" w:color="auto"/>
      </w:divBdr>
    </w:div>
    <w:div w:id="1816679145">
      <w:bodyDiv w:val="1"/>
      <w:marLeft w:val="0"/>
      <w:marRight w:val="0"/>
      <w:marTop w:val="0"/>
      <w:marBottom w:val="0"/>
      <w:divBdr>
        <w:top w:val="none" w:sz="0" w:space="0" w:color="auto"/>
        <w:left w:val="none" w:sz="0" w:space="0" w:color="auto"/>
        <w:bottom w:val="none" w:sz="0" w:space="0" w:color="auto"/>
        <w:right w:val="none" w:sz="0" w:space="0" w:color="auto"/>
      </w:divBdr>
    </w:div>
    <w:div w:id="1818106588">
      <w:bodyDiv w:val="1"/>
      <w:marLeft w:val="0"/>
      <w:marRight w:val="0"/>
      <w:marTop w:val="0"/>
      <w:marBottom w:val="0"/>
      <w:divBdr>
        <w:top w:val="none" w:sz="0" w:space="0" w:color="auto"/>
        <w:left w:val="none" w:sz="0" w:space="0" w:color="auto"/>
        <w:bottom w:val="none" w:sz="0" w:space="0" w:color="auto"/>
        <w:right w:val="none" w:sz="0" w:space="0" w:color="auto"/>
      </w:divBdr>
    </w:div>
    <w:div w:id="1824663374">
      <w:bodyDiv w:val="1"/>
      <w:marLeft w:val="0"/>
      <w:marRight w:val="0"/>
      <w:marTop w:val="0"/>
      <w:marBottom w:val="0"/>
      <w:divBdr>
        <w:top w:val="none" w:sz="0" w:space="0" w:color="auto"/>
        <w:left w:val="none" w:sz="0" w:space="0" w:color="auto"/>
        <w:bottom w:val="none" w:sz="0" w:space="0" w:color="auto"/>
        <w:right w:val="none" w:sz="0" w:space="0" w:color="auto"/>
      </w:divBdr>
      <w:divsChild>
        <w:div w:id="679165324">
          <w:marLeft w:val="0"/>
          <w:marRight w:val="0"/>
          <w:marTop w:val="0"/>
          <w:marBottom w:val="0"/>
          <w:divBdr>
            <w:top w:val="none" w:sz="0" w:space="0" w:color="auto"/>
            <w:left w:val="none" w:sz="0" w:space="0" w:color="auto"/>
            <w:bottom w:val="none" w:sz="0" w:space="0" w:color="auto"/>
            <w:right w:val="none" w:sz="0" w:space="0" w:color="auto"/>
          </w:divBdr>
        </w:div>
        <w:div w:id="1338927577">
          <w:marLeft w:val="0"/>
          <w:marRight w:val="0"/>
          <w:marTop w:val="0"/>
          <w:marBottom w:val="0"/>
          <w:divBdr>
            <w:top w:val="none" w:sz="0" w:space="0" w:color="auto"/>
            <w:left w:val="none" w:sz="0" w:space="0" w:color="auto"/>
            <w:bottom w:val="none" w:sz="0" w:space="0" w:color="auto"/>
            <w:right w:val="none" w:sz="0" w:space="0" w:color="auto"/>
          </w:divBdr>
        </w:div>
        <w:div w:id="1197736868">
          <w:marLeft w:val="0"/>
          <w:marRight w:val="0"/>
          <w:marTop w:val="0"/>
          <w:marBottom w:val="0"/>
          <w:divBdr>
            <w:top w:val="none" w:sz="0" w:space="0" w:color="auto"/>
            <w:left w:val="none" w:sz="0" w:space="0" w:color="auto"/>
            <w:bottom w:val="none" w:sz="0" w:space="0" w:color="auto"/>
            <w:right w:val="none" w:sz="0" w:space="0" w:color="auto"/>
          </w:divBdr>
        </w:div>
        <w:div w:id="1105344992">
          <w:marLeft w:val="0"/>
          <w:marRight w:val="0"/>
          <w:marTop w:val="0"/>
          <w:marBottom w:val="0"/>
          <w:divBdr>
            <w:top w:val="none" w:sz="0" w:space="0" w:color="auto"/>
            <w:left w:val="none" w:sz="0" w:space="0" w:color="auto"/>
            <w:bottom w:val="none" w:sz="0" w:space="0" w:color="auto"/>
            <w:right w:val="none" w:sz="0" w:space="0" w:color="auto"/>
          </w:divBdr>
        </w:div>
        <w:div w:id="1544518483">
          <w:marLeft w:val="0"/>
          <w:marRight w:val="0"/>
          <w:marTop w:val="0"/>
          <w:marBottom w:val="0"/>
          <w:divBdr>
            <w:top w:val="none" w:sz="0" w:space="0" w:color="auto"/>
            <w:left w:val="none" w:sz="0" w:space="0" w:color="auto"/>
            <w:bottom w:val="none" w:sz="0" w:space="0" w:color="auto"/>
            <w:right w:val="none" w:sz="0" w:space="0" w:color="auto"/>
          </w:divBdr>
        </w:div>
        <w:div w:id="1059328847">
          <w:marLeft w:val="0"/>
          <w:marRight w:val="0"/>
          <w:marTop w:val="0"/>
          <w:marBottom w:val="0"/>
          <w:divBdr>
            <w:top w:val="none" w:sz="0" w:space="0" w:color="auto"/>
            <w:left w:val="none" w:sz="0" w:space="0" w:color="auto"/>
            <w:bottom w:val="none" w:sz="0" w:space="0" w:color="auto"/>
            <w:right w:val="none" w:sz="0" w:space="0" w:color="auto"/>
          </w:divBdr>
        </w:div>
        <w:div w:id="1432361947">
          <w:marLeft w:val="0"/>
          <w:marRight w:val="0"/>
          <w:marTop w:val="0"/>
          <w:marBottom w:val="0"/>
          <w:divBdr>
            <w:top w:val="none" w:sz="0" w:space="0" w:color="auto"/>
            <w:left w:val="none" w:sz="0" w:space="0" w:color="auto"/>
            <w:bottom w:val="none" w:sz="0" w:space="0" w:color="auto"/>
            <w:right w:val="none" w:sz="0" w:space="0" w:color="auto"/>
          </w:divBdr>
        </w:div>
        <w:div w:id="1004279341">
          <w:marLeft w:val="0"/>
          <w:marRight w:val="0"/>
          <w:marTop w:val="0"/>
          <w:marBottom w:val="0"/>
          <w:divBdr>
            <w:top w:val="none" w:sz="0" w:space="0" w:color="auto"/>
            <w:left w:val="none" w:sz="0" w:space="0" w:color="auto"/>
            <w:bottom w:val="none" w:sz="0" w:space="0" w:color="auto"/>
            <w:right w:val="none" w:sz="0" w:space="0" w:color="auto"/>
          </w:divBdr>
        </w:div>
        <w:div w:id="1379545806">
          <w:marLeft w:val="0"/>
          <w:marRight w:val="0"/>
          <w:marTop w:val="0"/>
          <w:marBottom w:val="0"/>
          <w:divBdr>
            <w:top w:val="none" w:sz="0" w:space="0" w:color="auto"/>
            <w:left w:val="none" w:sz="0" w:space="0" w:color="auto"/>
            <w:bottom w:val="none" w:sz="0" w:space="0" w:color="auto"/>
            <w:right w:val="none" w:sz="0" w:space="0" w:color="auto"/>
          </w:divBdr>
        </w:div>
        <w:div w:id="547490938">
          <w:marLeft w:val="0"/>
          <w:marRight w:val="0"/>
          <w:marTop w:val="0"/>
          <w:marBottom w:val="0"/>
          <w:divBdr>
            <w:top w:val="none" w:sz="0" w:space="0" w:color="auto"/>
            <w:left w:val="none" w:sz="0" w:space="0" w:color="auto"/>
            <w:bottom w:val="none" w:sz="0" w:space="0" w:color="auto"/>
            <w:right w:val="none" w:sz="0" w:space="0" w:color="auto"/>
          </w:divBdr>
        </w:div>
        <w:div w:id="1073619973">
          <w:marLeft w:val="0"/>
          <w:marRight w:val="0"/>
          <w:marTop w:val="0"/>
          <w:marBottom w:val="0"/>
          <w:divBdr>
            <w:top w:val="none" w:sz="0" w:space="0" w:color="auto"/>
            <w:left w:val="none" w:sz="0" w:space="0" w:color="auto"/>
            <w:bottom w:val="none" w:sz="0" w:space="0" w:color="auto"/>
            <w:right w:val="none" w:sz="0" w:space="0" w:color="auto"/>
          </w:divBdr>
        </w:div>
        <w:div w:id="1910532934">
          <w:marLeft w:val="0"/>
          <w:marRight w:val="0"/>
          <w:marTop w:val="0"/>
          <w:marBottom w:val="0"/>
          <w:divBdr>
            <w:top w:val="none" w:sz="0" w:space="0" w:color="auto"/>
            <w:left w:val="none" w:sz="0" w:space="0" w:color="auto"/>
            <w:bottom w:val="none" w:sz="0" w:space="0" w:color="auto"/>
            <w:right w:val="none" w:sz="0" w:space="0" w:color="auto"/>
          </w:divBdr>
        </w:div>
        <w:div w:id="1990858792">
          <w:marLeft w:val="0"/>
          <w:marRight w:val="0"/>
          <w:marTop w:val="0"/>
          <w:marBottom w:val="0"/>
          <w:divBdr>
            <w:top w:val="none" w:sz="0" w:space="0" w:color="auto"/>
            <w:left w:val="none" w:sz="0" w:space="0" w:color="auto"/>
            <w:bottom w:val="none" w:sz="0" w:space="0" w:color="auto"/>
            <w:right w:val="none" w:sz="0" w:space="0" w:color="auto"/>
          </w:divBdr>
        </w:div>
        <w:div w:id="1314528859">
          <w:marLeft w:val="0"/>
          <w:marRight w:val="0"/>
          <w:marTop w:val="0"/>
          <w:marBottom w:val="0"/>
          <w:divBdr>
            <w:top w:val="none" w:sz="0" w:space="0" w:color="auto"/>
            <w:left w:val="none" w:sz="0" w:space="0" w:color="auto"/>
            <w:bottom w:val="none" w:sz="0" w:space="0" w:color="auto"/>
            <w:right w:val="none" w:sz="0" w:space="0" w:color="auto"/>
          </w:divBdr>
        </w:div>
        <w:div w:id="653415983">
          <w:marLeft w:val="0"/>
          <w:marRight w:val="0"/>
          <w:marTop w:val="0"/>
          <w:marBottom w:val="0"/>
          <w:divBdr>
            <w:top w:val="none" w:sz="0" w:space="0" w:color="auto"/>
            <w:left w:val="none" w:sz="0" w:space="0" w:color="auto"/>
            <w:bottom w:val="none" w:sz="0" w:space="0" w:color="auto"/>
            <w:right w:val="none" w:sz="0" w:space="0" w:color="auto"/>
          </w:divBdr>
        </w:div>
        <w:div w:id="1477603053">
          <w:marLeft w:val="0"/>
          <w:marRight w:val="0"/>
          <w:marTop w:val="0"/>
          <w:marBottom w:val="0"/>
          <w:divBdr>
            <w:top w:val="none" w:sz="0" w:space="0" w:color="auto"/>
            <w:left w:val="none" w:sz="0" w:space="0" w:color="auto"/>
            <w:bottom w:val="none" w:sz="0" w:space="0" w:color="auto"/>
            <w:right w:val="none" w:sz="0" w:space="0" w:color="auto"/>
          </w:divBdr>
        </w:div>
        <w:div w:id="306323815">
          <w:marLeft w:val="0"/>
          <w:marRight w:val="0"/>
          <w:marTop w:val="0"/>
          <w:marBottom w:val="0"/>
          <w:divBdr>
            <w:top w:val="none" w:sz="0" w:space="0" w:color="auto"/>
            <w:left w:val="none" w:sz="0" w:space="0" w:color="auto"/>
            <w:bottom w:val="none" w:sz="0" w:space="0" w:color="auto"/>
            <w:right w:val="none" w:sz="0" w:space="0" w:color="auto"/>
          </w:divBdr>
        </w:div>
        <w:div w:id="288097555">
          <w:marLeft w:val="0"/>
          <w:marRight w:val="0"/>
          <w:marTop w:val="0"/>
          <w:marBottom w:val="0"/>
          <w:divBdr>
            <w:top w:val="none" w:sz="0" w:space="0" w:color="auto"/>
            <w:left w:val="none" w:sz="0" w:space="0" w:color="auto"/>
            <w:bottom w:val="none" w:sz="0" w:space="0" w:color="auto"/>
            <w:right w:val="none" w:sz="0" w:space="0" w:color="auto"/>
          </w:divBdr>
        </w:div>
        <w:div w:id="641425760">
          <w:marLeft w:val="0"/>
          <w:marRight w:val="0"/>
          <w:marTop w:val="0"/>
          <w:marBottom w:val="0"/>
          <w:divBdr>
            <w:top w:val="none" w:sz="0" w:space="0" w:color="auto"/>
            <w:left w:val="none" w:sz="0" w:space="0" w:color="auto"/>
            <w:bottom w:val="none" w:sz="0" w:space="0" w:color="auto"/>
            <w:right w:val="none" w:sz="0" w:space="0" w:color="auto"/>
          </w:divBdr>
        </w:div>
        <w:div w:id="1285387568">
          <w:marLeft w:val="0"/>
          <w:marRight w:val="0"/>
          <w:marTop w:val="0"/>
          <w:marBottom w:val="0"/>
          <w:divBdr>
            <w:top w:val="none" w:sz="0" w:space="0" w:color="auto"/>
            <w:left w:val="none" w:sz="0" w:space="0" w:color="auto"/>
            <w:bottom w:val="none" w:sz="0" w:space="0" w:color="auto"/>
            <w:right w:val="none" w:sz="0" w:space="0" w:color="auto"/>
          </w:divBdr>
        </w:div>
        <w:div w:id="1269120126">
          <w:marLeft w:val="0"/>
          <w:marRight w:val="0"/>
          <w:marTop w:val="0"/>
          <w:marBottom w:val="0"/>
          <w:divBdr>
            <w:top w:val="none" w:sz="0" w:space="0" w:color="auto"/>
            <w:left w:val="none" w:sz="0" w:space="0" w:color="auto"/>
            <w:bottom w:val="none" w:sz="0" w:space="0" w:color="auto"/>
            <w:right w:val="none" w:sz="0" w:space="0" w:color="auto"/>
          </w:divBdr>
        </w:div>
        <w:div w:id="1437672814">
          <w:marLeft w:val="0"/>
          <w:marRight w:val="0"/>
          <w:marTop w:val="0"/>
          <w:marBottom w:val="0"/>
          <w:divBdr>
            <w:top w:val="none" w:sz="0" w:space="0" w:color="auto"/>
            <w:left w:val="none" w:sz="0" w:space="0" w:color="auto"/>
            <w:bottom w:val="none" w:sz="0" w:space="0" w:color="auto"/>
            <w:right w:val="none" w:sz="0" w:space="0" w:color="auto"/>
          </w:divBdr>
        </w:div>
        <w:div w:id="283119772">
          <w:marLeft w:val="0"/>
          <w:marRight w:val="0"/>
          <w:marTop w:val="0"/>
          <w:marBottom w:val="0"/>
          <w:divBdr>
            <w:top w:val="none" w:sz="0" w:space="0" w:color="auto"/>
            <w:left w:val="none" w:sz="0" w:space="0" w:color="auto"/>
            <w:bottom w:val="none" w:sz="0" w:space="0" w:color="auto"/>
            <w:right w:val="none" w:sz="0" w:space="0" w:color="auto"/>
          </w:divBdr>
        </w:div>
        <w:div w:id="1139346563">
          <w:marLeft w:val="0"/>
          <w:marRight w:val="0"/>
          <w:marTop w:val="0"/>
          <w:marBottom w:val="0"/>
          <w:divBdr>
            <w:top w:val="none" w:sz="0" w:space="0" w:color="auto"/>
            <w:left w:val="none" w:sz="0" w:space="0" w:color="auto"/>
            <w:bottom w:val="none" w:sz="0" w:space="0" w:color="auto"/>
            <w:right w:val="none" w:sz="0" w:space="0" w:color="auto"/>
          </w:divBdr>
        </w:div>
        <w:div w:id="141315205">
          <w:marLeft w:val="0"/>
          <w:marRight w:val="0"/>
          <w:marTop w:val="0"/>
          <w:marBottom w:val="0"/>
          <w:divBdr>
            <w:top w:val="none" w:sz="0" w:space="0" w:color="auto"/>
            <w:left w:val="none" w:sz="0" w:space="0" w:color="auto"/>
            <w:bottom w:val="none" w:sz="0" w:space="0" w:color="auto"/>
            <w:right w:val="none" w:sz="0" w:space="0" w:color="auto"/>
          </w:divBdr>
        </w:div>
        <w:div w:id="395320218">
          <w:marLeft w:val="0"/>
          <w:marRight w:val="0"/>
          <w:marTop w:val="0"/>
          <w:marBottom w:val="0"/>
          <w:divBdr>
            <w:top w:val="none" w:sz="0" w:space="0" w:color="auto"/>
            <w:left w:val="none" w:sz="0" w:space="0" w:color="auto"/>
            <w:bottom w:val="none" w:sz="0" w:space="0" w:color="auto"/>
            <w:right w:val="none" w:sz="0" w:space="0" w:color="auto"/>
          </w:divBdr>
        </w:div>
        <w:div w:id="49885657">
          <w:marLeft w:val="0"/>
          <w:marRight w:val="0"/>
          <w:marTop w:val="0"/>
          <w:marBottom w:val="0"/>
          <w:divBdr>
            <w:top w:val="none" w:sz="0" w:space="0" w:color="auto"/>
            <w:left w:val="none" w:sz="0" w:space="0" w:color="auto"/>
            <w:bottom w:val="none" w:sz="0" w:space="0" w:color="auto"/>
            <w:right w:val="none" w:sz="0" w:space="0" w:color="auto"/>
          </w:divBdr>
        </w:div>
        <w:div w:id="1514344994">
          <w:marLeft w:val="0"/>
          <w:marRight w:val="0"/>
          <w:marTop w:val="0"/>
          <w:marBottom w:val="0"/>
          <w:divBdr>
            <w:top w:val="none" w:sz="0" w:space="0" w:color="auto"/>
            <w:left w:val="none" w:sz="0" w:space="0" w:color="auto"/>
            <w:bottom w:val="none" w:sz="0" w:space="0" w:color="auto"/>
            <w:right w:val="none" w:sz="0" w:space="0" w:color="auto"/>
          </w:divBdr>
        </w:div>
        <w:div w:id="1033072736">
          <w:marLeft w:val="0"/>
          <w:marRight w:val="0"/>
          <w:marTop w:val="0"/>
          <w:marBottom w:val="0"/>
          <w:divBdr>
            <w:top w:val="none" w:sz="0" w:space="0" w:color="auto"/>
            <w:left w:val="none" w:sz="0" w:space="0" w:color="auto"/>
            <w:bottom w:val="none" w:sz="0" w:space="0" w:color="auto"/>
            <w:right w:val="none" w:sz="0" w:space="0" w:color="auto"/>
          </w:divBdr>
        </w:div>
        <w:div w:id="775564532">
          <w:marLeft w:val="0"/>
          <w:marRight w:val="0"/>
          <w:marTop w:val="0"/>
          <w:marBottom w:val="0"/>
          <w:divBdr>
            <w:top w:val="none" w:sz="0" w:space="0" w:color="auto"/>
            <w:left w:val="none" w:sz="0" w:space="0" w:color="auto"/>
            <w:bottom w:val="none" w:sz="0" w:space="0" w:color="auto"/>
            <w:right w:val="none" w:sz="0" w:space="0" w:color="auto"/>
          </w:divBdr>
        </w:div>
        <w:div w:id="366301872">
          <w:marLeft w:val="0"/>
          <w:marRight w:val="0"/>
          <w:marTop w:val="0"/>
          <w:marBottom w:val="0"/>
          <w:divBdr>
            <w:top w:val="none" w:sz="0" w:space="0" w:color="auto"/>
            <w:left w:val="none" w:sz="0" w:space="0" w:color="auto"/>
            <w:bottom w:val="none" w:sz="0" w:space="0" w:color="auto"/>
            <w:right w:val="none" w:sz="0" w:space="0" w:color="auto"/>
          </w:divBdr>
        </w:div>
        <w:div w:id="1023676249">
          <w:marLeft w:val="0"/>
          <w:marRight w:val="0"/>
          <w:marTop w:val="0"/>
          <w:marBottom w:val="0"/>
          <w:divBdr>
            <w:top w:val="none" w:sz="0" w:space="0" w:color="auto"/>
            <w:left w:val="none" w:sz="0" w:space="0" w:color="auto"/>
            <w:bottom w:val="none" w:sz="0" w:space="0" w:color="auto"/>
            <w:right w:val="none" w:sz="0" w:space="0" w:color="auto"/>
          </w:divBdr>
        </w:div>
        <w:div w:id="1524395731">
          <w:marLeft w:val="0"/>
          <w:marRight w:val="0"/>
          <w:marTop w:val="0"/>
          <w:marBottom w:val="0"/>
          <w:divBdr>
            <w:top w:val="none" w:sz="0" w:space="0" w:color="auto"/>
            <w:left w:val="none" w:sz="0" w:space="0" w:color="auto"/>
            <w:bottom w:val="none" w:sz="0" w:space="0" w:color="auto"/>
            <w:right w:val="none" w:sz="0" w:space="0" w:color="auto"/>
          </w:divBdr>
        </w:div>
        <w:div w:id="852763475">
          <w:marLeft w:val="0"/>
          <w:marRight w:val="0"/>
          <w:marTop w:val="0"/>
          <w:marBottom w:val="0"/>
          <w:divBdr>
            <w:top w:val="none" w:sz="0" w:space="0" w:color="auto"/>
            <w:left w:val="none" w:sz="0" w:space="0" w:color="auto"/>
            <w:bottom w:val="none" w:sz="0" w:space="0" w:color="auto"/>
            <w:right w:val="none" w:sz="0" w:space="0" w:color="auto"/>
          </w:divBdr>
        </w:div>
        <w:div w:id="985355781">
          <w:marLeft w:val="0"/>
          <w:marRight w:val="0"/>
          <w:marTop w:val="0"/>
          <w:marBottom w:val="0"/>
          <w:divBdr>
            <w:top w:val="none" w:sz="0" w:space="0" w:color="auto"/>
            <w:left w:val="none" w:sz="0" w:space="0" w:color="auto"/>
            <w:bottom w:val="none" w:sz="0" w:space="0" w:color="auto"/>
            <w:right w:val="none" w:sz="0" w:space="0" w:color="auto"/>
          </w:divBdr>
        </w:div>
        <w:div w:id="250314691">
          <w:marLeft w:val="0"/>
          <w:marRight w:val="0"/>
          <w:marTop w:val="0"/>
          <w:marBottom w:val="0"/>
          <w:divBdr>
            <w:top w:val="none" w:sz="0" w:space="0" w:color="auto"/>
            <w:left w:val="none" w:sz="0" w:space="0" w:color="auto"/>
            <w:bottom w:val="none" w:sz="0" w:space="0" w:color="auto"/>
            <w:right w:val="none" w:sz="0" w:space="0" w:color="auto"/>
          </w:divBdr>
        </w:div>
        <w:div w:id="38893953">
          <w:marLeft w:val="0"/>
          <w:marRight w:val="0"/>
          <w:marTop w:val="0"/>
          <w:marBottom w:val="0"/>
          <w:divBdr>
            <w:top w:val="none" w:sz="0" w:space="0" w:color="auto"/>
            <w:left w:val="none" w:sz="0" w:space="0" w:color="auto"/>
            <w:bottom w:val="none" w:sz="0" w:space="0" w:color="auto"/>
            <w:right w:val="none" w:sz="0" w:space="0" w:color="auto"/>
          </w:divBdr>
        </w:div>
        <w:div w:id="1953824820">
          <w:marLeft w:val="0"/>
          <w:marRight w:val="0"/>
          <w:marTop w:val="0"/>
          <w:marBottom w:val="0"/>
          <w:divBdr>
            <w:top w:val="none" w:sz="0" w:space="0" w:color="auto"/>
            <w:left w:val="none" w:sz="0" w:space="0" w:color="auto"/>
            <w:bottom w:val="none" w:sz="0" w:space="0" w:color="auto"/>
            <w:right w:val="none" w:sz="0" w:space="0" w:color="auto"/>
          </w:divBdr>
        </w:div>
        <w:div w:id="1416436650">
          <w:marLeft w:val="0"/>
          <w:marRight w:val="0"/>
          <w:marTop w:val="0"/>
          <w:marBottom w:val="0"/>
          <w:divBdr>
            <w:top w:val="none" w:sz="0" w:space="0" w:color="auto"/>
            <w:left w:val="none" w:sz="0" w:space="0" w:color="auto"/>
            <w:bottom w:val="none" w:sz="0" w:space="0" w:color="auto"/>
            <w:right w:val="none" w:sz="0" w:space="0" w:color="auto"/>
          </w:divBdr>
        </w:div>
        <w:div w:id="1494639553">
          <w:marLeft w:val="0"/>
          <w:marRight w:val="0"/>
          <w:marTop w:val="0"/>
          <w:marBottom w:val="0"/>
          <w:divBdr>
            <w:top w:val="none" w:sz="0" w:space="0" w:color="auto"/>
            <w:left w:val="none" w:sz="0" w:space="0" w:color="auto"/>
            <w:bottom w:val="none" w:sz="0" w:space="0" w:color="auto"/>
            <w:right w:val="none" w:sz="0" w:space="0" w:color="auto"/>
          </w:divBdr>
        </w:div>
        <w:div w:id="2073767905">
          <w:marLeft w:val="0"/>
          <w:marRight w:val="0"/>
          <w:marTop w:val="0"/>
          <w:marBottom w:val="0"/>
          <w:divBdr>
            <w:top w:val="none" w:sz="0" w:space="0" w:color="auto"/>
            <w:left w:val="none" w:sz="0" w:space="0" w:color="auto"/>
            <w:bottom w:val="none" w:sz="0" w:space="0" w:color="auto"/>
            <w:right w:val="none" w:sz="0" w:space="0" w:color="auto"/>
          </w:divBdr>
        </w:div>
      </w:divsChild>
    </w:div>
    <w:div w:id="1900049738">
      <w:bodyDiv w:val="1"/>
      <w:marLeft w:val="0"/>
      <w:marRight w:val="0"/>
      <w:marTop w:val="0"/>
      <w:marBottom w:val="0"/>
      <w:divBdr>
        <w:top w:val="none" w:sz="0" w:space="0" w:color="auto"/>
        <w:left w:val="none" w:sz="0" w:space="0" w:color="auto"/>
        <w:bottom w:val="none" w:sz="0" w:space="0" w:color="auto"/>
        <w:right w:val="none" w:sz="0" w:space="0" w:color="auto"/>
      </w:divBdr>
    </w:div>
    <w:div w:id="1930458242">
      <w:bodyDiv w:val="1"/>
      <w:marLeft w:val="0"/>
      <w:marRight w:val="0"/>
      <w:marTop w:val="0"/>
      <w:marBottom w:val="0"/>
      <w:divBdr>
        <w:top w:val="none" w:sz="0" w:space="0" w:color="auto"/>
        <w:left w:val="none" w:sz="0" w:space="0" w:color="auto"/>
        <w:bottom w:val="none" w:sz="0" w:space="0" w:color="auto"/>
        <w:right w:val="none" w:sz="0" w:space="0" w:color="auto"/>
      </w:divBdr>
    </w:div>
    <w:div w:id="1956668317">
      <w:bodyDiv w:val="1"/>
      <w:marLeft w:val="0"/>
      <w:marRight w:val="0"/>
      <w:marTop w:val="0"/>
      <w:marBottom w:val="0"/>
      <w:divBdr>
        <w:top w:val="none" w:sz="0" w:space="0" w:color="auto"/>
        <w:left w:val="none" w:sz="0" w:space="0" w:color="auto"/>
        <w:bottom w:val="none" w:sz="0" w:space="0" w:color="auto"/>
        <w:right w:val="none" w:sz="0" w:space="0" w:color="auto"/>
      </w:divBdr>
    </w:div>
    <w:div w:id="1957713279">
      <w:bodyDiv w:val="1"/>
      <w:marLeft w:val="0"/>
      <w:marRight w:val="0"/>
      <w:marTop w:val="0"/>
      <w:marBottom w:val="0"/>
      <w:divBdr>
        <w:top w:val="none" w:sz="0" w:space="0" w:color="auto"/>
        <w:left w:val="none" w:sz="0" w:space="0" w:color="auto"/>
        <w:bottom w:val="none" w:sz="0" w:space="0" w:color="auto"/>
        <w:right w:val="none" w:sz="0" w:space="0" w:color="auto"/>
      </w:divBdr>
    </w:div>
    <w:div w:id="1960724006">
      <w:bodyDiv w:val="1"/>
      <w:marLeft w:val="0"/>
      <w:marRight w:val="0"/>
      <w:marTop w:val="0"/>
      <w:marBottom w:val="0"/>
      <w:divBdr>
        <w:top w:val="none" w:sz="0" w:space="0" w:color="auto"/>
        <w:left w:val="none" w:sz="0" w:space="0" w:color="auto"/>
        <w:bottom w:val="none" w:sz="0" w:space="0" w:color="auto"/>
        <w:right w:val="none" w:sz="0" w:space="0" w:color="auto"/>
      </w:divBdr>
    </w:div>
    <w:div w:id="1988901915">
      <w:bodyDiv w:val="1"/>
      <w:marLeft w:val="0"/>
      <w:marRight w:val="0"/>
      <w:marTop w:val="0"/>
      <w:marBottom w:val="0"/>
      <w:divBdr>
        <w:top w:val="none" w:sz="0" w:space="0" w:color="auto"/>
        <w:left w:val="none" w:sz="0" w:space="0" w:color="auto"/>
        <w:bottom w:val="none" w:sz="0" w:space="0" w:color="auto"/>
        <w:right w:val="none" w:sz="0" w:space="0" w:color="auto"/>
      </w:divBdr>
    </w:div>
    <w:div w:id="2000577994">
      <w:bodyDiv w:val="1"/>
      <w:marLeft w:val="188"/>
      <w:marRight w:val="188"/>
      <w:marTop w:val="0"/>
      <w:marBottom w:val="0"/>
      <w:divBdr>
        <w:top w:val="none" w:sz="0" w:space="0" w:color="auto"/>
        <w:left w:val="none" w:sz="0" w:space="0" w:color="auto"/>
        <w:bottom w:val="none" w:sz="0" w:space="0" w:color="auto"/>
        <w:right w:val="none" w:sz="0" w:space="0" w:color="auto"/>
      </w:divBdr>
      <w:divsChild>
        <w:div w:id="1679959486">
          <w:marLeft w:val="0"/>
          <w:marRight w:val="0"/>
          <w:marTop w:val="0"/>
          <w:marBottom w:val="0"/>
          <w:divBdr>
            <w:top w:val="none" w:sz="0" w:space="0" w:color="auto"/>
            <w:left w:val="none" w:sz="0" w:space="0" w:color="auto"/>
            <w:bottom w:val="none" w:sz="0" w:space="0" w:color="auto"/>
            <w:right w:val="none" w:sz="0" w:space="0" w:color="auto"/>
          </w:divBdr>
        </w:div>
      </w:divsChild>
    </w:div>
    <w:div w:id="2000767484">
      <w:bodyDiv w:val="1"/>
      <w:marLeft w:val="0"/>
      <w:marRight w:val="0"/>
      <w:marTop w:val="0"/>
      <w:marBottom w:val="0"/>
      <w:divBdr>
        <w:top w:val="none" w:sz="0" w:space="0" w:color="auto"/>
        <w:left w:val="none" w:sz="0" w:space="0" w:color="auto"/>
        <w:bottom w:val="none" w:sz="0" w:space="0" w:color="auto"/>
        <w:right w:val="none" w:sz="0" w:space="0" w:color="auto"/>
      </w:divBdr>
    </w:div>
    <w:div w:id="2009601657">
      <w:bodyDiv w:val="1"/>
      <w:marLeft w:val="0"/>
      <w:marRight w:val="0"/>
      <w:marTop w:val="0"/>
      <w:marBottom w:val="0"/>
      <w:divBdr>
        <w:top w:val="none" w:sz="0" w:space="0" w:color="auto"/>
        <w:left w:val="none" w:sz="0" w:space="0" w:color="auto"/>
        <w:bottom w:val="none" w:sz="0" w:space="0" w:color="auto"/>
        <w:right w:val="none" w:sz="0" w:space="0" w:color="auto"/>
      </w:divBdr>
    </w:div>
    <w:div w:id="2031371656">
      <w:bodyDiv w:val="1"/>
      <w:marLeft w:val="225"/>
      <w:marRight w:val="225"/>
      <w:marTop w:val="0"/>
      <w:marBottom w:val="0"/>
      <w:divBdr>
        <w:top w:val="none" w:sz="0" w:space="0" w:color="auto"/>
        <w:left w:val="none" w:sz="0" w:space="0" w:color="auto"/>
        <w:bottom w:val="none" w:sz="0" w:space="0" w:color="auto"/>
        <w:right w:val="none" w:sz="0" w:space="0" w:color="auto"/>
      </w:divBdr>
      <w:divsChild>
        <w:div w:id="1293484625">
          <w:marLeft w:val="0"/>
          <w:marRight w:val="0"/>
          <w:marTop w:val="0"/>
          <w:marBottom w:val="0"/>
          <w:divBdr>
            <w:top w:val="none" w:sz="0" w:space="0" w:color="auto"/>
            <w:left w:val="none" w:sz="0" w:space="0" w:color="auto"/>
            <w:bottom w:val="none" w:sz="0" w:space="0" w:color="auto"/>
            <w:right w:val="none" w:sz="0" w:space="0" w:color="auto"/>
          </w:divBdr>
        </w:div>
      </w:divsChild>
    </w:div>
    <w:div w:id="2058116141">
      <w:bodyDiv w:val="1"/>
      <w:marLeft w:val="0"/>
      <w:marRight w:val="0"/>
      <w:marTop w:val="0"/>
      <w:marBottom w:val="0"/>
      <w:divBdr>
        <w:top w:val="none" w:sz="0" w:space="0" w:color="auto"/>
        <w:left w:val="none" w:sz="0" w:space="0" w:color="auto"/>
        <w:bottom w:val="none" w:sz="0" w:space="0" w:color="auto"/>
        <w:right w:val="none" w:sz="0" w:space="0" w:color="auto"/>
      </w:divBdr>
    </w:div>
    <w:div w:id="2066877991">
      <w:bodyDiv w:val="1"/>
      <w:marLeft w:val="188"/>
      <w:marRight w:val="188"/>
      <w:marTop w:val="0"/>
      <w:marBottom w:val="0"/>
      <w:divBdr>
        <w:top w:val="none" w:sz="0" w:space="0" w:color="auto"/>
        <w:left w:val="none" w:sz="0" w:space="0" w:color="auto"/>
        <w:bottom w:val="none" w:sz="0" w:space="0" w:color="auto"/>
        <w:right w:val="none" w:sz="0" w:space="0" w:color="auto"/>
      </w:divBdr>
      <w:divsChild>
        <w:div w:id="2114128186">
          <w:marLeft w:val="0"/>
          <w:marRight w:val="0"/>
          <w:marTop w:val="0"/>
          <w:marBottom w:val="0"/>
          <w:divBdr>
            <w:top w:val="none" w:sz="0" w:space="0" w:color="auto"/>
            <w:left w:val="none" w:sz="0" w:space="0" w:color="auto"/>
            <w:bottom w:val="none" w:sz="0" w:space="0" w:color="auto"/>
            <w:right w:val="none" w:sz="0" w:space="0" w:color="auto"/>
          </w:divBdr>
        </w:div>
      </w:divsChild>
    </w:div>
    <w:div w:id="2074040643">
      <w:bodyDiv w:val="1"/>
      <w:marLeft w:val="225"/>
      <w:marRight w:val="225"/>
      <w:marTop w:val="0"/>
      <w:marBottom w:val="0"/>
      <w:divBdr>
        <w:top w:val="none" w:sz="0" w:space="0" w:color="auto"/>
        <w:left w:val="none" w:sz="0" w:space="0" w:color="auto"/>
        <w:bottom w:val="none" w:sz="0" w:space="0" w:color="auto"/>
        <w:right w:val="none" w:sz="0" w:space="0" w:color="auto"/>
      </w:divBdr>
      <w:divsChild>
        <w:div w:id="796530082">
          <w:marLeft w:val="0"/>
          <w:marRight w:val="0"/>
          <w:marTop w:val="0"/>
          <w:marBottom w:val="0"/>
          <w:divBdr>
            <w:top w:val="none" w:sz="0" w:space="0" w:color="auto"/>
            <w:left w:val="none" w:sz="0" w:space="0" w:color="auto"/>
            <w:bottom w:val="none" w:sz="0" w:space="0" w:color="auto"/>
            <w:right w:val="none" w:sz="0" w:space="0" w:color="auto"/>
          </w:divBdr>
        </w:div>
      </w:divsChild>
    </w:div>
    <w:div w:id="2074352526">
      <w:bodyDiv w:val="1"/>
      <w:marLeft w:val="0"/>
      <w:marRight w:val="0"/>
      <w:marTop w:val="0"/>
      <w:marBottom w:val="0"/>
      <w:divBdr>
        <w:top w:val="none" w:sz="0" w:space="0" w:color="auto"/>
        <w:left w:val="none" w:sz="0" w:space="0" w:color="auto"/>
        <w:bottom w:val="none" w:sz="0" w:space="0" w:color="auto"/>
        <w:right w:val="none" w:sz="0" w:space="0" w:color="auto"/>
      </w:divBdr>
    </w:div>
    <w:div w:id="2075463968">
      <w:bodyDiv w:val="1"/>
      <w:marLeft w:val="188"/>
      <w:marRight w:val="188"/>
      <w:marTop w:val="0"/>
      <w:marBottom w:val="0"/>
      <w:divBdr>
        <w:top w:val="none" w:sz="0" w:space="0" w:color="auto"/>
        <w:left w:val="none" w:sz="0" w:space="0" w:color="auto"/>
        <w:bottom w:val="none" w:sz="0" w:space="0" w:color="auto"/>
        <w:right w:val="none" w:sz="0" w:space="0" w:color="auto"/>
      </w:divBdr>
      <w:divsChild>
        <w:div w:id="1158182096">
          <w:marLeft w:val="0"/>
          <w:marRight w:val="0"/>
          <w:marTop w:val="0"/>
          <w:marBottom w:val="0"/>
          <w:divBdr>
            <w:top w:val="none" w:sz="0" w:space="0" w:color="auto"/>
            <w:left w:val="none" w:sz="0" w:space="0" w:color="auto"/>
            <w:bottom w:val="none" w:sz="0" w:space="0" w:color="auto"/>
            <w:right w:val="none" w:sz="0" w:space="0" w:color="auto"/>
          </w:divBdr>
        </w:div>
      </w:divsChild>
    </w:div>
    <w:div w:id="2078819057">
      <w:bodyDiv w:val="1"/>
      <w:marLeft w:val="0"/>
      <w:marRight w:val="0"/>
      <w:marTop w:val="0"/>
      <w:marBottom w:val="0"/>
      <w:divBdr>
        <w:top w:val="none" w:sz="0" w:space="0" w:color="auto"/>
        <w:left w:val="none" w:sz="0" w:space="0" w:color="auto"/>
        <w:bottom w:val="none" w:sz="0" w:space="0" w:color="auto"/>
        <w:right w:val="none" w:sz="0" w:space="0" w:color="auto"/>
      </w:divBdr>
    </w:div>
    <w:div w:id="2083985530">
      <w:bodyDiv w:val="1"/>
      <w:marLeft w:val="225"/>
      <w:marRight w:val="225"/>
      <w:marTop w:val="0"/>
      <w:marBottom w:val="0"/>
      <w:divBdr>
        <w:top w:val="none" w:sz="0" w:space="0" w:color="auto"/>
        <w:left w:val="none" w:sz="0" w:space="0" w:color="auto"/>
        <w:bottom w:val="none" w:sz="0" w:space="0" w:color="auto"/>
        <w:right w:val="none" w:sz="0" w:space="0" w:color="auto"/>
      </w:divBdr>
      <w:divsChild>
        <w:div w:id="239751100">
          <w:marLeft w:val="0"/>
          <w:marRight w:val="0"/>
          <w:marTop w:val="0"/>
          <w:marBottom w:val="0"/>
          <w:divBdr>
            <w:top w:val="none" w:sz="0" w:space="0" w:color="auto"/>
            <w:left w:val="none" w:sz="0" w:space="0" w:color="auto"/>
            <w:bottom w:val="none" w:sz="0" w:space="0" w:color="auto"/>
            <w:right w:val="none" w:sz="0" w:space="0" w:color="auto"/>
          </w:divBdr>
        </w:div>
      </w:divsChild>
    </w:div>
    <w:div w:id="2087918044">
      <w:bodyDiv w:val="1"/>
      <w:marLeft w:val="0"/>
      <w:marRight w:val="0"/>
      <w:marTop w:val="0"/>
      <w:marBottom w:val="0"/>
      <w:divBdr>
        <w:top w:val="none" w:sz="0" w:space="0" w:color="auto"/>
        <w:left w:val="none" w:sz="0" w:space="0" w:color="auto"/>
        <w:bottom w:val="none" w:sz="0" w:space="0" w:color="auto"/>
        <w:right w:val="none" w:sz="0" w:space="0" w:color="auto"/>
      </w:divBdr>
    </w:div>
    <w:div w:id="2112585268">
      <w:bodyDiv w:val="1"/>
      <w:marLeft w:val="0"/>
      <w:marRight w:val="0"/>
      <w:marTop w:val="0"/>
      <w:marBottom w:val="0"/>
      <w:divBdr>
        <w:top w:val="none" w:sz="0" w:space="0" w:color="auto"/>
        <w:left w:val="none" w:sz="0" w:space="0" w:color="auto"/>
        <w:bottom w:val="none" w:sz="0" w:space="0" w:color="auto"/>
        <w:right w:val="none" w:sz="0" w:space="0" w:color="auto"/>
      </w:divBdr>
    </w:div>
    <w:div w:id="2121098166">
      <w:bodyDiv w:val="1"/>
      <w:marLeft w:val="225"/>
      <w:marRight w:val="225"/>
      <w:marTop w:val="0"/>
      <w:marBottom w:val="0"/>
      <w:divBdr>
        <w:top w:val="none" w:sz="0" w:space="0" w:color="auto"/>
        <w:left w:val="none" w:sz="0" w:space="0" w:color="auto"/>
        <w:bottom w:val="none" w:sz="0" w:space="0" w:color="auto"/>
        <w:right w:val="none" w:sz="0" w:space="0" w:color="auto"/>
      </w:divBdr>
      <w:divsChild>
        <w:div w:id="609819483">
          <w:marLeft w:val="0"/>
          <w:marRight w:val="0"/>
          <w:marTop w:val="0"/>
          <w:marBottom w:val="0"/>
          <w:divBdr>
            <w:top w:val="none" w:sz="0" w:space="0" w:color="auto"/>
            <w:left w:val="none" w:sz="0" w:space="0" w:color="auto"/>
            <w:bottom w:val="none" w:sz="0" w:space="0" w:color="auto"/>
            <w:right w:val="none" w:sz="0" w:space="0" w:color="auto"/>
          </w:divBdr>
        </w:div>
      </w:divsChild>
    </w:div>
    <w:div w:id="2122914214">
      <w:bodyDiv w:val="1"/>
      <w:marLeft w:val="225"/>
      <w:marRight w:val="225"/>
      <w:marTop w:val="0"/>
      <w:marBottom w:val="0"/>
      <w:divBdr>
        <w:top w:val="none" w:sz="0" w:space="0" w:color="auto"/>
        <w:left w:val="none" w:sz="0" w:space="0" w:color="auto"/>
        <w:bottom w:val="none" w:sz="0" w:space="0" w:color="auto"/>
        <w:right w:val="none" w:sz="0" w:space="0" w:color="auto"/>
      </w:divBdr>
      <w:divsChild>
        <w:div w:id="1606838019">
          <w:marLeft w:val="0"/>
          <w:marRight w:val="0"/>
          <w:marTop w:val="0"/>
          <w:marBottom w:val="0"/>
          <w:divBdr>
            <w:top w:val="none" w:sz="0" w:space="0" w:color="auto"/>
            <w:left w:val="none" w:sz="0" w:space="0" w:color="auto"/>
            <w:bottom w:val="none" w:sz="0" w:space="0" w:color="auto"/>
            <w:right w:val="none" w:sz="0" w:space="0" w:color="auto"/>
          </w:divBdr>
        </w:div>
      </w:divsChild>
    </w:div>
    <w:div w:id="2142384889">
      <w:bodyDiv w:val="1"/>
      <w:marLeft w:val="0"/>
      <w:marRight w:val="0"/>
      <w:marTop w:val="0"/>
      <w:marBottom w:val="0"/>
      <w:divBdr>
        <w:top w:val="none" w:sz="0" w:space="0" w:color="auto"/>
        <w:left w:val="none" w:sz="0" w:space="0" w:color="auto"/>
        <w:bottom w:val="none" w:sz="0" w:space="0" w:color="auto"/>
        <w:right w:val="none" w:sz="0" w:space="0" w:color="auto"/>
      </w:divBdr>
      <w:divsChild>
        <w:div w:id="1193424431">
          <w:marLeft w:val="0"/>
          <w:marRight w:val="0"/>
          <w:marTop w:val="0"/>
          <w:marBottom w:val="0"/>
          <w:divBdr>
            <w:top w:val="none" w:sz="0" w:space="0" w:color="auto"/>
            <w:left w:val="none" w:sz="0" w:space="0" w:color="auto"/>
            <w:bottom w:val="none" w:sz="0" w:space="0" w:color="auto"/>
            <w:right w:val="none" w:sz="0" w:space="0" w:color="auto"/>
          </w:divBdr>
        </w:div>
        <w:div w:id="1318801143">
          <w:marLeft w:val="0"/>
          <w:marRight w:val="0"/>
          <w:marTop w:val="0"/>
          <w:marBottom w:val="0"/>
          <w:divBdr>
            <w:top w:val="none" w:sz="0" w:space="0" w:color="auto"/>
            <w:left w:val="none" w:sz="0" w:space="0" w:color="auto"/>
            <w:bottom w:val="none" w:sz="0" w:space="0" w:color="auto"/>
            <w:right w:val="none" w:sz="0" w:space="0" w:color="auto"/>
          </w:divBdr>
        </w:div>
        <w:div w:id="182439144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lentele" DocPartId="741cc3b3ca104d86b9ffb803e399fa84" PartId="8a689cfb05a3417eba02e40a64e20eae"/>
</Parts>
</file>

<file path=customXml/itemProps1.xml><?xml version="1.0" encoding="utf-8"?>
<ds:datastoreItem xmlns:ds="http://schemas.openxmlformats.org/officeDocument/2006/customXml" ds:itemID="{D56AA8EF-2977-44C1-8206-9E06B2164F25}">
  <ds:schemaRefs>
    <ds:schemaRef ds:uri="http://schemas.openxmlformats.org/officeDocument/2006/bibliography"/>
  </ds:schemaRefs>
</ds:datastoreItem>
</file>

<file path=customXml/itemProps2.xml><?xml version="1.0" encoding="utf-8"?>
<ds:datastoreItem xmlns:ds="http://schemas.openxmlformats.org/officeDocument/2006/customXml" ds:itemID="{895275A9-3C33-463A-8E5E-9D107497274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7842</Words>
  <Characters>58345</Characters>
  <Application>Microsoft Office Word</Application>
  <DocSecurity>4</DocSecurity>
  <Lines>1080</Lines>
  <Paragraphs>279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 APLINKOS MINISTRO</vt:lpstr>
      <vt:lpstr>LIETUVOS RESPUBLIKOS APLINKOS MINISTRO</vt:lpstr>
    </vt:vector>
  </TitlesOfParts>
  <Company>AAA</Company>
  <LinksUpToDate>false</LinksUpToDate>
  <CharactersWithSpaces>65908</CharactersWithSpaces>
  <SharedDoc>false</SharedDoc>
  <HyperlinkBase/>
  <HLinks>
    <vt:vector size="24" baseType="variant">
      <vt:variant>
        <vt:i4>3997749</vt:i4>
      </vt:variant>
      <vt:variant>
        <vt:i4>9</vt:i4>
      </vt:variant>
      <vt:variant>
        <vt:i4>0</vt:i4>
      </vt:variant>
      <vt:variant>
        <vt:i4>5</vt:i4>
      </vt:variant>
      <vt:variant>
        <vt:lpwstr>http://litlex.am.lt/ll.dll?Tekstas=1&amp;Id=86551&amp;BF=1</vt:lpwstr>
      </vt:variant>
      <vt:variant>
        <vt:lpwstr/>
      </vt:variant>
      <vt:variant>
        <vt:i4>3145786</vt:i4>
      </vt:variant>
      <vt:variant>
        <vt:i4>6</vt:i4>
      </vt:variant>
      <vt:variant>
        <vt:i4>0</vt:i4>
      </vt:variant>
      <vt:variant>
        <vt:i4>5</vt:i4>
      </vt:variant>
      <vt:variant>
        <vt:lpwstr>http://litlex.am.lt/ll.dll?Tekstas=1&amp;Id=57294&amp;BF=1</vt:lpwstr>
      </vt:variant>
      <vt:variant>
        <vt:lpwstr/>
      </vt:variant>
      <vt:variant>
        <vt:i4>3866682</vt:i4>
      </vt:variant>
      <vt:variant>
        <vt:i4>3</vt:i4>
      </vt:variant>
      <vt:variant>
        <vt:i4>0</vt:i4>
      </vt:variant>
      <vt:variant>
        <vt:i4>5</vt:i4>
      </vt:variant>
      <vt:variant>
        <vt:lpwstr>http://litlex.am.lt/ll.dll?Tekstas=1&amp;Id=61346&amp;BF=1</vt:lpwstr>
      </vt:variant>
      <vt:variant>
        <vt:lpwstr/>
      </vt:variant>
      <vt:variant>
        <vt:i4>3866682</vt:i4>
      </vt:variant>
      <vt:variant>
        <vt:i4>0</vt:i4>
      </vt:variant>
      <vt:variant>
        <vt:i4>0</vt:i4>
      </vt:variant>
      <vt:variant>
        <vt:i4>5</vt:i4>
      </vt:variant>
      <vt:variant>
        <vt:lpwstr>http://litlex.am.lt/ll.dll?Tekstas=1&amp;Id=61346&amp;BF=1</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2022-02-17T16:50:00Z</dcterms:created>
  <dc:creator>vytautas</dc:creator>
  <lastModifiedBy>adlibuser</lastModifiedBy>
  <lastPrinted>2017-09-07T04:43:00Z</lastPrinted>
  <dcterms:modified xsi:type="dcterms:W3CDTF">2022-02-17T16:50:00Z</dcterms:modified>
  <revision>2</revision>
  <dc:title>LIETUVOS RESPUBLIKOS APLINKOS MINISTRO</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DISidcName">
    <vt:lpwstr>vdvis_dev</vt:lpwstr>
  </property>
  <property fmtid="{D5CDD505-2E9C-101B-9397-08002B2CF9AE}" pid="3" name="DISdID">
    <vt:lpwstr>3255581</vt:lpwstr>
  </property>
  <property fmtid="{D5CDD505-2E9C-101B-9397-08002B2CF9AE}" pid="4" name="DISCdDocAuthor">
    <vt:lpwstr>b.laurutenaite</vt:lpwstr>
  </property>
  <property fmtid="{D5CDD505-2E9C-101B-9397-08002B2CF9AE}" pid="5" name="VDVISDokPavadinimas">
    <vt:lpwstr>Atitikties lentelė</vt:lpwstr>
  </property>
  <property fmtid="{D5CDD505-2E9C-101B-9397-08002B2CF9AE}" pid="6" name="DIScgiUrl">
    <vt:lpwstr>https://vdvis.am.lt/cs/idcplg</vt:lpwstr>
  </property>
  <property fmtid="{D5CDD505-2E9C-101B-9397-08002B2CF9AE}" pid="7" name="DISProperties">
    <vt:lpwstr>DISdDocName,DISCdDocAuthor,DIScgiUrl,DISdUser,DISdID,VDVISDokPavadinimas,DISidcName,DISTaskPaneUrl</vt:lpwstr>
  </property>
  <property fmtid="{D5CDD505-2E9C-101B-9397-08002B2CF9AE}" pid="8" name="DISTaskPaneUrl">
    <vt:lpwstr>https://vdvis.am.lt/cs/idcplg?IdcService=DESKTOP_DOC_INFO&amp;dDocName=AM_3233796&amp;dID=3255581&amp;ClientControlled=DocMan,taskpane&amp;coreContentOnly=1</vt:lpwstr>
  </property>
  <property fmtid="{D5CDD505-2E9C-101B-9397-08002B2CF9AE}" pid="9" name="DISdUser">
    <vt:lpwstr>b.vilimaite</vt:lpwstr>
  </property>
  <property fmtid="{D5CDD505-2E9C-101B-9397-08002B2CF9AE}" pid="10" name="DISdDocName">
    <vt:lpwstr>AM_3233796</vt:lpwstr>
  </property>
</Properties>
</file>