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d5b5c0760a408db469e4a2e6e2ceb9"/>
        <w:lock w:val="sdtLocked"/>
        <w:richText/>
      </w:sdtPr>
      <w:sdtContent>
        <w:p>
          <w:pPr>
            <w:jc w:val="center"/>
            <w:rPr>
              <w:b/>
              <w:color w:val="000000"/>
              <w:szCs w:val="24"/>
              <w:lang w:eastAsia="lt-LT"/>
            </w:rPr>
          </w:pPr>
          <w:r>
            <w:rPr>
              <w:b/>
              <w:color w:val="000000"/>
              <w:szCs w:val="24"/>
              <w:lang w:eastAsia="lt-LT"/>
            </w:rPr>
            <w:t>NUMATOMO TEISINIO REGULIAVIMO POVEIKIO VERTINIMO PAŽYMA</w:t>
          </w:r>
        </w:p>
        <w:p>
          <w:pPr>
            <w:rPr>
              <w:lang w:eastAsia="lt-LT"/>
            </w:rPr>
          </w:pPr>
        </w:p>
        <w:p>
          <w:pPr>
            <w:rPr>
              <w:lang w:eastAsia="lt-LT"/>
            </w:rPr>
          </w:pPr>
        </w:p>
        <w:tbl>
          <w:tblPr>
            <w:tblW w:w="9606" w:type="dxa"/>
            <w:tblLook w:val="00A0" w:firstRow="1" w:lastRow="0" w:firstColumn="1" w:lastColumn="0" w:noHBand="0" w:noVBand="0"/>
          </w:tblPr>
          <w:tblGrid>
            <w:gridCol w:w="2204"/>
            <w:gridCol w:w="7402"/>
          </w:tblGrid>
          <w:tr>
            <w:tc>
              <w:tcPr>
                <w:tcW w:w="2204" w:type="dxa"/>
                <w:shd w:val="clear" w:color="auto" w:fill="DBE5F1"/>
                <w:hideMark/>
              </w:tcPr>
              <w:p>
                <w:pPr>
                  <w:rPr>
                    <w:szCs w:val="24"/>
                    <w:shd w:val="clear" w:color="auto" w:fill="DBE5F1"/>
                    <w:lang w:eastAsia="lt-LT"/>
                  </w:rPr>
                </w:pPr>
                <w:r>
                  <w:rPr>
                    <w:b/>
                    <w:szCs w:val="24"/>
                    <w:shd w:val="clear" w:color="auto" w:fill="DBE5F1"/>
                    <w:lang w:eastAsia="lt-LT"/>
                  </w:rPr>
                  <w:t>Projekto pavadinimas</w:t>
                </w:r>
              </w:p>
            </w:tc>
            <w:tc>
              <w:tcPr>
                <w:tcW w:w="7402" w:type="dxa"/>
                <w:shd w:val="clear" w:color="auto" w:fill="DBE5F1"/>
              </w:tcPr>
              <w:p>
                <w:pPr>
                  <w:suppressAutoHyphens/>
                  <w:jc w:val="both"/>
                  <w:rPr>
                    <w:lang w:eastAsia="lt-LT"/>
                  </w:rPr>
                </w:pPr>
                <w:r>
                  <w:rPr>
                    <w:lang w:eastAsia="lt-LT"/>
                  </w:rPr>
                  <w:t>Lietuvos Respublikos aplinkos ministro įsakymas „Dėl Lietuvos Respublikos aplinkos ministro 2017 m. spalio 31 d. įsakymo Nr. D1-885 „</w:t>
                </w:r>
                <w:r>
                  <w:rPr>
                    <w:color w:val="000000"/>
                    <w:lang w:eastAsia="lt-LT"/>
                  </w:rPr>
                  <w:t xml:space="preserve">Dėl </w:t>
                </w:r>
                <w:r>
                  <w:rPr>
                    <w:color w:val="000000"/>
                    <w:szCs w:val="24"/>
                    <w:lang w:eastAsia="lt-LT"/>
                  </w:rPr>
                  <w:t xml:space="preserve">Planuojamos ūkinės veiklos poveikio aplinkai vertinimo tvarkos </w:t>
                </w:r>
                <w:r>
                  <w:rPr>
                    <w:color w:val="000000"/>
                    <w:lang w:eastAsia="lt-LT"/>
                  </w:rPr>
                  <w:t xml:space="preserve"> aprašo patvirtinimo</w:t>
                </w:r>
                <w:r>
                  <w:rPr>
                    <w:lang w:eastAsia="lt-LT"/>
                  </w:rPr>
                  <w:t xml:space="preserve">“ pakeitimo“ </w:t>
                </w:r>
              </w:p>
            </w:tc>
          </w:tr>
        </w:tbl>
        <w:p>
          <w:pPr>
            <w:rPr>
              <w:szCs w:val="24"/>
              <w:lang w:eastAsia="lt-LT"/>
            </w:rPr>
          </w:pPr>
        </w:p>
        <w:tbl>
          <w:tblPr>
            <w:tblW w:w="9606" w:type="dxa"/>
            <w:tblLook w:val="00A0" w:firstRow="1" w:lastRow="0" w:firstColumn="1" w:lastColumn="0" w:noHBand="0" w:noVBand="0"/>
          </w:tblPr>
          <w:tblGrid>
            <w:gridCol w:w="2191"/>
            <w:gridCol w:w="7415"/>
          </w:tblGrid>
          <w:tr>
            <w:tc>
              <w:tcPr>
                <w:tcW w:w="2191" w:type="dxa"/>
                <w:shd w:val="clear" w:color="auto" w:fill="DBE5F1"/>
                <w:hideMark/>
              </w:tcPr>
              <w:p>
                <w:pPr>
                  <w:rPr>
                    <w:szCs w:val="24"/>
                    <w:lang w:eastAsia="lt-LT"/>
                  </w:rPr>
                </w:pPr>
                <w:r>
                  <w:rPr>
                    <w:b/>
                    <w:szCs w:val="24"/>
                    <w:shd w:val="clear" w:color="auto" w:fill="DBE5F1"/>
                    <w:lang w:eastAsia="lt-LT"/>
                  </w:rPr>
                  <w:t>Projekto rengėjas</w:t>
                </w:r>
              </w:p>
            </w:tc>
            <w:tc>
              <w:tcPr>
                <w:tcW w:w="7415" w:type="dxa"/>
                <w:shd w:val="clear" w:color="auto" w:fill="DBE5F1"/>
                <w:hideMark/>
              </w:tcPr>
              <w:p>
                <w:pPr>
                  <w:jc w:val="both"/>
                  <w:rPr>
                    <w:b/>
                    <w:szCs w:val="24"/>
                    <w:lang w:eastAsia="lt-LT"/>
                  </w:rPr>
                </w:pPr>
                <w:r>
                  <w:rPr>
                    <w:szCs w:val="24"/>
                    <w:lang w:eastAsia="lt-LT"/>
                  </w:rPr>
                  <w:t>Lietuvos Respublikos aplinkos ministerijos Taršos prevencijos politikos grupė</w:t>
                </w:r>
              </w:p>
            </w:tc>
          </w:tr>
        </w:tbl>
        <w:p>
          <w:pPr>
            <w:rPr>
              <w:szCs w:val="24"/>
              <w:lang w:eastAsia="lt-LT"/>
            </w:rPr>
          </w:pPr>
        </w:p>
        <w:tbl>
          <w:tblPr>
            <w:tblW w:w="9606" w:type="dxa"/>
            <w:tblLook w:val="00A0" w:firstRow="1" w:lastRow="0" w:firstColumn="1" w:lastColumn="0" w:noHBand="0" w:noVBand="0"/>
          </w:tblPr>
          <w:tblGrid>
            <w:gridCol w:w="2189"/>
            <w:gridCol w:w="7417"/>
          </w:tblGrid>
          <w:tr>
            <w:tc>
              <w:tcPr>
                <w:tcW w:w="2189" w:type="dxa"/>
                <w:shd w:val="clear" w:color="auto" w:fill="DBE5F1"/>
                <w:hideMark/>
              </w:tcPr>
              <w:p>
                <w:pPr>
                  <w:rPr>
                    <w:b/>
                    <w:szCs w:val="24"/>
                    <w:lang w:eastAsia="lt-LT"/>
                  </w:rPr>
                </w:pPr>
                <w:r>
                  <w:rPr>
                    <w:b/>
                    <w:szCs w:val="24"/>
                    <w:lang w:eastAsia="lt-LT"/>
                  </w:rPr>
                  <w:t>Projekto tikslai</w:t>
                </w:r>
              </w:p>
            </w:tc>
            <w:tc>
              <w:tcPr>
                <w:tcW w:w="7417" w:type="dxa"/>
                <w:shd w:val="clear" w:color="auto" w:fill="DBE5F1"/>
                <w:hideMark/>
              </w:tcPr>
              <w:p>
                <w:pPr>
                  <w:jc w:val="both"/>
                  <w:rPr>
                    <w:lang w:eastAsia="lt-LT"/>
                  </w:rPr>
                </w:pPr>
                <w:r>
                  <w:rPr>
                    <w:lang w:eastAsia="lt-LT"/>
                  </w:rPr>
                  <w:t>Projekto tikslai:</w:t>
                </w:r>
              </w:p>
              <w:p>
                <w:pPr>
                  <w:suppressAutoHyphens/>
                  <w:jc w:val="both"/>
                  <w:rPr>
                    <w:szCs w:val="24"/>
                    <w:lang w:eastAsia="lt-LT"/>
                  </w:rPr>
                </w:pPr>
                <w:r>
                  <w:rPr>
                    <w:lang w:eastAsia="lt-LT"/>
                  </w:rPr>
                  <w:t xml:space="preserve">- </w:t>
                </w:r>
                <w:r>
                  <w:rPr>
                    <w:szCs w:val="24"/>
                    <w:lang w:eastAsia="lt-LT"/>
                  </w:rPr>
                  <w:t>sudaryti V</w:t>
                </w:r>
                <w:r>
                  <w:rPr>
                    <w:color w:val="000000"/>
                    <w:lang w:eastAsia="lt-LT"/>
                  </w:rPr>
                  <w:t xml:space="preserve">ertingiausių šalies kraštovaizdžio panoramų apžvalgos taškų </w:t>
                </w:r>
                <w:r>
                  <w:rPr>
                    <w:lang w:eastAsia="lt-LT"/>
                  </w:rPr>
                  <w:t xml:space="preserve">sąrašą, </w:t>
                </w:r>
              </w:p>
              <w:p>
                <w:pPr>
                  <w:suppressAutoHyphens/>
                  <w:jc w:val="both"/>
                  <w:rPr>
                    <w:szCs w:val="24"/>
                    <w:lang w:eastAsia="lt-LT"/>
                  </w:rPr>
                </w:pPr>
                <w:r>
                  <w:rPr>
                    <w:lang w:eastAsia="lt-LT"/>
                  </w:rPr>
                  <w:t xml:space="preserve">- </w:t>
                </w:r>
                <w:r>
                  <w:rPr>
                    <w:szCs w:val="24"/>
                    <w:lang w:eastAsia="lt-LT"/>
                  </w:rPr>
                  <w:t>patikslinti rizikos analizės principus,</w:t>
                </w:r>
              </w:p>
              <w:p>
                <w:pPr>
                  <w:jc w:val="both"/>
                  <w:rPr>
                    <w:lang w:eastAsia="lt-LT"/>
                  </w:rPr>
                </w:pPr>
                <w:r>
                  <w:rPr>
                    <w:lang w:eastAsia="lt-LT"/>
                  </w:rPr>
                  <w:t xml:space="preserve">- nustatyti Agentūrai pareigą </w:t>
                </w:r>
                <w:r>
                  <w:rPr>
                    <w:szCs w:val="24"/>
                    <w:lang w:eastAsia="lt-LT"/>
                  </w:rPr>
                  <w:t>patikrinti, ar ataskaitos viešinimo ir visuomenės informavimo procedūros atliktos pagal teisės aktų reikalavimus</w:t>
                </w:r>
                <w:r>
                  <w:rPr>
                    <w:bCs/>
                    <w:color w:val="000000"/>
                    <w:lang w:eastAsia="lt-LT"/>
                  </w:rPr>
                  <w:t>,</w:t>
                </w:r>
              </w:p>
              <w:p>
                <w:pPr>
                  <w:jc w:val="both"/>
                  <w:rPr>
                    <w:bdr w:val="none" w:sz="0" w:space="0" w:color="auto" w:frame="1"/>
                    <w:lang w:eastAsia="lt-LT"/>
                  </w:rPr>
                </w:pPr>
                <w:r>
                  <w:rPr>
                    <w:lang w:eastAsia="lt-LT"/>
                  </w:rPr>
                  <w:t xml:space="preserve">- patikslinti galimus Agentūros veiksmus, gavus </w:t>
                </w:r>
                <w:r>
                  <w:rPr>
                    <w:bdr w:val="none" w:sz="0" w:space="0" w:color="auto" w:frame="1"/>
                    <w:lang w:eastAsia="lt-LT"/>
                  </w:rPr>
                  <w:t>ataskaitą po pakartotinio viešinimo procedūros,</w:t>
                </w:r>
              </w:p>
              <w:p>
                <w:pPr>
                  <w:jc w:val="both"/>
                  <w:rPr>
                    <w:rFonts w:eastAsia="Andale Sans UI"/>
                    <w:szCs w:val="24"/>
                    <w:lang w:eastAsia="lt-LT" w:bidi="en-US"/>
                  </w:rPr>
                </w:pPr>
                <w:r>
                  <w:rPr>
                    <w:bdr w:val="none" w:sz="0" w:space="0" w:color="auto" w:frame="1"/>
                    <w:lang w:eastAsia="lt-LT"/>
                  </w:rPr>
                  <w:t xml:space="preserve">- patikslinti reikalavimus </w:t>
                </w:r>
                <w:r>
                  <w:rPr>
                    <w:lang w:eastAsia="lt-LT"/>
                  </w:rPr>
                  <w:t>viešo visuomenės supažindinimo su ataskaita procedūroms.</w:t>
                </w:r>
              </w:p>
              <w:p>
                <w:pPr>
                  <w:jc w:val="both"/>
                  <w:rPr>
                    <w:szCs w:val="24"/>
                    <w:lang w:eastAsia="lt-LT"/>
                  </w:rPr>
                </w:pPr>
              </w:p>
            </w:tc>
          </w:tr>
        </w:tbl>
        <w:p>
          <w:pPr>
            <w:rPr>
              <w:szCs w:val="24"/>
              <w:lang w:eastAsia="lt-LT"/>
            </w:rPr>
          </w:pPr>
        </w:p>
        <w:tbl>
          <w:tblPr>
            <w:tblW w:w="9606" w:type="dxa"/>
            <w:tblLook w:val="00A0" w:firstRow="1" w:lastRow="0" w:firstColumn="1" w:lastColumn="0" w:noHBand="0" w:noVBand="0"/>
          </w:tblPr>
          <w:tblGrid>
            <w:gridCol w:w="2164"/>
            <w:gridCol w:w="7442"/>
          </w:tblGrid>
          <w:tr>
            <w:trPr>
              <w:trHeight w:val="415"/>
            </w:trPr>
            <w:tc>
              <w:tcPr>
                <w:tcW w:w="2164" w:type="dxa"/>
                <w:shd w:val="clear" w:color="auto" w:fill="DBE5F1"/>
              </w:tcPr>
              <w:p>
                <w:pPr>
                  <w:rPr>
                    <w:szCs w:val="24"/>
                    <w:lang w:eastAsia="lt-LT"/>
                  </w:rPr>
                </w:pPr>
              </w:p>
            </w:tc>
            <w:tc>
              <w:tcPr>
                <w:tcW w:w="7442" w:type="dxa"/>
                <w:shd w:val="clear" w:color="auto" w:fill="DBE5F1"/>
                <w:hideMark/>
              </w:tcPr>
              <w:p>
                <w:pPr>
                  <w:jc w:val="center"/>
                  <w:rPr>
                    <w:b/>
                    <w:szCs w:val="24"/>
                    <w:lang w:eastAsia="lt-LT"/>
                  </w:rPr>
                </w:pPr>
                <w:r>
                  <w:rPr>
                    <w:b/>
                    <w:szCs w:val="24"/>
                    <w:lang w:eastAsia="lt-LT"/>
                  </w:rPr>
                  <w:t xml:space="preserve">Siūlomo projekto poveikio įvertinimas </w:t>
                </w:r>
              </w:p>
              <w:p>
                <w:pPr>
                  <w:jc w:val="center"/>
                  <w:rPr>
                    <w:b/>
                    <w:szCs w:val="24"/>
                    <w:lang w:eastAsia="lt-LT"/>
                  </w:rPr>
                </w:pPr>
                <w:r>
                  <w:rPr>
                    <w:b/>
                    <w:szCs w:val="24"/>
                    <w:lang w:eastAsia="lt-LT"/>
                  </w:rPr>
                  <w:t>(</w:t>
                </w:r>
                <w:r>
                  <w:rPr>
                    <w:b/>
                    <w:bCs/>
                    <w:szCs w:val="24"/>
                    <w:lang w:eastAsia="lt-LT"/>
                  </w:rPr>
                  <w:t>teigiamos ir (ar) neigiamos pasekmės)</w:t>
                </w:r>
              </w:p>
            </w:tc>
          </w:tr>
        </w:tbl>
        <w:p>
          <w:pPr>
            <w:rPr>
              <w:szCs w:val="24"/>
              <w:lang w:eastAsia="lt-LT"/>
            </w:rPr>
          </w:pPr>
        </w:p>
        <w:tbl>
          <w:tblPr>
            <w:tblW w:w="9606" w:type="dxa"/>
            <w:tblLook w:val="00A0" w:firstRow="1" w:lastRow="0" w:firstColumn="1" w:lastColumn="0" w:noHBand="0" w:noVBand="0"/>
          </w:tblPr>
          <w:tblGrid>
            <w:gridCol w:w="2210"/>
            <w:gridCol w:w="25"/>
            <w:gridCol w:w="7371"/>
          </w:tblGrid>
          <w:tr>
            <w:tc>
              <w:tcPr>
                <w:tcW w:w="2235" w:type="dxa"/>
                <w:gridSpan w:val="2"/>
                <w:shd w:val="clear" w:color="auto" w:fill="DBE5F1"/>
              </w:tcPr>
              <w:p>
                <w:pPr>
                  <w:rPr>
                    <w:b/>
                    <w:szCs w:val="24"/>
                    <w:lang w:eastAsia="lt-LT"/>
                  </w:rPr>
                </w:pPr>
                <w:r>
                  <w:rPr>
                    <w:b/>
                    <w:szCs w:val="24"/>
                    <w:lang w:eastAsia="lt-LT"/>
                  </w:rPr>
                  <w:t>Poveikis teisinei sistemai</w:t>
                </w:r>
              </w:p>
            </w:tc>
            <w:tc>
              <w:tcPr>
                <w:tcW w:w="7371" w:type="dxa"/>
              </w:tcPr>
              <w:p>
                <w:pPr>
                  <w:jc w:val="both"/>
                  <w:rPr>
                    <w:rFonts w:eastAsia="Andale Sans UI"/>
                    <w:color w:val="1F497D"/>
                    <w:szCs w:val="24"/>
                  </w:rPr>
                </w:pPr>
                <w:r>
                  <w:rPr>
                    <w:rFonts w:eastAsia="Andale Sans UI"/>
                    <w:color w:val="1F497D"/>
                    <w:szCs w:val="24"/>
                  </w:rPr>
                  <w:t xml:space="preserve">Bus aiškesnis teisinis reglamentavimas. </w:t>
                </w:r>
              </w:p>
              <w:p>
                <w:pPr>
                  <w:jc w:val="both"/>
                  <w:rPr>
                    <w:color w:val="1F497D"/>
                    <w:szCs w:val="24"/>
                    <w:lang w:eastAsia="lt-LT"/>
                  </w:rPr>
                </w:pPr>
              </w:p>
            </w:tc>
          </w:tr>
          <w:tr>
            <w:tc>
              <w:tcPr>
                <w:tcW w:w="2235" w:type="dxa"/>
                <w:gridSpan w:val="2"/>
                <w:shd w:val="clear" w:color="auto" w:fill="DBE5F1"/>
                <w:hideMark/>
              </w:tcPr>
              <w:p>
                <w:pPr>
                  <w:rPr>
                    <w:b/>
                    <w:szCs w:val="24"/>
                    <w:lang w:eastAsia="lt-LT"/>
                  </w:rPr>
                </w:pPr>
                <w:r>
                  <w:rPr>
                    <w:b/>
                    <w:szCs w:val="24"/>
                    <w:lang w:eastAsia="lt-LT"/>
                  </w:rPr>
                  <w:t>Poveikis ekonomikai</w:t>
                </w: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r>
                  <w:rPr>
                    <w:b/>
                    <w:szCs w:val="24"/>
                    <w:lang w:eastAsia="lt-LT"/>
                  </w:rPr>
                  <w:t>Poveikis valstybės finansams</w:t>
                </w:r>
              </w:p>
              <w:p>
                <w:pPr>
                  <w:rPr>
                    <w:b/>
                    <w:szCs w:val="24"/>
                    <w:lang w:eastAsia="lt-LT"/>
                  </w:rPr>
                </w:pPr>
              </w:p>
            </w:tc>
            <w:tc>
              <w:tcPr>
                <w:tcW w:w="7371" w:type="dxa"/>
                <w:hideMark/>
              </w:tcPr>
              <w:p>
                <w:pPr>
                  <w:jc w:val="both"/>
                  <w:rPr>
                    <w:bCs/>
                    <w:color w:val="1F497D"/>
                    <w:szCs w:val="24"/>
                    <w:lang w:eastAsia="lt-LT"/>
                  </w:rPr>
                </w:pPr>
                <w:r>
                  <w:rPr>
                    <w:b/>
                    <w:bCs/>
                    <w:color w:val="1F497D"/>
                    <w:szCs w:val="24"/>
                    <w:lang w:eastAsia="lt-LT"/>
                  </w:rPr>
                  <w:t>Patvirtinus Projektą, poveikis ekonomikai nesikeis</w:t>
                </w:r>
                <w:r>
                  <w:rPr>
                    <w:bCs/>
                    <w:color w:val="1F497D"/>
                    <w:szCs w:val="24"/>
                    <w:lang w:eastAsia="lt-LT"/>
                  </w:rPr>
                  <w:t xml:space="preserve">, kadangi nesikeis poveikio vertinimo procedūros, </w:t>
                </w:r>
                <w:r>
                  <w:rPr>
                    <w:color w:val="1F497D"/>
                    <w:szCs w:val="24"/>
                    <w:lang w:eastAsia="lt-LT"/>
                  </w:rPr>
                  <w:t xml:space="preserve">apribojimų vykdyti ūkinę komercinę veiklą </w:t>
                </w:r>
                <w:r>
                  <w:rPr>
                    <w:bCs/>
                    <w:color w:val="1F497D"/>
                    <w:szCs w:val="24"/>
                    <w:lang w:eastAsia="lt-LT"/>
                  </w:rPr>
                  <w:t>nei padaugės, nei sumažės.</w:t>
                </w:r>
              </w:p>
              <w:p>
                <w:pPr>
                  <w:jc w:val="both"/>
                  <w:rPr>
                    <w:color w:val="1F497D"/>
                    <w:szCs w:val="24"/>
                    <w:lang w:eastAsia="lt-LT"/>
                  </w:rPr>
                </w:pPr>
                <w:r>
                  <w:rPr>
                    <w:rFonts w:eastAsia="Calibri"/>
                    <w:color w:val="1F497D"/>
                    <w:szCs w:val="24"/>
                  </w:rPr>
                  <w:t>P</w:t>
                </w:r>
                <w:r>
                  <w:rPr>
                    <w:color w:val="1F497D"/>
                    <w:szCs w:val="24"/>
                    <w:lang w:eastAsia="lt-LT"/>
                  </w:rPr>
                  <w:t xml:space="preserve">rojektu nesiūlomi nauji ir nekeičiami esami poveikio aplinkai vertinimo procedūriniai reikalavimai. Tiek šiuo metu pagal esamą teisinį reglamentavimą, tiek patvirtinus Projektą, vertinant planuojamos ūkinės veiklos poveikį aplinkai, turi būti vertinamas poveikis kraštovaizdžiui. </w:t>
                </w:r>
              </w:p>
              <w:p>
                <w:pPr>
                  <w:jc w:val="both"/>
                  <w:rPr>
                    <w:bCs/>
                    <w:color w:val="1F497D"/>
                    <w:szCs w:val="24"/>
                    <w:lang w:eastAsia="lt-LT"/>
                  </w:rPr>
                </w:pPr>
                <w:r>
                  <w:rPr>
                    <w:color w:val="1F497D"/>
                    <w:szCs w:val="24"/>
                    <w:lang w:eastAsia="lt-LT"/>
                  </w:rPr>
                  <w:t xml:space="preserve">Siekiant nustatyti objektyvesnius poveikio kraštovaizdžiui vertinimo kriterijus, Projektu siūloma </w:t>
                </w:r>
                <w:r>
                  <w:rPr>
                    <w:iCs/>
                    <w:color w:val="1F497D"/>
                    <w:szCs w:val="24"/>
                    <w:lang w:eastAsia="lt-LT"/>
                  </w:rPr>
                  <w:t>patikslinti kraštovaizdžio vertinimo principų taikymo nuostatas</w:t>
                </w:r>
                <w:r>
                  <w:rPr>
                    <w:color w:val="1F497D"/>
                    <w:szCs w:val="24"/>
                    <w:lang w:eastAsia="lt-LT"/>
                  </w:rPr>
                  <w:t xml:space="preserve"> konkrečius poveikio </w:t>
                </w:r>
                <w:r>
                  <w:rPr>
                    <w:bCs/>
                    <w:color w:val="1F497D"/>
                    <w:szCs w:val="24"/>
                    <w:lang w:eastAsia="lt-LT"/>
                  </w:rPr>
                  <w:t xml:space="preserve">kraštovaizdžiui vertinimo principus, kuriais vadovaujantis vertinimo ekspertai galės priimti ne subjektyvias, o argumentuotas išvadas dėl poveikio kraštovaizdžiui reikšmingumo. </w:t>
                </w:r>
              </w:p>
              <w:p>
                <w:pPr>
                  <w:jc w:val="both"/>
                  <w:rPr>
                    <w:rFonts w:eastAsia="Calibri"/>
                    <w:color w:val="1F497D"/>
                    <w:szCs w:val="24"/>
                  </w:rPr>
                </w:pPr>
              </w:p>
              <w:p>
                <w:pPr>
                  <w:jc w:val="both"/>
                  <w:rPr>
                    <w:color w:val="1F497D"/>
                    <w:szCs w:val="24"/>
                    <w:lang w:eastAsia="lt-LT"/>
                  </w:rPr>
                </w:pPr>
                <w:r>
                  <w:rPr>
                    <w:rFonts w:eastAsia="Calibri"/>
                    <w:color w:val="1F497D"/>
                    <w:szCs w:val="24"/>
                  </w:rPr>
                  <w:t>Poveikio valstybės finansams nebus.</w:t>
                </w:r>
              </w:p>
              <w:p>
                <w:pPr>
                  <w:jc w:val="both"/>
                  <w:rPr>
                    <w:color w:val="1F497D"/>
                    <w:szCs w:val="24"/>
                    <w:lang w:eastAsia="lt-LT"/>
                  </w:rPr>
                </w:pPr>
              </w:p>
            </w:tc>
          </w:tr>
          <w:tr>
            <w:tc>
              <w:tcPr>
                <w:tcW w:w="2235" w:type="dxa"/>
                <w:gridSpan w:val="2"/>
                <w:shd w:val="clear" w:color="auto" w:fill="DBE5F1"/>
              </w:tcPr>
              <w:p>
                <w:pPr>
                  <w:rPr>
                    <w:b/>
                    <w:szCs w:val="24"/>
                    <w:lang w:eastAsia="lt-LT"/>
                  </w:rPr>
                </w:pPr>
                <w:r>
                  <w:rPr>
                    <w:rFonts w:eastAsia="Calibri"/>
                    <w:b/>
                    <w:szCs w:val="24"/>
                  </w:rPr>
                  <w:t>Poveikis verslo sąlygoms</w:t>
                </w:r>
              </w:p>
            </w:tc>
            <w:tc>
              <w:tcPr>
                <w:tcW w:w="7371" w:type="dxa"/>
              </w:tcPr>
              <w:p>
                <w:pPr>
                  <w:jc w:val="both"/>
                  <w:rPr>
                    <w:rFonts w:eastAsia="Calibri"/>
                    <w:color w:val="1F497D"/>
                    <w:szCs w:val="24"/>
                  </w:rPr>
                </w:pPr>
                <w:r>
                  <w:rPr>
                    <w:rFonts w:eastAsia="Calibri"/>
                    <w:color w:val="1F497D"/>
                    <w:szCs w:val="24"/>
                  </w:rPr>
                  <w:t xml:space="preserve">Poveikis verslo sąlygoms teigiamas, nes bus aiškesnis teisinis </w:t>
                </w:r>
                <w:r>
                  <w:rPr>
                    <w:rFonts w:eastAsia="Andale Sans UI"/>
                    <w:color w:val="002060"/>
                    <w:szCs w:val="24"/>
                  </w:rPr>
                  <w:t>reglamentavimas.</w:t>
                </w:r>
                <w:r>
                  <w:rPr>
                    <w:rFonts w:eastAsia="Calibri"/>
                    <w:color w:val="1F497D"/>
                    <w:szCs w:val="24"/>
                  </w:rPr>
                  <w:t xml:space="preserve"> </w:t>
                </w:r>
              </w:p>
              <w:p>
                <w:pPr>
                  <w:ind w:firstLine="62"/>
                  <w:jc w:val="both"/>
                  <w:rPr>
                    <w:rFonts w:eastAsia="Calibri"/>
                    <w:color w:val="1F497D"/>
                    <w:szCs w:val="24"/>
                  </w:rPr>
                </w:pPr>
              </w:p>
            </w:tc>
          </w:tr>
          <w:tr>
            <w:tc>
              <w:tcPr>
                <w:tcW w:w="2235" w:type="dxa"/>
                <w:gridSpan w:val="2"/>
                <w:shd w:val="clear" w:color="auto" w:fill="DBE5F1"/>
              </w:tcPr>
              <w:p>
                <w:pPr>
                  <w:rPr>
                    <w:b/>
                    <w:szCs w:val="24"/>
                    <w:lang w:eastAsia="lt-LT"/>
                  </w:rPr>
                </w:pPr>
                <w:r>
                  <w:rPr>
                    <w:b/>
                    <w:szCs w:val="24"/>
                    <w:lang w:eastAsia="lt-LT"/>
                  </w:rPr>
                  <w:t>Poveikis socialinei aplinkai</w:t>
                </w:r>
              </w:p>
              <w:p>
                <w:pPr>
                  <w:rPr>
                    <w:b/>
                    <w:szCs w:val="24"/>
                    <w:lang w:eastAsia="lt-LT"/>
                  </w:rPr>
                </w:pPr>
              </w:p>
              <w:p>
                <w:pPr>
                  <w:rPr>
                    <w:b/>
                    <w:szCs w:val="24"/>
                    <w:lang w:eastAsia="lt-LT"/>
                  </w:rPr>
                </w:pPr>
                <w:r>
                  <w:rPr>
                    <w:b/>
                    <w:szCs w:val="24"/>
                    <w:lang w:eastAsia="lt-LT"/>
                  </w:rPr>
                  <w:t>Poveikis administracinei naštai</w:t>
                </w:r>
              </w:p>
              <w:p>
                <w:pPr>
                  <w:rPr>
                    <w:b/>
                    <w:szCs w:val="24"/>
                    <w:lang w:eastAsia="lt-LT"/>
                  </w:rPr>
                </w:pPr>
              </w:p>
            </w:tc>
            <w:tc>
              <w:tcPr>
                <w:tcW w:w="7371" w:type="dxa"/>
              </w:tcPr>
              <w:p>
                <w:pPr>
                  <w:jc w:val="both"/>
                  <w:rPr>
                    <w:rFonts w:eastAsia="Calibri"/>
                    <w:color w:val="002060"/>
                    <w:szCs w:val="24"/>
                  </w:rPr>
                </w:pPr>
                <w:r>
                  <w:rPr>
                    <w:rFonts w:eastAsia="Calibri"/>
                    <w:color w:val="002060"/>
                    <w:szCs w:val="24"/>
                  </w:rPr>
                  <w:t>Poveikio socialinei aplinkai nebus.</w:t>
                </w:r>
              </w:p>
              <w:p>
                <w:pPr>
                  <w:jc w:val="both"/>
                  <w:rPr>
                    <w:rFonts w:eastAsia="Calibri"/>
                    <w:color w:val="002060"/>
                    <w:szCs w:val="24"/>
                  </w:rPr>
                </w:pPr>
              </w:p>
              <w:p>
                <w:pPr>
                  <w:jc w:val="both"/>
                  <w:rPr>
                    <w:rFonts w:eastAsia="Calibri"/>
                    <w:color w:val="002060"/>
                    <w:szCs w:val="24"/>
                  </w:rPr>
                </w:pPr>
              </w:p>
              <w:p>
                <w:pPr>
                  <w:jc w:val="both"/>
                  <w:rPr>
                    <w:color w:val="1F497D"/>
                    <w:szCs w:val="24"/>
                    <w:lang w:eastAsia="lt-LT"/>
                  </w:rPr>
                </w:pPr>
                <w:r>
                  <w:rPr>
                    <w:rFonts w:eastAsia="Calibri"/>
                    <w:color w:val="1F497D"/>
                    <w:szCs w:val="24"/>
                  </w:rPr>
                  <w:t>Administracinė našta nepasikeis, nes projektu nenumatomi nauji informaciniai įpareigojimai.</w:t>
                </w:r>
              </w:p>
              <w:p>
                <w:pPr>
                  <w:jc w:val="both"/>
                  <w:rPr>
                    <w:rFonts w:eastAsia="Calibri"/>
                    <w:color w:val="002060"/>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10"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viešojo valdymo sistemai</w:t>
                </w:r>
              </w:p>
              <w:p>
                <w:pPr>
                  <w:shd w:val="clear" w:color="auto" w:fill="DBE5F1"/>
                  <w:rPr>
                    <w:b/>
                    <w:szCs w:val="24"/>
                    <w:lang w:eastAsia="lt-LT"/>
                  </w:rPr>
                </w:pPr>
              </w:p>
              <w:p>
                <w:pPr>
                  <w:shd w:val="clear" w:color="auto" w:fill="DBE5F1"/>
                  <w:rPr>
                    <w:b/>
                    <w:szCs w:val="24"/>
                    <w:lang w:eastAsia="lt-LT"/>
                  </w:rPr>
                </w:pPr>
                <w:r>
                  <w:rPr>
                    <w:b/>
                    <w:szCs w:val="24"/>
                    <w:lang w:eastAsia="lt-LT"/>
                  </w:rPr>
                  <w:t>Poveikis aplinkai</w:t>
                </w:r>
              </w:p>
              <w:p>
                <w:pPr>
                  <w:shd w:val="clear" w:color="auto" w:fill="DBE5F1"/>
                  <w:rPr>
                    <w:b/>
                    <w:szCs w:val="24"/>
                    <w:lang w:eastAsia="lt-LT"/>
                  </w:rPr>
                </w:pPr>
              </w:p>
              <w:p>
                <w:pPr>
                  <w:shd w:val="clear" w:color="auto" w:fill="DBE5F1"/>
                  <w:rPr>
                    <w:b/>
                    <w:szCs w:val="24"/>
                    <w:lang w:eastAsia="lt-LT"/>
                  </w:rPr>
                </w:pPr>
                <w:r>
                  <w:rPr>
                    <w:b/>
                    <w:szCs w:val="24"/>
                    <w:lang w:eastAsia="lt-LT"/>
                  </w:rPr>
                  <w:t>Poveikis klimato kaitai</w:t>
                </w:r>
              </w:p>
            </w:tc>
            <w:tc>
              <w:tcPr>
                <w:tcW w:w="7396" w:type="dxa"/>
                <w:gridSpan w:val="2"/>
                <w:tcBorders>
                  <w:top w:val="nil"/>
                  <w:left w:val="nil"/>
                  <w:bottom w:val="nil"/>
                  <w:right w:val="nil"/>
                </w:tcBorders>
                <w:hideMark/>
              </w:tcPr>
              <w:p>
                <w:pPr>
                  <w:jc w:val="both"/>
                  <w:rPr>
                    <w:color w:val="002060"/>
                    <w:szCs w:val="24"/>
                    <w:lang w:eastAsia="lt-LT"/>
                  </w:rPr>
                </w:pPr>
                <w:r>
                  <w:rPr>
                    <w:color w:val="002060"/>
                    <w:szCs w:val="24"/>
                    <w:lang w:eastAsia="lt-LT"/>
                  </w:rPr>
                  <w:t>Poveikio viešojo valdymo sistemai nebus.</w:t>
                </w:r>
              </w:p>
              <w:p>
                <w:pPr>
                  <w:jc w:val="both"/>
                  <w:rPr>
                    <w:color w:val="002060"/>
                    <w:szCs w:val="24"/>
                    <w:lang w:eastAsia="lt-LT"/>
                  </w:rPr>
                </w:pPr>
              </w:p>
              <w:p>
                <w:pPr>
                  <w:jc w:val="both"/>
                  <w:rPr>
                    <w:color w:val="002060"/>
                    <w:szCs w:val="24"/>
                    <w:lang w:eastAsia="lt-LT"/>
                  </w:rPr>
                </w:pPr>
              </w:p>
              <w:p>
                <w:pPr>
                  <w:jc w:val="both"/>
                  <w:rPr>
                    <w:color w:val="002060"/>
                    <w:szCs w:val="24"/>
                    <w:lang w:eastAsia="lt-LT"/>
                  </w:rPr>
                </w:pPr>
                <w:r>
                  <w:rPr>
                    <w:color w:val="002060"/>
                    <w:szCs w:val="24"/>
                    <w:lang w:eastAsia="lt-LT"/>
                  </w:rPr>
                  <w:t>Poveikio aplinkai nebus</w:t>
                </w:r>
                <w:r>
                  <w:rPr>
                    <w:rFonts w:eastAsia="Andale Sans UI"/>
                    <w:color w:val="002060"/>
                    <w:szCs w:val="24"/>
                  </w:rPr>
                  <w:t>.</w:t>
                </w:r>
              </w:p>
              <w:p>
                <w:pPr>
                  <w:jc w:val="both"/>
                  <w:rPr>
                    <w:color w:val="002060"/>
                    <w:szCs w:val="24"/>
                    <w:lang w:eastAsia="lt-LT"/>
                  </w:rPr>
                </w:pPr>
              </w:p>
              <w:p>
                <w:pPr>
                  <w:jc w:val="both"/>
                  <w:rPr>
                    <w:color w:val="002060"/>
                    <w:szCs w:val="24"/>
                    <w:lang w:eastAsia="lt-LT"/>
                  </w:rPr>
                </w:pPr>
                <w:r>
                  <w:rPr>
                    <w:color w:val="002060"/>
                    <w:szCs w:val="24"/>
                    <w:lang w:eastAsia="lt-LT"/>
                  </w:rPr>
                  <w:t>Poveikio klimato kaitai nebus.</w:t>
                </w:r>
              </w:p>
            </w:tc>
          </w:tr>
        </w:tbl>
        <w:p>
          <w:pPr>
            <w:jc w:val="both"/>
            <w:rPr>
              <w:szCs w:val="24"/>
              <w:lang w:eastAsia="lt-LT"/>
            </w:rPr>
          </w:pPr>
        </w:p>
        <w:p>
          <w:pPr>
            <w:jc w:val="both"/>
            <w:rPr>
              <w:szCs w:val="24"/>
              <w:lang w:eastAsia="lt-LT"/>
            </w:rPr>
          </w:pPr>
        </w:p>
        <w:sdt>
          <w:sdtPr>
            <w:alias w:val="lentele"/>
            <w:tag w:val="part_3d32619c71f24fa8a97a39ab9bceda7c"/>
            <w:lock w:val="sdtLocked"/>
            <w:richText/>
          </w:sdtPr>
          <w:sdtContent>
            <w:p>
              <w:pPr>
                <w:jc w:val="both"/>
                <w:rPr>
                  <w:b/>
                  <w:szCs w:val="24"/>
                </w:rPr>
              </w:pPr>
              <w:sdt>
                <w:sdtPr>
                  <w:alias w:val="Pavadinimas"/>
                  <w:tag w:val="title_3d32619c71f24fa8a97a39ab9bceda7c"/>
                  <w:lock w:val="sdtLocked"/>
                  <w:richText/>
                </w:sdtPr>
                <w:sdtContent>
                  <w:r>
                    <w:rPr>
                      <w:b/>
                      <w:szCs w:val="24"/>
                    </w:rPr>
                    <w:t>Informacija apie asmenį ir instituciją, atsakingą už poveikio vertinimą</w:t>
                  </w:r>
                </w:sdtContent>
              </w:sdt>
            </w:p>
            <w:tbl>
              <w:tblPr>
                <w:tblW w:w="5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0"/>
                <w:gridCol w:w="6936"/>
              </w:tblGrid>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t>Rasa Griškevičienė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Vyriausioji specialistė</w:t>
                    </w:r>
                  </w:p>
                </w:tc>
              </w:tr>
              <w:t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Lietuvos Respublikos aplinkos ministerijos Taršos prevencijos politikos grupė</w:t>
                    </w:r>
                  </w:p>
                </w:tc>
              </w:tr>
              <w:tr>
                <w:trPr>
                  <w:trHeight w:val="511"/>
                </w:trPr>
                <w:tc>
                  <w:tcPr>
                    <w:tcW w:w="1390"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3610"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lang w:eastAsia="lt-LT"/>
                      </w:rPr>
                    </w:pPr>
                  </w:p>
                  <w:p>
                    <w:pPr>
                      <w:jc w:val="both"/>
                      <w:rPr>
                        <w:szCs w:val="24"/>
                        <w:lang w:eastAsia="lt-LT"/>
                      </w:rPr>
                    </w:pPr>
                    <w:r>
                      <w:rPr>
                        <w:szCs w:val="22"/>
                        <w:lang w:eastAsia="lt-LT"/>
                      </w:rPr>
                      <w:t xml:space="preserve">Tel. </w:t>
                    </w:r>
                    <w:r>
                      <w:rPr>
                        <w:lang w:eastAsia="lt-LT"/>
                      </w:rPr>
                      <w:t>+370 695 11585</w:t>
                    </w:r>
                    <w:r>
                      <w:rPr>
                        <w:szCs w:val="22"/>
                        <w:lang w:eastAsia="lt-LT"/>
                      </w:rPr>
                      <w:t xml:space="preserve">, el. p. </w:t>
                    </w:r>
                    <w:r>
                      <w:rPr>
                        <w:color w:val="0000FF"/>
                        <w:u w:val="single"/>
                        <w:lang w:eastAsia="lt-LT"/>
                      </w:rPr>
                      <w:t>rasa.griskeviciene@am.lt</w:t>
                    </w:r>
                  </w:p>
                  <w:p>
                    <w:pPr>
                      <w:jc w:val="both"/>
                      <w:rPr>
                        <w:szCs w:val="24"/>
                      </w:rPr>
                    </w:pPr>
                  </w:p>
                </w:tc>
              </w:tr>
            </w:tbl>
            <w:p/>
          </w:sdtContent>
        </w:sdt>
        <w:sdt>
          <w:sdtPr>
            <w:alias w:val="signatura"/>
            <w:tag w:val="part_9a490ad9c83d43a99bf72b79948fe746"/>
            <w:lock w:val="sdtLocked"/>
            <w:richText/>
          </w:sdtPr>
          <w:sdtContent>
            <w:p>
              <w:pPr>
                <w:rPr>
                  <w:lang w:eastAsia="lt-LT"/>
                </w:rPr>
              </w:pPr>
              <w:r>
                <w:rPr>
                  <w:lang w:eastAsia="lt-LT"/>
                </w:rPr>
                <w:t>2022-</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1134" w:bottom="709" w:left="1701" w:header="567" w:footer="567" w:gutter="0"/>
      <w:pgNumType w:start="1"/>
      <w:cols w:space="1296"/>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8E985" w16cex:dateUtc="2022-02-17T13:3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318AA6" w16cid:durableId="25B8E985"/>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00"/>
    <w:family w:val="auto"/>
    <w:pitch w:val="variable"/>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p>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39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F27FDB-D14F-49BC-B9C6-8CB686F3E7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482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8/08/relationships/commentsExtensible" Target="commentsExtensible.xml"/>
  <Relationship Id="rId17" Type="http://schemas.microsoft.com/office/2016/09/relationships/commentsIds" Target="commentsIds.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17289349424e5988e18a4827e285fd" PartId="1ed5b5c0760a408db469e4a2e6e2ceb9">
    <Part Type="lentele" Title="Informacija apie asmenį ir instituciją, atsakingą už poveikio vertinimą" DocPartId="8666ae7df6a449beae3acf28209f8191" PartId="3d32619c71f24fa8a97a39ab9bceda7c"/>
    <Part Type="signatura" DocPartId="1635b77cc8a74772b4ebb0546516df39" PartId="9a490ad9c83d43a99bf72b79948fe746"/>
  </Part>
</Parts>
</file>

<file path=customXml/itemProps1.xml><?xml version="1.0" encoding="utf-8"?>
<ds:datastoreItem xmlns:ds="http://schemas.openxmlformats.org/officeDocument/2006/customXml" ds:itemID="{3FF6D8D2-5F06-4A5E-AD90-ADD370E7BF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318</Words>
  <Characters>2531</Characters>
  <Application>Microsoft Office Word</Application>
  <DocSecurity>4</DocSecurity>
  <Lines>126</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creator>d.anuskevicius</dc:creator>
  <lastModifiedBy>adlibuser</lastModifiedBy>
  <lastPrinted>2019-09-24T06:07:00Z</lastPrinted>
  <dcterms:modified xsi:type="dcterms:W3CDTF">2022-02-17T16:50:00Z</dcterms:modified>
  <revision>2</revision>
</coreProperties>
</file>