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dafea15502614222bddcfb2e7db757be"/>
        <w:lock w:val="sdtLocked"/>
        <w:richText/>
      </w:sdtPr>
      <w:sdtContent>
        <w:tbl>
          <w:tblPr>
            <w:tblW w:w="9639" w:type="dxa"/>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853"/>
            <w:gridCol w:w="1841"/>
            <w:gridCol w:w="565"/>
            <w:gridCol w:w="1563"/>
          </w:tblGrid>
          <w:tr>
            <w:tc>
              <w:tcPr>
                <w:tcW w:w="9639" w:type="dxa"/>
                <w:gridSpan w:val="5"/>
                <w:tcBorders>
                  <w:bottom w:val="single" w:sz="4" w:space="0" w:color="000000" w:themeColor="text1"/>
                </w:tcBorders>
              </w:tcPr>
              <w:p>
                <w:pPr>
                  <w:widowControl w:val="0"/>
                  <w:suppressLineNumbers/>
                  <w:tabs>
                    <w:tab w:val="center" w:pos="4800"/>
                    <w:tab w:val="right" w:pos="9601"/>
                  </w:tabs>
                  <w:suppressAutoHyphens/>
                  <w:rPr>
                    <w:rFonts w:eastAsia="Andale Sans UI" w:cs="Tahoma"/>
                    <w:szCs w:val="24"/>
                    <w:lang w:bidi="en-US"/>
                  </w:rPr>
                </w:pPr>
              </w:p>
              <w:p>
                <w:pPr>
                  <w:widowControl w:val="0"/>
                  <w:suppressLineNumbers/>
                  <w:suppressAutoHyphens/>
                  <w:jc w:val="center"/>
                  <w:rPr>
                    <w:rFonts w:eastAsia="Andale Sans UI" w:cs="Tahoma"/>
                    <w:b/>
                    <w:bCs/>
                    <w:spacing w:val="20"/>
                    <w:sz w:val="28"/>
                    <w:szCs w:val="28"/>
                    <w:lang w:bidi="en-US"/>
                  </w:rPr>
                </w:pPr>
                <w:r>
                  <w:rPr>
                    <w:rFonts w:eastAsia="Andale Sans UI" w:cs="Tahoma"/>
                    <w:b/>
                    <w:bCs/>
                    <w:spacing w:val="20"/>
                    <w:sz w:val="26"/>
                    <w:szCs w:val="26"/>
                    <w:lang w:val="en-US"/>
                  </w:rPr>
                  <w:drawing>
                    <wp:inline distT="0" distB="0" distL="0" distR="0" wp14:anchorId="6A4040C8" wp14:editId="3E023B8E">
                      <wp:extent cx="519430" cy="621665"/>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srcRect/>
                              <a:stretch>
                                <a:fillRect/>
                              </a:stretch>
                            </pic:blipFill>
                            <pic:spPr bwMode="auto">
                              <a:xfrm>
                                <a:off x="0" y="0"/>
                                <a:ext cx="519430" cy="621665"/>
                              </a:xfrm>
                              <a:prstGeom prst="rect">
                                <a:avLst/>
                              </a:prstGeom>
                              <a:solidFill>
                                <a:srgbClr val="FFFFFF">
                                  <a:alpha val="0"/>
                                </a:srgbClr>
                              </a:solidFill>
                              <a:ln w="9525">
                                <a:noFill/>
                                <a:miter lim="800000"/>
                                <a:headEnd/>
                                <a:tailEnd/>
                              </a:ln>
                            </pic:spPr>
                          </pic:pic>
                        </a:graphicData>
                      </a:graphic>
                    </wp:inline>
                  </w:drawing>
                </w:r>
              </w:p>
              <w:p>
                <w:pPr>
                  <w:rPr>
                    <w:sz w:val="10"/>
                    <w:szCs w:val="10"/>
                  </w:rPr>
                </w:pPr>
              </w:p>
              <w:p>
                <w:pPr>
                  <w:widowControl w:val="0"/>
                  <w:suppressLineNumbers/>
                  <w:suppressAutoHyphens/>
                  <w:jc w:val="center"/>
                  <w:rPr>
                    <w:rFonts w:eastAsia="Andale Sans UI" w:cs="Tahoma"/>
                    <w:b/>
                    <w:bCs/>
                    <w:spacing w:val="20"/>
                    <w:sz w:val="28"/>
                    <w:szCs w:val="28"/>
                    <w:lang w:bidi="en-US"/>
                  </w:rPr>
                </w:pPr>
                <w:r>
                  <w:rPr>
                    <w:rFonts w:eastAsia="Andale Sans UI" w:cs="Tahoma"/>
                    <w:b/>
                    <w:bCs/>
                    <w:spacing w:val="20"/>
                    <w:sz w:val="28"/>
                    <w:szCs w:val="28"/>
                    <w:lang w:bidi="en-US"/>
                  </w:rPr>
                  <w:t>LIETUVOS RESPUBLIKOS APLINKOS MINISTERIJA</w:t>
                </w:r>
              </w:p>
              <w:p>
                <w:pPr>
                  <w:rPr>
                    <w:sz w:val="10"/>
                    <w:szCs w:val="10"/>
                  </w:rPr>
                </w:pPr>
              </w:p>
              <w:p>
                <w:pPr>
                  <w:widowControl w:val="0"/>
                  <w:suppressLineNumbers/>
                  <w:suppressAutoHyphen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Biudžetinė įstaiga, A. Jakšto g. 4, LT-01105 Vilnius,</w:t>
                </w:r>
              </w:p>
              <w:p>
                <w:pPr>
                  <w:widowControl w:val="0"/>
                  <w:suppressLineNumbers/>
                  <w:suppressAutoHyphen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tel. 8 706 63661, faks. 8 706 63663, el. p. info@am.lt, http://am.lrv.lt.</w:t>
                </w:r>
              </w:p>
              <w:p>
                <w:pPr>
                  <w:widowControl w:val="0"/>
                  <w:suppressLineNumbers/>
                  <w:suppressAutoHyphen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Duomenys kaupiami ir saugomi Juridinių asmenų registre, kodas 188602370</w:t>
                </w:r>
              </w:p>
            </w:tc>
          </w:tr>
          <w:tr>
            <w:tc>
              <w:tcPr>
                <w:tcW w:w="9639" w:type="dxa"/>
                <w:gridSpan w:val="5"/>
                <w:tcMar>
                  <w:top w:w="0" w:type="dxa"/>
                  <w:left w:w="0" w:type="dxa"/>
                  <w:bottom w:w="0" w:type="dxa"/>
                  <w:right w:w="0" w:type="dxa"/>
                </w:tcMar>
              </w:tcPr>
              <w:p>
                <w:pPr>
                  <w:widowControl w:val="0"/>
                  <w:suppressLineNumbers/>
                  <w:suppressAutoHyphens/>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widowControl w:val="0"/>
                  <w:suppressLineNumbers/>
                  <w:suppressAutoHyphens/>
                  <w:rPr>
                    <w:rFonts w:eastAsia="Andale Sans UI" w:cs="Tahoma"/>
                    <w:szCs w:val="24"/>
                    <w:lang w:bidi="en-US"/>
                  </w:rPr>
                </w:pPr>
                <w:r>
                  <w:rPr>
                    <w:rFonts w:eastAsia="Andale Sans UI" w:cs="Tahoma"/>
                    <w:szCs w:val="24"/>
                    <w:lang w:bidi="en-US"/>
                  </w:rPr>
                  <w:t>Adresatams pagal sąrašą</w:t>
                </w:r>
              </w:p>
              <w:p>
                <w:pPr>
                  <w:widowControl w:val="0"/>
                  <w:suppressLineNumbers/>
                  <w:suppressAutoHyphens/>
                  <w:rPr>
                    <w:rFonts w:eastAsia="Andale Sans UI" w:cs="Tahoma"/>
                    <w:szCs w:val="24"/>
                    <w:lang w:val="en-US" w:bidi="en-US"/>
                  </w:rPr>
                </w:pPr>
              </w:p>
              <w:p>
                <w:pPr>
                  <w:widowControl w:val="0"/>
                  <w:suppressLineNumbers/>
                  <w:suppressAutoHyphens/>
                  <w:rPr>
                    <w:rFonts w:eastAsia="Andale Sans UI" w:cs="Tahoma"/>
                    <w:szCs w:val="24"/>
                    <w:lang w:val="en-US" w:bidi="en-US"/>
                  </w:rPr>
                </w:pPr>
              </w:p>
              <w:p>
                <w:pPr>
                  <w:widowControl w:val="0"/>
                  <w:suppressLineNumbers/>
                  <w:suppressAutoHyphens/>
                  <w:rPr>
                    <w:rFonts w:eastAsia="Andale Sans UI" w:cs="Tahoma"/>
                    <w:spacing w:val="10"/>
                    <w:szCs w:val="24"/>
                    <w:lang w:bidi="en-US"/>
                  </w:rPr>
                </w:pPr>
              </w:p>
            </w:tc>
            <w:tc>
              <w:tcPr>
                <w:tcW w:w="853" w:type="dxa"/>
                <w:tcMar>
                  <w:top w:w="0" w:type="dxa"/>
                  <w:left w:w="0" w:type="dxa"/>
                  <w:bottom w:w="0" w:type="dxa"/>
                  <w:right w:w="0" w:type="dxa"/>
                </w:tcMar>
              </w:tcPr>
              <w:p>
                <w:pPr>
                  <w:widowControl w:val="0"/>
                  <w:suppressAutoHyphens/>
                  <w:ind w:right="67"/>
                  <w:jc w:val="right"/>
                  <w:rPr>
                    <w:rFonts w:eastAsia="Andale Sans UI" w:cs="Tahoma"/>
                    <w:spacing w:val="10"/>
                    <w:szCs w:val="24"/>
                    <w:lang w:bidi="en-US"/>
                  </w:rPr>
                </w:pPr>
              </w:p>
            </w:tc>
            <w:tc>
              <w:tcPr>
                <w:tcW w:w="1841" w:type="dxa"/>
                <w:tcMar>
                  <w:top w:w="0" w:type="dxa"/>
                  <w:left w:w="0" w:type="dxa"/>
                  <w:bottom w:w="0" w:type="dxa"/>
                  <w:right w:w="0" w:type="dxa"/>
                </w:tcMar>
              </w:tcPr>
              <w:p>
                <w:pPr>
                  <w:widowControl w:val="0"/>
                  <w:suppressLineNumbers/>
                  <w:suppressAutoHyphens/>
                  <w:ind w:left="4" w:right="67"/>
                  <w:rPr>
                    <w:rFonts w:eastAsia="Andale Sans UI" w:cs="Tahoma"/>
                    <w:szCs w:val="24"/>
                    <w:lang w:bidi="en-US"/>
                  </w:rPr>
                </w:pPr>
                <w:r>
                  <w:rPr>
                    <w:rFonts w:eastAsia="Andale Sans UI" w:cs="Tahoma"/>
                    <w:szCs w:val="24"/>
                    <w:lang w:bidi="en-US"/>
                  </w:rPr>
                  <w:t xml:space="preserve">2022-    -</w:t>
                </w:r>
              </w:p>
            </w:tc>
            <w:tc>
              <w:tcPr>
                <w:tcW w:w="565" w:type="dxa"/>
              </w:tcPr>
              <w:p>
                <w:pPr>
                  <w:widowControl w:val="0"/>
                  <w:suppressAutoHyphens/>
                  <w:ind w:right="67"/>
                  <w:jc w:val="right"/>
                  <w:rPr>
                    <w:rFonts w:eastAsia="Andale Sans UI" w:cs="Tahoma"/>
                    <w:spacing w:val="10"/>
                    <w:szCs w:val="24"/>
                    <w:lang w:bidi="en-US"/>
                  </w:rPr>
                </w:pPr>
                <w:r>
                  <w:rPr>
                    <w:rFonts w:eastAsia="Andale Sans UI" w:cs="Tahoma"/>
                    <w:spacing w:val="10"/>
                    <w:szCs w:val="24"/>
                    <w:lang w:bidi="en-US"/>
                  </w:rPr>
                  <w:t>Nr.</w:t>
                </w:r>
              </w:p>
            </w:tc>
            <w:tc>
              <w:tcPr>
                <w:tcW w:w="1563" w:type="dxa"/>
              </w:tcPr>
              <w:p>
                <w:pPr>
                  <w:widowControl w:val="0"/>
                  <w:suppressLineNumbers/>
                  <w:suppressAutoHyphens/>
                  <w:ind w:right="67"/>
                  <w:rPr>
                    <w:rFonts w:eastAsia="Andale Sans UI" w:cs="Tahoma"/>
                    <w:szCs w:val="24"/>
                    <w:lang w:bidi="en-US"/>
                  </w:rPr>
                </w:pPr>
                <w:r>
                  <w:rPr>
                    <w:rFonts w:eastAsia="Andale Sans UI" w:cs="Tahoma"/>
                    <w:szCs w:val="24"/>
                    <w:lang w:bidi="en-US"/>
                  </w:rPr>
                  <w:t>(10)-D8(E)-</w:t>
                </w:r>
              </w:p>
            </w:tc>
          </w:tr>
          <w:tr>
            <w:trPr>
              <w:cantSplit/>
              <w:trHeight w:val="340"/>
            </w:trPr>
            <w:tc>
              <w:tcPr>
                <w:tcW w:w="4817" w:type="dxa"/>
                <w:vMerge/>
                <w:tcMar>
                  <w:top w:w="0" w:type="dxa"/>
                  <w:left w:w="0" w:type="dxa"/>
                  <w:bottom w:w="0" w:type="dxa"/>
                  <w:right w:w="0" w:type="dxa"/>
                </w:tcMar>
              </w:tcPr>
              <w:p/>
            </w:tc>
            <w:tc>
              <w:tcPr>
                <w:tcW w:w="853" w:type="dxa"/>
                <w:tcMar>
                  <w:top w:w="0" w:type="dxa"/>
                  <w:left w:w="0" w:type="dxa"/>
                  <w:bottom w:w="0" w:type="dxa"/>
                  <w:right w:w="0" w:type="dxa"/>
                </w:tcMar>
              </w:tcPr>
              <w:p>
                <w:pPr>
                  <w:widowControl w:val="0"/>
                  <w:tabs>
                    <w:tab w:val="left" w:pos="2869"/>
                  </w:tabs>
                  <w:suppressAutoHyphens/>
                  <w:ind w:right="67"/>
                  <w:jc w:val="right"/>
                  <w:rPr>
                    <w:rFonts w:eastAsia="Andale Sans UI" w:cs="Tahoma"/>
                    <w:spacing w:val="10"/>
                    <w:szCs w:val="24"/>
                    <w:lang w:bidi="en-US"/>
                  </w:rPr>
                </w:pPr>
                <w:r>
                  <w:rPr>
                    <w:rFonts w:eastAsia="Andale Sans UI" w:cs="Tahoma"/>
                    <w:spacing w:val="10"/>
                    <w:szCs w:val="24"/>
                    <w:lang w:bidi="en-US"/>
                  </w:rPr>
                  <w:t>Į</w:t>
                </w:r>
              </w:p>
            </w:tc>
            <w:tc>
              <w:tcPr>
                <w:tcW w:w="1841" w:type="dxa"/>
                <w:tcMar>
                  <w:top w:w="0" w:type="dxa"/>
                  <w:left w:w="0" w:type="dxa"/>
                  <w:bottom w:w="0" w:type="dxa"/>
                  <w:right w:w="0" w:type="dxa"/>
                </w:tcMar>
              </w:tcPr>
              <w:p>
                <w:pPr>
                  <w:widowControl w:val="0"/>
                  <w:suppressLineNumbers/>
                  <w:suppressAutoHyphens/>
                  <w:ind w:right="67"/>
                  <w:rPr>
                    <w:rFonts w:eastAsia="Andale Sans UI" w:cs="Tahoma"/>
                    <w:szCs w:val="24"/>
                    <w:lang w:bidi="en-US"/>
                  </w:rPr>
                </w:pPr>
              </w:p>
            </w:tc>
            <w:tc>
              <w:tcPr>
                <w:tcW w:w="565" w:type="dxa"/>
              </w:tcPr>
              <w:p>
                <w:pPr>
                  <w:widowControl w:val="0"/>
                  <w:tabs>
                    <w:tab w:val="left" w:pos="2869"/>
                  </w:tabs>
                  <w:suppressAutoHyphens/>
                  <w:ind w:right="67"/>
                  <w:jc w:val="right"/>
                  <w:rPr>
                    <w:rFonts w:eastAsia="Andale Sans UI" w:cs="Tahoma"/>
                    <w:spacing w:val="10"/>
                    <w:szCs w:val="24"/>
                    <w:lang w:bidi="en-US"/>
                  </w:rPr>
                </w:pPr>
                <w:r>
                  <w:rPr>
                    <w:rFonts w:eastAsia="Andale Sans UI" w:cs="Tahoma"/>
                    <w:spacing w:val="10"/>
                    <w:szCs w:val="24"/>
                    <w:lang w:bidi="en-US"/>
                  </w:rPr>
                  <w:t>Nr.</w:t>
                </w:r>
              </w:p>
            </w:tc>
            <w:tc>
              <w:tcPr>
                <w:tcW w:w="1563" w:type="dxa"/>
              </w:tcPr>
              <w:p>
                <w:pPr>
                  <w:widowControl w:val="0"/>
                  <w:suppressLineNumbers/>
                  <w:suppressAutoHyphens/>
                  <w:ind w:right="67"/>
                  <w:rPr>
                    <w:rFonts w:eastAsia="Andale Sans UI"/>
                    <w:szCs w:val="24"/>
                    <w:lang w:bidi="en-US"/>
                  </w:rPr>
                </w:pPr>
              </w:p>
            </w:tc>
          </w:tr>
          <w:tr>
            <w:trPr>
              <w:cantSplit/>
            </w:trPr>
            <w:tc>
              <w:tcPr>
                <w:tcW w:w="4817" w:type="dxa"/>
                <w:vMerge/>
                <w:tcMar>
                  <w:top w:w="0" w:type="dxa"/>
                  <w:left w:w="0" w:type="dxa"/>
                  <w:bottom w:w="0" w:type="dxa"/>
                  <w:right w:w="0" w:type="dxa"/>
                </w:tcMar>
              </w:tcPr>
              <w:p/>
            </w:tc>
            <w:tc>
              <w:tcPr>
                <w:tcW w:w="4822" w:type="dxa"/>
                <w:gridSpan w:val="4"/>
                <w:tcMar>
                  <w:top w:w="0" w:type="dxa"/>
                  <w:left w:w="0" w:type="dxa"/>
                  <w:bottom w:w="0" w:type="dxa"/>
                  <w:right w:w="0" w:type="dxa"/>
                </w:tcMar>
              </w:tcPr>
              <w:p>
                <w:pPr>
                  <w:widowControl w:val="0"/>
                  <w:tabs>
                    <w:tab w:val="left" w:pos="2869"/>
                  </w:tabs>
                  <w:suppressAutoHyphens/>
                  <w:ind w:right="67"/>
                  <w:rPr>
                    <w:rFonts w:eastAsia="Andale Sans UI" w:cs="Tahoma"/>
                    <w:spacing w:val="10"/>
                    <w:szCs w:val="24"/>
                    <w:lang w:bidi="en-US"/>
                  </w:rPr>
                </w:pPr>
              </w:p>
            </w:tc>
          </w:tr>
          <w:tr>
            <w:trPr>
              <w:trHeight w:val="340"/>
            </w:trPr>
            <w:tc>
              <w:tcPr>
                <w:tcW w:w="9639" w:type="dxa"/>
                <w:gridSpan w:val="5"/>
                <w:tcMar>
                  <w:top w:w="0" w:type="dxa"/>
                  <w:left w:w="0" w:type="dxa"/>
                  <w:bottom w:w="0" w:type="dxa"/>
                  <w:right w:w="0" w:type="dxa"/>
                </w:tcMar>
              </w:tcPr>
              <w:p>
                <w:pPr>
                  <w:widowControl w:val="0"/>
                  <w:suppressLineNumbers/>
                  <w:suppressAutoHyphens/>
                  <w:ind w:right="570"/>
                  <w:jc w:val="both"/>
                  <w:rPr>
                    <w:rFonts w:eastAsia="Andale Sans UI" w:cs="Tahoma"/>
                    <w:b/>
                    <w:bCs/>
                    <w:szCs w:val="24"/>
                    <w:lang w:bidi="en-US"/>
                  </w:rPr>
                </w:pPr>
                <w:r>
                  <w:rPr>
                    <w:rFonts w:eastAsia="Andale Sans UI" w:cs="Tahoma"/>
                    <w:b/>
                    <w:bCs/>
                    <w:caps/>
                    <w:szCs w:val="24"/>
                    <w:lang w:bidi="en-US"/>
                  </w:rPr>
                  <w:t xml:space="preserve">DĖL </w:t>
                </w:r>
                <w:r>
                  <w:rPr>
                    <w:rFonts w:eastAsia="Andale Sans UI" w:cs="Tahoma"/>
                    <w:b/>
                    <w:szCs w:val="24"/>
                    <w:lang w:eastAsia="lt-LT" w:bidi="en-US"/>
                  </w:rPr>
                  <w:t>LIETUVOS RESPUBLIKOS APLINKOS MINISTRO ĮSAKYMO PROJEKTO PAKARTOTINIO DERINIMO</w:t>
                </w:r>
              </w:p>
            </w:tc>
          </w:tr>
        </w:tbl>
        <w:p>
          <w:pPr>
            <w:widowControl w:val="0"/>
            <w:suppressAutoHyphens/>
            <w:ind w:firstLine="567"/>
            <w:jc w:val="both"/>
            <w:rPr>
              <w:rFonts w:eastAsia="Andale Sans UI" w:cs="Tahoma"/>
              <w:szCs w:val="24"/>
              <w:lang w:bidi="en-US"/>
            </w:rPr>
          </w:pPr>
        </w:p>
      </w:sdtContent>
    </w:sdt>
    <w:sdt>
      <w:sdtPr>
        <w:alias w:val="pastraipa"/>
        <w:tag w:val="part_4f7c97763bc740a19cbd498cfd99b5aa"/>
        <w:lock w:val="sdtLocked"/>
        <w:richText/>
      </w:sdtPr>
      <w:sdtContent>
        <w:p>
          <w:pPr>
            <w:widowControl w:val="0"/>
            <w:suppressAutoHyphens/>
            <w:spacing w:line="276" w:lineRule="auto"/>
            <w:ind w:firstLine="709"/>
            <w:jc w:val="both"/>
            <w:rPr>
              <w:rFonts w:eastAsia="Andale Sans UI" w:cs="Tahoma"/>
              <w:szCs w:val="24"/>
              <w:lang w:bidi="en-US"/>
            </w:rPr>
          </w:pPr>
          <w:r>
            <w:rPr>
              <w:rFonts w:eastAsia="Andale Sans UI" w:cs="Tahoma"/>
              <w:szCs w:val="24"/>
              <w:lang w:bidi="en-US"/>
            </w:rPr>
            <w:t>Aplinkos ministerija pakartotinai teikia derinti pakoreguotą Lietuvos Respublikos aplinkos ministro įsakymo „Dėl Lietuvos Respublikos aplinkos ministro 2017 m. spalio 31 d. įsakymo Nr. D1-885 „</w:t>
          </w:r>
          <w:r>
            <w:rPr>
              <w:rFonts w:eastAsia="Andale Sans UI" w:cs="Tahoma"/>
              <w:color w:val="000000"/>
              <w:szCs w:val="24"/>
              <w:lang w:bidi="en-US"/>
            </w:rPr>
            <w:t xml:space="preserve">Dėl Planuojamos ūkinės veiklos poveikio aplinkai vertinimo tvarkos  aprašo patvirtinimo</w:t>
          </w:r>
          <w:r>
            <w:rPr>
              <w:rFonts w:eastAsia="Andale Sans UI" w:cs="Tahoma"/>
              <w:szCs w:val="24"/>
              <w:lang w:bidi="en-US"/>
            </w:rPr>
            <w:t>“ pakeitimo“ projektą (toliau – Projektas).</w:t>
          </w:r>
        </w:p>
      </w:sdtContent>
    </w:sdt>
    <w:sdt>
      <w:sdtPr>
        <w:alias w:val="pastraipa"/>
        <w:tag w:val="part_8e52d334778d4fc3adc4a1aeed8b5425"/>
        <w:lock w:val="sdtLocked"/>
        <w:richText/>
      </w:sdtPr>
      <w:sdtContent>
        <w:p>
          <w:pPr>
            <w:widowControl w:val="0"/>
            <w:suppressAutoHyphens/>
            <w:spacing w:line="276" w:lineRule="auto"/>
            <w:ind w:firstLine="567"/>
            <w:jc w:val="both"/>
            <w:rPr>
              <w:rFonts w:eastAsia="Andale Sans UI"/>
              <w:color w:val="000000"/>
              <w:szCs w:val="24"/>
              <w:shd w:val="clear" w:color="auto" w:fill="FFFFFF"/>
              <w:lang w:bidi="en-US"/>
            </w:rPr>
          </w:pPr>
          <w:r>
            <w:rPr>
              <w:rFonts w:eastAsia="Andale Sans UI" w:cs="Tahoma"/>
              <w:szCs w:val="24"/>
              <w:lang w:bidi="en-US"/>
            </w:rPr>
            <w:t xml:space="preserve">Pirminis Projekto variantas </w:t>
          </w:r>
          <w:r>
            <w:rPr>
              <w:rFonts w:eastAsia="Andale Sans UI"/>
              <w:szCs w:val="24"/>
              <w:lang w:bidi="en-US"/>
            </w:rPr>
            <w:t xml:space="preserve">svarstytas su suinteresuotomis institucijomis ir visuomene      2021 m. gruodžio mėn. 16 d. viešosiose konsultacijose, o</w:t>
          </w:r>
          <w:r>
            <w:rPr>
              <w:rFonts w:eastAsia="Andale Sans UI" w:cs="Tahoma"/>
              <w:szCs w:val="24"/>
              <w:lang w:bidi="en-US"/>
            </w:rPr>
            <w:t xml:space="preserve"> Teisės aktų informacinėje sistemoje (</w:t>
          </w:r>
          <w:r>
            <w:rPr>
              <w:rFonts w:eastAsia="Andale Sans UI"/>
              <w:color w:val="000000"/>
              <w:szCs w:val="24"/>
              <w:shd w:val="clear" w:color="auto" w:fill="FFFFFF"/>
              <w:lang w:bidi="en-US"/>
            </w:rPr>
            <w:t xml:space="preserve">TAIS) </w:t>
          </w:r>
          <w:r>
            <w:rPr>
              <w:rFonts w:eastAsia="Andale Sans UI" w:cs="Tahoma"/>
              <w:szCs w:val="24"/>
              <w:lang w:bidi="en-US"/>
            </w:rPr>
            <w:t>derintas</w:t>
          </w:r>
          <w:r>
            <w:rPr>
              <w:rFonts w:eastAsia="Andale Sans UI"/>
              <w:color w:val="000000"/>
              <w:szCs w:val="24"/>
              <w:shd w:val="clear" w:color="auto" w:fill="FFFFFF"/>
              <w:lang w:bidi="en-US"/>
            </w:rPr>
            <w:t xml:space="preserve"> 2022 m. sausio mėnesį, Projekto Nr. 21-34583, TAIS nuoroda:</w:t>
          </w:r>
        </w:p>
      </w:sdtContent>
    </w:sdt>
    <w:sdt>
      <w:sdtPr>
        <w:alias w:val="pastraipa"/>
        <w:tag w:val="part_dcbe08d4fb84445e91e1a064b784ac86"/>
        <w:lock w:val="sdtLocked"/>
        <w:richText/>
      </w:sdtPr>
      <w:sdtContent>
        <w:p>
          <w:pPr>
            <w:spacing w:line="276" w:lineRule="auto"/>
            <w:ind w:left="567" w:firstLine="142"/>
            <w:jc w:val="both"/>
            <w:rPr>
              <w:rFonts w:eastAsia="Andale Sans UI" w:cs="Tahoma"/>
              <w:szCs w:val="24"/>
              <w:lang w:bidi="en-US"/>
            </w:rPr>
          </w:pPr>
          <w:r>
            <w:rPr>
              <w:rFonts w:eastAsia="Andale Sans UI"/>
              <w:color w:val="000080"/>
              <w:szCs w:val="24"/>
              <w:u w:val="single"/>
              <w:lang w:bidi="en-US"/>
            </w:rPr>
            <w:t>https://e-seimas.lrs.lt/portal/legalAct/lt/TAP/62cf417167ee11ecb2fe9975f8a9e52e</w:t>
          </w:r>
          <w:r>
            <w:rPr>
              <w:rFonts w:eastAsia="Andale Sans UI" w:cs="Tahoma"/>
              <w:szCs w:val="24"/>
              <w:lang w:bidi="en-US"/>
            </w:rPr>
            <w:t xml:space="preserve"> </w:t>
          </w:r>
        </w:p>
      </w:sdtContent>
    </w:sdt>
    <w:sdt>
      <w:sdtPr>
        <w:alias w:val="pastraipa"/>
        <w:tag w:val="part_bdc15831019749f99e93c5eb9f171c43"/>
        <w:lock w:val="sdtLocked"/>
        <w:richText/>
      </w:sdtPr>
      <w:sdtContent>
        <w:p>
          <w:pPr>
            <w:spacing w:line="276" w:lineRule="auto"/>
            <w:ind w:firstLine="709"/>
            <w:jc w:val="both"/>
            <w:rPr>
              <w:rFonts w:eastAsia="Andale Sans UI" w:cs="Tahoma"/>
              <w:szCs w:val="24"/>
              <w:lang w:bidi="en-US"/>
            </w:rPr>
          </w:pPr>
          <w:r>
            <w:rPr>
              <w:rFonts w:eastAsia="Andale Sans UI" w:cs="Tahoma"/>
              <w:szCs w:val="24"/>
              <w:lang w:bidi="en-US"/>
            </w:rPr>
            <w:t xml:space="preserve">Po Projekto aptarimo, svarstymų, įvertinus gautas </w:t>
          </w:r>
          <w:r>
            <w:rPr>
              <w:color w:val="000000"/>
              <w:szCs w:val="24"/>
              <w:lang w:bidi="en-US"/>
            </w:rPr>
            <w:t xml:space="preserve">valstybės ir savivaldos institucijų, atsinaujinančios energetikos asociacijų, verslo įmonių, visuomeninių organizacijų, taip pat piliečių pateiktas </w:t>
          </w:r>
          <w:r>
            <w:rPr>
              <w:rFonts w:eastAsia="Andale Sans UI" w:cs="Tahoma"/>
              <w:szCs w:val="24"/>
              <w:lang w:bidi="en-US"/>
            </w:rPr>
            <w:t>pastabas bei pasiūlymus, Aplinkos ministerija patikslino Projektą. Pastabos į kurias nebuvo atsižvelgta ir argumentai pateikiami derinimo pažymoje.</w:t>
          </w:r>
        </w:p>
        <w:sdt>
          <w:sdtPr>
            <w:alias w:val="1 p."/>
            <w:tag w:val="part_4e7219ced4d547dfa671b6258a912993"/>
            <w:lock w:val="sdtLocked"/>
            <w:richText/>
          </w:sdtPr>
          <w:sdtContent>
            <w:p>
              <w:pPr>
                <w:widowControl w:val="0"/>
                <w:suppressAutoHyphens/>
                <w:spacing w:line="276" w:lineRule="auto"/>
                <w:ind w:firstLine="567"/>
                <w:jc w:val="both"/>
                <w:rPr>
                  <w:color w:val="000000"/>
                  <w:szCs w:val="24"/>
                  <w:lang w:bidi="en-US"/>
                </w:rPr>
              </w:pPr>
              <w:sdt>
                <w:sdtPr>
                  <w:alias w:val="Numeris"/>
                  <w:tag w:val="nr_4e7219ced4d547dfa671b6258a912993"/>
                  <w:lock w:val="sdtLocked"/>
                  <w:richText/>
                </w:sdtPr>
                <w:sdtContent>
                  <w:r>
                    <w:rPr>
                      <w:color w:val="000000"/>
                      <w:szCs w:val="24"/>
                      <w:lang w:bidi="en-US"/>
                    </w:rPr>
                    <w:t>1</w:t>
                  </w:r>
                </w:sdtContent>
              </w:sdt>
              <w:r>
                <w:rPr>
                  <w:color w:val="000000"/>
                  <w:szCs w:val="24"/>
                  <w:lang w:bidi="en-US"/>
                </w:rPr>
                <w:t xml:space="preserve">. Įvertinusi tai, kad pirminio Projekto kraštovaizdžio daliai buvo pateikti kardinaliai skirtingi pasiūlymai keisti panoramų apžvalgos lauko iš apžvalgos taškų vertikalaus matymo kampą (diapazonas nuo 0,5º iki  5,0º, kas praktikoje turėtų labai skirtingas pasekmes – pirmu atveju vėjo elektrinės (toliau – VE) nuo panoramų apžvalgos taškų turėtų būti atitrauktos 25-30 km atstumu, o antru atveju – tik už 2-3 km atstumu), Projekte siūlomas kompromisas (tie patys, kaip ir pirminiame Projekto variante, 2,5º, kas reikštų VE atitraukimą nuo apžvalgos taškų 5,5-6,0 km atstumu), užtikrinant subalansuotą kraštovaizdžio apsaugą vizualiniu požiūriu vertingiausiose teritorijose ir tuo pačiu neužkertant kelio atsinaujinančių energijos šaltinių, pirmiausia, VE plėtrai daugiau nei 70 proc. šalies teritorijos. Tuo tikslu Projekte kraštovaizdžio aspektu siūlomi šie pakeitimai: </w:t>
              </w:r>
            </w:p>
            <w:sdt>
              <w:sdtPr>
                <w:alias w:val="1.1 pp."/>
                <w:tag w:val="part_8a47197746454aa2b59ca210435f85ea"/>
                <w:lock w:val="sdtLocked"/>
                <w:richText/>
              </w:sdtPr>
              <w:sdtContent>
                <w:p>
                  <w:pPr>
                    <w:widowControl w:val="0"/>
                    <w:suppressAutoHyphens/>
                    <w:spacing w:line="276" w:lineRule="auto"/>
                    <w:ind w:firstLine="567"/>
                    <w:jc w:val="both"/>
                    <w:rPr>
                      <w:color w:val="000000"/>
                      <w:szCs w:val="24"/>
                      <w:lang w:bidi="en-US"/>
                    </w:rPr>
                  </w:pPr>
                  <w:sdt>
                    <w:sdtPr>
                      <w:alias w:val="Numeris"/>
                      <w:tag w:val="nr_8a47197746454aa2b59ca210435f85ea"/>
                      <w:lock w:val="sdtLocked"/>
                      <w:richText/>
                    </w:sdtPr>
                    <w:sdtContent>
                      <w:r>
                        <w:rPr>
                          <w:color w:val="000000"/>
                          <w:szCs w:val="24"/>
                          <w:lang w:bidi="en-US"/>
                        </w:rPr>
                        <w:t>1.1</w:t>
                      </w:r>
                    </w:sdtContent>
                  </w:sdt>
                  <w:r>
                    <w:rPr>
                      <w:color w:val="000000"/>
                      <w:szCs w:val="24"/>
                      <w:lang w:bidi="en-US"/>
                    </w:rPr>
                    <w:t xml:space="preserve">. Atsisakoma Vizualiai raiškių gamtos ir (ar) nekilnojamojo kultūros paveldo objektų apžvalgos taškų sąrašo, kuris kraštovaizdžio apsaugos požiūriu neduotų esminės pridėtinės vertės ir galimai galėtų turėti neigiamos įtakos savivaldybių patvirtintiems ar rengiamiems teritorijų planavimo dokumentams (toliau – TPD), pavyzdžiui, savivaldybių ar jų dalių bendriesiems ir specialiesiems planams, numatantiems VE plėtrą konkrečiose teritorijose.  </w:t>
                  </w:r>
                </w:p>
              </w:sdtContent>
            </w:sdt>
            <w:sdt>
              <w:sdtPr>
                <w:alias w:val="1.2 pp."/>
                <w:tag w:val="part_3bcefd22a9cc4aad9691564ef13c2316"/>
                <w:lock w:val="sdtLocked"/>
                <w:richText/>
              </w:sdtPr>
              <w:sdtContent>
                <w:p>
                  <w:pPr>
                    <w:widowControl w:val="0"/>
                    <w:suppressAutoHyphens/>
                    <w:spacing w:line="276" w:lineRule="auto"/>
                    <w:ind w:firstLine="567"/>
                    <w:jc w:val="both"/>
                    <w:rPr>
                      <w:color w:val="000000"/>
                      <w:szCs w:val="24"/>
                      <w:lang w:bidi="en-US"/>
                    </w:rPr>
                  </w:pPr>
                  <w:sdt>
                    <w:sdtPr>
                      <w:alias w:val="Numeris"/>
                      <w:tag w:val="nr_3bcefd22a9cc4aad9691564ef13c2316"/>
                      <w:lock w:val="sdtLocked"/>
                      <w:richText/>
                    </w:sdtPr>
                    <w:sdtContent>
                      <w:r>
                        <w:rPr>
                          <w:color w:val="000000"/>
                          <w:szCs w:val="24"/>
                          <w:lang w:bidi="en-US"/>
                        </w:rPr>
                        <w:t>1.2</w:t>
                      </w:r>
                    </w:sdtContent>
                  </w:sdt>
                  <w:r>
                    <w:rPr>
                      <w:color w:val="000000"/>
                      <w:szCs w:val="24"/>
                      <w:lang w:bidi="en-US"/>
                    </w:rPr>
                    <w:t xml:space="preserve">. Atsižvelgiant į nemažos dalies valstybės ir savivaldos institucijų pateiktas pastabas dėl TPD neįvertinimo pirminiame Projekte, buvo atlikta išsami galiojančių ir rengiamų TPD analizė, kuri parodė, kad Projekto pakeitimai, įskaitant peržiūrėtą Vertingiausių šalies kraštovaizdžio panoramų apžvalgos taškų sąrašo (toliau – Panoramų sąrašas) patvirtinimą, naujų probleminių situacijų nesukels. Šį teiginį pagrindžiame tuo, kad reikalavimus ir atitinkamus draudimus visoms ūkinėms veikloms, įskaitant VE statybai, nustato ne šis Projektas ir Panoramų sąrašas (šio teisės akto paskirtis visai kita – reglamentuoti poveikio aplinkai vertinimo (toliau – PAV) procesą, kurio metu nustačius galimą reikšmingą poveikį kraštovaizdžiui ieškoma priemonių vizualinei taršai išvengti ar jai sumažinti), bet Specialiųjų žemės naudojimo sąlygų, Miškų, Vandens, Saugomų teritorijų, Nekilnojamojo kultūros paveldo apsaugos ir kiti įstatymai, taip pat šalies lygmens teritorijų planavimo dokumentas – Nacionalinis kraštovaizdžio tvarkymo planas (2015), kurio nuostatos integruotos į Lietuvos Respublikos teritorijos bendrąjį planą (2021) (toliau – LTBP). LTBP nustatyta: „350.1. </w:t>
                  </w:r>
                  <w:r>
                    <w:rPr>
                      <w:b/>
                      <w:bCs/>
                      <w:color w:val="000000"/>
                      <w:szCs w:val="24"/>
                      <w:lang w:bidi="en-US"/>
                    </w:rPr>
                    <w:t xml:space="preserve">neplanuoti </w:t>
                  </w:r>
                  <w:r>
                    <w:rPr>
                      <w:color w:val="000000"/>
                      <w:szCs w:val="24"/>
                      <w:lang w:bidi="en-US"/>
                    </w:rPr>
                    <w:t xml:space="preserve">saulės šviesos energijos elektrinių didesnių, kaip 500 kW įrengtosios galios bei </w:t>
                  </w:r>
                  <w:r>
                    <w:rPr>
                      <w:b/>
                      <w:bCs/>
                      <w:color w:val="000000"/>
                      <w:szCs w:val="24"/>
                      <w:lang w:bidi="en-US"/>
                    </w:rPr>
                    <w:t>vėjo elektrinių statybos</w:t>
                  </w:r>
                  <w:r>
                    <w:rPr>
                      <w:color w:val="000000"/>
                      <w:szCs w:val="24"/>
                      <w:lang w:bidi="en-US"/>
                    </w:rPr>
                    <w:t xml:space="preserve">, išskyrus iki 25 metrų aukščio (matuojant iki aukščiausio konstrukcijų taško) vėjo elektrinę statomą sodyboje ar prie esamų ūkinių pastatų, </w:t>
                  </w:r>
                  <w:r>
                    <w:rPr>
                      <w:b/>
                      <w:bCs/>
                      <w:color w:val="000000"/>
                      <w:szCs w:val="24"/>
                      <w:lang w:bidi="en-US"/>
                    </w:rPr>
                    <w:t>ypač saugomo kraštovaizdžio teritorijose</w:t>
                  </w:r>
                  <w:r>
                    <w:rPr>
                      <w:color w:val="000000"/>
                      <w:szCs w:val="24"/>
                      <w:lang w:bidi="en-US"/>
                    </w:rPr>
                    <w:t xml:space="preserve">“. Detali savivaldybių TPD, kuriuose nustatytos ar siūlomos nustatyti perspektyvios, potencialios ar galimos VE plėtros teritorijos, analizė parodė, kad TPD numatomos VE plėtros teritorijos tik Zarasų r. didesnėje dalyje, o Šilalės r. – mažesnėje dalyje patenka į arealus, kuriuose LTBP draudžia statyti VE. Kituose rajonuose tokios problemos, t. y. savivaldybių TPD sprendinių sankirtų su LTBP sprendiniais VE aspektu, praktiškai nėra. </w:t>
                  </w:r>
                </w:p>
              </w:sdtContent>
            </w:sdt>
            <w:sdt>
              <w:sdtPr>
                <w:alias w:val="1.3 pp."/>
                <w:tag w:val="part_8ff46ea81d55411b8de37ede8a0218bc"/>
                <w:lock w:val="sdtLocked"/>
                <w:richText/>
              </w:sdtPr>
              <w:sdtContent>
                <w:p>
                  <w:pPr>
                    <w:widowControl w:val="0"/>
                    <w:suppressAutoHyphens/>
                    <w:spacing w:line="276" w:lineRule="auto"/>
                    <w:ind w:firstLine="567"/>
                    <w:jc w:val="both"/>
                    <w:rPr>
                      <w:szCs w:val="24"/>
                      <w:lang w:bidi="en-US"/>
                    </w:rPr>
                  </w:pPr>
                  <w:sdt>
                    <w:sdtPr>
                      <w:alias w:val="Numeris"/>
                      <w:tag w:val="nr_8ff46ea81d55411b8de37ede8a0218bc"/>
                      <w:lock w:val="sdtLocked"/>
                      <w:richText/>
                    </w:sdtPr>
                    <w:sdtContent>
                      <w:r>
                        <w:rPr>
                          <w:color w:val="000000"/>
                          <w:szCs w:val="24"/>
                          <w:lang w:bidi="en-US"/>
                        </w:rPr>
                        <w:t>1.3</w:t>
                      </w:r>
                    </w:sdtContent>
                  </w:sdt>
                  <w:r>
                    <w:rPr>
                      <w:color w:val="000000"/>
                      <w:szCs w:val="24"/>
                      <w:lang w:bidi="en-US"/>
                    </w:rPr>
                    <w:t xml:space="preserve">. Panoramų sąrašas nuo 395 sumažinamas iki 345, paliekant tik vertingiausius, TPD įvardytus šalies panoramų, regyklų apžvalgos taškus, kuriuos siūlė </w:t>
                  </w:r>
                  <w:r>
                    <w:rPr>
                      <w:szCs w:val="24"/>
                      <w:lang w:bidi="en-US"/>
                    </w:rPr>
                    <w:t xml:space="preserve">savivaldybių administracijų, saugomų teritorijų direkcijų ir kitų institucijų, priėmusių Aplinkos ministerijos kvietimus dalyvauti šiame panoramų atrankos procese (į visas savivaldybių administracijas ir kitas suinteresuotas institucijas Aplinkos ministerija kreipėsi 2021-08-04 raštu Nr. (65)-D8(E)-5159 ir 2021-09-23 raštu Nr. </w:t>
                  </w:r>
                  <w:r>
                    <w:rPr>
                      <w:color w:val="000080"/>
                      <w:szCs w:val="24"/>
                      <w:u w:val="single"/>
                      <w:lang w:bidi="en-US"/>
                    </w:rPr>
                    <w:t>(65)-D8(E)-5984</w:t>
                  </w:r>
                  <w:r>
                    <w:rPr>
                      <w:szCs w:val="24"/>
                      <w:lang w:bidi="en-US"/>
                    </w:rPr>
                    <w:t xml:space="preserve">). Abejoti procese dalyvavusių specialistų kvalifikacija nematome pagrindo. Koreguojant Panoramų sąrašą taip pat atsižvelgta į savivaldybių TPD sprendinius dėl VE plėtros. Projekto 1 priedo priedėlyje esančiame Panoramų sąraše yra nuoroda į žemėlapį </w:t>
                  </w:r>
                  <w:r>
                    <w:rPr>
                      <w:rFonts w:eastAsia="Andale Sans UI"/>
                      <w:color w:val="000080"/>
                      <w:szCs w:val="24"/>
                      <w:u w:val="single"/>
                      <w:lang w:bidi="en-US"/>
                    </w:rPr>
                    <w:t>https://vst-t.maps.arcgis.com/apps/webappviewer/index.html?id=80388c28c00845d9a9792bb01cd936df</w:t>
                  </w:r>
                  <w:r>
                    <w:rPr>
                      <w:rFonts w:eastAsia="Andale Sans UI"/>
                      <w:color w:val="000080"/>
                      <w:szCs w:val="24"/>
                      <w:u w:val="single"/>
                      <w:lang w:bidi="en-US"/>
                    </w:rPr>
                    <w:t xml:space="preserve">, </w:t>
                  </w:r>
                  <w:r>
                    <w:rPr>
                      <w:szCs w:val="24"/>
                      <w:lang w:bidi="en-US"/>
                    </w:rPr>
                    <w:t>kuriame pažymėti ne tik v</w:t>
                  </w:r>
                  <w:r>
                    <w:rPr>
                      <w:rFonts w:eastAsia="Andale Sans UI"/>
                      <w:szCs w:val="24"/>
                      <w:lang w:bidi="en-US"/>
                    </w:rPr>
                    <w:t xml:space="preserve">ertingiausių Lietuvos kraštovaizdžio panoramų apžvalgos taškai, bet ir </w:t>
                  </w:r>
                  <w:r>
                    <w:rPr>
                      <w:rFonts w:eastAsia="Andale Sans UI"/>
                      <w:bCs/>
                      <w:color w:val="000000"/>
                      <w:szCs w:val="24"/>
                      <w:shd w:val="clear" w:color="auto" w:fill="FFFFFF"/>
                      <w:lang w:bidi="en-US"/>
                    </w:rPr>
                    <w:t>ypač saugomo</w:t>
                  </w:r>
                  <w:r>
                    <w:rPr>
                      <w:rFonts w:eastAsia="Andale Sans UI"/>
                      <w:bCs/>
                      <w:color w:val="000000"/>
                      <w:szCs w:val="24"/>
                      <w:bdr w:val="none" w:sz="0" w:space="0" w:color="auto" w:frame="1"/>
                      <w:shd w:val="clear" w:color="auto" w:fill="FFFFFF"/>
                      <w:lang w:bidi="en-US"/>
                    </w:rPr>
                    <w:t xml:space="preserve"> kraštovaizdžio teritorijų ir arealų, nacionalinių saugomų teritorijų, Europos ekologinio tinklo „Natura 2000“ teritorijų ribos.</w:t>
                  </w:r>
                </w:p>
              </w:sdtContent>
            </w:sdt>
            <w:sdt>
              <w:sdtPr>
                <w:alias w:val="1.4 pp."/>
                <w:tag w:val="part_f0d1f3df53cf40478e666e7e1481fa71"/>
                <w:lock w:val="sdtLocked"/>
                <w:richText/>
              </w:sdtPr>
              <w:sdtContent>
                <w:p>
                  <w:pPr>
                    <w:widowControl w:val="0"/>
                    <w:suppressAutoHyphens/>
                    <w:spacing w:line="276" w:lineRule="auto"/>
                    <w:ind w:firstLine="567"/>
                    <w:jc w:val="both"/>
                    <w:rPr>
                      <w:color w:val="000000"/>
                      <w:szCs w:val="24"/>
                      <w:lang w:bidi="en-US"/>
                    </w:rPr>
                  </w:pPr>
                  <w:sdt>
                    <w:sdtPr>
                      <w:alias w:val="Numeris"/>
                      <w:tag w:val="nr_f0d1f3df53cf40478e666e7e1481fa71"/>
                      <w:lock w:val="sdtLocked"/>
                      <w:richText/>
                    </w:sdtPr>
                    <w:sdtContent>
                      <w:r>
                        <w:rPr>
                          <w:szCs w:val="24"/>
                          <w:lang w:bidi="en-US"/>
                        </w:rPr>
                        <w:t>1.4</w:t>
                      </w:r>
                    </w:sdtContent>
                  </w:sdt>
                  <w:r>
                    <w:rPr>
                      <w:szCs w:val="24"/>
                      <w:lang w:bidi="en-US"/>
                    </w:rPr>
                    <w:t>. Projekte įrašyta nauja, aiški nuostata, patikslinanti panoramų apžvalgos iš konkrečių taškų krypčių nustatymo principą nustatant, kad „</w:t>
                  </w:r>
                  <w:r>
                    <w:rPr>
                      <w:color w:val="000000"/>
                      <w:szCs w:val="24"/>
                      <w:lang w:bidi="en-US"/>
                    </w:rPr>
                    <w:t xml:space="preserve">Apžvalgos taškai – bendrojo ir (ar) specialiojo teritorijų planavimo dokumentuose nustatytos regyklos ar apžvalgos vietos, iš kurių žvelgiama į vertingiausias šalies kraštovaizdžio panoramas </w:t>
                  </w:r>
                  <w:r>
                    <w:rPr>
                      <w:b/>
                      <w:bCs/>
                      <w:color w:val="000000"/>
                      <w:szCs w:val="24"/>
                      <w:lang w:bidi="en-US"/>
                    </w:rPr>
                    <w:t>apžvalgos taško pavadinime nurodyta kryptimi. Jeigu apžvalgos taško pavadinime apžvalgos kryptis nenurodyta, iš šio taško į vertingiausias šalies kraštovaizdžio panoramas žvelgiama</w:t>
                  </w:r>
                  <w:r>
                    <w:rPr>
                      <w:color w:val="000000"/>
                      <w:szCs w:val="24"/>
                      <w:lang w:bidi="en-US"/>
                    </w:rPr>
                    <w:t xml:space="preserve"> YS kraštovaizdžio arealų kryptimi. Horizontalios apžvalgos lauko kraštinės ribos sutampa su matomomis panoramos ribomis“</w:t>
                  </w:r>
                  <w:r>
                    <w:rPr>
                      <w:szCs w:val="24"/>
                      <w:lang w:bidi="en-US"/>
                    </w:rPr>
                    <w:t xml:space="preserve">. Tai leis išvengti aprašo traktavimo </w:t>
                  </w:r>
                  <w:r>
                    <w:rPr>
                      <w:color w:val="000000"/>
                      <w:szCs w:val="24"/>
                      <w:lang w:bidi="en-US"/>
                    </w:rPr>
                    <w:t xml:space="preserve">dviprasmybių ir PAV procese dalyvaujančioms šalims priimti pagrįstus, abipusiai priimtinus sprendimus.  </w:t>
                  </w:r>
                </w:p>
              </w:sdtContent>
            </w:sdt>
            <w:sdt>
              <w:sdtPr>
                <w:alias w:val="1.5 pp."/>
                <w:tag w:val="part_eb44a0d032dc4aee9420202544623a03"/>
                <w:lock w:val="sdtLocked"/>
                <w:richText/>
              </w:sdtPr>
              <w:sdtContent>
                <w:p>
                  <w:pPr>
                    <w:widowControl w:val="0"/>
                    <w:suppressAutoHyphens/>
                    <w:spacing w:line="276" w:lineRule="auto"/>
                    <w:ind w:firstLine="567"/>
                    <w:jc w:val="both"/>
                    <w:rPr>
                      <w:color w:val="000000"/>
                      <w:szCs w:val="24"/>
                      <w:lang w:bidi="en-US"/>
                    </w:rPr>
                  </w:pPr>
                  <w:sdt>
                    <w:sdtPr>
                      <w:alias w:val="Numeris"/>
                      <w:tag w:val="nr_eb44a0d032dc4aee9420202544623a03"/>
                      <w:lock w:val="sdtLocked"/>
                      <w:richText/>
                    </w:sdtPr>
                    <w:sdtContent>
                      <w:r>
                        <w:rPr>
                          <w:color w:val="000000"/>
                          <w:szCs w:val="24"/>
                          <w:lang w:bidi="en-US"/>
                        </w:rPr>
                        <w:t>1.5</w:t>
                      </w:r>
                    </w:sdtContent>
                  </w:sdt>
                  <w:r>
                    <w:rPr>
                      <w:color w:val="000000"/>
                      <w:szCs w:val="24"/>
                      <w:lang w:bidi="en-US"/>
                    </w:rPr>
                    <w:t>. Siekiant teisinio reguliavimo stabilumo Panoramų sąrašui nustatomas jo nekoregavimo saugiklis, t. y. šis sąrašas galės būti keičiamas ne dažniau kaip kas 10 metų.</w:t>
                  </w:r>
                </w:p>
              </w:sdtContent>
            </w:sdt>
          </w:sdtContent>
        </w:sdt>
        <w:sdt>
          <w:sdtPr>
            <w:alias w:val="2 p."/>
            <w:tag w:val="part_b614ea16dd9547d7929290fd98607ea7"/>
            <w:lock w:val="sdtLocked"/>
            <w:richText/>
          </w:sdtPr>
          <w:sdtContent>
            <w:p>
              <w:pPr>
                <w:widowControl w:val="0"/>
                <w:suppressAutoHyphens/>
                <w:spacing w:line="276" w:lineRule="auto"/>
                <w:ind w:firstLine="567"/>
                <w:jc w:val="both"/>
                <w:rPr>
                  <w:rFonts w:eastAsia="Andale Sans UI"/>
                  <w:color w:val="000000"/>
                  <w:szCs w:val="24"/>
                  <w:lang w:bidi="en-US"/>
                </w:rPr>
              </w:pPr>
              <w:sdt>
                <w:sdtPr>
                  <w:alias w:val="Numeris"/>
                  <w:tag w:val="nr_b614ea16dd9547d7929290fd98607ea7"/>
                  <w:lock w:val="sdtLocked"/>
                  <w:richText/>
                </w:sdtPr>
                <w:sdtContent>
                  <w:r>
                    <w:rPr>
                      <w:color w:val="000000"/>
                      <w:szCs w:val="24"/>
                      <w:lang w:eastAsia="en-GB"/>
                    </w:rPr>
                    <w:t>2</w:t>
                  </w:r>
                </w:sdtContent>
              </w:sdt>
              <w:r>
                <w:rPr>
                  <w:color w:val="000000"/>
                  <w:szCs w:val="24"/>
                  <w:lang w:eastAsia="en-GB"/>
                </w:rPr>
                <w:t xml:space="preserve">. Projektas papildytas  nuostata, </w:t>
              </w:r>
              <w:r>
                <w:rPr>
                  <w:rFonts w:eastAsia="Andale Sans UI"/>
                  <w:szCs w:val="24"/>
                  <w:lang w:bidi="en-US"/>
                </w:rPr>
                <w:t xml:space="preserve">kad atliekant poveikio visuomenės sveikatai vertinimą </w:t>
              </w:r>
              <w:r>
                <w:rPr>
                  <w:rFonts w:eastAsia="Andale Sans UI"/>
                  <w:color w:val="000000"/>
                  <w:szCs w:val="24"/>
                  <w:lang w:bidi="en-US"/>
                </w:rPr>
                <w:t>galima vadovautis ir kitų valstybių poveikio visuomenės sveikatai vertinimo metodinėmis rekomendacijomis ar modeliais, mokslinių tyrimų duomenimis.</w:t>
              </w:r>
            </w:p>
          </w:sdtContent>
        </w:sdt>
        <w:sdt>
          <w:sdtPr>
            <w:alias w:val="3 p."/>
            <w:tag w:val="part_0f9048a760014645826471508009af6b"/>
            <w:lock w:val="sdtLocked"/>
            <w:richText/>
          </w:sdtPr>
          <w:sdtContent>
            <w:p>
              <w:pPr>
                <w:widowControl w:val="0"/>
                <w:suppressAutoHyphens/>
                <w:spacing w:line="276" w:lineRule="auto"/>
                <w:ind w:firstLine="567"/>
                <w:jc w:val="both"/>
                <w:rPr>
                  <w:color w:val="000000"/>
                  <w:szCs w:val="24"/>
                  <w:lang w:eastAsia="en-GB"/>
                </w:rPr>
              </w:pPr>
              <w:sdt>
                <w:sdtPr>
                  <w:alias w:val="Numeris"/>
                  <w:tag w:val="nr_0f9048a760014645826471508009af6b"/>
                  <w:lock w:val="sdtLocked"/>
                  <w:richText/>
                </w:sdtPr>
                <w:sdtContent>
                  <w:r>
                    <w:rPr>
                      <w:rFonts w:eastAsia="Andale Sans UI"/>
                      <w:color w:val="000000"/>
                      <w:szCs w:val="24"/>
                      <w:lang w:bidi="en-US"/>
                    </w:rPr>
                    <w:t>3</w:t>
                  </w:r>
                </w:sdtContent>
              </w:sdt>
              <w:r>
                <w:rPr>
                  <w:color w:val="000000"/>
                  <w:szCs w:val="24"/>
                  <w:lang w:eastAsia="en-GB"/>
                </w:rPr>
                <w:t xml:space="preserve">. </w:t>
              </w:r>
              <w:r>
                <w:rPr>
                  <w:rFonts w:eastAsia="Andale Sans UI"/>
                  <w:color w:val="000000"/>
                  <w:szCs w:val="24"/>
                  <w:lang w:bidi="en-US"/>
                </w:rPr>
                <w:t>Atlikti kiti redakcinio pobūdžio pakeitimai.</w:t>
              </w:r>
            </w:p>
            <w:p>
              <w:pPr>
                <w:spacing w:line="276" w:lineRule="auto"/>
                <w:ind w:firstLine="567"/>
                <w:jc w:val="both"/>
                <w:rPr>
                  <w:rFonts w:eastAsia="Andale Sans UI"/>
                  <w:bCs/>
                  <w:color w:val="000000"/>
                  <w:szCs w:val="24"/>
                  <w:lang w:bidi="en-US"/>
                </w:rPr>
              </w:pPr>
              <w:r>
                <w:rPr>
                  <w:rFonts w:eastAsia="Andale Sans UI"/>
                  <w:bCs/>
                  <w:color w:val="000000"/>
                  <w:szCs w:val="24"/>
                  <w:lang w:bidi="en-US"/>
                </w:rPr>
                <w:t>Pakartotinai žemiau pažymime Projekto rengimo tikslus:</w:t>
              </w:r>
            </w:p>
            <w:p>
              <w:pPr>
                <w:spacing w:line="276" w:lineRule="auto"/>
                <w:ind w:firstLine="567"/>
                <w:jc w:val="both"/>
                <w:rPr>
                  <w:rFonts w:eastAsia="Andale Sans UI"/>
                  <w:bCs/>
                  <w:color w:val="000000"/>
                  <w:szCs w:val="24"/>
                  <w:lang w:bidi="en-US"/>
                </w:rPr>
              </w:pPr>
              <w:r>
                <w:rPr>
                  <w:rFonts w:eastAsia="Andale Sans UI"/>
                  <w:bCs/>
                  <w:color w:val="000000"/>
                  <w:szCs w:val="24"/>
                  <w:lang w:bidi="en-US"/>
                </w:rPr>
                <w:t>Atliepiant veiklos plėtotojų</w:t>
              </w:r>
              <w:r>
                <w:rPr>
                  <w:rFonts w:eastAsia="Andale Sans UI" w:cs="Tahoma"/>
                  <w:bCs/>
                  <w:szCs w:val="24"/>
                  <w:lang w:bidi="en-US"/>
                </w:rPr>
                <w:t xml:space="preserve"> skundus dėl skirtingo </w:t>
              </w:r>
              <w:r>
                <w:rPr>
                  <w:rFonts w:eastAsia="Andale Sans UI"/>
                  <w:bCs/>
                  <w:color w:val="000000"/>
                  <w:szCs w:val="24"/>
                  <w:lang w:bidi="en-US"/>
                </w:rPr>
                <w:t>planuojamos ūkinės veiklos PAV</w:t>
              </w:r>
              <w:r>
                <w:rPr>
                  <w:rFonts w:eastAsia="Andale Sans UI" w:cs="Tahoma"/>
                  <w:bCs/>
                  <w:szCs w:val="24"/>
                  <w:lang w:bidi="en-US"/>
                </w:rPr>
                <w:t xml:space="preserve"> procedūrų taikymo vertinant poveikį kraštovaizdžiui ir biologinei įvairovei, s</w:t>
              </w:r>
              <w:r>
                <w:rPr>
                  <w:rFonts w:eastAsia="Andale Sans UI"/>
                  <w:bCs/>
                  <w:color w:val="000000"/>
                  <w:szCs w:val="24"/>
                  <w:lang w:bidi="en-US"/>
                </w:rPr>
                <w:t xml:space="preserve">iekiant aiškaus reglamentavimo, vienodo PAV kriterijų taikymo visoms veikloms ir tinkamo </w:t>
              </w:r>
              <w:r>
                <w:rPr>
                  <w:rFonts w:eastAsia="Andale Sans UI" w:cs="Tahoma"/>
                  <w:color w:val="000000"/>
                  <w:szCs w:val="24"/>
                  <w:bdr w:val="none" w:sz="0" w:space="0" w:color="auto" w:frame="1"/>
                  <w:shd w:val="clear" w:color="auto" w:fill="FFFFFF"/>
                  <w:lang w:bidi="en-US"/>
                </w:rPr>
                <w:t>ypatingųjų statinių (iš jų ir vėjo elektrinių) PAV detalizavimo reglamentavimo,</w:t>
              </w:r>
              <w:r>
                <w:rPr>
                  <w:rFonts w:eastAsia="Andale Sans UI" w:cs="Tahoma"/>
                  <w:szCs w:val="24"/>
                  <w:lang w:eastAsia="lt-LT" w:bidi="en-US"/>
                </w:rPr>
                <w:t xml:space="preserve"> ir atsižvelgiant į tai, kad eksploatuojant vėjo elektrines didžiausias tikėtinas poveikis galimas visuomenės sveikatai, kraštovaizdžiui ir biologinei įvairovei, Projektu </w:t>
              </w:r>
              <w:r>
                <w:rPr>
                  <w:rFonts w:eastAsia="Andale Sans UI" w:cs="Tahoma"/>
                  <w:szCs w:val="24"/>
                  <w:u w:val="single"/>
                  <w:lang w:eastAsia="lt-LT" w:bidi="en-US"/>
                </w:rPr>
                <w:t>siūloma</w:t>
              </w:r>
              <w:r>
                <w:rPr>
                  <w:rFonts w:eastAsia="Andale Sans UI" w:cs="Tahoma"/>
                  <w:szCs w:val="24"/>
                  <w:lang w:eastAsia="lt-LT" w:bidi="en-US"/>
                </w:rPr>
                <w:t xml:space="preserve"> pakeisti </w:t>
              </w:r>
              <w:r>
                <w:rPr>
                  <w:rFonts w:eastAsia="Andale Sans UI" w:cs="Tahoma"/>
                  <w:color w:val="000000"/>
                  <w:szCs w:val="24"/>
                  <w:lang w:bidi="en-US"/>
                </w:rPr>
                <w:t xml:space="preserve">Planuojamos ūkinės veiklos poveikio aplinkai vertinimo tvarkos aprašą, papildant jį </w:t>
              </w:r>
              <w:r>
                <w:rPr>
                  <w:rFonts w:eastAsia="Andale Sans UI" w:cs="Tahoma"/>
                  <w:bCs/>
                  <w:szCs w:val="24"/>
                  <w:lang w:bidi="en-US"/>
                </w:rPr>
                <w:t xml:space="preserve">poveikio </w:t>
              </w:r>
              <w:r>
                <w:rPr>
                  <w:rFonts w:eastAsia="Andale Sans UI" w:cs="Tahoma"/>
                  <w:szCs w:val="24"/>
                  <w:lang w:eastAsia="lt-LT" w:bidi="en-US"/>
                </w:rPr>
                <w:t>visuomenės sveikatai,</w:t>
              </w:r>
              <w:r>
                <w:rPr>
                  <w:rFonts w:eastAsia="Andale Sans UI" w:cs="Tahoma"/>
                  <w:bCs/>
                  <w:szCs w:val="24"/>
                  <w:lang w:bidi="en-US"/>
                </w:rPr>
                <w:t xml:space="preserve"> kraštovaizdžiui ir biologinei įvairovei vertinimo principais: </w:t>
              </w:r>
            </w:p>
            <w:p>
              <w:pPr>
                <w:widowControl w:val="0"/>
                <w:suppressAutoHyphens/>
                <w:spacing w:line="276" w:lineRule="auto"/>
                <w:ind w:firstLine="709"/>
                <w:jc w:val="both"/>
                <w:rPr>
                  <w:szCs w:val="24"/>
                  <w:lang w:bidi="en-US"/>
                </w:rPr>
              </w:pPr>
              <w:r>
                <w:rPr>
                  <w:rFonts w:eastAsia="Andale Sans UI"/>
                  <w:szCs w:val="24"/>
                  <w:lang w:bidi="en-US"/>
                </w:rPr>
                <w:t>-</w:t>
                <w:tab/>
              </w:r>
              <w:r>
                <w:rPr>
                  <w:rFonts w:eastAsia="Andale Sans UI" w:cs="Tahoma"/>
                  <w:szCs w:val="24"/>
                  <w:lang w:bidi="en-US"/>
                </w:rPr>
                <w:t xml:space="preserve">patikslinti </w:t>
              </w:r>
              <w:r>
                <w:rPr>
                  <w:szCs w:val="24"/>
                  <w:lang w:bidi="en-US"/>
                </w:rPr>
                <w:t>panoramų apžvalgos iš konkrečių taškų krypčių nustatymo principą;</w:t>
              </w:r>
            </w:p>
            <w:p>
              <w:pPr>
                <w:widowControl w:val="0"/>
                <w:suppressAutoHyphens/>
                <w:spacing w:line="276" w:lineRule="auto"/>
                <w:ind w:firstLine="709"/>
                <w:jc w:val="both"/>
                <w:rPr>
                  <w:rFonts w:eastAsia="Andale Sans UI" w:cs="Tahoma"/>
                  <w:szCs w:val="24"/>
                  <w:lang w:eastAsia="lt-LT" w:bidi="en-US"/>
                </w:rPr>
              </w:pPr>
              <w:r>
                <w:rPr>
                  <w:rFonts w:eastAsia="Andale Sans UI"/>
                  <w:szCs w:val="24"/>
                  <w:lang w:eastAsia="lt-LT" w:bidi="en-US"/>
                </w:rPr>
                <w:t>-</w:t>
                <w:tab/>
              </w:r>
              <w:r>
                <w:rPr>
                  <w:rFonts w:eastAsia="Andale Sans UI" w:cs="Tahoma"/>
                  <w:szCs w:val="24"/>
                  <w:lang w:bidi="en-US"/>
                </w:rPr>
                <w:t xml:space="preserve">sudaryti vertingiausių Lietuvos kraštovaizdžio </w:t>
              </w:r>
              <w:r>
                <w:rPr>
                  <w:rFonts w:eastAsia="Andale Sans UI" w:cs="Tahoma"/>
                  <w:szCs w:val="24"/>
                  <w:lang w:eastAsia="lt-LT" w:bidi="en-US"/>
                </w:rPr>
                <w:t>panoramų apžvalgos taškų sąrašą;</w:t>
              </w:r>
            </w:p>
            <w:p>
              <w:pPr>
                <w:widowControl w:val="0"/>
                <w:suppressAutoHyphens/>
                <w:spacing w:line="276" w:lineRule="auto"/>
                <w:ind w:firstLine="709"/>
                <w:jc w:val="both"/>
                <w:rPr>
                  <w:rFonts w:eastAsia="Andale Sans UI" w:cs="Tahoma"/>
                  <w:szCs w:val="24"/>
                  <w:lang w:bidi="en-US"/>
                </w:rPr>
              </w:pPr>
              <w:r>
                <w:rPr>
                  <w:rFonts w:eastAsia="Andale Sans UI"/>
                  <w:szCs w:val="24"/>
                  <w:lang w:bidi="en-US"/>
                </w:rPr>
                <w:t>-</w:t>
                <w:tab/>
              </w:r>
              <w:r>
                <w:rPr>
                  <w:rFonts w:eastAsia="Andale Sans UI" w:cs="Tahoma"/>
                  <w:szCs w:val="24"/>
                  <w:lang w:bidi="en-US"/>
                </w:rPr>
                <w:t>patikslinti rizikos analizės vertinimo principus;</w:t>
              </w:r>
            </w:p>
            <w:p>
              <w:pPr>
                <w:widowControl w:val="0"/>
                <w:suppressAutoHyphens/>
                <w:spacing w:line="276" w:lineRule="auto"/>
                <w:ind w:firstLine="709"/>
                <w:jc w:val="both"/>
                <w:rPr>
                  <w:rFonts w:eastAsia="Andale Sans UI" w:cs="Tahoma"/>
                  <w:szCs w:val="24"/>
                  <w:bdr w:val="none" w:sz="0" w:space="0" w:color="auto" w:frame="1"/>
                  <w:lang w:bidi="en-US"/>
                </w:rPr>
              </w:pPr>
              <w:r>
                <w:rPr>
                  <w:rFonts w:eastAsia="Andale Sans UI"/>
                  <w:szCs w:val="24"/>
                  <w:bdr w:val="none" w:sz="0" w:space="0" w:color="auto" w:frame="1"/>
                  <w:lang w:bidi="en-US"/>
                </w:rPr>
                <w:t>-</w:t>
                <w:tab/>
              </w:r>
              <w:r>
                <w:rPr>
                  <w:rFonts w:eastAsia="Andale Sans UI" w:cs="Tahoma"/>
                  <w:szCs w:val="24"/>
                  <w:lang w:bidi="en-US"/>
                </w:rPr>
                <w:t>Agentūrai nustatyti pareigą patikrinti, ar ataskaitos viešinimo ir visuomenės informavimo procedūros atliktos pagal teisės aktų reikalavimus</w:t>
              </w:r>
              <w:r>
                <w:rPr>
                  <w:rFonts w:eastAsia="Andale Sans UI" w:cs="Tahoma"/>
                  <w:bCs/>
                  <w:color w:val="000000"/>
                  <w:szCs w:val="24"/>
                  <w:lang w:bidi="en-US"/>
                </w:rPr>
                <w:t>;</w:t>
              </w:r>
            </w:p>
            <w:p>
              <w:pPr>
                <w:widowControl w:val="0"/>
                <w:suppressAutoHyphens/>
                <w:spacing w:line="276" w:lineRule="auto"/>
                <w:ind w:firstLine="709"/>
                <w:jc w:val="both"/>
                <w:rPr>
                  <w:rFonts w:eastAsia="Andale Sans UI" w:cs="Tahoma"/>
                  <w:szCs w:val="24"/>
                  <w:lang w:bidi="en-US"/>
                </w:rPr>
              </w:pPr>
              <w:r>
                <w:rPr>
                  <w:rFonts w:eastAsia="Andale Sans UI"/>
                  <w:szCs w:val="24"/>
                  <w:lang w:bidi="en-US"/>
                </w:rPr>
                <w:t>-</w:t>
                <w:tab/>
              </w:r>
              <w:r>
                <w:rPr>
                  <w:rFonts w:eastAsia="Andale Sans UI" w:cs="Tahoma"/>
                  <w:szCs w:val="24"/>
                  <w:lang w:bidi="en-US"/>
                </w:rPr>
                <w:t xml:space="preserve">patikslinti Agentūros veiksmus, gavus </w:t>
              </w:r>
              <w:r>
                <w:rPr>
                  <w:rFonts w:eastAsia="Andale Sans UI" w:cs="Tahoma"/>
                  <w:szCs w:val="24"/>
                  <w:bdr w:val="none" w:sz="0" w:space="0" w:color="auto" w:frame="1"/>
                  <w:lang w:bidi="en-US"/>
                </w:rPr>
                <w:t>ataskaitą po pakartotinio viešinimo procedūros;</w:t>
              </w:r>
            </w:p>
            <w:p>
              <w:pPr>
                <w:widowControl w:val="0"/>
                <w:suppressAutoHyphens/>
                <w:spacing w:line="276" w:lineRule="auto"/>
                <w:ind w:firstLine="709"/>
                <w:jc w:val="both"/>
                <w:rPr>
                  <w:rFonts w:eastAsia="Andale Sans UI" w:cs="Tahoma"/>
                  <w:szCs w:val="24"/>
                  <w:lang w:bidi="en-US"/>
                </w:rPr>
              </w:pPr>
              <w:r>
                <w:rPr>
                  <w:rFonts w:eastAsia="Andale Sans UI"/>
                  <w:szCs w:val="24"/>
                  <w:lang w:bidi="en-US"/>
                </w:rPr>
                <w:t>-</w:t>
                <w:tab/>
              </w:r>
              <w:r>
                <w:rPr>
                  <w:rFonts w:eastAsia="Andale Sans UI" w:cs="Tahoma"/>
                  <w:szCs w:val="24"/>
                  <w:bdr w:val="none" w:sz="0" w:space="0" w:color="auto" w:frame="1"/>
                  <w:lang w:bidi="en-US"/>
                </w:rPr>
                <w:t xml:space="preserve">patikslinti reikalavimus </w:t>
              </w:r>
              <w:r>
                <w:rPr>
                  <w:rFonts w:eastAsia="Andale Sans UI" w:cs="Tahoma"/>
                  <w:szCs w:val="24"/>
                  <w:lang w:bidi="en-US"/>
                </w:rPr>
                <w:t>viešo visuomenės supažindinimo su ataskaita procedūroms;</w:t>
              </w:r>
            </w:p>
            <w:p>
              <w:pPr>
                <w:widowControl w:val="0"/>
                <w:suppressAutoHyphens/>
                <w:spacing w:line="276" w:lineRule="auto"/>
                <w:ind w:firstLine="709"/>
                <w:jc w:val="both"/>
                <w:rPr>
                  <w:rFonts w:eastAsia="Andale Sans UI" w:cs="Tahoma"/>
                  <w:szCs w:val="24"/>
                  <w:lang w:bidi="en-US"/>
                </w:rPr>
              </w:pPr>
              <w:r>
                <w:rPr>
                  <w:rFonts w:eastAsia="Andale Sans UI"/>
                  <w:szCs w:val="24"/>
                  <w:lang w:bidi="en-US"/>
                </w:rPr>
                <w:t>-</w:t>
                <w:tab/>
              </w:r>
              <w:r>
                <w:rPr>
                  <w:rFonts w:eastAsia="Andale Sans UI" w:cs="Tahoma"/>
                  <w:szCs w:val="24"/>
                  <w:lang w:bidi="en-US"/>
                </w:rPr>
                <w:t>nustatyti pareigą pranešime apie planuojamos ūkinės veiklos poveikio aplinkai vertinimo pradžią nurodyti planuojamos ūkinės veiklos vietos (alternatyvių vietų) apytikslias koordinates;</w:t>
              </w:r>
            </w:p>
            <w:p>
              <w:pPr>
                <w:widowControl w:val="0"/>
                <w:suppressAutoHyphens/>
                <w:spacing w:line="276" w:lineRule="auto"/>
                <w:ind w:firstLine="709"/>
                <w:jc w:val="both"/>
                <w:rPr>
                  <w:rFonts w:eastAsia="Andale Sans UI" w:cs="Tahoma"/>
                  <w:szCs w:val="24"/>
                  <w:lang w:bidi="en-US"/>
                </w:rPr>
              </w:pPr>
              <w:r>
                <w:rPr>
                  <w:rFonts w:eastAsia="Andale Sans UI"/>
                  <w:szCs w:val="24"/>
                  <w:lang w:bidi="en-US"/>
                </w:rPr>
                <w:t>-</w:t>
                <w:tab/>
              </w:r>
              <w:r>
                <w:rPr>
                  <w:rFonts w:eastAsia="Andale Sans UI" w:cs="Tahoma"/>
                  <w:szCs w:val="24"/>
                  <w:lang w:bidi="en-US"/>
                </w:rPr>
                <w:t>pataisyti redakcinio pobūdžio netikslumus.</w:t>
              </w:r>
            </w:p>
            <w:p>
              <w:pPr>
                <w:widowControl w:val="0"/>
                <w:suppressAutoHyphens/>
                <w:spacing w:line="276" w:lineRule="auto"/>
                <w:ind w:firstLine="709"/>
                <w:jc w:val="both"/>
                <w:textAlignment w:val="center"/>
                <w:rPr>
                  <w:szCs w:val="24"/>
                  <w:lang w:bidi="en-US"/>
                </w:rPr>
              </w:pPr>
              <w:r>
                <w:rPr>
                  <w:szCs w:val="24"/>
                  <w:lang w:bidi="en-US"/>
                </w:rPr>
                <w:t xml:space="preserve">Projektu nenumatomi nauji informaciniai įpareigojimai, todėl administracinė našta nevertinama. </w:t>
              </w:r>
            </w:p>
            <w:p>
              <w:pPr>
                <w:widowControl w:val="0"/>
                <w:suppressAutoHyphens/>
                <w:spacing w:line="276" w:lineRule="auto"/>
                <w:ind w:firstLine="709"/>
                <w:jc w:val="both"/>
                <w:textAlignment w:val="center"/>
                <w:rPr>
                  <w:rFonts w:eastAsia="Andale Sans UI" w:cs="Tahoma"/>
                  <w:szCs w:val="24"/>
                  <w:lang w:bidi="en-US"/>
                </w:rPr>
              </w:pPr>
              <w:r>
                <w:rPr>
                  <w:szCs w:val="24"/>
                  <w:lang w:bidi="en-US"/>
                </w:rPr>
                <w:t>Teisės akto projektas perkelia</w:t>
              </w:r>
              <w:r>
                <w:rPr>
                  <w:rFonts w:eastAsia="Andale Sans UI" w:cs="Tahoma"/>
                  <w:color w:val="000000"/>
                  <w:szCs w:val="24"/>
                  <w:lang w:bidi="en-US"/>
                </w:rPr>
                <w:t xml:space="preserve"> 2011 m. gruodžio 13 d. Europos Parlamento ir Tarybos direktyvos </w:t>
              </w:r>
              <w:fldSimple w:instr="HYPERLINK http://eur-lex.europa.eu/legal-content/LIT/TXT/?uri=CELEX:32011L0092&amp;locale=lt \t _blank">
                <w:r>
                  <w:rPr>
                    <w:rFonts w:eastAsia="Andale Sans UI" w:cs="Tahoma"/>
                    <w:color w:val="0000FF" w:themeColor="hyperlink"/>
                    <w:szCs w:val="24"/>
                    <w:lang w:bidi="en-US"/>
                    <w:u w:val="single"/>
                  </w:rPr>
                  <w:t>2011/92/ES</w:t>
                </w:r>
              </w:fldSimple>
              <w:r>
                <w:rPr>
                  <w:rFonts w:eastAsia="Andale Sans UI" w:cs="Tahoma"/>
                  <w:color w:val="000000"/>
                  <w:szCs w:val="24"/>
                  <w:lang w:bidi="en-US"/>
                </w:rPr>
                <w:t xml:space="preserve"> dėl tam tikrų valstybės privačių projektų poveikio aplinkai vertinimo,  iš dalies keičiamos Europos Parlamento ir Tarybos direktyva </w:t>
              </w:r>
              <w:fldSimple w:instr="HYPERLINK http://eur-lex.europa.eu/legal-content/LIT/TXT/?uri=CELEX:32014L0052&amp;locale=lt \t _blank">
                <w:r>
                  <w:rPr>
                    <w:rFonts w:eastAsia="Andale Sans UI" w:cs="Tahoma"/>
                    <w:color w:val="0000FF" w:themeColor="hyperlink"/>
                    <w:szCs w:val="24"/>
                    <w:lang w:bidi="en-US"/>
                    <w:u w:val="single"/>
                  </w:rPr>
                  <w:t>2014/52/ES</w:t>
                </w:r>
              </w:fldSimple>
              <w:r>
                <w:rPr>
                  <w:rFonts w:eastAsia="Andale Sans UI" w:cs="Tahoma"/>
                  <w:color w:val="000000"/>
                  <w:szCs w:val="24"/>
                  <w:lang w:bidi="en-US"/>
                </w:rPr>
                <w:t xml:space="preserve"> Tekstas svarbus EEE 2014 m. balandžio 16 d. nuostatas. </w:t>
              </w:r>
              <w:r>
                <w:rPr>
                  <w:rFonts w:eastAsia="Andale Sans UI" w:cs="Tahoma"/>
                  <w:szCs w:val="24"/>
                  <w:lang w:bidi="en-US"/>
                </w:rPr>
                <w:t>Atitikties lentelė pridedama.</w:t>
              </w:r>
            </w:p>
            <w:p>
              <w:pPr>
                <w:widowControl w:val="0"/>
                <w:suppressAutoHyphens/>
                <w:spacing w:line="276" w:lineRule="auto"/>
                <w:ind w:firstLine="709"/>
                <w:jc w:val="both"/>
                <w:textAlignment w:val="center"/>
                <w:rPr>
                  <w:szCs w:val="24"/>
                  <w:lang w:bidi="en-US"/>
                </w:rPr>
              </w:pPr>
              <w:r>
                <w:rPr>
                  <w:szCs w:val="24"/>
                  <w:lang w:bidi="en-US"/>
                </w:rPr>
                <w:t xml:space="preserve">Teisės akto projektą įtraukiant į teisės sistemą kitų teisės aktų priimti nereikės.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20"/>
                <w:jc w:val="both"/>
                <w:rPr>
                  <w:szCs w:val="24"/>
                  <w:lang w:eastAsia="lt-LT"/>
                </w:rPr>
              </w:pPr>
              <w:r>
                <w:rPr>
                  <w:szCs w:val="24"/>
                  <w:lang w:eastAsia="lt-LT"/>
                </w:rPr>
                <w:t>Projektas atitinka Lietuvos Respublikos valstybinės kalbos, Lietuvos Respublikos teisėkūros pagrindų įstatymų reikalavimus. Projekte nepateikiama naujų sąvokų ir sąvokas įvardijančių terminų, todėl Projektas nevertintinas Lietuvos Respublikos terminų banko įstatymo ir jo įgyvendinamųjų teisės aktų nustatyta tvarka.</w:t>
              </w:r>
            </w:p>
            <w:p>
              <w:pPr>
                <w:widowControl w:val="0"/>
                <w:suppressAutoHyphens/>
                <w:spacing w:line="276" w:lineRule="auto"/>
                <w:ind w:firstLine="709"/>
                <w:jc w:val="both"/>
                <w:textAlignment w:val="center"/>
                <w:rPr>
                  <w:szCs w:val="24"/>
                  <w:lang w:bidi="en-US"/>
                </w:rPr>
              </w:pPr>
              <w:r>
                <w:rPr>
                  <w:szCs w:val="24"/>
                  <w:lang w:bidi="en-US"/>
                </w:rPr>
                <w:t>Projektas skelbiamas Lietuvos Respublikos Seimo kanceliarijos teisės aktų informacinėje sistemoje (TAIS), kur su Projektu gali susipažinti suinteresuotos institucijos ir visuomenė. Kitų konsultavimosi su visuomene būdų nenumatyta.</w:t>
              </w:r>
            </w:p>
            <w:p>
              <w:pPr>
                <w:widowControl w:val="0"/>
                <w:suppressAutoHyphens/>
                <w:spacing w:line="276" w:lineRule="auto"/>
                <w:ind w:firstLine="709"/>
                <w:jc w:val="both"/>
                <w:rPr>
                  <w:rFonts w:eastAsia="Andale Sans UI" w:cs="Tahoma"/>
                  <w:szCs w:val="24"/>
                  <w:lang w:bidi="en-US"/>
                </w:rPr>
              </w:pPr>
              <w:r>
                <w:rPr>
                  <w:rFonts w:eastAsia="Andale Sans UI" w:cs="Tahoma"/>
                  <w:szCs w:val="24"/>
                  <w:lang w:bidi="en-US"/>
                </w:rPr>
                <w:t xml:space="preserve">Dėl kartu su Projektu </w:t>
              </w:r>
              <w:r>
                <w:rPr>
                  <w:rFonts w:eastAsia="Andale Sans UI"/>
                  <w:color w:val="000000"/>
                  <w:szCs w:val="24"/>
                  <w:shd w:val="clear" w:color="auto" w:fill="FFFFFF"/>
                  <w:lang w:bidi="en-US"/>
                </w:rPr>
                <w:t xml:space="preserve">2022 m. sausio mėnesį </w:t>
              </w:r>
              <w:r>
                <w:rPr>
                  <w:rFonts w:eastAsia="Andale Sans UI" w:cs="Tahoma"/>
                  <w:szCs w:val="24"/>
                  <w:lang w:bidi="en-US"/>
                </w:rPr>
                <w:t>teiktų derinti:</w:t>
              </w:r>
            </w:p>
            <w:p>
              <w:pPr>
                <w:widowControl w:val="0"/>
                <w:suppressAutoHyphens/>
                <w:spacing w:line="276" w:lineRule="auto"/>
                <w:ind w:firstLine="709"/>
                <w:jc w:val="both"/>
                <w:rPr>
                  <w:rFonts w:eastAsia="Andale Sans UI" w:cs="Tahoma"/>
                  <w:szCs w:val="24"/>
                  <w:lang w:bidi="en-US"/>
                </w:rPr>
              </w:pPr>
              <w:r>
                <w:rPr>
                  <w:rFonts w:eastAsia="Andale Sans UI" w:cs="Tahoma"/>
                  <w:b/>
                  <w:bCs/>
                  <w:szCs w:val="24"/>
                  <w:lang w:bidi="en-US"/>
                </w:rPr>
                <w:t xml:space="preserve">- </w:t>
              </w:r>
              <w:r>
                <w:rPr>
                  <w:rFonts w:eastAsia="Andale Sans UI" w:cs="Tahoma"/>
                  <w:szCs w:val="24"/>
                  <w:lang w:bidi="en-US"/>
                </w:rPr>
                <w:t xml:space="preserve">Lietuvos Respublikos aplinkos ministro įsakymo „Dėl Lietuvos Respublikos aplinkos ministro 2003 m. liepos 31 d. įsakymo </w:t>
              </w:r>
              <w:r>
                <w:rPr>
                  <w:rFonts w:eastAsia="Andale Sans UI" w:cs="Tahoma"/>
                  <w:color w:val="000000"/>
                  <w:szCs w:val="24"/>
                  <w:lang w:bidi="en-US"/>
                </w:rPr>
                <w:t>Nr. 406 „</w:t>
              </w:r>
              <w:r>
                <w:rPr>
                  <w:rFonts w:eastAsia="Andale Sans UI" w:cs="Tahoma"/>
                  <w:bCs/>
                  <w:color w:val="000000"/>
                  <w:szCs w:val="24"/>
                  <w:lang w:bidi="en-US"/>
                </w:rPr>
                <w:t>Dėl Planuojamos ūkinės veiklos (vėjo jėgainių įrengimo) poveikio aplinkai vertinimo rekomendacijų R 44-03 patvirtinimo</w:t>
              </w:r>
              <w:r>
                <w:rPr>
                  <w:rFonts w:eastAsia="Andale Sans UI" w:cs="Tahoma"/>
                  <w:szCs w:val="24"/>
                  <w:lang w:bidi="en-US"/>
                </w:rPr>
                <w:t>“ pripažinimo netekusiu galios</w:t>
              </w:r>
              <w:r>
                <w:rPr>
                  <w:rFonts w:eastAsia="Andale Sans UI" w:cs="Tahoma"/>
                  <w:b/>
                  <w:szCs w:val="24"/>
                  <w:lang w:bidi="en-US"/>
                </w:rPr>
                <w:t>“</w:t>
              </w:r>
              <w:r>
                <w:rPr>
                  <w:rFonts w:eastAsia="Andale Sans UI" w:cs="Tahoma"/>
                  <w:szCs w:val="24"/>
                  <w:lang w:bidi="en-US"/>
                </w:rPr>
                <w:t xml:space="preserve"> projekto,</w:t>
              </w:r>
            </w:p>
            <w:p>
              <w:pPr>
                <w:widowControl w:val="0"/>
                <w:suppressAutoHyphens/>
                <w:spacing w:line="276" w:lineRule="auto"/>
                <w:ind w:firstLine="709"/>
                <w:jc w:val="both"/>
                <w:rPr>
                  <w:rFonts w:eastAsia="Andale Sans UI" w:cs="Tahoma"/>
                  <w:szCs w:val="24"/>
                  <w:lang w:bidi="en-US"/>
                </w:rPr>
              </w:pPr>
              <w:r>
                <w:rPr>
                  <w:rFonts w:eastAsia="Andale Sans UI" w:cs="Tahoma"/>
                  <w:szCs w:val="24"/>
                  <w:lang w:bidi="en-US"/>
                </w:rPr>
                <w:t>-</w:t>
              </w:r>
              <w:r>
                <w:rPr>
                  <w:rFonts w:eastAsia="Andale Sans UI" w:cs="Tahoma"/>
                  <w:b/>
                  <w:bCs/>
                  <w:szCs w:val="24"/>
                  <w:lang w:bidi="en-US"/>
                </w:rPr>
                <w:t xml:space="preserve"> </w:t>
              </w:r>
              <w:r>
                <w:rPr>
                  <w:rFonts w:eastAsia="Andale Sans UI" w:cs="Tahoma"/>
                  <w:szCs w:val="24"/>
                  <w:lang w:bidi="en-US"/>
                </w:rPr>
                <w:t>Lietuvos Respublikos aplinkos ministro įsakymo „</w:t>
              </w:r>
              <w:r>
                <w:rPr>
                  <w:rFonts w:eastAsia="Andale Sans UI" w:cs="Tahoma"/>
                  <w:bCs/>
                  <w:szCs w:val="24"/>
                  <w:lang w:bidi="en-US"/>
                </w:rPr>
                <w:t xml:space="preserve">Dėl </w:t>
              </w:r>
              <w:r>
                <w:rPr>
                  <w:rFonts w:eastAsia="Andale Sans UI" w:cs="Tahoma"/>
                  <w:szCs w:val="24"/>
                  <w:lang w:eastAsia="lt-LT" w:bidi="en-US"/>
                </w:rPr>
                <w:t xml:space="preserve">Lietuvos Respublikos aplinkos ministro </w:t>
              </w:r>
              <w:r>
                <w:rPr>
                  <w:rFonts w:eastAsia="Andale Sans UI" w:cs="Tahoma"/>
                  <w:szCs w:val="24"/>
                  <w:lang w:bidi="en-US"/>
                </w:rPr>
                <w:t xml:space="preserve">2003 m. liepos 9 d. įsakymo Nr. 351 „Dėl Planuojamos ūkinės veiklos </w:t>
              </w:r>
              <w:r>
                <w:rPr>
                  <w:rFonts w:eastAsia="Andale Sans UI" w:cs="Tahoma"/>
                  <w:color w:val="000000"/>
                  <w:szCs w:val="24"/>
                  <w:lang w:bidi="en-US"/>
                </w:rPr>
                <w:t xml:space="preserve">(hidroelektrinių įrengimo) poveikio aplinkai vertinimo rekomendacijų R 43-03 </w:t>
              </w:r>
              <w:r>
                <w:rPr>
                  <w:rFonts w:eastAsia="Andale Sans UI" w:cs="Tahoma"/>
                  <w:szCs w:val="24"/>
                  <w:lang w:bidi="en-US"/>
                </w:rPr>
                <w:t>patvirtinimo“ pripažinimo netekusiu galios“ projekto,</w:t>
              </w:r>
            </w:p>
            <w:p>
              <w:pPr>
                <w:widowControl w:val="0"/>
                <w:suppressAutoHyphens/>
                <w:spacing w:line="276" w:lineRule="auto"/>
                <w:ind w:firstLine="709"/>
                <w:jc w:val="both"/>
                <w:rPr>
                  <w:rFonts w:eastAsia="Andale Sans UI" w:cs="Tahoma"/>
                  <w:szCs w:val="24"/>
                  <w:lang w:bidi="en-US"/>
                </w:rPr>
              </w:pPr>
              <w:r>
                <w:rPr>
                  <w:rFonts w:eastAsia="Andale Sans UI" w:cs="Tahoma"/>
                  <w:szCs w:val="24"/>
                  <w:lang w:bidi="en-US"/>
                </w:rPr>
                <w:t>-</w:t>
              </w:r>
              <w:r>
                <w:rPr>
                  <w:rFonts w:eastAsia="Andale Sans UI" w:cs="Tahoma"/>
                  <w:color w:val="000000"/>
                  <w:szCs w:val="24"/>
                  <w:lang w:bidi="en-US"/>
                </w:rPr>
                <w:t xml:space="preserve"> </w:t>
              </w:r>
              <w:r>
                <w:rPr>
                  <w:rFonts w:eastAsia="Andale Sans UI" w:cs="Tahoma"/>
                  <w:szCs w:val="24"/>
                  <w:lang w:bidi="en-US"/>
                </w:rPr>
                <w:t>Lietuvos Respublikos aplinkos ministro įsakymo „</w:t>
              </w:r>
              <w:r>
                <w:rPr>
                  <w:rFonts w:eastAsia="Andale Sans UI" w:cs="Tahoma"/>
                  <w:bCs/>
                  <w:szCs w:val="24"/>
                  <w:lang w:bidi="en-US"/>
                </w:rPr>
                <w:t xml:space="preserve">Dėl </w:t>
              </w:r>
              <w:r>
                <w:rPr>
                  <w:rFonts w:eastAsia="Andale Sans UI" w:cs="Tahoma"/>
                  <w:color w:val="000000"/>
                  <w:szCs w:val="24"/>
                  <w:lang w:bidi="en-US"/>
                </w:rPr>
                <w:t>Lietuvos Respublikos aplinkos ministro 2002 m. liepos 16 d. įsakymo Nr. 369 „</w:t>
              </w:r>
              <w:r>
                <w:rPr>
                  <w:rFonts w:eastAsia="Andale Sans UI" w:cs="Tahoma"/>
                  <w:bCs/>
                  <w:caps/>
                  <w:color w:val="000000"/>
                  <w:szCs w:val="24"/>
                  <w:lang w:bidi="en-US"/>
                </w:rPr>
                <w:t>D</w:t>
              </w:r>
              <w:r>
                <w:rPr>
                  <w:rFonts w:eastAsia="Andale Sans UI" w:cs="Tahoma"/>
                  <w:bCs/>
                  <w:color w:val="000000"/>
                  <w:szCs w:val="24"/>
                  <w:lang w:bidi="en-US"/>
                </w:rPr>
                <w:t xml:space="preserve">ėl Planuojamos ūkinės veiklos </w:t>
              </w:r>
              <w:r>
                <w:rPr>
                  <w:rFonts w:eastAsia="Andale Sans UI" w:cs="Tahoma"/>
                  <w:color w:val="000000"/>
                  <w:szCs w:val="24"/>
                  <w:lang w:bidi="en-US"/>
                </w:rPr>
                <w:t>galimų avarijų rizikos vertinimo rekomendacijų R 41-02</w:t>
              </w:r>
              <w:r>
                <w:rPr>
                  <w:rFonts w:eastAsia="Andale Sans UI" w:cs="Tahoma"/>
                  <w:bCs/>
                  <w:color w:val="000000"/>
                  <w:szCs w:val="24"/>
                  <w:lang w:bidi="en-US"/>
                </w:rPr>
                <w:t xml:space="preserve"> patvirtinimo</w:t>
              </w:r>
              <w:r>
                <w:rPr>
                  <w:rFonts w:eastAsia="Andale Sans UI" w:cs="Tahoma"/>
                  <w:szCs w:val="24"/>
                  <w:lang w:bidi="en-US"/>
                </w:rPr>
                <w:t>“ pripažinimo netekusiu galios“ projekto</w:t>
              </w:r>
            </w:p>
            <w:p>
              <w:pPr>
                <w:widowControl w:val="0"/>
                <w:suppressAutoHyphens/>
                <w:spacing w:line="276" w:lineRule="auto"/>
                <w:ind w:firstLine="709"/>
                <w:jc w:val="both"/>
                <w:rPr>
                  <w:rFonts w:eastAsia="Andale Sans UI" w:cs="Tahoma"/>
                  <w:szCs w:val="24"/>
                  <w:lang w:bidi="en-US"/>
                </w:rPr>
              </w:pPr>
              <w:r>
                <w:rPr>
                  <w:rFonts w:eastAsia="Andale Sans UI" w:cs="Tahoma"/>
                  <w:szCs w:val="24"/>
                  <w:lang w:bidi="en-US"/>
                </w:rPr>
                <w:t>pastabų negauta, pakartotinai derinimui neteikiami.</w:t>
              </w:r>
            </w:p>
            <w:p>
              <w:pPr>
                <w:widowControl w:val="0"/>
                <w:suppressAutoHyphens/>
                <w:spacing w:line="276" w:lineRule="auto"/>
                <w:ind w:firstLine="709"/>
                <w:jc w:val="both"/>
                <w:rPr>
                  <w:rFonts w:eastAsia="Andale Sans UI" w:cs="Tahoma"/>
                  <w:szCs w:val="24"/>
                  <w:lang w:bidi="en-US"/>
                </w:rPr>
              </w:pPr>
              <w:r>
                <w:rPr>
                  <w:rFonts w:eastAsia="Andale Sans UI" w:cs="Tahoma"/>
                  <w:szCs w:val="24"/>
                  <w:lang w:bidi="en-US"/>
                </w:rPr>
                <w:t xml:space="preserve">Prašome išvadas dėl Projekto pateikti per 12 darbo dienų nuo jo paskelbimo TAIS. </w:t>
              </w:r>
            </w:p>
            <w:p>
              <w:pPr>
                <w:widowControl w:val="0"/>
                <w:suppressAutoHyphens/>
                <w:spacing w:line="276" w:lineRule="auto"/>
                <w:ind w:firstLine="709"/>
                <w:jc w:val="both"/>
                <w:rPr>
                  <w:rFonts w:eastAsia="Andale Sans UI" w:cs="Tahoma"/>
                  <w:szCs w:val="24"/>
                  <w:lang w:bidi="en-US"/>
                </w:rPr>
              </w:pPr>
              <w:r>
                <w:rPr>
                  <w:rFonts w:eastAsia="Andale Sans UI" w:cs="Tahoma"/>
                  <w:szCs w:val="24"/>
                  <w:lang w:bidi="en-US"/>
                </w:rPr>
                <w:t>Negavus argumentuotų pastabų ir pasiūlymų iki nurodyto laiko, bus laikoma, kad Projektams pritarta.</w:t>
              </w:r>
            </w:p>
            <w:p>
              <w:pPr>
                <w:widowControl w:val="0"/>
                <w:suppressAutoHyphens/>
                <w:spacing w:line="276" w:lineRule="auto"/>
                <w:ind w:firstLine="709"/>
                <w:jc w:val="both"/>
                <w:rPr>
                  <w:rFonts w:eastAsia="Andale Sans UI" w:cs="Tahoma"/>
                  <w:szCs w:val="24"/>
                  <w:lang w:bidi="en-US"/>
                </w:rPr>
              </w:pPr>
              <w:r>
                <w:rPr>
                  <w:rFonts w:eastAsia="Andale Sans UI" w:cs="Tahoma"/>
                  <w:szCs w:val="24"/>
                  <w:lang w:bidi="en-US"/>
                </w:rPr>
                <w:t xml:space="preserve">Projektus parengė Aplinkos ministerijos Taršos prevencijos politikos grupės (vadovas Vitalijus Auglys, el. p. vitalijus.auglys@am.lt) vyriausioji specialistė Rasa Griškevičienė (tel. +370 695 11585, el. p. </w:t>
              </w:r>
              <w:r>
                <w:rPr>
                  <w:rFonts w:eastAsia="Andale Sans UI"/>
                  <w:color w:val="000080"/>
                  <w:szCs w:val="24"/>
                  <w:u w:val="single"/>
                  <w:lang w:bidi="en-US"/>
                </w:rPr>
                <w:t>rasa.griskeviciene@am.lt</w:t>
              </w:r>
              <w:r>
                <w:rPr>
                  <w:rFonts w:eastAsia="Andale Sans UI" w:cs="Tahoma"/>
                  <w:szCs w:val="24"/>
                  <w:lang w:bidi="en-US"/>
                </w:rPr>
                <w:t xml:space="preserve">), vyriausias specialistas Mindaugas Raulinaitis (tel. +370 695 41925, el. p. </w:t>
              </w:r>
              <w:r>
                <w:rPr>
                  <w:rFonts w:eastAsia="Andale Sans UI"/>
                  <w:color w:val="000080"/>
                  <w:szCs w:val="24"/>
                  <w:u w:val="single"/>
                  <w:lang w:bidi="en-US"/>
                </w:rPr>
                <w:t>mindaugas.raulinaitise@am.lt</w:t>
              </w:r>
              <w:r>
                <w:rPr>
                  <w:rFonts w:eastAsia="Andale Sans UI" w:cs="Tahoma"/>
                  <w:szCs w:val="24"/>
                  <w:lang w:bidi="en-US"/>
                </w:rPr>
                <w:t xml:space="preserve">), Gamtos apsaugos politikos grupės (vadovas Algirdas Klimavičius, el. p. </w:t>
              </w:r>
              <w:r>
                <w:rPr>
                  <w:rFonts w:eastAsia="Andale Sans UI" w:cs="Tahoma"/>
                  <w:color w:val="000080"/>
                  <w:szCs w:val="24"/>
                  <w:u w:val="single"/>
                  <w:lang w:bidi="en-US"/>
                </w:rPr>
                <w:t>algirdas.klimavicius</w:t>
              </w:r>
              <w:r>
                <w:rPr>
                  <w:rFonts w:eastAsia="Andale Sans UI" w:cs="Tahoma"/>
                  <w:color w:val="000080"/>
                  <w:szCs w:val="24"/>
                  <w:u w:val="single"/>
                  <w:lang w:val="en-US" w:bidi="en-US"/>
                </w:rPr>
                <w:t>@am.lt</w:t>
              </w:r>
              <w:r>
                <w:rPr>
                  <w:rFonts w:eastAsia="Andale Sans UI" w:cs="Tahoma"/>
                  <w:szCs w:val="24"/>
                  <w:lang w:bidi="en-US"/>
                </w:rPr>
                <w:t xml:space="preserve">) vyriausias specialistas Eduardas Vaitkevičius (tel. +370 616 35652, el. p. </w:t>
              </w:r>
              <w:r>
                <w:rPr>
                  <w:rFonts w:eastAsia="Andale Sans UI" w:cs="Tahoma"/>
                  <w:color w:val="000080"/>
                  <w:szCs w:val="24"/>
                  <w:u w:val="single"/>
                  <w:lang w:bidi="en-US"/>
                </w:rPr>
                <w:t>eduardas.vaitkevicius@am.lt</w:t>
              </w:r>
              <w:r>
                <w:rPr>
                  <w:rFonts w:eastAsia="Andale Sans UI" w:cs="Tahoma"/>
                  <w:szCs w:val="24"/>
                  <w:lang w:bidi="en-US"/>
                </w:rPr>
                <w:t xml:space="preserve">). </w:t>
              </w:r>
            </w:p>
            <w:p>
              <w:pPr>
                <w:widowControl w:val="0"/>
                <w:suppressAutoHyphens/>
                <w:spacing w:line="276" w:lineRule="auto"/>
                <w:ind w:firstLine="567"/>
                <w:jc w:val="both"/>
                <w:rPr>
                  <w:rFonts w:eastAsia="Andale Sans UI" w:cs="Tahoma"/>
                  <w:szCs w:val="24"/>
                  <w:lang w:bidi="en-US"/>
                </w:rPr>
              </w:pPr>
              <w:r>
                <w:rPr>
                  <w:rFonts w:eastAsia="Andale Sans UI" w:cs="Tahoma"/>
                  <w:szCs w:val="24"/>
                  <w:lang w:bidi="en-US"/>
                </w:rPr>
                <w:t>PRIDEDAMA:</w:t>
              </w:r>
            </w:p>
          </w:sdtContent>
        </w:sdt>
        <w:sdt>
          <w:sdtPr>
            <w:alias w:val="1 p."/>
            <w:tag w:val="part_b86e2b6f32a74629bb5e5b2f1dcbd8f4"/>
            <w:lock w:val="sdtLocked"/>
            <w:richText/>
          </w:sdtPr>
          <w:sdtContent>
            <w:p>
              <w:pPr>
                <w:widowControl w:val="0"/>
                <w:suppressAutoHyphens/>
                <w:spacing w:line="276" w:lineRule="auto"/>
                <w:ind w:left="927" w:hanging="360"/>
                <w:jc w:val="both"/>
                <w:rPr>
                  <w:rFonts w:eastAsia="Andale Sans UI" w:cs="Tahoma"/>
                  <w:szCs w:val="24"/>
                  <w:lang w:bidi="en-US"/>
                </w:rPr>
              </w:pPr>
              <w:sdt>
                <w:sdtPr>
                  <w:alias w:val="Numeris"/>
                  <w:tag w:val="nr_b86e2b6f32a74629bb5e5b2f1dcbd8f4"/>
                  <w:lock w:val="sdtLocked"/>
                  <w:richText/>
                </w:sdtPr>
                <w:sdtContent>
                  <w:r>
                    <w:rPr>
                      <w:rFonts w:eastAsia="Andale Sans UI" w:cs="Tahoma"/>
                      <w:szCs w:val="24"/>
                      <w:lang w:bidi="en-US"/>
                    </w:rPr>
                    <w:t>1</w:t>
                  </w:r>
                </w:sdtContent>
              </w:sdt>
              <w:r>
                <w:rPr>
                  <w:rFonts w:eastAsia="Andale Sans UI" w:cs="Tahoma"/>
                  <w:szCs w:val="24"/>
                  <w:lang w:bidi="en-US"/>
                </w:rPr>
                <w:t>.</w:t>
                <w:tab/>
                <w:t>Projektas, 7 lapai.</w:t>
              </w:r>
            </w:p>
          </w:sdtContent>
        </w:sdt>
        <w:sdt>
          <w:sdtPr>
            <w:alias w:val="2 p."/>
            <w:tag w:val="part_bdd4563455c3422cb94c613f255359aa"/>
            <w:lock w:val="sdtLocked"/>
            <w:richText/>
          </w:sdtPr>
          <w:sdtContent>
            <w:p>
              <w:pPr>
                <w:widowControl w:val="0"/>
                <w:suppressAutoHyphens/>
                <w:spacing w:line="276" w:lineRule="auto"/>
                <w:ind w:left="927" w:hanging="360"/>
                <w:jc w:val="both"/>
                <w:rPr>
                  <w:rFonts w:eastAsia="Andale Sans UI" w:cs="Tahoma"/>
                  <w:szCs w:val="24"/>
                  <w:lang w:bidi="en-US"/>
                </w:rPr>
              </w:pPr>
              <w:sdt>
                <w:sdtPr>
                  <w:alias w:val="Numeris"/>
                  <w:tag w:val="nr_bdd4563455c3422cb94c613f255359aa"/>
                  <w:lock w:val="sdtLocked"/>
                  <w:richText/>
                </w:sdtPr>
                <w:sdtContent>
                  <w:r>
                    <w:rPr>
                      <w:rFonts w:eastAsia="Andale Sans UI" w:cs="Tahoma"/>
                      <w:szCs w:val="24"/>
                      <w:lang w:bidi="en-US"/>
                    </w:rPr>
                    <w:t>2</w:t>
                  </w:r>
                </w:sdtContent>
              </w:sdt>
              <w:r>
                <w:rPr>
                  <w:rFonts w:eastAsia="Andale Sans UI" w:cs="Tahoma"/>
                  <w:szCs w:val="24"/>
                  <w:lang w:bidi="en-US"/>
                </w:rPr>
                <w:t>.</w:t>
                <w:tab/>
                <w:t>Projekto lyginamasis variantas, 10 lapų.</w:t>
              </w:r>
            </w:p>
          </w:sdtContent>
        </w:sdt>
        <w:sdt>
          <w:sdtPr>
            <w:alias w:val="3 p."/>
            <w:tag w:val="part_0bf07ff9bb76435a81e3da577708991a"/>
            <w:lock w:val="sdtLocked"/>
            <w:richText/>
          </w:sdtPr>
          <w:sdtContent>
            <w:p>
              <w:pPr>
                <w:widowControl w:val="0"/>
                <w:suppressAutoHyphens/>
                <w:spacing w:line="276" w:lineRule="auto"/>
                <w:ind w:left="927" w:hanging="360"/>
                <w:jc w:val="both"/>
                <w:rPr>
                  <w:rFonts w:eastAsia="Andale Sans UI" w:cs="Tahoma"/>
                  <w:szCs w:val="24"/>
                  <w:lang w:bidi="en-US"/>
                </w:rPr>
              </w:pPr>
              <w:sdt>
                <w:sdtPr>
                  <w:alias w:val="Numeris"/>
                  <w:tag w:val="nr_0bf07ff9bb76435a81e3da577708991a"/>
                  <w:lock w:val="sdtLocked"/>
                  <w:richText/>
                </w:sdtPr>
                <w:sdtContent>
                  <w:r>
                    <w:rPr>
                      <w:rFonts w:eastAsia="Andale Sans UI" w:cs="Tahoma"/>
                      <w:szCs w:val="24"/>
                      <w:lang w:bidi="en-US"/>
                    </w:rPr>
                    <w:t>3</w:t>
                  </w:r>
                </w:sdtContent>
              </w:sdt>
              <w:r>
                <w:rPr>
                  <w:rFonts w:eastAsia="Andale Sans UI" w:cs="Tahoma"/>
                  <w:szCs w:val="24"/>
                  <w:lang w:bidi="en-US"/>
                </w:rPr>
                <w:t>.</w:t>
                <w:tab/>
                <w:t>Projekto 1 priedo priedėlis, 19 lapų.</w:t>
              </w:r>
            </w:p>
          </w:sdtContent>
        </w:sdt>
        <w:sdt>
          <w:sdtPr>
            <w:alias w:val="4 p."/>
            <w:tag w:val="part_b544de830b4a48bea7ed438ece1f039d"/>
            <w:lock w:val="sdtLocked"/>
            <w:richText/>
          </w:sdtPr>
          <w:sdtContent>
            <w:p>
              <w:pPr>
                <w:widowControl w:val="0"/>
                <w:suppressAutoHyphens/>
                <w:spacing w:line="276" w:lineRule="auto"/>
                <w:ind w:left="927" w:hanging="360"/>
                <w:jc w:val="both"/>
                <w:rPr>
                  <w:rFonts w:eastAsia="Andale Sans UI" w:cs="Tahoma"/>
                  <w:szCs w:val="24"/>
                  <w:lang w:bidi="en-US"/>
                </w:rPr>
              </w:pPr>
              <w:sdt>
                <w:sdtPr>
                  <w:alias w:val="Numeris"/>
                  <w:tag w:val="nr_b544de830b4a48bea7ed438ece1f039d"/>
                  <w:lock w:val="sdtLocked"/>
                  <w:richText/>
                </w:sdtPr>
                <w:sdtContent>
                  <w:r>
                    <w:rPr>
                      <w:rFonts w:eastAsia="Andale Sans UI" w:cs="Tahoma"/>
                      <w:szCs w:val="24"/>
                      <w:lang w:bidi="en-US"/>
                    </w:rPr>
                    <w:t>4</w:t>
                  </w:r>
                </w:sdtContent>
              </w:sdt>
              <w:r>
                <w:rPr>
                  <w:rFonts w:eastAsia="Andale Sans UI" w:cs="Tahoma"/>
                  <w:szCs w:val="24"/>
                  <w:lang w:bidi="en-US"/>
                </w:rPr>
                <w:t>.</w:t>
                <w:tab/>
                <w:t>Numatomo teisinio reguliavimo poveikio vertinimo pažyma, 2 lapai.</w:t>
              </w:r>
            </w:p>
          </w:sdtContent>
        </w:sdt>
        <w:sdt>
          <w:sdtPr>
            <w:alias w:val="5 p."/>
            <w:tag w:val="part_46c8f41a39a04bc98e641af945a2cca0"/>
            <w:lock w:val="sdtLocked"/>
            <w:richText/>
          </w:sdtPr>
          <w:sdtContent>
            <w:p>
              <w:pPr>
                <w:widowControl w:val="0"/>
                <w:suppressAutoHyphens/>
                <w:spacing w:line="276" w:lineRule="auto"/>
                <w:ind w:left="927" w:hanging="360"/>
                <w:jc w:val="both"/>
                <w:rPr>
                  <w:rFonts w:eastAsia="Andale Sans UI" w:cs="Tahoma"/>
                  <w:szCs w:val="24"/>
                  <w:lang w:bidi="en-US"/>
                </w:rPr>
              </w:pPr>
              <w:sdt>
                <w:sdtPr>
                  <w:alias w:val="Numeris"/>
                  <w:tag w:val="nr_46c8f41a39a04bc98e641af945a2cca0"/>
                  <w:lock w:val="sdtLocked"/>
                  <w:richText/>
                </w:sdtPr>
                <w:sdtContent>
                  <w:r>
                    <w:rPr>
                      <w:rFonts w:eastAsia="Andale Sans UI" w:cs="Tahoma"/>
                      <w:szCs w:val="24"/>
                      <w:lang w:bidi="en-US"/>
                    </w:rPr>
                    <w:t>5</w:t>
                  </w:r>
                </w:sdtContent>
              </w:sdt>
              <w:r>
                <w:rPr>
                  <w:rFonts w:eastAsia="Andale Sans UI" w:cs="Tahoma"/>
                  <w:szCs w:val="24"/>
                  <w:lang w:bidi="en-US"/>
                </w:rPr>
                <w:t>.</w:t>
                <w:tab/>
                <w:t>Atitikties lentelė, 25 lapai.</w:t>
              </w:r>
            </w:p>
          </w:sdtContent>
        </w:sdt>
        <w:sdt>
          <w:sdtPr>
            <w:alias w:val="6 p."/>
            <w:tag w:val="part_2251a18a96464502b0e00fa8233c6e59"/>
            <w:lock w:val="sdtLocked"/>
            <w:richText/>
          </w:sdtPr>
          <w:sdtContent>
            <w:p>
              <w:pPr>
                <w:widowControl w:val="0"/>
                <w:suppressAutoHyphens/>
                <w:spacing w:line="276" w:lineRule="auto"/>
                <w:ind w:left="927" w:hanging="360"/>
                <w:jc w:val="both"/>
                <w:rPr>
                  <w:rFonts w:eastAsia="Andale Sans UI" w:cs="Tahoma"/>
                  <w:szCs w:val="24"/>
                  <w:lang w:bidi="en-US"/>
                </w:rPr>
              </w:pPr>
              <w:sdt>
                <w:sdtPr>
                  <w:alias w:val="Numeris"/>
                  <w:tag w:val="nr_2251a18a96464502b0e00fa8233c6e59"/>
                  <w:lock w:val="sdtLocked"/>
                  <w:richText/>
                </w:sdtPr>
                <w:sdtContent>
                  <w:r>
                    <w:rPr>
                      <w:rFonts w:eastAsia="Andale Sans UI" w:cs="Tahoma"/>
                      <w:szCs w:val="24"/>
                      <w:lang w:bidi="en-US"/>
                    </w:rPr>
                    <w:t>6</w:t>
                  </w:r>
                </w:sdtContent>
              </w:sdt>
              <w:r>
                <w:rPr>
                  <w:rFonts w:eastAsia="Andale Sans UI" w:cs="Tahoma"/>
                  <w:szCs w:val="24"/>
                  <w:lang w:bidi="en-US"/>
                </w:rPr>
                <w:t>.</w:t>
                <w:tab/>
                <w:t>Derinimo pažyma, 10 lapų.</w:t>
              </w:r>
            </w:p>
            <w:p>
              <w:pPr>
                <w:widowControl w:val="0"/>
                <w:suppressAutoHyphens/>
                <w:spacing w:line="276" w:lineRule="auto"/>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jc w:val="both"/>
                <w:rPr>
                  <w:rFonts w:eastAsia="Andale Sans UI"/>
                  <w:szCs w:val="24"/>
                  <w:lang w:bidi="en-US"/>
                </w:rPr>
              </w:pPr>
              <w:r>
                <w:rPr>
                  <w:rFonts w:eastAsia="Andale Sans UI"/>
                  <w:szCs w:val="24"/>
                  <w:lang w:bidi="en-US"/>
                </w:rPr>
                <w:t xml:space="preserve">Aplinkos viceministrė                                                                                        Raminta Radavičienė </w:t>
              </w:r>
            </w:p>
            <w:p>
              <w:pPr>
                <w:widowControl w:val="0"/>
                <w:suppressAutoHyphens/>
                <w:ind w:firstLine="567"/>
                <w:jc w:val="both"/>
                <w:rPr>
                  <w:rFonts w:eastAsia="Andale Sans UI" w:cs="Tahoma"/>
                  <w:szCs w:val="24"/>
                  <w:lang w:bidi="en-US"/>
                </w:rPr>
              </w:pPr>
            </w:p>
            <w:p>
              <w:pPr>
                <w:widowControl w:val="0"/>
                <w:suppressAutoHyphens/>
                <w:jc w:val="both"/>
                <w:rPr>
                  <w:rFonts w:eastAsia="Andale Sans UI" w:cs="Tahoma"/>
                  <w:szCs w:val="24"/>
                  <w:lang w:bidi="en-US"/>
                </w:rPr>
              </w:pPr>
            </w:p>
            <w:p>
              <w:pPr>
                <w:widowControl w:val="0"/>
                <w:suppressAutoHyphens/>
                <w:jc w:val="both"/>
                <w:rPr>
                  <w:rFonts w:eastAsia="Andale Sans UI" w:cs="Tahoma"/>
                  <w:szCs w:val="24"/>
                  <w:lang w:bidi="en-US"/>
                </w:rPr>
              </w:pPr>
            </w:p>
            <w:p>
              <w:pPr>
                <w:widowControl w:val="0"/>
                <w:suppressAutoHyphens/>
                <w:jc w:val="both"/>
                <w:rPr>
                  <w:rFonts w:eastAsia="Andale Sans UI" w:cs="Tahoma"/>
                  <w:szCs w:val="24"/>
                  <w:lang w:bidi="en-US"/>
                </w:rPr>
              </w:pPr>
            </w:p>
            <w:p>
              <w:pPr>
                <w:widowControl w:val="0"/>
                <w:suppressAutoHyphens/>
                <w:jc w:val="both"/>
                <w:rPr>
                  <w:rFonts w:eastAsia="Andale Sans UI" w:cs="Tahoma"/>
                  <w:szCs w:val="24"/>
                  <w:lang w:bidi="en-US"/>
                </w:rPr>
              </w:pPr>
            </w:p>
            <w:p>
              <w:pPr>
                <w:widowControl w:val="0"/>
                <w:suppressAutoHyphens/>
                <w:jc w:val="both"/>
                <w:rPr>
                  <w:rFonts w:eastAsia="Andale Sans UI" w:cs="Tahoma"/>
                  <w:szCs w:val="24"/>
                  <w:lang w:bidi="en-US"/>
                </w:rPr>
              </w:pPr>
            </w:p>
            <w:p>
              <w:pPr>
                <w:widowControl w:val="0"/>
                <w:suppressAutoHyphens/>
                <w:jc w:val="both"/>
                <w:rPr>
                  <w:rFonts w:eastAsia="Andale Sans UI" w:cs="Tahoma"/>
                  <w:szCs w:val="24"/>
                  <w:lang w:bidi="en-US"/>
                </w:rPr>
              </w:pPr>
            </w:p>
            <w:p>
              <w:pPr>
                <w:widowControl w:val="0"/>
                <w:suppressAutoHyphens/>
                <w:jc w:val="both"/>
                <w:rPr>
                  <w:rFonts w:eastAsia="Andale Sans UI" w:cs="Tahoma"/>
                  <w:szCs w:val="24"/>
                  <w:lang w:bidi="en-US"/>
                </w:rPr>
              </w:pPr>
            </w:p>
            <w:p>
              <w:pPr>
                <w:widowControl w:val="0"/>
                <w:suppressAutoHyphens/>
                <w:jc w:val="both"/>
                <w:rPr>
                  <w:rFonts w:eastAsia="Andale Sans UI" w:cs="Tahoma"/>
                  <w:szCs w:val="24"/>
                  <w:lang w:bidi="en-US"/>
                </w:rPr>
              </w:pPr>
            </w:p>
            <w:p>
              <w:pPr>
                <w:widowControl w:val="0"/>
                <w:suppressAutoHyphens/>
                <w:jc w:val="both"/>
                <w:rPr>
                  <w:rFonts w:eastAsia="Andale Sans UI" w:cs="Tahoma"/>
                  <w:szCs w:val="24"/>
                  <w:lang w:bidi="en-US"/>
                </w:rPr>
              </w:pPr>
            </w:p>
            <w:p>
              <w:pPr>
                <w:widowControl w:val="0"/>
                <w:suppressAutoHyphens/>
                <w:jc w:val="both"/>
                <w:rPr>
                  <w:rFonts w:eastAsia="Andale Sans UI" w:cs="Tahoma"/>
                  <w:szCs w:val="24"/>
                  <w:lang w:bidi="en-US"/>
                </w:rPr>
              </w:pPr>
            </w:p>
            <w:p>
              <w:pPr>
                <w:widowControl w:val="0"/>
                <w:suppressAutoHyphens/>
                <w:jc w:val="both"/>
                <w:rPr>
                  <w:rFonts w:eastAsia="Andale Sans UI" w:cs="Tahoma"/>
                  <w:szCs w:val="24"/>
                  <w:lang w:bidi="en-US"/>
                </w:rPr>
              </w:pPr>
            </w:p>
            <w:p>
              <w:pPr>
                <w:widowControl w:val="0"/>
                <w:suppressAutoHyphens/>
                <w:jc w:val="both"/>
                <w:rPr>
                  <w:rFonts w:eastAsia="Andale Sans UI" w:cs="Tahoma"/>
                  <w:szCs w:val="24"/>
                  <w:lang w:bidi="en-US"/>
                </w:rPr>
              </w:pPr>
            </w:p>
            <w:p>
              <w:pPr>
                <w:widowControl w:val="0"/>
                <w:suppressAutoHyphens/>
                <w:jc w:val="both"/>
                <w:rPr>
                  <w:rFonts w:eastAsia="Andale Sans UI" w:cs="Tahoma"/>
                  <w:szCs w:val="24"/>
                  <w:lang w:bidi="en-US"/>
                </w:rPr>
              </w:pPr>
            </w:p>
            <w:p>
              <w:pPr>
                <w:widowControl w:val="0"/>
                <w:suppressAutoHyphens/>
                <w:jc w:val="both"/>
                <w:rPr>
                  <w:rFonts w:eastAsia="Andale Sans UI" w:cs="Tahoma"/>
                  <w:szCs w:val="24"/>
                  <w:lang w:bidi="en-US"/>
                </w:rPr>
              </w:pPr>
            </w:p>
            <w:p>
              <w:pPr>
                <w:widowControl w:val="0"/>
                <w:suppressAutoHyphens/>
                <w:jc w:val="both"/>
                <w:rPr>
                  <w:rFonts w:eastAsia="Andale Sans UI" w:cs="Tahoma"/>
                  <w:szCs w:val="24"/>
                  <w:lang w:bidi="en-US"/>
                </w:rPr>
              </w:pPr>
            </w:p>
            <w:p>
              <w:pPr>
                <w:widowControl w:val="0"/>
                <w:suppressAutoHyphens/>
                <w:jc w:val="both"/>
                <w:rPr>
                  <w:rFonts w:eastAsia="Andale Sans UI" w:cs="Tahoma"/>
                  <w:szCs w:val="24"/>
                  <w:lang w:bidi="en-US"/>
                </w:rPr>
              </w:pPr>
            </w:p>
            <w:p>
              <w:pPr>
                <w:widowControl w:val="0"/>
                <w:suppressAutoHyphens/>
                <w:jc w:val="both"/>
                <w:rPr>
                  <w:rFonts w:eastAsia="Andale Sans UI" w:cs="Tahoma"/>
                  <w:szCs w:val="24"/>
                  <w:lang w:bidi="en-US"/>
                </w:rPr>
              </w:pPr>
            </w:p>
            <w:p>
              <w:pPr>
                <w:widowControl w:val="0"/>
                <w:suppressAutoHyphens/>
                <w:jc w:val="both"/>
                <w:rPr>
                  <w:rFonts w:eastAsia="Andale Sans UI" w:cs="Tahoma"/>
                  <w:szCs w:val="24"/>
                  <w:lang w:bidi="en-US"/>
                </w:rPr>
              </w:pPr>
            </w:p>
            <w:p>
              <w:pPr>
                <w:widowControl w:val="0"/>
                <w:suppressAutoHyphens/>
                <w:jc w:val="both"/>
                <w:rPr>
                  <w:rFonts w:eastAsia="Andale Sans UI" w:cs="Tahoma"/>
                  <w:szCs w:val="24"/>
                  <w:lang w:bidi="en-US"/>
                </w:rPr>
              </w:pPr>
            </w:p>
            <w:p>
              <w:pPr>
                <w:widowControl w:val="0"/>
                <w:suppressAutoHyphens/>
                <w:jc w:val="both"/>
                <w:rPr>
                  <w:rFonts w:eastAsia="Andale Sans UI" w:cs="Tahoma"/>
                  <w:szCs w:val="24"/>
                  <w:lang w:bidi="en-US"/>
                </w:rPr>
              </w:pPr>
            </w:p>
            <w:p>
              <w:pPr>
                <w:widowControl w:val="0"/>
                <w:suppressAutoHyphens/>
                <w:jc w:val="both"/>
                <w:rPr>
                  <w:rFonts w:eastAsia="Andale Sans UI" w:cs="Tahoma"/>
                  <w:szCs w:val="24"/>
                  <w:lang w:bidi="en-US"/>
                </w:rPr>
              </w:pPr>
            </w:p>
            <w:p>
              <w:pPr>
                <w:widowControl w:val="0"/>
                <w:suppressAutoHyphens/>
                <w:jc w:val="both"/>
                <w:rPr>
                  <w:rFonts w:eastAsia="Andale Sans UI" w:cs="Tahoma"/>
                  <w:szCs w:val="24"/>
                  <w:lang w:bidi="en-US"/>
                </w:rPr>
              </w:pPr>
            </w:p>
            <w:p>
              <w:pPr>
                <w:widowControl w:val="0"/>
                <w:suppressAutoHyphens/>
                <w:jc w:val="both"/>
                <w:rPr>
                  <w:rFonts w:eastAsia="Andale Sans UI" w:cs="Tahoma"/>
                  <w:szCs w:val="24"/>
                  <w:lang w:bidi="en-US"/>
                </w:rPr>
              </w:pPr>
            </w:p>
            <w:p>
              <w:pPr>
                <w:widowControl w:val="0"/>
                <w:suppressAutoHyphens/>
                <w:jc w:val="both"/>
                <w:rPr>
                  <w:rFonts w:eastAsia="Andale Sans UI" w:cs="Tahoma"/>
                  <w:szCs w:val="24"/>
                  <w:lang w:bidi="en-US"/>
                </w:rPr>
              </w:pPr>
            </w:p>
            <w:p>
              <w:pPr>
                <w:widowControl w:val="0"/>
                <w:suppressAutoHyphens/>
                <w:jc w:val="both"/>
                <w:rPr>
                  <w:rFonts w:eastAsia="Andale Sans UI" w:cs="Tahoma"/>
                  <w:szCs w:val="24"/>
                  <w:lang w:bidi="en-US"/>
                </w:rPr>
              </w:pPr>
            </w:p>
            <w:p>
              <w:pPr>
                <w:widowControl w:val="0"/>
                <w:suppressAutoHyphens/>
                <w:jc w:val="both"/>
                <w:rPr>
                  <w:rFonts w:eastAsia="Andale Sans UI" w:cs="Tahoma"/>
                  <w:szCs w:val="24"/>
                  <w:lang w:bidi="en-US"/>
                </w:rPr>
              </w:pPr>
            </w:p>
            <w:p>
              <w:pPr>
                <w:widowControl w:val="0"/>
                <w:suppressAutoHyphens/>
                <w:jc w:val="both"/>
                <w:rPr>
                  <w:rFonts w:eastAsia="Andale Sans UI" w:cs="Tahoma"/>
                  <w:szCs w:val="24"/>
                  <w:lang w:bidi="en-US"/>
                </w:rPr>
              </w:pPr>
            </w:p>
            <w:p>
              <w:pPr>
                <w:widowControl w:val="0"/>
                <w:suppressAutoHyphens/>
                <w:jc w:val="both"/>
                <w:rPr>
                  <w:rFonts w:eastAsia="Andale Sans UI" w:cs="Tahoma"/>
                  <w:szCs w:val="24"/>
                  <w:lang w:bidi="en-US"/>
                </w:rPr>
              </w:pPr>
            </w:p>
            <w:p>
              <w:pPr>
                <w:widowControl w:val="0"/>
                <w:suppressAutoHyphens/>
                <w:jc w:val="both"/>
                <w:rPr>
                  <w:rFonts w:eastAsia="Andale Sans UI" w:cs="Tahoma"/>
                  <w:szCs w:val="24"/>
                  <w:lang w:bidi="en-US"/>
                </w:rPr>
              </w:pPr>
            </w:p>
            <w:p>
              <w:pPr>
                <w:widowControl w:val="0"/>
                <w:suppressAutoHyphens/>
                <w:jc w:val="both"/>
                <w:rPr>
                  <w:rFonts w:eastAsia="Andale Sans UI" w:cs="Tahoma"/>
                  <w:szCs w:val="24"/>
                  <w:lang w:bidi="en-US"/>
                </w:rPr>
              </w:pPr>
            </w:p>
            <w:p>
              <w:pPr>
                <w:widowControl w:val="0"/>
                <w:suppressLineNumbers/>
                <w:suppressAutoHyphens/>
                <w:rPr>
                  <w:rFonts w:eastAsia="Andale Sans UI"/>
                  <w:color w:val="000080"/>
                  <w:szCs w:val="24"/>
                  <w:u w:val="single"/>
                  <w:lang w:bidi="en-US"/>
                </w:rPr>
              </w:pPr>
              <w:r>
                <w:rPr>
                  <w:rFonts w:eastAsia="Andale Sans UI"/>
                  <w:szCs w:val="24"/>
                  <w:lang w:bidi="en-US"/>
                </w:rPr>
                <w:t>R. Griškevičienė, tel.</w:t>
              </w:r>
              <w:r>
                <w:rPr>
                  <w:rFonts w:eastAsia="Andale Sans UI" w:cs="Tahoma"/>
                  <w:szCs w:val="24"/>
                  <w:lang w:bidi="en-US"/>
                </w:rPr>
                <w:t xml:space="preserve"> +370 695 11585, el. p. </w:t>
              </w:r>
              <w:r>
                <w:rPr>
                  <w:rFonts w:eastAsia="Andale Sans UI"/>
                  <w:color w:val="000080"/>
                  <w:szCs w:val="24"/>
                  <w:u w:val="single"/>
                  <w:lang w:bidi="en-US"/>
                </w:rPr>
                <w:t>rasa.griskeviciene@am.lt</w:t>
              </w:r>
            </w:p>
            <w:p>
              <w:pPr>
                <w:widowControl w:val="0"/>
                <w:suppressLineNumbers/>
                <w:suppressAutoHyphens/>
                <w:rPr>
                  <w:rFonts w:eastAsia="Andale Sans UI"/>
                  <w:color w:val="000080"/>
                  <w:szCs w:val="24"/>
                  <w:u w:val="single"/>
                  <w:lang w:bidi="en-US"/>
                </w:rPr>
              </w:pPr>
              <w:r>
                <w:rPr>
                  <w:rFonts w:eastAsia="Andale Sans UI" w:cs="Tahoma"/>
                  <w:szCs w:val="24"/>
                  <w:lang w:bidi="en-US"/>
                </w:rPr>
                <w:t>E. Vaitkevičius</w:t>
              </w:r>
              <w:r>
                <w:rPr>
                  <w:rFonts w:eastAsia="Andale Sans UI"/>
                  <w:szCs w:val="24"/>
                  <w:lang w:bidi="en-US"/>
                </w:rPr>
                <w:t>, tel.</w:t>
              </w:r>
              <w:r>
                <w:rPr>
                  <w:rFonts w:eastAsia="Andale Sans UI" w:cs="Tahoma"/>
                  <w:szCs w:val="24"/>
                  <w:lang w:bidi="en-US"/>
                </w:rPr>
                <w:t xml:space="preserve"> +370 616 35652, el. p. </w:t>
              </w:r>
              <w:r>
                <w:rPr>
                  <w:rFonts w:eastAsia="Andale Sans UI" w:cs="Tahoma"/>
                  <w:color w:val="000080"/>
                  <w:szCs w:val="24"/>
                  <w:u w:val="single"/>
                  <w:lang w:bidi="en-US"/>
                </w:rPr>
                <w:t>eduardas.vaitkevicius@am.lt</w:t>
              </w:r>
              <w:r>
                <w:rPr>
                  <w:rFonts w:eastAsia="Andale Sans UI" w:cs="Tahoma"/>
                  <w:color w:val="000080"/>
                  <w:szCs w:val="24"/>
                  <w:u w:val="single"/>
                  <w:lang w:bidi="en-US"/>
                </w:rPr>
                <w:t xml:space="preserve"> </w:t>
              </w:r>
            </w:p>
            <w:p>
              <w:pPr>
                <w:widowControl w:val="0"/>
                <w:suppressLineNumbers/>
                <w:suppressAutoHyphens/>
                <w:rPr>
                  <w:rFonts w:eastAsia="Andale Sans UI"/>
                  <w:color w:val="000080"/>
                  <w:szCs w:val="24"/>
                  <w:u w:val="single"/>
                  <w:lang w:bidi="en-US"/>
                </w:rPr>
              </w:pPr>
            </w:p>
            <w:p>
              <w:pPr>
                <w:widowControl w:val="0"/>
                <w:suppressLineNumbers/>
                <w:suppressAutoHyphens/>
                <w:rPr>
                  <w:rFonts w:eastAsia="Andale Sans UI"/>
                  <w:color w:val="000080"/>
                  <w:szCs w:val="24"/>
                  <w:u w:val="single"/>
                  <w:lang w:bidi="en-US"/>
                </w:rPr>
              </w:pPr>
            </w:p>
            <w:p>
              <w:pPr>
                <w:rPr>
                  <w:rFonts w:eastAsia="Andale Sans UI" w:cs="Tahoma"/>
                  <w:szCs w:val="24"/>
                  <w:lang w:bidi="en-US"/>
                </w:rPr>
              </w:pPr>
            </w:p>
            <w:p>
              <w:pPr>
                <w:rPr>
                  <w:rFonts w:eastAsia="Andale Sans UI" w:cs="Tahoma"/>
                  <w:szCs w:val="24"/>
                  <w:lang w:bidi="en-US"/>
                </w:rPr>
              </w:pPr>
            </w:p>
            <w:p>
              <w:pPr>
                <w:rPr>
                  <w:rFonts w:eastAsia="Andale Sans UI" w:cs="Tahoma"/>
                  <w:szCs w:val="24"/>
                  <w:lang w:bidi="en-US"/>
                </w:rPr>
              </w:pPr>
            </w:p>
            <w:p>
              <w:pPr>
                <w:widowControl w:val="0"/>
                <w:suppressLineNumbers/>
                <w:suppressAutoHyphens/>
                <w:rPr>
                  <w:rFonts w:eastAsia="Andale Sans UI" w:cs="Tahoma"/>
                  <w:szCs w:val="24"/>
                  <w:lang w:bidi="en-US"/>
                </w:rPr>
              </w:pPr>
              <w:r>
                <w:rPr>
                  <w:rFonts w:eastAsia="Andale Sans UI" w:cs="Tahoma"/>
                  <w:szCs w:val="24"/>
                  <w:lang w:bidi="en-US"/>
                </w:rPr>
                <w:t>Adresatų sąrašas:</w:t>
              </w:r>
            </w:p>
            <w:p>
              <w:pPr>
                <w:widowControl w:val="0"/>
                <w:suppressLineNumbers/>
                <w:suppressAutoHyphens/>
                <w:rPr>
                  <w:rFonts w:eastAsia="Andale Sans UI" w:cs="Tahoma"/>
                  <w:szCs w:val="24"/>
                  <w:lang w:bidi="en-US"/>
                </w:rPr>
              </w:pPr>
            </w:p>
            <w:p>
              <w:pPr>
                <w:widowControl w:val="0"/>
                <w:suppressLineNumbers/>
                <w:suppressAutoHyphens/>
                <w:rPr>
                  <w:rFonts w:eastAsia="Andale Sans UI" w:cs="Tahoma"/>
                  <w:szCs w:val="24"/>
                  <w:lang w:bidi="en-US"/>
                </w:rPr>
              </w:pPr>
              <w:r>
                <w:rPr>
                  <w:rFonts w:eastAsia="Andale Sans UI" w:cs="Tahoma"/>
                  <w:szCs w:val="24"/>
                  <w:lang w:bidi="en-US"/>
                </w:rPr>
                <w:t xml:space="preserve">Energetikos ministerijai </w:t>
              </w:r>
            </w:p>
            <w:p>
              <w:pPr>
                <w:widowControl w:val="0"/>
                <w:suppressLineNumbers/>
                <w:suppressAutoHyphens/>
                <w:rPr>
                  <w:rFonts w:eastAsia="Andale Sans UI" w:cs="Tahoma"/>
                  <w:szCs w:val="24"/>
                  <w:lang w:bidi="en-US"/>
                </w:rPr>
              </w:pPr>
              <w:r>
                <w:rPr>
                  <w:rFonts w:eastAsia="Andale Sans UI" w:cs="Tahoma"/>
                  <w:szCs w:val="24"/>
                  <w:lang w:bidi="en-US"/>
                </w:rPr>
                <w:t>Teisingumo ministerijai</w:t>
              </w:r>
            </w:p>
            <w:p>
              <w:pPr>
                <w:widowControl w:val="0"/>
                <w:suppressLineNumbers/>
                <w:suppressAutoHyphens/>
                <w:rPr>
                  <w:rFonts w:eastAsia="Andale Sans UI" w:cs="Tahoma"/>
                  <w:szCs w:val="24"/>
                  <w:lang w:bidi="en-US"/>
                </w:rPr>
              </w:pPr>
              <w:r>
                <w:rPr>
                  <w:rFonts w:eastAsia="Andale Sans UI" w:cs="Tahoma"/>
                  <w:szCs w:val="24"/>
                  <w:lang w:bidi="en-US"/>
                </w:rPr>
                <w:t>Sveikatos apsaugos ministerijai</w:t>
              </w:r>
            </w:p>
            <w:p>
              <w:pPr>
                <w:widowControl w:val="0"/>
                <w:suppressLineNumbers/>
                <w:suppressAutoHyphens/>
                <w:rPr>
                  <w:rFonts w:eastAsia="Andale Sans UI" w:cs="Tahoma"/>
                  <w:szCs w:val="24"/>
                  <w:lang w:bidi="en-US"/>
                </w:rPr>
              </w:pPr>
              <w:r>
                <w:rPr>
                  <w:rFonts w:eastAsia="Andale Sans UI" w:cs="Tahoma"/>
                  <w:szCs w:val="24"/>
                  <w:lang w:bidi="en-US"/>
                </w:rPr>
                <w:t>Aplinkos apsaugos agentūrai</w:t>
              </w:r>
            </w:p>
            <w:p>
              <w:pPr>
                <w:widowControl w:val="0"/>
                <w:suppressLineNumbers/>
                <w:suppressAutoHyphens/>
                <w:rPr>
                  <w:rFonts w:eastAsia="Andale Sans UI" w:cs="Tahoma"/>
                  <w:szCs w:val="24"/>
                  <w:lang w:bidi="en-US"/>
                </w:rPr>
              </w:pPr>
              <w:r>
                <w:rPr>
                  <w:rFonts w:eastAsia="Andale Sans UI" w:cs="Tahoma"/>
                  <w:szCs w:val="24"/>
                  <w:lang w:bidi="en-US"/>
                </w:rPr>
                <w:t>Valstybinei saugomų teritorijų tarnybai prie Aplinkos ministerijos</w:t>
              </w:r>
            </w:p>
            <w:p>
              <w:pPr>
                <w:widowControl w:val="0"/>
                <w:suppressLineNumbers/>
                <w:suppressAutoHyphens/>
                <w:rPr>
                  <w:rFonts w:eastAsia="Andale Sans UI" w:cs="Tahoma"/>
                  <w:szCs w:val="24"/>
                  <w:lang w:bidi="en-US"/>
                </w:rPr>
              </w:pPr>
              <w:r>
                <w:rPr>
                  <w:rFonts w:eastAsia="Andale Sans UI" w:cs="Tahoma"/>
                  <w:szCs w:val="24"/>
                  <w:lang w:bidi="en-US"/>
                </w:rPr>
                <w:t>Priešgaisrinės apsaugos ir gelbėjimo departamentui prie Vidaus reikalų ministerijos</w:t>
              </w:r>
            </w:p>
          </w:sdtContent>
        </w:sdt>
        <w:sdt>
          <w:sdtPr>
            <w:alias w:val="signatura"/>
            <w:tag w:val="part_cbd834ef7ad14b7cb56d61404755afe8"/>
            <w:lock w:val="sdtLocked"/>
            <w:richText/>
          </w:sdtPr>
          <w:sdtContent>
            <w:p>
              <w:pPr>
                <w:widowControl w:val="0"/>
                <w:suppressLineNumbers/>
                <w:suppressAutoHyphens/>
                <w:rPr>
                  <w:rFonts w:eastAsia="Andale Sans UI" w:cs="Tahoma"/>
                  <w:szCs w:val="24"/>
                  <w:lang w:bidi="en-US"/>
                </w:rPr>
              </w:pPr>
              <w:r>
                <w:rPr>
                  <w:rFonts w:eastAsia="Andale Sans UI" w:cs="Tahoma"/>
                  <w:szCs w:val="24"/>
                  <w:lang w:bidi="en-US"/>
                </w:rPr>
                <w:t>Nacionaliniam visuomenės sveikatos centrui</w:t>
              </w:r>
            </w:p>
            <w:p>
              <w:pPr>
                <w:widowControl w:val="0"/>
                <w:suppressLineNumbers/>
                <w:suppressAutoHyphens/>
                <w:rPr>
                  <w:rFonts w:eastAsia="Andale Sans UI" w:cs="Tahoma"/>
                  <w:szCs w:val="24"/>
                  <w:lang w:bidi="en-US"/>
                </w:rPr>
              </w:pPr>
              <w:r>
                <w:rPr>
                  <w:rFonts w:eastAsia="Andale Sans UI" w:cs="Tahoma"/>
                  <w:szCs w:val="24"/>
                  <w:lang w:eastAsia="lt-LT" w:bidi="en-US"/>
                </w:rPr>
                <w:t>Kultūros paveldo departamentui prie Kultūros ministerijos</w:t>
              </w:r>
            </w:p>
            <w:p>
              <w:pPr>
                <w:widowControl w:val="0"/>
                <w:suppressLineNumbers/>
                <w:suppressAutoHyphens/>
                <w:rPr>
                  <w:rFonts w:eastAsia="Andale Sans UI" w:cs="Tahoma"/>
                  <w:szCs w:val="24"/>
                  <w:lang w:bidi="en-US"/>
                </w:rPr>
              </w:pPr>
              <w:r>
                <w:rPr>
                  <w:rFonts w:eastAsia="Andale Sans UI" w:cs="Tahoma"/>
                  <w:bCs/>
                  <w:color w:val="000000"/>
                  <w:szCs w:val="24"/>
                  <w:lang w:bidi="en-US"/>
                </w:rPr>
                <w:t>Nacionalinei visuomenės sveikatos priežiūros laboratorijai</w:t>
              </w:r>
            </w:p>
            <w:p>
              <w:pPr>
                <w:widowControl w:val="0"/>
                <w:suppressLineNumbers/>
                <w:suppressAutoHyphens/>
                <w:rPr>
                  <w:rFonts w:eastAsia="Andale Sans UI" w:cs="Tahoma"/>
                  <w:szCs w:val="24"/>
                  <w:lang w:bidi="en-US"/>
                </w:rPr>
              </w:pPr>
              <w:r>
                <w:rPr>
                  <w:rFonts w:eastAsia="Andale Sans UI" w:cs="Tahoma"/>
                  <w:szCs w:val="24"/>
                  <w:lang w:bidi="en-US"/>
                </w:rPr>
                <w:t>Lietuvos savivaldybių asociacijai</w:t>
              </w:r>
            </w:p>
            <w:p>
              <w:pPr>
                <w:widowControl w:val="0"/>
                <w:suppressLineNumbers/>
                <w:suppressAutoHyphens/>
                <w:rPr>
                  <w:rFonts w:eastAsia="Andale Sans UI" w:cs="Tahoma"/>
                  <w:szCs w:val="24"/>
                  <w:lang w:bidi="en-US"/>
                </w:rPr>
              </w:pPr>
              <w:r>
                <w:rPr>
                  <w:rFonts w:eastAsia="Andale Sans UI" w:cs="Tahoma"/>
                  <w:szCs w:val="24"/>
                  <w:lang w:bidi="en-US"/>
                </w:rPr>
                <w:t>Lietuvos geografų draugijai</w:t>
              </w:r>
            </w:p>
            <w:p>
              <w:pPr>
                <w:widowControl w:val="0"/>
                <w:suppressLineNumbers/>
                <w:suppressAutoHyphens/>
                <w:rPr>
                  <w:rFonts w:eastAsia="Andale Sans UI" w:cs="Tahoma"/>
                  <w:szCs w:val="24"/>
                  <w:lang w:bidi="en-US"/>
                </w:rPr>
              </w:pPr>
              <w:r>
                <w:rPr>
                  <w:rFonts w:eastAsia="Andale Sans UI" w:cs="Tahoma"/>
                  <w:szCs w:val="24"/>
                  <w:lang w:bidi="en-US"/>
                </w:rPr>
                <w:t xml:space="preserve">Darnaus vystymosi centrui </w:t>
              </w:r>
            </w:p>
            <w:p>
              <w:pPr>
                <w:widowControl w:val="0"/>
                <w:suppressLineNumbers/>
                <w:suppressAutoHyphens/>
                <w:rPr>
                  <w:rFonts w:eastAsia="Andale Sans UI" w:cs="Tahoma"/>
                  <w:szCs w:val="24"/>
                  <w:lang w:bidi="en-US"/>
                </w:rPr>
              </w:pPr>
              <w:r>
                <w:rPr>
                  <w:rFonts w:eastAsia="Andale Sans UI" w:cs="Tahoma"/>
                  <w:szCs w:val="24"/>
                  <w:lang w:bidi="en-US"/>
                </w:rPr>
                <w:t>Aplinkosaugos koalicijai</w:t>
              </w:r>
            </w:p>
            <w:p>
              <w:pPr>
                <w:widowControl w:val="0"/>
                <w:suppressLineNumbers/>
                <w:suppressAutoHyphens/>
                <w:rPr>
                  <w:rFonts w:eastAsia="Andale Sans UI" w:cs="Tahoma"/>
                  <w:szCs w:val="24"/>
                  <w:lang w:bidi="en-US"/>
                </w:rPr>
              </w:pPr>
              <w:r>
                <w:rPr>
                  <w:rFonts w:eastAsia="Andale Sans UI" w:cs="Tahoma"/>
                  <w:szCs w:val="24"/>
                  <w:lang w:bidi="en-US"/>
                </w:rPr>
                <w:t>Aplinkos ir paveldo saugojimo sąjūdžiui</w:t>
              </w:r>
            </w:p>
            <w:p>
              <w:pPr>
                <w:widowControl w:val="0"/>
                <w:suppressLineNumbers/>
                <w:suppressAutoHyphens/>
                <w:rPr>
                  <w:rFonts w:eastAsia="Andale Sans UI" w:cs="Tahoma"/>
                  <w:szCs w:val="24"/>
                  <w:lang w:bidi="en-US"/>
                </w:rPr>
              </w:pPr>
              <w:r>
                <w:rPr>
                  <w:rFonts w:eastAsia="Andale Sans UI" w:cs="Tahoma"/>
                  <w:szCs w:val="24"/>
                  <w:lang w:bidi="en-US"/>
                </w:rPr>
                <w:t>Lietuvos vėjo elektrinių asociacijai</w:t>
              </w:r>
            </w:p>
            <w:p>
              <w:pPr>
                <w:widowControl w:val="0"/>
                <w:suppressLineNumbers/>
                <w:suppressAutoHyphens/>
                <w:rPr>
                  <w:rFonts w:eastAsia="Andale Sans UI" w:cs="Tahoma"/>
                  <w:szCs w:val="24"/>
                  <w:lang w:bidi="en-US"/>
                </w:rPr>
              </w:pPr>
              <w:r>
                <w:rPr>
                  <w:rFonts w:eastAsia="Andale Sans UI" w:cs="Tahoma"/>
                  <w:szCs w:val="24"/>
                  <w:lang w:bidi="en-US"/>
                </w:rPr>
                <w:t>Lietuvos vartotojų organizacijų aljansui</w:t>
              </w:r>
            </w:p>
            <w:p>
              <w:pPr>
                <w:widowControl w:val="0"/>
                <w:suppressLineNumbers/>
                <w:suppressAutoHyphens/>
                <w:rPr>
                  <w:rFonts w:eastAsia="Andale Sans UI" w:cs="Tahoma"/>
                  <w:szCs w:val="24"/>
                  <w:lang w:bidi="en-US"/>
                </w:rPr>
              </w:pPr>
              <w:r>
                <w:rPr>
                  <w:rFonts w:eastAsia="Andale Sans UI" w:cs="Tahoma"/>
                  <w:szCs w:val="24"/>
                  <w:lang w:bidi="en-US"/>
                </w:rPr>
                <w:t>Lietuvos atsinaujinančių išteklių energetikos konfederacijai</w:t>
              </w:r>
            </w:p>
            <w:p>
              <w:pPr>
                <w:widowControl w:val="0"/>
                <w:suppressLineNumbers/>
                <w:suppressAutoHyphens/>
                <w:rPr>
                  <w:rFonts w:eastAsia="Andale Sans UI"/>
                  <w:szCs w:val="24"/>
                  <w:lang w:bidi="en-US"/>
                </w:rPr>
              </w:pPr>
              <w:r>
                <w:rPr>
                  <w:rFonts w:eastAsia="Andale Sans UI"/>
                  <w:bCs/>
                  <w:color w:val="201F1E"/>
                  <w:szCs w:val="24"/>
                  <w:shd w:val="clear" w:color="auto" w:fill="FFFFFF"/>
                  <w:lang w:bidi="en-US"/>
                </w:rPr>
                <w:t>VšĮ Pajūrio tyrimų ir planavimo institutui</w:t>
              </w:r>
            </w:p>
            <w:p>
              <w:pPr>
                <w:widowControl w:val="0"/>
                <w:suppressLineNumbers/>
                <w:suppressAutoHyphens/>
                <w:rPr>
                  <w:rFonts w:eastAsia="Andale Sans UI" w:cs="Tahoma"/>
                  <w:szCs w:val="24"/>
                  <w:lang w:bidi="en-US"/>
                </w:rPr>
              </w:pPr>
              <w:r>
                <w:rPr>
                  <w:rFonts w:eastAsia="Andale Sans UI" w:cs="Tahoma"/>
                  <w:szCs w:val="24"/>
                  <w:lang w:bidi="en-US"/>
                </w:rPr>
                <w:t>UAB „Archstudija“</w:t>
              </w:r>
            </w:p>
            <w:p>
              <w:pPr>
                <w:widowControl w:val="0"/>
                <w:suppressLineNumbers/>
                <w:suppressAutoHyphens/>
                <w:rPr>
                  <w:rFonts w:eastAsia="Andale Sans UI"/>
                  <w:color w:val="000080"/>
                  <w:szCs w:val="24"/>
                  <w:u w:val="single"/>
                  <w:lang w:bidi="en-US"/>
                </w:rPr>
              </w:pPr>
              <w:r>
                <w:rPr>
                  <w:rFonts w:eastAsia="Andale Sans UI" w:cs="Tahoma"/>
                  <w:szCs w:val="24"/>
                  <w:lang w:bidi="en-US"/>
                </w:rPr>
                <w:t>UAB „Nomine Consult“</w:t>
              </w:r>
            </w:p>
            <w:tbl>
              <w:tblPr>
                <w:tblW w:w="9643" w:type="dxa"/>
                <w:tblInd w:w="8" w:type="dxa"/>
                <w:tblLayout w:type="fixed"/>
                <w:tblCellMar>
                  <w:left w:w="0" w:type="dxa"/>
                  <w:right w:w="0" w:type="dxa"/>
                </w:tblCellMar>
                <w:tblLook w:val="0000" w:firstRow="0" w:lastRow="0" w:firstColumn="0" w:lastColumn="0" w:noHBand="0" w:noVBand="0"/>
              </w:tblPr>
              <w:tblGrid>
                <w:gridCol w:w="9643"/>
              </w:tblGrid>
              <w:tr>
                <w:trPr>
                  <w:trHeight w:val="340"/>
                </w:trPr>
                <w:tc>
                  <w:tcPr>
                    <w:tcW w:w="9643" w:type="dxa"/>
                  </w:tcPr>
                  <w:p>
                    <w:pPr>
                      <w:widowControl w:val="0"/>
                      <w:suppressLineNumbers/>
                      <w:suppressAutoHyphens/>
                      <w:rPr>
                        <w:rFonts w:eastAsia="Andale Sans UI" w:cs="Tahoma"/>
                        <w:szCs w:val="24"/>
                        <w:lang w:bidi="en-US"/>
                      </w:rPr>
                    </w:pPr>
                  </w:p>
                </w:tc>
              </w:tr>
            </w:tbl>
            <w:p>
              <w:pPr>
                <w:widowControl w:val="0"/>
                <w:suppressAutoHyphens/>
                <w:ind w:firstLine="567"/>
                <w:jc w:val="both"/>
                <w:rPr>
                  <w:rFonts w:eastAsia="Andale Sans UI" w:cs="Tahoma"/>
                  <w:szCs w:val="24"/>
                  <w:lang w:bidi="en-US"/>
                </w:rPr>
              </w:pPr>
            </w:p>
          </w:sdtContent>
        </w:sdt>
      </w:sdtContent>
    </w:sdt>
    <w:sectPr>
      <w:headerReference w:type="even" r:id="rId20"/>
      <w:headerReference w:type="default" r:id="rId21"/>
      <w:footerReference w:type="even" r:id="rId22"/>
      <w:footerReference w:type="default" r:id="rId23"/>
      <w:headerReference w:type="first" r:id="rId24"/>
      <w:footerReference w:type="first" r:id="rId25"/>
      <w:footnotePr>
        <w:pos w:val="beneathText"/>
        <w:numRestart w:val="eachPage"/>
      </w:footnotePr>
      <w:endnotePr>
        <w:numFmt w:val="decimal"/>
      </w:endnotePr>
      <w:pgSz w:w="11905" w:h="16837"/>
      <w:pgMar w:top="671" w:right="567" w:bottom="1089" w:left="1701" w:header="567" w:footer="230" w:gutter="0"/>
      <w:cols w:space="1296"/>
      <w:titlePg/>
      <w:docGrid w:linePitch="326"/>
    </w:sectPr>
  </w:body>
</w:document>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DE3E771" w16cid:durableId="25B8E420"/>
  <w16cid:commentId w16cid:paraId="3D934001" w16cid:durableId="25B8E421"/>
  <w16cid:commentId w16cid:paraId="7621D3F6" w16cid:durableId="25B8E422"/>
  <w16cid:commentId w16cid:paraId="49467230" w16cid:durableId="25B7B2F9"/>
  <w16cid:commentId w16cid:paraId="628056C9" w16cid:durableId="25B8E424"/>
  <w16cid:commentId w16cid:paraId="0BAC6E91" w16cid:durableId="25B7B43C"/>
  <w16cid:commentId w16cid:paraId="3B474321" w16cid:durableId="25B8E426"/>
  <w16cid:commentId w16cid:paraId="6B1F07EB" w16cid:durableId="25B7B526"/>
  <w16cid:commentId w16cid:paraId="51EE44DB" w16cid:durableId="25B8E428"/>
</w16cid:commentsIds>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rPr>
          <w:rFonts w:eastAsia="Andale Sans UI" w:cs="Tahoma"/>
          <w:szCs w:val="24"/>
          <w:lang w:bidi="en-US"/>
        </w:rPr>
      </w:pPr>
      <w:r>
        <w:rPr>
          <w:rFonts w:eastAsia="Andale Sans UI" w:cs="Tahoma"/>
          <w:szCs w:val="24"/>
          <w:lang w:bidi="en-US"/>
        </w:rPr>
        <w:separator/>
      </w:r>
    </w:p>
  </w:endnote>
  <w:endnote w:type="continuationSeparator" w:id="0">
    <w:p>
      <w:pPr>
        <w:widowControl w:val="0"/>
        <w:suppressAutoHyphens/>
        <w:rPr>
          <w:rFonts w:eastAsia="Andale Sans UI" w:cs="Tahoma"/>
          <w:szCs w:val="24"/>
          <w:lang w:bidi="en-US"/>
        </w:rPr>
      </w:pPr>
      <w:r>
        <w:rPr>
          <w:rFonts w:eastAsia="Andale Sans UI" w:cs="Tahoma"/>
          <w:szCs w:val="24"/>
          <w:lang w:bidi="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jc w:val="right"/>
      <w:rPr>
        <w:rFonts w:ascii="Arial" w:eastAsia="Andale Sans UI" w:hAnsi="Arial" w:cs="Tahoma"/>
        <w:sz w:val="10"/>
        <w:szCs w:val="24"/>
        <w:lang w:val="en-US" w:bidi="en-US"/>
      </w:rPr>
    </w:pPr>
  </w:p>
  <w:p>
    <w:pPr>
      <w:widowControl w:val="0"/>
      <w:suppressLineNumbers/>
      <w:tabs>
        <w:tab w:val="center" w:pos="4800"/>
        <w:tab w:val="right" w:pos="9601"/>
      </w:tabs>
      <w:suppressAutoHyphens/>
      <w:jc w:val="right"/>
      <w:rPr>
        <w:rFonts w:ascii="Arial" w:eastAsia="Andale Sans UI" w:hAnsi="Arial" w:cs="Tahoma"/>
        <w:sz w:val="10"/>
        <w:szCs w:val="24"/>
        <w:lang w:val="en-US" w:bidi="en-US"/>
      </w:rPr>
    </w:pPr>
  </w:p>
  <w:p>
    <w:pPr>
      <w:widowControl w:val="0"/>
      <w:suppressLineNumbers/>
      <w:tabs>
        <w:tab w:val="center" w:pos="4800"/>
        <w:tab w:val="right" w:pos="9601"/>
      </w:tabs>
      <w:suppressAutoHyphens/>
      <w:jc w:val="right"/>
      <w:rPr>
        <w:rFonts w:ascii="Arial" w:eastAsia="Andale Sans UI" w:hAnsi="Arial" w:cs="Tahoma"/>
        <w:sz w:val="10"/>
        <w:szCs w:val="24"/>
        <w:lang w:val="en-US"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jc w:val="right"/>
      <w:rPr>
        <w:rFonts w:eastAsia="Andale Sans UI" w:cs="Tahoma"/>
        <w:szCs w:val="24"/>
        <w:lang w:bidi="en-US"/>
      </w:rPr>
    </w:pPr>
    <w:r>
      <w:rPr>
        <w:rFonts w:eastAsia="Andale Sans UI" w:cs="Tahoma"/>
        <w:szCs w:val="24"/>
        <w:lang w:val="en-US"/>
      </w:rPr>
      <w:drawing>
        <wp:inline distT="0" distB="0" distL="0" distR="0" wp14:anchorId="2D067F9D" wp14:editId="2CA73005">
          <wp:extent cx="469265" cy="774065"/>
          <wp:effectExtent l="0" t="0" r="6985" b="6985"/>
          <wp:docPr id="126786792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1">
                    <a:extLst>
                      <a:ext uri="{28A0092B-C50C-407E-A947-70E740481C1C}">
                        <a14:useLocalDpi xmlns:a14="http://schemas.microsoft.com/office/drawing/2010/main" val="0"/>
                      </a:ext>
                    </a:extLst>
                  </a:blip>
                  <a:stretch>
                    <a:fillRect/>
                  </a:stretch>
                </pic:blipFill>
                <pic:spPr>
                  <a:xfrm>
                    <a:off x="0" y="0"/>
                    <a:ext cx="469265" cy="774065"/>
                  </a:xfrm>
                  <a:prstGeom prst="rect">
                    <a:avLst/>
                  </a:prstGeom>
                </pic:spPr>
              </pic:pic>
            </a:graphicData>
          </a:graphic>
        </wp:inline>
      </w:drawing>
    </w: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rPr>
          <w:rFonts w:eastAsia="Andale Sans UI" w:cs="Tahoma"/>
          <w:szCs w:val="24"/>
          <w:lang w:bidi="en-US"/>
        </w:rPr>
      </w:pPr>
      <w:r>
        <w:rPr>
          <w:rFonts w:eastAsia="Andale Sans UI" w:cs="Tahoma"/>
          <w:szCs w:val="24"/>
          <w:lang w:bidi="en-US"/>
        </w:rPr>
        <w:separator/>
      </w:r>
    </w:p>
  </w:footnote>
  <w:footnote w:type="continuationSeparator" w:id="0">
    <w:p>
      <w:pPr>
        <w:widowControl w:val="0"/>
        <w:suppressAutoHyphens/>
        <w:rPr>
          <w:rFonts w:eastAsia="Andale Sans UI" w:cs="Tahoma"/>
          <w:szCs w:val="24"/>
          <w:lang w:bidi="en-US"/>
        </w:rPr>
      </w:pPr>
      <w:r>
        <w:rPr>
          <w:rFonts w:eastAsia="Andale Sans UI" w:cs="Tahoma"/>
          <w:szCs w:val="24"/>
          <w:lang w:bidi="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widowControl w:val="0"/>
      <w:suppressLineNumbers/>
      <w:tabs>
        <w:tab w:val="center" w:pos="4800"/>
        <w:tab w:val="right" w:pos="9601"/>
      </w:tabs>
      <w:suppressAutoHyphens/>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widowControl w:val="0"/>
      <w:suppressLineNumbers/>
      <w:tabs>
        <w:tab w:val="center" w:pos="4800"/>
        <w:tab w:val="right" w:pos="9601"/>
      </w:tabs>
      <w:suppressAutoHyphens/>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widowControl w:val="0"/>
      <w:suppressLineNumbers/>
      <w:tabs>
        <w:tab w:val="center" w:pos="4800"/>
        <w:tab w:val="right" w:pos="9601"/>
      </w:tabs>
      <w:suppressAutoHyphens/>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4</w:t>
    </w:r>
    <w:r>
      <w:rPr>
        <w:rFonts w:eastAsia="Andale Sans UI" w:cs="Tahoma"/>
        <w:szCs w:val="24"/>
        <w:lang w:bidi="en-US"/>
      </w:rPr>
      <w:fldChar w:fldCharType="end"/>
    </w:r>
  </w:p>
  <w:p>
    <w:pPr>
      <w:widowControl w:val="0"/>
      <w:suppressLineNumbers/>
      <w:tabs>
        <w:tab w:val="center" w:pos="4800"/>
        <w:tab w:val="right" w:pos="9601"/>
      </w:tabs>
      <w:suppressAutoHyphens/>
      <w:rPr>
        <w:rFonts w:eastAsia="Andale Sans UI" w:cs="Tahoma"/>
        <w:szCs w:val="24"/>
        <w:lang w:bidi="en-US"/>
      </w:rPr>
    </w:pPr>
  </w:p>
  <w:p>
    <w:pPr>
      <w:widowControl w:val="0"/>
      <w:suppressLineNumbers/>
      <w:tabs>
        <w:tab w:val="center" w:pos="4800"/>
        <w:tab w:val="right" w:pos="9601"/>
      </w:tabs>
      <w:suppressAutoHyphens/>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67585"/>
  </w:hdrShapeDefaults>
  <w:footnotePr>
    <w:pos w:val="beneathText"/>
    <w:numRestart w:val="eachPage"/>
    <w:footnote w:id="-1"/>
    <w:footnote w:id="0"/>
  </w:footnotePr>
  <w:endnotePr>
    <w:numFmt w:val="decimal"/>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216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7585"/>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0424726">
      <w:bodyDiv w:val="1"/>
      <w:marLeft w:val="0"/>
      <w:marRight w:val="0"/>
      <w:marTop w:val="0"/>
      <w:marBottom w:val="0"/>
      <w:divBdr>
        <w:top w:val="none" w:sz="0" w:space="0" w:color="auto"/>
        <w:left w:val="none" w:sz="0" w:space="0" w:color="auto"/>
        <w:bottom w:val="none" w:sz="0" w:space="0" w:color="auto"/>
        <w:right w:val="none" w:sz="0" w:space="0" w:color="auto"/>
      </w:divBdr>
    </w:div>
    <w:div w:id="72624205">
      <w:bodyDiv w:val="1"/>
      <w:marLeft w:val="0"/>
      <w:marRight w:val="0"/>
      <w:marTop w:val="0"/>
      <w:marBottom w:val="0"/>
      <w:divBdr>
        <w:top w:val="none" w:sz="0" w:space="0" w:color="auto"/>
        <w:left w:val="none" w:sz="0" w:space="0" w:color="auto"/>
        <w:bottom w:val="none" w:sz="0" w:space="0" w:color="auto"/>
        <w:right w:val="none" w:sz="0" w:space="0" w:color="auto"/>
      </w:divBdr>
    </w:div>
    <w:div w:id="89010759">
      <w:bodyDiv w:val="1"/>
      <w:marLeft w:val="0"/>
      <w:marRight w:val="0"/>
      <w:marTop w:val="0"/>
      <w:marBottom w:val="0"/>
      <w:divBdr>
        <w:top w:val="none" w:sz="0" w:space="0" w:color="auto"/>
        <w:left w:val="none" w:sz="0" w:space="0" w:color="auto"/>
        <w:bottom w:val="none" w:sz="0" w:space="0" w:color="auto"/>
        <w:right w:val="none" w:sz="0" w:space="0" w:color="auto"/>
      </w:divBdr>
    </w:div>
    <w:div w:id="338235038">
      <w:bodyDiv w:val="1"/>
      <w:marLeft w:val="0"/>
      <w:marRight w:val="0"/>
      <w:marTop w:val="0"/>
      <w:marBottom w:val="0"/>
      <w:divBdr>
        <w:top w:val="none" w:sz="0" w:space="0" w:color="auto"/>
        <w:left w:val="none" w:sz="0" w:space="0" w:color="auto"/>
        <w:bottom w:val="none" w:sz="0" w:space="0" w:color="auto"/>
        <w:right w:val="none" w:sz="0" w:space="0" w:color="auto"/>
      </w:divBdr>
    </w:div>
    <w:div w:id="375083238">
      <w:bodyDiv w:val="1"/>
      <w:marLeft w:val="0"/>
      <w:marRight w:val="0"/>
      <w:marTop w:val="0"/>
      <w:marBottom w:val="0"/>
      <w:divBdr>
        <w:top w:val="none" w:sz="0" w:space="0" w:color="auto"/>
        <w:left w:val="none" w:sz="0" w:space="0" w:color="auto"/>
        <w:bottom w:val="none" w:sz="0" w:space="0" w:color="auto"/>
        <w:right w:val="none" w:sz="0" w:space="0" w:color="auto"/>
      </w:divBdr>
    </w:div>
    <w:div w:id="395932483">
      <w:bodyDiv w:val="1"/>
      <w:marLeft w:val="0"/>
      <w:marRight w:val="0"/>
      <w:marTop w:val="0"/>
      <w:marBottom w:val="0"/>
      <w:divBdr>
        <w:top w:val="none" w:sz="0" w:space="0" w:color="auto"/>
        <w:left w:val="none" w:sz="0" w:space="0" w:color="auto"/>
        <w:bottom w:val="none" w:sz="0" w:space="0" w:color="auto"/>
        <w:right w:val="none" w:sz="0" w:space="0" w:color="auto"/>
      </w:divBdr>
    </w:div>
    <w:div w:id="494611466">
      <w:bodyDiv w:val="1"/>
      <w:marLeft w:val="0"/>
      <w:marRight w:val="0"/>
      <w:marTop w:val="0"/>
      <w:marBottom w:val="0"/>
      <w:divBdr>
        <w:top w:val="none" w:sz="0" w:space="0" w:color="auto"/>
        <w:left w:val="none" w:sz="0" w:space="0" w:color="auto"/>
        <w:bottom w:val="none" w:sz="0" w:space="0" w:color="auto"/>
        <w:right w:val="none" w:sz="0" w:space="0" w:color="auto"/>
      </w:divBdr>
      <w:divsChild>
        <w:div w:id="2034107977">
          <w:marLeft w:val="0"/>
          <w:marRight w:val="0"/>
          <w:marTop w:val="0"/>
          <w:marBottom w:val="0"/>
          <w:divBdr>
            <w:top w:val="none" w:sz="0" w:space="0" w:color="auto"/>
            <w:left w:val="none" w:sz="0" w:space="0" w:color="auto"/>
            <w:bottom w:val="none" w:sz="0" w:space="0" w:color="auto"/>
            <w:right w:val="none" w:sz="0" w:space="0" w:color="auto"/>
          </w:divBdr>
        </w:div>
        <w:div w:id="919604939">
          <w:marLeft w:val="0"/>
          <w:marRight w:val="0"/>
          <w:marTop w:val="0"/>
          <w:marBottom w:val="0"/>
          <w:divBdr>
            <w:top w:val="none" w:sz="0" w:space="0" w:color="auto"/>
            <w:left w:val="none" w:sz="0" w:space="0" w:color="auto"/>
            <w:bottom w:val="none" w:sz="0" w:space="0" w:color="auto"/>
            <w:right w:val="none" w:sz="0" w:space="0" w:color="auto"/>
          </w:divBdr>
        </w:div>
      </w:divsChild>
    </w:div>
    <w:div w:id="534587737">
      <w:bodyDiv w:val="1"/>
      <w:marLeft w:val="0"/>
      <w:marRight w:val="0"/>
      <w:marTop w:val="0"/>
      <w:marBottom w:val="0"/>
      <w:divBdr>
        <w:top w:val="none" w:sz="0" w:space="0" w:color="auto"/>
        <w:left w:val="none" w:sz="0" w:space="0" w:color="auto"/>
        <w:bottom w:val="none" w:sz="0" w:space="0" w:color="auto"/>
        <w:right w:val="none" w:sz="0" w:space="0" w:color="auto"/>
      </w:divBdr>
    </w:div>
    <w:div w:id="784926561">
      <w:bodyDiv w:val="1"/>
      <w:marLeft w:val="0"/>
      <w:marRight w:val="0"/>
      <w:marTop w:val="0"/>
      <w:marBottom w:val="0"/>
      <w:divBdr>
        <w:top w:val="none" w:sz="0" w:space="0" w:color="auto"/>
        <w:left w:val="none" w:sz="0" w:space="0" w:color="auto"/>
        <w:bottom w:val="none" w:sz="0" w:space="0" w:color="auto"/>
        <w:right w:val="none" w:sz="0" w:space="0" w:color="auto"/>
      </w:divBdr>
    </w:div>
    <w:div w:id="832991509">
      <w:bodyDiv w:val="1"/>
      <w:marLeft w:val="0"/>
      <w:marRight w:val="0"/>
      <w:marTop w:val="0"/>
      <w:marBottom w:val="0"/>
      <w:divBdr>
        <w:top w:val="none" w:sz="0" w:space="0" w:color="auto"/>
        <w:left w:val="none" w:sz="0" w:space="0" w:color="auto"/>
        <w:bottom w:val="none" w:sz="0" w:space="0" w:color="auto"/>
        <w:right w:val="none" w:sz="0" w:space="0" w:color="auto"/>
      </w:divBdr>
    </w:div>
    <w:div w:id="995454907">
      <w:bodyDiv w:val="1"/>
      <w:marLeft w:val="0"/>
      <w:marRight w:val="0"/>
      <w:marTop w:val="0"/>
      <w:marBottom w:val="0"/>
      <w:divBdr>
        <w:top w:val="none" w:sz="0" w:space="0" w:color="auto"/>
        <w:left w:val="none" w:sz="0" w:space="0" w:color="auto"/>
        <w:bottom w:val="none" w:sz="0" w:space="0" w:color="auto"/>
        <w:right w:val="none" w:sz="0" w:space="0" w:color="auto"/>
      </w:divBdr>
    </w:div>
    <w:div w:id="1176381453">
      <w:bodyDiv w:val="1"/>
      <w:marLeft w:val="0"/>
      <w:marRight w:val="0"/>
      <w:marTop w:val="0"/>
      <w:marBottom w:val="0"/>
      <w:divBdr>
        <w:top w:val="none" w:sz="0" w:space="0" w:color="auto"/>
        <w:left w:val="none" w:sz="0" w:space="0" w:color="auto"/>
        <w:bottom w:val="none" w:sz="0" w:space="0" w:color="auto"/>
        <w:right w:val="none" w:sz="0" w:space="0" w:color="auto"/>
      </w:divBdr>
    </w:div>
    <w:div w:id="1280255396">
      <w:bodyDiv w:val="1"/>
      <w:marLeft w:val="0"/>
      <w:marRight w:val="0"/>
      <w:marTop w:val="0"/>
      <w:marBottom w:val="0"/>
      <w:divBdr>
        <w:top w:val="none" w:sz="0" w:space="0" w:color="auto"/>
        <w:left w:val="none" w:sz="0" w:space="0" w:color="auto"/>
        <w:bottom w:val="none" w:sz="0" w:space="0" w:color="auto"/>
        <w:right w:val="none" w:sz="0" w:space="0" w:color="auto"/>
      </w:divBdr>
    </w:div>
    <w:div w:id="1338776957">
      <w:bodyDiv w:val="1"/>
      <w:marLeft w:val="0"/>
      <w:marRight w:val="0"/>
      <w:marTop w:val="0"/>
      <w:marBottom w:val="0"/>
      <w:divBdr>
        <w:top w:val="none" w:sz="0" w:space="0" w:color="auto"/>
        <w:left w:val="none" w:sz="0" w:space="0" w:color="auto"/>
        <w:bottom w:val="none" w:sz="0" w:space="0" w:color="auto"/>
        <w:right w:val="none" w:sz="0" w:space="0" w:color="auto"/>
      </w:divBdr>
    </w:div>
    <w:div w:id="1415862096">
      <w:bodyDiv w:val="1"/>
      <w:marLeft w:val="0"/>
      <w:marRight w:val="0"/>
      <w:marTop w:val="0"/>
      <w:marBottom w:val="0"/>
      <w:divBdr>
        <w:top w:val="none" w:sz="0" w:space="0" w:color="auto"/>
        <w:left w:val="none" w:sz="0" w:space="0" w:color="auto"/>
        <w:bottom w:val="none" w:sz="0" w:space="0" w:color="auto"/>
        <w:right w:val="none" w:sz="0" w:space="0" w:color="auto"/>
      </w:divBdr>
    </w:div>
    <w:div w:id="1505245193">
      <w:bodyDiv w:val="1"/>
      <w:marLeft w:val="0"/>
      <w:marRight w:val="0"/>
      <w:marTop w:val="0"/>
      <w:marBottom w:val="0"/>
      <w:divBdr>
        <w:top w:val="none" w:sz="0" w:space="0" w:color="auto"/>
        <w:left w:val="none" w:sz="0" w:space="0" w:color="auto"/>
        <w:bottom w:val="none" w:sz="0" w:space="0" w:color="auto"/>
        <w:right w:val="none" w:sz="0" w:space="0" w:color="auto"/>
      </w:divBdr>
    </w:div>
    <w:div w:id="1773086032">
      <w:bodyDiv w:val="1"/>
      <w:marLeft w:val="0"/>
      <w:marRight w:val="0"/>
      <w:marTop w:val="0"/>
      <w:marBottom w:val="0"/>
      <w:divBdr>
        <w:top w:val="none" w:sz="0" w:space="0" w:color="auto"/>
        <w:left w:val="none" w:sz="0" w:space="0" w:color="auto"/>
        <w:bottom w:val="none" w:sz="0" w:space="0" w:color="auto"/>
        <w:right w:val="none" w:sz="0" w:space="0" w:color="auto"/>
      </w:divBdr>
    </w:div>
    <w:div w:id="1796945538">
      <w:bodyDiv w:val="1"/>
      <w:marLeft w:val="0"/>
      <w:marRight w:val="0"/>
      <w:marTop w:val="0"/>
      <w:marBottom w:val="0"/>
      <w:divBdr>
        <w:top w:val="none" w:sz="0" w:space="0" w:color="auto"/>
        <w:left w:val="none" w:sz="0" w:space="0" w:color="auto"/>
        <w:bottom w:val="none" w:sz="0" w:space="0" w:color="auto"/>
        <w:right w:val="none" w:sz="0" w:space="0" w:color="auto"/>
      </w:divBdr>
    </w:div>
    <w:div w:id="1798328064">
      <w:bodyDiv w:val="1"/>
      <w:marLeft w:val="0"/>
      <w:marRight w:val="0"/>
      <w:marTop w:val="0"/>
      <w:marBottom w:val="0"/>
      <w:divBdr>
        <w:top w:val="none" w:sz="0" w:space="0" w:color="auto"/>
        <w:left w:val="none" w:sz="0" w:space="0" w:color="auto"/>
        <w:bottom w:val="none" w:sz="0" w:space="0" w:color="auto"/>
        <w:right w:val="none" w:sz="0" w:space="0" w:color="auto"/>
      </w:divBdr>
    </w:div>
    <w:div w:id="1916166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2" Type="http://schemas.openxmlformats.org/officeDocument/2006/relationships/customXml" Target="../customXml/item2.xml"/>
  <Relationship Id="rId20" Type="http://schemas.openxmlformats.org/officeDocument/2006/relationships/header" Target="header1.xml"/>
  <Relationship Id="rId21" Type="http://schemas.openxmlformats.org/officeDocument/2006/relationships/header" Target="header2.xml"/>
  <Relationship Id="rId22" Type="http://schemas.openxmlformats.org/officeDocument/2006/relationships/footer" Target="footer1.xml"/>
  <Relationship Id="rId23" Type="http://schemas.openxmlformats.org/officeDocument/2006/relationships/footer" Target="footer2.xml"/>
  <Relationship Id="rId24" Type="http://schemas.openxmlformats.org/officeDocument/2006/relationships/header" Target="header3.xml"/>
  <Relationship Id="rId25" Type="http://schemas.openxmlformats.org/officeDocument/2006/relationships/footer" Target="footer3.xml"/>
  <Relationship Id="rId26" Type="http://schemas.openxmlformats.org/officeDocument/2006/relationships/fontTable" Target="fontTable.xml"/>
  <Relationship Id="rId27" Type="http://schemas.openxmlformats.org/officeDocument/2006/relationships/theme" Target="theme/theme1.xml"/>
  <Relationship Id="rId28" Type="http://schemas.openxmlformats.org/officeDocument/2006/relationships/customXml" Target="../customXml/item5.xml"/>
  <Relationship Id="rId3" Type="http://schemas.openxmlformats.org/officeDocument/2006/relationships/customXml" Target="../customXml/item3.xml"/>
  <Relationship Id="rId30" Type="http://schemas.microsoft.com/office/2016/09/relationships/commentsIds" Target="commentsIds.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_rels/footer3.xml.rels><?xml version="1.0" encoding="UTF-8"?>

<Relationships xmlns="http://schemas.openxmlformats.org/package/2006/relationships">
  <Relationship Id="rId1"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6" ma:contentTypeDescription="Kurkite naują dokumentą." ma:contentTypeScope="" ma:versionID="5a1b337319f81cc821ea2fb116b9889e">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2235169338eb9481474ac7e873b35491"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lentele" DocPartId="bbbc0b5271d34735bfae26d142e8a483" PartId="dafea15502614222bddcfb2e7db757be"/>
  <Part Type="pastraipa" DocPartId="a35994cda103435cbf73c9f5521a5429" PartId="4f7c97763bc740a19cbd498cfd99b5aa"/>
  <Part Type="pastraipa" DocPartId="73d6bf71d49b4e7c9cde9c06f6d6caf7" PartId="8e52d334778d4fc3adc4a1aeed8b5425"/>
  <Part Type="pastraipa" DocPartId="9226180e00334b338c23764f2c4056b4" PartId="dcbe08d4fb84445e91e1a064b784ac86"/>
  <Part Type="pastraipa" DocPartId="3a73d32c19614273b7df81a7530b7c1d" PartId="bdc15831019749f99e93c5eb9f171c43">
    <Part Type="punktas" Nr="1" Abbr="1 p." DocPartId="98c26c6f232b4969b46e556de7ef1ec3" PartId="4e7219ced4d547dfa671b6258a912993">
      <Part Type="papunktis" Nr="1.1" Abbr="1.1 pp." DocPartId="c5b302bbfe5548dfbdc8a4c1855a24ed" PartId="8a47197746454aa2b59ca210435f85ea"/>
      <Part Type="papunktis" Nr="1.2" Abbr="1.2 pp." DocPartId="e8513da0aaa644e0b0a442445b1e1d91" PartId="3bcefd22a9cc4aad9691564ef13c2316"/>
      <Part Type="papunktis" Nr="1.3" Abbr="1.3 pp." DocPartId="558efa5815864054af7d1303b5c66f13" PartId="8ff46ea81d55411b8de37ede8a0218bc"/>
      <Part Type="papunktis" Nr="1.4" Abbr="1.4 pp." DocPartId="1cdd13695df24faf9cd0ac0a9260ff11" PartId="f0d1f3df53cf40478e666e7e1481fa71"/>
      <Part Type="papunktis" Nr="1.5" Abbr="1.5 pp." DocPartId="6c26c6f9203e4167899f34dd1d055a0c" PartId="eb44a0d032dc4aee9420202544623a03"/>
    </Part>
    <Part Type="punktas" Nr="2" Abbr="2 p." DocPartId="fab09926ab2e4d089efa4053054122d0" PartId="b614ea16dd9547d7929290fd98607ea7"/>
    <Part Type="punktas" Nr="3" Abbr="3 p." DocPartId="71358261ccbf4ad0b5a70084e4b5934d" PartId="0f9048a760014645826471508009af6b"/>
    <Part Type="punktas" Nr="1" Abbr="1 p." Notes="Numeris ne iš eilės. Trūksta dalių? [DocDalys]" DocPartId="40d94296ea05422981f95ecdbbd7745a" PartId="b86e2b6f32a74629bb5e5b2f1dcbd8f4"/>
    <Part Type="punktas" Nr="2" Abbr="2 p." DocPartId="77207b00617c4c65b3ce286fadb3497f" PartId="bdd4563455c3422cb94c613f255359aa"/>
    <Part Type="punktas" Nr="3" Abbr="3 p." DocPartId="ebb832dcd3864acd89d06eae36ef5f68" PartId="0bf07ff9bb76435a81e3da577708991a"/>
    <Part Type="punktas" Nr="4" Abbr="4 p." DocPartId="6918e0e8af1345fb8d5e680b29a8172c" PartId="b544de830b4a48bea7ed438ece1f039d"/>
    <Part Type="punktas" Nr="5" Abbr="5 p." DocPartId="bf90a9ff93e24cbc835fa611ba5527ec" PartId="46c8f41a39a04bc98e641af945a2cca0"/>
    <Part Type="punktas" Nr="6" Abbr="6 p." DocPartId="1c5f03ae0c254293834d76cb27cb76d3" PartId="2251a18a96464502b0e00fa8233c6e59"/>
    <Part Type="signatura" DocPartId="0f3192a1f5b84147924b782aaa985237" PartId="cbd834ef7ad14b7cb56d61404755afe8"/>
  </Part>
</Parts>
</file>

<file path=customXml/itemProps1.xml><?xml version="1.0" encoding="utf-8"?>
<ds:datastoreItem xmlns:ds="http://schemas.openxmlformats.org/officeDocument/2006/customXml" ds:itemID="{92B5B4F7-C640-4141-9BFC-F68A720C1D2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1F626C7-22B8-4B6C-8195-4B63F74EE14D}">
  <ds:schemaRefs>
    <ds:schemaRef ds:uri="http://purl.org/dc/elements/1.1/"/>
    <ds:schemaRef ds:uri="http://schemas.microsoft.com/office/2006/metadata/properties"/>
    <ds:schemaRef ds:uri="f5aad5d0-9c26-490e-8743-a6c7ceabd501"/>
    <ds:schemaRef ds:uri="http://schemas.microsoft.com/sharepoint/v3"/>
    <ds:schemaRef ds:uri="19cf09c5-daa1-4028-a0ff-74a0be4ec5cc"/>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2CD0971F-179B-40BF-9B2B-D6457C81551E}">
  <ds:schemaRefs>
    <ds:schemaRef ds:uri="http://schemas.microsoft.com/sharepoint/v3/contenttype/forms"/>
  </ds:schemaRefs>
</ds:datastoreItem>
</file>

<file path=customXml/itemProps4.xml><?xml version="1.0" encoding="utf-8"?>
<ds:datastoreItem xmlns:ds="http://schemas.openxmlformats.org/officeDocument/2006/customXml" ds:itemID="{C0412BAE-22B0-4BE7-9717-64844AAE59EF}">
  <ds:schemaRefs>
    <ds:schemaRef ds:uri="http://schemas.openxmlformats.org/officeDocument/2006/bibliography"/>
  </ds:schemaRefs>
</ds:datastoreItem>
</file>

<file path=customXml/itemProps5.xml><?xml version="1.0" encoding="utf-8"?>
<ds:datastoreItem xmlns:ds="http://schemas.openxmlformats.org/officeDocument/2006/customXml" ds:itemID="{6C3BA2AA-27AF-4D49-9C90-E10FAE378B2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1577</Words>
  <Characters>11720</Characters>
  <Application>Microsoft Office Word</Application>
  <DocSecurity>4</DocSecurity>
  <Lines>239</Lines>
  <Paragraphs>93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13204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2022-02-17T16:50:00Z</dcterms:created>
  <dcterms:modified xsi:type="dcterms:W3CDTF">2022-02-17T16:50:00Z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