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DF9" w:rsidRPr="00711EF2" w:rsidRDefault="00711EF2" w:rsidP="00F44DF9">
      <w:pPr>
        <w:tabs>
          <w:tab w:val="left" w:pos="6804"/>
        </w:tabs>
        <w:spacing w:after="0" w:line="240" w:lineRule="auto"/>
        <w:jc w:val="center"/>
        <w:rPr>
          <w:rFonts w:ascii="Times New Roman" w:eastAsia="Times New Roman" w:hAnsi="Times New Roman"/>
          <w:b/>
          <w:bCs/>
          <w:sz w:val="24"/>
          <w:szCs w:val="24"/>
          <w:lang w:eastAsia="lt-LT"/>
        </w:rPr>
      </w:pPr>
      <w:bookmarkStart w:id="0" w:name="OLE_LINK37"/>
      <w:bookmarkStart w:id="1" w:name="OLE_LINK38"/>
      <w:r w:rsidRPr="00711EF2">
        <w:rPr>
          <w:rFonts w:ascii="Times New Roman" w:hAnsi="Times New Roman"/>
          <w:b/>
          <w:caps/>
          <w:sz w:val="24"/>
          <w:szCs w:val="24"/>
        </w:rPr>
        <w:t xml:space="preserve">lietuvos respublikos Vyriausybės nutarimo </w:t>
      </w:r>
      <w:r w:rsidRPr="00711EF2">
        <w:rPr>
          <w:rFonts w:ascii="Times New Roman" w:hAnsi="Times New Roman"/>
          <w:b/>
          <w:color w:val="000000" w:themeColor="text1"/>
          <w:sz w:val="24"/>
          <w:szCs w:val="24"/>
        </w:rPr>
        <w:t xml:space="preserve">DĖL </w:t>
      </w:r>
      <w:r w:rsidRPr="00711EF2">
        <w:rPr>
          <w:rFonts w:ascii="Times New Roman" w:hAnsi="Times New Roman"/>
          <w:b/>
          <w:caps/>
          <w:color w:val="000000" w:themeColor="text1"/>
          <w:sz w:val="24"/>
          <w:szCs w:val="24"/>
        </w:rPr>
        <w:t>STATINIO</w:t>
      </w:r>
      <w:proofErr w:type="gramStart"/>
      <w:r w:rsidRPr="00711EF2">
        <w:rPr>
          <w:rFonts w:ascii="Times New Roman" w:hAnsi="Times New Roman"/>
          <w:b/>
          <w:caps/>
          <w:color w:val="000000" w:themeColor="text1"/>
          <w:sz w:val="24"/>
          <w:szCs w:val="24"/>
        </w:rPr>
        <w:t xml:space="preserve">  </w:t>
      </w:r>
      <w:proofErr w:type="gramEnd"/>
      <w:r w:rsidRPr="00711EF2">
        <w:rPr>
          <w:rFonts w:ascii="Times New Roman" w:hAnsi="Times New Roman"/>
          <w:b/>
          <w:caps/>
          <w:color w:val="000000" w:themeColor="text1"/>
          <w:sz w:val="24"/>
          <w:szCs w:val="24"/>
        </w:rPr>
        <w:t xml:space="preserve">(JO PATALPŲ) NAUDOJIMO NE PAGAL PASKIRTĮ atvejų ir tvarkos aprašo patvirtinimo </w:t>
      </w:r>
      <w:r w:rsidRPr="00711EF2">
        <w:rPr>
          <w:rFonts w:ascii="Times New Roman" w:hAnsi="Times New Roman"/>
          <w:b/>
          <w:caps/>
          <w:sz w:val="24"/>
          <w:szCs w:val="24"/>
        </w:rPr>
        <w:t xml:space="preserve">projekto </w:t>
      </w:r>
    </w:p>
    <w:p w:rsidR="00F44DF9" w:rsidRPr="00711EF2" w:rsidRDefault="00F44DF9" w:rsidP="00F44DF9">
      <w:pPr>
        <w:tabs>
          <w:tab w:val="left" w:pos="6804"/>
        </w:tabs>
        <w:spacing w:after="0" w:line="240" w:lineRule="auto"/>
        <w:jc w:val="center"/>
        <w:rPr>
          <w:rFonts w:ascii="Times New Roman" w:hAnsi="Times New Roman"/>
          <w:b/>
          <w:sz w:val="24"/>
          <w:szCs w:val="24"/>
        </w:rPr>
      </w:pPr>
      <w:r w:rsidRPr="00711EF2">
        <w:rPr>
          <w:rFonts w:ascii="Times New Roman" w:eastAsia="Times New Roman" w:hAnsi="Times New Roman"/>
          <w:b/>
          <w:bCs/>
          <w:sz w:val="24"/>
          <w:szCs w:val="24"/>
          <w:lang w:eastAsia="lt-LT"/>
        </w:rPr>
        <w:t>DERINIMO PAŽYMA</w:t>
      </w:r>
    </w:p>
    <w:p w:rsidR="00F44DF9" w:rsidRPr="00711EF2" w:rsidRDefault="00F44DF9" w:rsidP="00F44DF9">
      <w:pPr>
        <w:tabs>
          <w:tab w:val="left" w:pos="6804"/>
        </w:tabs>
        <w:spacing w:after="0" w:line="240" w:lineRule="auto"/>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5672"/>
        <w:gridCol w:w="423"/>
        <w:gridCol w:w="7875"/>
      </w:tblGrid>
      <w:tr w:rsidR="00F44DF9" w:rsidRPr="00711EF2" w:rsidTr="000917E0">
        <w:tc>
          <w:tcPr>
            <w:tcW w:w="276" w:type="pct"/>
            <w:tcBorders>
              <w:bottom w:val="single" w:sz="4" w:space="0" w:color="auto"/>
            </w:tcBorders>
            <w:hideMark/>
          </w:tcPr>
          <w:bookmarkEnd w:id="0"/>
          <w:bookmarkEnd w:id="1"/>
          <w:p w:rsidR="00F44DF9" w:rsidRPr="00711EF2" w:rsidRDefault="00F44DF9" w:rsidP="008330A1">
            <w:pPr>
              <w:spacing w:before="120" w:after="120" w:line="240" w:lineRule="auto"/>
              <w:jc w:val="center"/>
              <w:rPr>
                <w:rFonts w:ascii="Times New Roman" w:eastAsia="Times New Roman" w:hAnsi="Times New Roman"/>
                <w:b/>
                <w:sz w:val="24"/>
                <w:szCs w:val="24"/>
                <w:lang w:eastAsia="lt-LT"/>
              </w:rPr>
            </w:pPr>
            <w:r w:rsidRPr="00711EF2">
              <w:rPr>
                <w:rFonts w:ascii="Times New Roman" w:eastAsia="Times New Roman" w:hAnsi="Times New Roman"/>
                <w:b/>
                <w:sz w:val="24"/>
                <w:szCs w:val="24"/>
                <w:lang w:eastAsia="lt-LT"/>
              </w:rPr>
              <w:t>Nr.</w:t>
            </w:r>
          </w:p>
        </w:tc>
        <w:tc>
          <w:tcPr>
            <w:tcW w:w="2061" w:type="pct"/>
            <w:gridSpan w:val="2"/>
            <w:tcBorders>
              <w:bottom w:val="single" w:sz="4" w:space="0" w:color="auto"/>
            </w:tcBorders>
            <w:vAlign w:val="center"/>
            <w:hideMark/>
          </w:tcPr>
          <w:p w:rsidR="00F44DF9" w:rsidRPr="00711EF2" w:rsidRDefault="00F44DF9" w:rsidP="008330A1">
            <w:pPr>
              <w:spacing w:before="120" w:after="120" w:line="240" w:lineRule="auto"/>
              <w:jc w:val="center"/>
              <w:rPr>
                <w:rFonts w:ascii="Times New Roman" w:eastAsia="Times New Roman" w:hAnsi="Times New Roman"/>
                <w:sz w:val="24"/>
                <w:szCs w:val="24"/>
                <w:lang w:eastAsia="lt-LT"/>
              </w:rPr>
            </w:pPr>
            <w:r w:rsidRPr="00711EF2">
              <w:rPr>
                <w:rFonts w:ascii="Times New Roman" w:eastAsia="Times New Roman" w:hAnsi="Times New Roman"/>
                <w:b/>
                <w:sz w:val="24"/>
                <w:szCs w:val="24"/>
                <w:lang w:eastAsia="lt-LT"/>
              </w:rPr>
              <w:t>Pastabos ir pasiūlymai</w:t>
            </w:r>
          </w:p>
        </w:tc>
        <w:tc>
          <w:tcPr>
            <w:tcW w:w="2663" w:type="pct"/>
            <w:tcBorders>
              <w:bottom w:val="single" w:sz="4" w:space="0" w:color="auto"/>
            </w:tcBorders>
            <w:vAlign w:val="center"/>
            <w:hideMark/>
          </w:tcPr>
          <w:p w:rsidR="00F44DF9" w:rsidRPr="00711EF2" w:rsidRDefault="00F44DF9" w:rsidP="008330A1">
            <w:pPr>
              <w:spacing w:before="120" w:after="120" w:line="240" w:lineRule="auto"/>
              <w:jc w:val="center"/>
              <w:rPr>
                <w:rFonts w:ascii="Times New Roman" w:eastAsia="Times New Roman" w:hAnsi="Times New Roman"/>
                <w:sz w:val="24"/>
                <w:szCs w:val="24"/>
                <w:lang w:eastAsia="lt-LT"/>
              </w:rPr>
            </w:pPr>
            <w:r w:rsidRPr="00711EF2">
              <w:rPr>
                <w:rFonts w:ascii="Times New Roman" w:eastAsia="Times New Roman" w:hAnsi="Times New Roman"/>
                <w:b/>
                <w:sz w:val="24"/>
                <w:szCs w:val="24"/>
                <w:lang w:eastAsia="lt-LT"/>
              </w:rPr>
              <w:t>Pasiūlymų ir pastabų vertinimas</w:t>
            </w:r>
          </w:p>
        </w:tc>
      </w:tr>
      <w:tr w:rsidR="00F44DF9" w:rsidRPr="00711EF2" w:rsidTr="00CC69BC">
        <w:tc>
          <w:tcPr>
            <w:tcW w:w="5000" w:type="pct"/>
            <w:gridSpan w:val="4"/>
            <w:shd w:val="clear" w:color="auto" w:fill="auto"/>
            <w:hideMark/>
          </w:tcPr>
          <w:p w:rsidR="00F44DF9" w:rsidRPr="00711EF2" w:rsidRDefault="00F44DF9" w:rsidP="008330A1">
            <w:pPr>
              <w:pStyle w:val="Dainiausstilius"/>
              <w:ind w:firstLine="0"/>
              <w:jc w:val="center"/>
              <w:rPr>
                <w:rFonts w:eastAsia="Times New Roman"/>
                <w:b/>
                <w:iCs/>
                <w:szCs w:val="24"/>
                <w:lang w:eastAsia="lt-LT"/>
              </w:rPr>
            </w:pPr>
          </w:p>
          <w:p w:rsidR="00F44DF9" w:rsidRPr="00711EF2" w:rsidRDefault="00711EF2" w:rsidP="008330A1">
            <w:pPr>
              <w:pStyle w:val="Dainiausstilius"/>
              <w:ind w:firstLine="0"/>
              <w:jc w:val="center"/>
              <w:rPr>
                <w:rFonts w:eastAsia="Times New Roman"/>
                <w:b/>
                <w:iCs/>
                <w:szCs w:val="24"/>
                <w:lang w:eastAsia="lt-LT"/>
              </w:rPr>
            </w:pPr>
            <w:r w:rsidRPr="00F31C71">
              <w:rPr>
                <w:rFonts w:eastAsia="Times New Roman"/>
                <w:b/>
                <w:iCs/>
                <w:szCs w:val="24"/>
                <w:lang w:eastAsia="lt-LT"/>
              </w:rPr>
              <w:t>Priešgaisrinės apsaugos ir gelbėjimo departamento prie Vidaus reikalų ministerijos 2017-11-13</w:t>
            </w:r>
            <w:proofErr w:type="gramStart"/>
            <w:r w:rsidRPr="00F31C71">
              <w:rPr>
                <w:rFonts w:eastAsia="Times New Roman"/>
                <w:b/>
                <w:iCs/>
                <w:szCs w:val="24"/>
                <w:lang w:eastAsia="lt-LT"/>
              </w:rPr>
              <w:t xml:space="preserve">  </w:t>
            </w:r>
            <w:proofErr w:type="gramEnd"/>
            <w:r w:rsidRPr="00F31C71">
              <w:rPr>
                <w:rFonts w:eastAsia="Times New Roman"/>
                <w:b/>
                <w:iCs/>
                <w:szCs w:val="24"/>
                <w:lang w:eastAsia="lt-LT"/>
              </w:rPr>
              <w:t>raštas Nr.9.4-2684-(9.6E)</w:t>
            </w:r>
          </w:p>
          <w:p w:rsidR="00F44DF9" w:rsidRPr="00711EF2" w:rsidRDefault="00F44DF9" w:rsidP="008330A1">
            <w:pPr>
              <w:pStyle w:val="Dainiausstilius"/>
              <w:ind w:firstLine="0"/>
              <w:jc w:val="center"/>
              <w:rPr>
                <w:rFonts w:eastAsia="Times New Roman"/>
                <w:iCs/>
                <w:szCs w:val="24"/>
                <w:lang w:eastAsia="lt-LT"/>
              </w:rPr>
            </w:pPr>
          </w:p>
        </w:tc>
      </w:tr>
      <w:tr w:rsidR="00F44DF9" w:rsidRPr="00711EF2" w:rsidTr="000917E0">
        <w:tc>
          <w:tcPr>
            <w:tcW w:w="276" w:type="pct"/>
            <w:hideMark/>
          </w:tcPr>
          <w:p w:rsidR="00F44DF9" w:rsidRPr="00711EF2" w:rsidRDefault="00F44DF9" w:rsidP="008330A1">
            <w:pPr>
              <w:pStyle w:val="Dainiausstilius"/>
              <w:ind w:firstLine="0"/>
              <w:jc w:val="center"/>
              <w:rPr>
                <w:rFonts w:eastAsia="Times New Roman"/>
                <w:bCs/>
                <w:szCs w:val="24"/>
              </w:rPr>
            </w:pPr>
            <w:r w:rsidRPr="00711EF2">
              <w:rPr>
                <w:rFonts w:eastAsia="Times New Roman"/>
                <w:bCs/>
                <w:szCs w:val="24"/>
              </w:rPr>
              <w:t>1.</w:t>
            </w:r>
          </w:p>
        </w:tc>
        <w:tc>
          <w:tcPr>
            <w:tcW w:w="1918" w:type="pct"/>
            <w:hideMark/>
          </w:tcPr>
          <w:p w:rsidR="00711EF2" w:rsidRPr="00711EF2" w:rsidRDefault="00711EF2" w:rsidP="00893B77">
            <w:pPr>
              <w:spacing w:after="0" w:line="240" w:lineRule="auto"/>
              <w:ind w:firstLine="35"/>
              <w:jc w:val="both"/>
              <w:rPr>
                <w:rFonts w:ascii="Times New Roman" w:hAnsi="Times New Roman"/>
                <w:sz w:val="24"/>
                <w:szCs w:val="24"/>
              </w:rPr>
            </w:pPr>
            <w:r w:rsidRPr="00711EF2">
              <w:rPr>
                <w:rFonts w:ascii="Times New Roman" w:hAnsi="Times New Roman"/>
                <w:sz w:val="24"/>
                <w:szCs w:val="24"/>
              </w:rPr>
              <w:t>„6. Įrengiant ikimokyklinio amžiaus vaikų ugdymo (P85.10.10), priešmokyklinio amžiaus vaikų ugdymo (P.85.10.20) ir pradinio ugdymo (P.85.20) patalpas 3 ir 7 punktuose nurodytų paskirčių pastatuose ar patalpose taikomi šie gaisrinės saugos reikalavimai: vaikų patalpos turi būti įrengiamos ne aukščiau kaip 2-ame statinio aukšte; patalpose turi būti įrengta automatinė gaisro aptikimo ir signalizavimo sistema.“.</w:t>
            </w:r>
          </w:p>
          <w:p w:rsidR="00F44DF9" w:rsidRPr="00711EF2" w:rsidRDefault="00F44DF9" w:rsidP="00893B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318"/>
              <w:jc w:val="both"/>
              <w:rPr>
                <w:rFonts w:ascii="Times New Roman" w:hAnsi="Times New Roman" w:cs="Times New Roman"/>
                <w:sz w:val="24"/>
                <w:szCs w:val="24"/>
              </w:rPr>
            </w:pPr>
          </w:p>
          <w:p w:rsidR="00711EF2" w:rsidRPr="00711EF2" w:rsidRDefault="00711EF2" w:rsidP="00893B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318"/>
              <w:jc w:val="both"/>
              <w:rPr>
                <w:rFonts w:ascii="Times New Roman" w:hAnsi="Times New Roman" w:cs="Times New Roman"/>
                <w:sz w:val="24"/>
                <w:szCs w:val="24"/>
              </w:rPr>
            </w:pPr>
          </w:p>
        </w:tc>
        <w:tc>
          <w:tcPr>
            <w:tcW w:w="2806" w:type="pct"/>
            <w:gridSpan w:val="2"/>
            <w:hideMark/>
          </w:tcPr>
          <w:p w:rsidR="00EC41A9" w:rsidRDefault="00711EF2" w:rsidP="00893B77">
            <w:pPr>
              <w:pStyle w:val="Dainiausstilius"/>
              <w:ind w:firstLine="318"/>
              <w:rPr>
                <w:rFonts w:eastAsia="Times New Roman"/>
                <w:iCs/>
                <w:szCs w:val="24"/>
                <w:lang w:eastAsia="lt-LT"/>
              </w:rPr>
            </w:pPr>
            <w:r w:rsidRPr="00711EF2">
              <w:rPr>
                <w:rFonts w:eastAsia="Times New Roman"/>
                <w:iCs/>
                <w:szCs w:val="24"/>
                <w:lang w:eastAsia="lt-LT"/>
              </w:rPr>
              <w:t>Atsižvelgta iš dalies.</w:t>
            </w:r>
          </w:p>
          <w:p w:rsidR="00711EF2" w:rsidRPr="00711EF2" w:rsidRDefault="00711EF2" w:rsidP="00893B77">
            <w:pPr>
              <w:pStyle w:val="Dainiausstilius"/>
              <w:ind w:firstLine="318"/>
              <w:rPr>
                <w:rFonts w:eastAsia="Times New Roman"/>
                <w:iCs/>
                <w:szCs w:val="24"/>
                <w:lang w:eastAsia="lt-LT"/>
              </w:rPr>
            </w:pPr>
            <w:r w:rsidRPr="00711EF2">
              <w:rPr>
                <w:rFonts w:eastAsia="Times New Roman"/>
                <w:iCs/>
                <w:szCs w:val="24"/>
                <w:lang w:eastAsia="lt-LT"/>
              </w:rPr>
              <w:t>AM siūlo formuluoti taip:</w:t>
            </w:r>
          </w:p>
          <w:p w:rsidR="00711EF2" w:rsidRPr="00711EF2" w:rsidRDefault="00711EF2" w:rsidP="00893B77">
            <w:pPr>
              <w:spacing w:after="0" w:line="240" w:lineRule="auto"/>
              <w:ind w:right="-1" w:firstLine="34"/>
              <w:jc w:val="both"/>
              <w:rPr>
                <w:rFonts w:ascii="Times New Roman" w:hAnsi="Times New Roman"/>
                <w:b/>
                <w:color w:val="000000" w:themeColor="text1"/>
                <w:sz w:val="24"/>
                <w:szCs w:val="24"/>
              </w:rPr>
            </w:pPr>
            <w:r w:rsidRPr="00711EF2">
              <w:rPr>
                <w:rFonts w:ascii="Times New Roman" w:eastAsia="Times New Roman" w:hAnsi="Times New Roman"/>
                <w:iCs/>
                <w:sz w:val="24"/>
                <w:szCs w:val="24"/>
                <w:lang w:eastAsia="lt-LT"/>
              </w:rPr>
              <w:t>„</w:t>
            </w:r>
            <w:r w:rsidRPr="00711EF2">
              <w:rPr>
                <w:rFonts w:ascii="Times New Roman" w:hAnsi="Times New Roman"/>
                <w:color w:val="000000" w:themeColor="text1"/>
                <w:sz w:val="24"/>
                <w:szCs w:val="24"/>
              </w:rPr>
              <w:t>8. Įrengiant ikimokyklinio amžiaus vaikų ugdymo (P85.10.10), priešmokyklinio amžiaus vaikų ugdymo (P.85.10.20) ir pradinio ugdymo (P.85.20) patalpas</w:t>
            </w:r>
            <w:proofErr w:type="gramStart"/>
            <w:r w:rsidRPr="00711EF2">
              <w:rPr>
                <w:rFonts w:ascii="Times New Roman" w:hAnsi="Times New Roman"/>
                <w:color w:val="000000" w:themeColor="text1"/>
                <w:sz w:val="24"/>
                <w:szCs w:val="24"/>
              </w:rPr>
              <w:t xml:space="preserve">  </w:t>
            </w:r>
            <w:proofErr w:type="gramEnd"/>
            <w:r w:rsidRPr="00711EF2">
              <w:rPr>
                <w:rFonts w:ascii="Times New Roman" w:hAnsi="Times New Roman"/>
                <w:color w:val="000000" w:themeColor="text1"/>
                <w:sz w:val="24"/>
                <w:szCs w:val="24"/>
              </w:rPr>
              <w:t xml:space="preserve">šio </w:t>
            </w:r>
            <w:r w:rsidR="00893B77">
              <w:rPr>
                <w:rFonts w:ascii="Times New Roman" w:hAnsi="Times New Roman"/>
                <w:color w:val="000000" w:themeColor="text1"/>
                <w:sz w:val="24"/>
                <w:szCs w:val="24"/>
              </w:rPr>
              <w:t>Tvarkos a</w:t>
            </w:r>
            <w:r w:rsidRPr="00711EF2">
              <w:rPr>
                <w:rFonts w:ascii="Times New Roman" w:hAnsi="Times New Roman"/>
                <w:color w:val="000000" w:themeColor="text1"/>
                <w:sz w:val="24"/>
                <w:szCs w:val="24"/>
              </w:rPr>
              <w:t>prašo 3 ir 5 punktuose nurodytų paskirčių pastatuose ar patalpose minėtoms veikloms skirtos patalpos įrengiamos ne aukščiau kaip 2-</w:t>
            </w:r>
            <w:r w:rsidR="007F73F1">
              <w:rPr>
                <w:rFonts w:ascii="Times New Roman" w:hAnsi="Times New Roman"/>
                <w:color w:val="000000" w:themeColor="text1"/>
                <w:sz w:val="24"/>
                <w:szCs w:val="24"/>
              </w:rPr>
              <w:t>aja</w:t>
            </w:r>
            <w:r w:rsidRPr="00711EF2">
              <w:rPr>
                <w:rFonts w:ascii="Times New Roman" w:hAnsi="Times New Roman"/>
                <w:color w:val="000000" w:themeColor="text1"/>
                <w:sz w:val="24"/>
                <w:szCs w:val="24"/>
              </w:rPr>
              <w:t xml:space="preserve">me pastato aukšte; patalpos turi atitikti gaisrinės saugos reikalavimus, taikomus patalpoms, kuriose vykdoma šiame punkte nurodyta veikla. </w:t>
            </w:r>
          </w:p>
          <w:p w:rsidR="00711EF2" w:rsidRPr="00711EF2" w:rsidRDefault="00711EF2" w:rsidP="00893B77">
            <w:pPr>
              <w:pStyle w:val="Dainiausstilius"/>
              <w:ind w:firstLine="318"/>
              <w:rPr>
                <w:rFonts w:eastAsia="Times New Roman"/>
                <w:iCs/>
                <w:szCs w:val="24"/>
                <w:lang w:eastAsia="lt-LT"/>
              </w:rPr>
            </w:pPr>
          </w:p>
        </w:tc>
      </w:tr>
      <w:tr w:rsidR="00711EF2" w:rsidRPr="00711EF2" w:rsidTr="000917E0">
        <w:tc>
          <w:tcPr>
            <w:tcW w:w="276" w:type="pct"/>
          </w:tcPr>
          <w:p w:rsidR="00711EF2" w:rsidRPr="00711EF2" w:rsidRDefault="00711EF2" w:rsidP="008330A1">
            <w:pPr>
              <w:pStyle w:val="Dainiausstilius"/>
              <w:ind w:firstLine="0"/>
              <w:jc w:val="center"/>
              <w:rPr>
                <w:rFonts w:eastAsia="Times New Roman"/>
                <w:bCs/>
                <w:szCs w:val="24"/>
              </w:rPr>
            </w:pPr>
            <w:r>
              <w:rPr>
                <w:rFonts w:eastAsia="Times New Roman"/>
                <w:bCs/>
                <w:szCs w:val="24"/>
              </w:rPr>
              <w:t xml:space="preserve">2. </w:t>
            </w:r>
          </w:p>
          <w:p w:rsidR="00711EF2" w:rsidRPr="00711EF2" w:rsidRDefault="00711EF2" w:rsidP="008330A1">
            <w:pPr>
              <w:pStyle w:val="Dainiausstilius"/>
              <w:ind w:firstLine="0"/>
              <w:jc w:val="center"/>
              <w:rPr>
                <w:rFonts w:eastAsia="Times New Roman"/>
                <w:bCs/>
                <w:szCs w:val="24"/>
              </w:rPr>
            </w:pPr>
          </w:p>
          <w:p w:rsidR="00711EF2" w:rsidRPr="00711EF2" w:rsidRDefault="00711EF2" w:rsidP="008330A1">
            <w:pPr>
              <w:pStyle w:val="Dainiausstilius"/>
              <w:ind w:firstLine="0"/>
              <w:jc w:val="center"/>
              <w:rPr>
                <w:rFonts w:eastAsia="Times New Roman"/>
                <w:bCs/>
                <w:szCs w:val="24"/>
              </w:rPr>
            </w:pPr>
          </w:p>
          <w:p w:rsidR="00711EF2" w:rsidRPr="00711EF2" w:rsidRDefault="00711EF2" w:rsidP="008330A1">
            <w:pPr>
              <w:pStyle w:val="Dainiausstilius"/>
              <w:ind w:firstLine="0"/>
              <w:jc w:val="center"/>
              <w:rPr>
                <w:rFonts w:eastAsia="Times New Roman"/>
                <w:bCs/>
                <w:szCs w:val="24"/>
              </w:rPr>
            </w:pPr>
          </w:p>
        </w:tc>
        <w:tc>
          <w:tcPr>
            <w:tcW w:w="1918" w:type="pct"/>
          </w:tcPr>
          <w:p w:rsidR="00711EF2" w:rsidRPr="00711EF2" w:rsidRDefault="00711EF2" w:rsidP="00711EF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318"/>
              <w:jc w:val="both"/>
              <w:rPr>
                <w:rFonts w:ascii="Times New Roman" w:hAnsi="Times New Roman" w:cs="Times New Roman"/>
                <w:sz w:val="24"/>
                <w:szCs w:val="24"/>
              </w:rPr>
            </w:pPr>
            <w:r w:rsidRPr="00711EF2">
              <w:rPr>
                <w:rFonts w:ascii="Times New Roman" w:hAnsi="Times New Roman" w:cs="Times New Roman"/>
                <w:sz w:val="24"/>
                <w:szCs w:val="24"/>
              </w:rPr>
              <w:t>Siūlo nutarimo projekto 15 punkte įvardinti konkrečias valstybinės priežiūros institucijas, kurioms pastato ar jo patalpų, kuriuose bus vykdoma Aprašo 4, 5, 7 ir 8 punktuose nurodytų rūšių veikla, savininkas (naudotojas, valdytojas) prieš 5 darbo dienas iki veiklos pradžios turi raštu pranešti apie numatomą vykdyti veiklą, nekeičiant pastato (jo patalpų) paskirties. Manome, kad tarp šių institucijų turėtų būti ir Priešgaisrinės apsaugos ir gelbėjimo departamentui prie Vidaus reikalų ministerijos pavaldi įstaiga konkrečioje teritorijoje</w:t>
            </w:r>
          </w:p>
        </w:tc>
        <w:tc>
          <w:tcPr>
            <w:tcW w:w="2806" w:type="pct"/>
            <w:gridSpan w:val="2"/>
          </w:tcPr>
          <w:p w:rsidR="00711EF2" w:rsidRPr="00711EF2" w:rsidRDefault="00711EF2" w:rsidP="00150284">
            <w:pPr>
              <w:pStyle w:val="Dainiausstilius"/>
              <w:ind w:firstLine="318"/>
              <w:rPr>
                <w:rFonts w:eastAsia="Times New Roman"/>
                <w:iCs/>
                <w:szCs w:val="24"/>
                <w:lang w:eastAsia="lt-LT"/>
              </w:rPr>
            </w:pPr>
            <w:r>
              <w:rPr>
                <w:rFonts w:eastAsia="Times New Roman"/>
                <w:iCs/>
                <w:szCs w:val="24"/>
                <w:lang w:eastAsia="lt-LT"/>
              </w:rPr>
              <w:t xml:space="preserve">Pastaba neaktuali. </w:t>
            </w:r>
            <w:r w:rsidR="00150284">
              <w:rPr>
                <w:rFonts w:eastAsia="Times New Roman"/>
                <w:iCs/>
                <w:szCs w:val="24"/>
                <w:lang w:eastAsia="lt-LT"/>
              </w:rPr>
              <w:t>Tvarkos aprašo</w:t>
            </w:r>
            <w:proofErr w:type="gramStart"/>
            <w:r w:rsidR="00150284">
              <w:rPr>
                <w:rFonts w:eastAsia="Times New Roman"/>
                <w:iCs/>
                <w:szCs w:val="24"/>
                <w:lang w:eastAsia="lt-LT"/>
              </w:rPr>
              <w:t xml:space="preserve"> </w:t>
            </w:r>
            <w:r>
              <w:rPr>
                <w:rFonts w:eastAsia="Times New Roman"/>
                <w:iCs/>
                <w:szCs w:val="24"/>
                <w:lang w:eastAsia="lt-LT"/>
              </w:rPr>
              <w:t xml:space="preserve"> </w:t>
            </w:r>
            <w:proofErr w:type="gramEnd"/>
            <w:r>
              <w:rPr>
                <w:rFonts w:eastAsia="Times New Roman"/>
                <w:iCs/>
                <w:szCs w:val="24"/>
                <w:lang w:eastAsia="lt-LT"/>
              </w:rPr>
              <w:t>projekte nebėra tokio punkto</w:t>
            </w:r>
          </w:p>
        </w:tc>
      </w:tr>
      <w:tr w:rsidR="00711EF2" w:rsidRPr="00711EF2" w:rsidTr="000917E0">
        <w:tc>
          <w:tcPr>
            <w:tcW w:w="276" w:type="pct"/>
          </w:tcPr>
          <w:p w:rsidR="00711EF2" w:rsidRPr="00711EF2" w:rsidRDefault="00711EF2" w:rsidP="008330A1">
            <w:pPr>
              <w:pStyle w:val="Dainiausstilius"/>
              <w:ind w:firstLine="0"/>
              <w:jc w:val="center"/>
              <w:rPr>
                <w:rFonts w:eastAsia="Times New Roman"/>
                <w:bCs/>
                <w:szCs w:val="24"/>
              </w:rPr>
            </w:pPr>
            <w:r>
              <w:rPr>
                <w:rFonts w:eastAsia="Times New Roman"/>
                <w:bCs/>
                <w:szCs w:val="24"/>
              </w:rPr>
              <w:t>3.</w:t>
            </w:r>
          </w:p>
        </w:tc>
        <w:tc>
          <w:tcPr>
            <w:tcW w:w="1918" w:type="pct"/>
          </w:tcPr>
          <w:p w:rsidR="00711EF2" w:rsidRPr="00711EF2" w:rsidRDefault="00711EF2" w:rsidP="00711EF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318"/>
              <w:jc w:val="both"/>
              <w:rPr>
                <w:rFonts w:ascii="Times New Roman" w:hAnsi="Times New Roman" w:cs="Times New Roman"/>
                <w:sz w:val="24"/>
                <w:szCs w:val="24"/>
              </w:rPr>
            </w:pPr>
            <w:r w:rsidRPr="00711EF2">
              <w:rPr>
                <w:rFonts w:ascii="Times New Roman" w:hAnsi="Times New Roman" w:cs="Times New Roman"/>
                <w:sz w:val="24"/>
                <w:szCs w:val="24"/>
              </w:rPr>
              <w:t>Siūlo nustatyti šio teisės akto 15 punkto kontrolės mechanizmą.</w:t>
            </w:r>
          </w:p>
        </w:tc>
        <w:tc>
          <w:tcPr>
            <w:tcW w:w="2806" w:type="pct"/>
            <w:gridSpan w:val="2"/>
          </w:tcPr>
          <w:p w:rsidR="00392E67" w:rsidRDefault="00711EF2" w:rsidP="00F44DF9">
            <w:pPr>
              <w:pStyle w:val="Dainiausstilius"/>
              <w:ind w:firstLine="318"/>
              <w:rPr>
                <w:rFonts w:eastAsia="Times New Roman"/>
                <w:iCs/>
                <w:szCs w:val="24"/>
                <w:lang w:eastAsia="lt-LT"/>
              </w:rPr>
            </w:pPr>
            <w:r>
              <w:rPr>
                <w:rFonts w:eastAsia="Times New Roman"/>
                <w:iCs/>
                <w:szCs w:val="24"/>
                <w:lang w:eastAsia="lt-LT"/>
              </w:rPr>
              <w:t>Neatsižvelgta</w:t>
            </w:r>
            <w:r w:rsidR="00392E67">
              <w:rPr>
                <w:rFonts w:eastAsia="Times New Roman"/>
                <w:iCs/>
                <w:szCs w:val="24"/>
                <w:lang w:eastAsia="lt-LT"/>
              </w:rPr>
              <w:t>.</w:t>
            </w:r>
          </w:p>
          <w:p w:rsidR="00711EF2" w:rsidRPr="00711EF2" w:rsidRDefault="00421AF8" w:rsidP="00421AF8">
            <w:pPr>
              <w:pStyle w:val="Dainiausstilius"/>
              <w:ind w:firstLine="318"/>
              <w:rPr>
                <w:rFonts w:eastAsia="Times New Roman"/>
                <w:iCs/>
                <w:szCs w:val="24"/>
                <w:lang w:eastAsia="lt-LT"/>
              </w:rPr>
            </w:pPr>
            <w:r>
              <w:rPr>
                <w:rFonts w:eastAsia="Times New Roman"/>
                <w:iCs/>
                <w:szCs w:val="24"/>
                <w:lang w:eastAsia="lt-LT"/>
              </w:rPr>
              <w:t>Tvarkos aprašo</w:t>
            </w:r>
            <w:proofErr w:type="gramStart"/>
            <w:r>
              <w:rPr>
                <w:rFonts w:eastAsia="Times New Roman"/>
                <w:iCs/>
                <w:szCs w:val="24"/>
                <w:lang w:eastAsia="lt-LT"/>
              </w:rPr>
              <w:t xml:space="preserve">  </w:t>
            </w:r>
            <w:proofErr w:type="gramEnd"/>
            <w:r>
              <w:rPr>
                <w:rFonts w:eastAsia="Times New Roman"/>
                <w:iCs/>
                <w:szCs w:val="24"/>
                <w:lang w:eastAsia="lt-LT"/>
              </w:rPr>
              <w:t>projekte nebėra tokio punkto</w:t>
            </w:r>
            <w:r w:rsidR="00711EF2">
              <w:rPr>
                <w:rFonts w:eastAsia="Times New Roman"/>
                <w:iCs/>
                <w:szCs w:val="24"/>
                <w:lang w:eastAsia="lt-LT"/>
              </w:rPr>
              <w:t>.</w:t>
            </w:r>
          </w:p>
        </w:tc>
      </w:tr>
      <w:tr w:rsidR="00711EF2" w:rsidRPr="00711EF2" w:rsidTr="000917E0">
        <w:tc>
          <w:tcPr>
            <w:tcW w:w="276" w:type="pct"/>
          </w:tcPr>
          <w:p w:rsidR="00711EF2" w:rsidRPr="00711EF2" w:rsidRDefault="00711EF2" w:rsidP="008330A1">
            <w:pPr>
              <w:pStyle w:val="Dainiausstilius"/>
              <w:ind w:firstLine="0"/>
              <w:jc w:val="center"/>
              <w:rPr>
                <w:rFonts w:eastAsia="Times New Roman"/>
                <w:bCs/>
                <w:szCs w:val="24"/>
              </w:rPr>
            </w:pPr>
            <w:r>
              <w:rPr>
                <w:rFonts w:eastAsia="Times New Roman"/>
                <w:bCs/>
                <w:szCs w:val="24"/>
              </w:rPr>
              <w:t>4.</w:t>
            </w:r>
          </w:p>
        </w:tc>
        <w:tc>
          <w:tcPr>
            <w:tcW w:w="1918" w:type="pct"/>
          </w:tcPr>
          <w:p w:rsidR="008F23FA" w:rsidRPr="008F23FA" w:rsidRDefault="008F23FA" w:rsidP="008F23FA">
            <w:pPr>
              <w:spacing w:after="0" w:line="240" w:lineRule="auto"/>
              <w:ind w:firstLine="318"/>
              <w:jc w:val="both"/>
              <w:rPr>
                <w:rFonts w:ascii="Times New Roman" w:hAnsi="Times New Roman"/>
                <w:sz w:val="24"/>
                <w:szCs w:val="24"/>
              </w:rPr>
            </w:pPr>
            <w:r w:rsidRPr="008F23FA">
              <w:rPr>
                <w:rFonts w:ascii="Times New Roman" w:hAnsi="Times New Roman"/>
                <w:sz w:val="24"/>
                <w:szCs w:val="24"/>
              </w:rPr>
              <w:t>Siūlo papildytas nauju punktu:</w:t>
            </w:r>
          </w:p>
          <w:p w:rsidR="00711EF2" w:rsidRPr="00711EF2" w:rsidRDefault="008F23FA" w:rsidP="000917E0">
            <w:pPr>
              <w:pStyle w:val="NoSpacing"/>
              <w:ind w:firstLine="318"/>
              <w:jc w:val="both"/>
              <w:rPr>
                <w:szCs w:val="24"/>
              </w:rPr>
            </w:pPr>
            <w:r w:rsidRPr="008F23FA">
              <w:rPr>
                <w:szCs w:val="24"/>
              </w:rPr>
              <w:lastRenderedPageBreak/>
              <w:t xml:space="preserve">„Pastato ar jo patalpų, kuriuose bus vykdoma ikimokyklinio amžiaus vaikų ugdymo (P85.10.10), priešmokyklinio amžiaus vaikų ugdymo (P.85.10.20) ir pradinio ugdymo (P.85.20) veikla, savininkas (naudotojas, valdytojas) iki veiklos pradžios turi raštu </w:t>
            </w:r>
            <w:proofErr w:type="gramStart"/>
            <w:r w:rsidRPr="008F23FA">
              <w:rPr>
                <w:szCs w:val="24"/>
              </w:rPr>
              <w:t>kreiptis</w:t>
            </w:r>
            <w:proofErr w:type="gramEnd"/>
            <w:r w:rsidRPr="008F23FA">
              <w:rPr>
                <w:szCs w:val="24"/>
              </w:rPr>
              <w:t xml:space="preserve"> į Priešgaisrinės apsaugos ir gelbėjimo departamentui prie Vidaus reikalų ministerijos pavaldžią įstaigą konkrečioje teritorijoje, kuri teisės aktų nustatyta tvarka patvirtina, ar atitinkamai veiklai vykdyti numatytos patalpos atitinka (neatitinka) bendruosius eksploatuojamų objektų, neatsižvelgiant į jų nuosavybės formas, gaisrinės saugos reikalavimus. Tokia veikla nėra galima, jei numatytai veiklai vykdyti numatytas statinys (jo patalpos) </w:t>
            </w:r>
            <w:proofErr w:type="gramStart"/>
            <w:r w:rsidRPr="008F23FA">
              <w:rPr>
                <w:szCs w:val="24"/>
              </w:rPr>
              <w:t>neatitinka</w:t>
            </w:r>
            <w:proofErr w:type="gramEnd"/>
            <w:r w:rsidRPr="008F23FA">
              <w:rPr>
                <w:szCs w:val="24"/>
              </w:rPr>
              <w:t xml:space="preserve"> Aprašo ir bendrųjų eksploatuojamų objektų gaisrinės saugos reikalavimų.</w:t>
            </w:r>
          </w:p>
        </w:tc>
        <w:tc>
          <w:tcPr>
            <w:tcW w:w="2806" w:type="pct"/>
            <w:gridSpan w:val="2"/>
          </w:tcPr>
          <w:p w:rsidR="002D4B21" w:rsidRDefault="008F23FA" w:rsidP="00F44DF9">
            <w:pPr>
              <w:pStyle w:val="Dainiausstilius"/>
              <w:ind w:firstLine="318"/>
              <w:rPr>
                <w:rFonts w:eastAsia="Times New Roman"/>
                <w:iCs/>
                <w:szCs w:val="24"/>
                <w:lang w:eastAsia="lt-LT"/>
              </w:rPr>
            </w:pPr>
            <w:r>
              <w:rPr>
                <w:rFonts w:eastAsia="Times New Roman"/>
                <w:iCs/>
                <w:szCs w:val="24"/>
                <w:lang w:eastAsia="lt-LT"/>
              </w:rPr>
              <w:lastRenderedPageBreak/>
              <w:t>Neatsižvelgta</w:t>
            </w:r>
            <w:r w:rsidR="002D4B21">
              <w:rPr>
                <w:rFonts w:eastAsia="Times New Roman"/>
                <w:iCs/>
                <w:szCs w:val="24"/>
                <w:lang w:eastAsia="lt-LT"/>
              </w:rPr>
              <w:t>.</w:t>
            </w:r>
          </w:p>
          <w:p w:rsidR="00711EF2" w:rsidRPr="00711EF2" w:rsidRDefault="002D4B21" w:rsidP="00150284">
            <w:pPr>
              <w:pStyle w:val="Dainiausstilius"/>
              <w:ind w:firstLine="318"/>
              <w:rPr>
                <w:rFonts w:eastAsia="Times New Roman"/>
                <w:iCs/>
                <w:szCs w:val="24"/>
                <w:lang w:eastAsia="lt-LT"/>
              </w:rPr>
            </w:pPr>
            <w:r>
              <w:rPr>
                <w:rFonts w:eastAsia="Times New Roman"/>
                <w:iCs/>
                <w:szCs w:val="24"/>
                <w:lang w:eastAsia="lt-LT"/>
              </w:rPr>
              <w:lastRenderedPageBreak/>
              <w:t>T</w:t>
            </w:r>
            <w:r w:rsidR="008F23FA">
              <w:rPr>
                <w:rFonts w:eastAsia="Times New Roman"/>
                <w:iCs/>
                <w:szCs w:val="24"/>
                <w:lang w:eastAsia="lt-LT"/>
              </w:rPr>
              <w:t xml:space="preserve">ai ne </w:t>
            </w:r>
            <w:r>
              <w:rPr>
                <w:rFonts w:eastAsia="Times New Roman"/>
                <w:iCs/>
                <w:szCs w:val="24"/>
                <w:lang w:eastAsia="lt-LT"/>
              </w:rPr>
              <w:t xml:space="preserve">šio </w:t>
            </w:r>
            <w:r w:rsidR="00150284">
              <w:rPr>
                <w:rFonts w:eastAsia="Times New Roman"/>
                <w:iCs/>
                <w:szCs w:val="24"/>
                <w:lang w:eastAsia="lt-LT"/>
              </w:rPr>
              <w:t>Tvarkos aprašo projekto</w:t>
            </w:r>
            <w:r w:rsidR="008F23FA">
              <w:rPr>
                <w:rFonts w:eastAsia="Times New Roman"/>
                <w:iCs/>
                <w:szCs w:val="24"/>
                <w:lang w:eastAsia="lt-LT"/>
              </w:rPr>
              <w:t xml:space="preserve"> reglamentavimo sritis.</w:t>
            </w:r>
          </w:p>
        </w:tc>
      </w:tr>
      <w:tr w:rsidR="008F23FA" w:rsidRPr="00711EF2" w:rsidTr="00CC69BC">
        <w:tc>
          <w:tcPr>
            <w:tcW w:w="276" w:type="pct"/>
          </w:tcPr>
          <w:p w:rsidR="008F23FA" w:rsidRPr="00711EF2" w:rsidRDefault="008F23FA" w:rsidP="008330A1">
            <w:pPr>
              <w:pStyle w:val="Dainiausstilius"/>
              <w:ind w:firstLine="0"/>
              <w:jc w:val="center"/>
              <w:rPr>
                <w:rFonts w:eastAsia="Times New Roman"/>
                <w:bCs/>
                <w:szCs w:val="24"/>
              </w:rPr>
            </w:pPr>
          </w:p>
        </w:tc>
        <w:tc>
          <w:tcPr>
            <w:tcW w:w="4724" w:type="pct"/>
            <w:gridSpan w:val="3"/>
          </w:tcPr>
          <w:p w:rsidR="008F23FA" w:rsidRPr="00F31C71" w:rsidRDefault="008F23FA" w:rsidP="00F44DF9">
            <w:pPr>
              <w:pStyle w:val="Dainiausstilius"/>
              <w:ind w:firstLine="318"/>
              <w:rPr>
                <w:b/>
                <w:szCs w:val="24"/>
              </w:rPr>
            </w:pPr>
            <w:r w:rsidRPr="00F31C71">
              <w:rPr>
                <w:b/>
                <w:szCs w:val="24"/>
              </w:rPr>
              <w:t xml:space="preserve">Antakalnio rajono </w:t>
            </w:r>
            <w:proofErr w:type="spellStart"/>
            <w:r w:rsidRPr="00F31C71">
              <w:rPr>
                <w:b/>
                <w:szCs w:val="24"/>
              </w:rPr>
              <w:t>Dailidžių</w:t>
            </w:r>
            <w:proofErr w:type="spellEnd"/>
            <w:r w:rsidRPr="00F31C71">
              <w:rPr>
                <w:b/>
                <w:szCs w:val="24"/>
              </w:rPr>
              <w:t xml:space="preserve"> gatvės gyventojų iniciatyvinė grupė</w:t>
            </w:r>
          </w:p>
          <w:p w:rsidR="00214D69" w:rsidRPr="00711EF2" w:rsidRDefault="00214D69" w:rsidP="00214D69">
            <w:pPr>
              <w:pStyle w:val="Dainiausstilius"/>
              <w:ind w:firstLine="318"/>
              <w:rPr>
                <w:rFonts w:eastAsia="Times New Roman"/>
                <w:iCs/>
                <w:szCs w:val="24"/>
                <w:lang w:eastAsia="lt-LT"/>
              </w:rPr>
            </w:pPr>
            <w:r w:rsidRPr="00F31C71">
              <w:rPr>
                <w:b/>
              </w:rPr>
              <w:t>2017 m. lapkričio 20 d. raštas</w:t>
            </w:r>
          </w:p>
        </w:tc>
      </w:tr>
      <w:tr w:rsidR="00711EF2" w:rsidRPr="00711EF2" w:rsidTr="00041915">
        <w:tc>
          <w:tcPr>
            <w:tcW w:w="276" w:type="pct"/>
          </w:tcPr>
          <w:p w:rsidR="00711EF2" w:rsidRPr="00711EF2" w:rsidRDefault="008F23FA" w:rsidP="008330A1">
            <w:pPr>
              <w:pStyle w:val="Dainiausstilius"/>
              <w:ind w:firstLine="0"/>
              <w:jc w:val="center"/>
              <w:rPr>
                <w:rFonts w:eastAsia="Times New Roman"/>
                <w:bCs/>
                <w:szCs w:val="24"/>
              </w:rPr>
            </w:pPr>
            <w:r>
              <w:rPr>
                <w:rFonts w:eastAsia="Times New Roman"/>
                <w:bCs/>
                <w:szCs w:val="24"/>
              </w:rPr>
              <w:t>1.</w:t>
            </w:r>
          </w:p>
        </w:tc>
        <w:tc>
          <w:tcPr>
            <w:tcW w:w="1918" w:type="pct"/>
          </w:tcPr>
          <w:p w:rsidR="00711EF2" w:rsidRDefault="008F23FA" w:rsidP="008330A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318"/>
              <w:jc w:val="both"/>
              <w:rPr>
                <w:rFonts w:ascii="Times New Roman" w:hAnsi="Times New Roman" w:cs="Times New Roman"/>
                <w:sz w:val="24"/>
                <w:szCs w:val="24"/>
              </w:rPr>
            </w:pPr>
            <w:r>
              <w:rPr>
                <w:rFonts w:ascii="Times New Roman" w:hAnsi="Times New Roman" w:cs="Times New Roman"/>
                <w:sz w:val="24"/>
                <w:szCs w:val="24"/>
              </w:rPr>
              <w:t>Siūlo nutarimo projekto 11 punktą papildyti nuostata:</w:t>
            </w:r>
          </w:p>
          <w:p w:rsidR="008F23FA" w:rsidRPr="00711EF2" w:rsidRDefault="008F23FA" w:rsidP="008330A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318"/>
              <w:jc w:val="both"/>
              <w:rPr>
                <w:rFonts w:ascii="Times New Roman" w:hAnsi="Times New Roman" w:cs="Times New Roman"/>
                <w:sz w:val="24"/>
                <w:szCs w:val="24"/>
              </w:rPr>
            </w:pPr>
            <w:r>
              <w:rPr>
                <w:rFonts w:ascii="Times New Roman" w:hAnsi="Times New Roman" w:cs="Times New Roman"/>
                <w:sz w:val="24"/>
                <w:szCs w:val="24"/>
              </w:rPr>
              <w:t xml:space="preserve">„Jeigu viena bendra infrastruktūra (įvažiavimas į teritoriją, parkavimo vietos, kiemas) naudojasi kelių sublokuotų vienbučių ar </w:t>
            </w:r>
            <w:proofErr w:type="spellStart"/>
            <w:r>
              <w:rPr>
                <w:rFonts w:ascii="Times New Roman" w:hAnsi="Times New Roman" w:cs="Times New Roman"/>
                <w:sz w:val="24"/>
                <w:szCs w:val="24"/>
              </w:rPr>
              <w:t>dvibučių</w:t>
            </w:r>
            <w:proofErr w:type="spellEnd"/>
            <w:r>
              <w:rPr>
                <w:rFonts w:ascii="Times New Roman" w:hAnsi="Times New Roman" w:cs="Times New Roman"/>
                <w:sz w:val="24"/>
                <w:szCs w:val="24"/>
              </w:rPr>
              <w:t xml:space="preserve"> gyvenamųjų namų savininkai, 4 punkte numatytą veiklą planuojantis vykdyti subjektas privalo gauti šia infrastruktūra besinaudojančių asmenų raštiškus sutikimus</w:t>
            </w:r>
            <w:r w:rsidR="001050AE">
              <w:rPr>
                <w:rFonts w:ascii="Times New Roman" w:hAnsi="Times New Roman" w:cs="Times New Roman"/>
                <w:sz w:val="24"/>
                <w:szCs w:val="24"/>
              </w:rPr>
              <w:t>.“</w:t>
            </w:r>
          </w:p>
        </w:tc>
        <w:tc>
          <w:tcPr>
            <w:tcW w:w="2806" w:type="pct"/>
            <w:gridSpan w:val="2"/>
          </w:tcPr>
          <w:p w:rsidR="001050AE" w:rsidRDefault="001050AE" w:rsidP="001050AE">
            <w:pPr>
              <w:pStyle w:val="BodyText"/>
              <w:rPr>
                <w:rFonts w:eastAsia="Times New Roman"/>
                <w:iCs/>
                <w:lang w:eastAsia="lt-LT"/>
              </w:rPr>
            </w:pPr>
            <w:r>
              <w:rPr>
                <w:rFonts w:eastAsia="Times New Roman"/>
                <w:iCs/>
                <w:lang w:eastAsia="lt-LT"/>
              </w:rPr>
              <w:t>Atsižvelgta iš dalies.</w:t>
            </w:r>
            <w:r w:rsidR="0057669E">
              <w:rPr>
                <w:rFonts w:eastAsia="Times New Roman"/>
                <w:iCs/>
                <w:lang w:eastAsia="lt-LT"/>
              </w:rPr>
              <w:t xml:space="preserve"> (Aplinkos ministerijos 2017-12-20 raštas</w:t>
            </w:r>
            <w:proofErr w:type="gramStart"/>
            <w:r w:rsidR="0057669E">
              <w:rPr>
                <w:rFonts w:eastAsia="Times New Roman"/>
                <w:iCs/>
                <w:lang w:eastAsia="lt-LT"/>
              </w:rPr>
              <w:t xml:space="preserve">  </w:t>
            </w:r>
            <w:proofErr w:type="gramEnd"/>
            <w:r w:rsidR="0057669E">
              <w:rPr>
                <w:rFonts w:eastAsia="Times New Roman"/>
                <w:iCs/>
                <w:lang w:eastAsia="lt-LT"/>
              </w:rPr>
              <w:t xml:space="preserve">bendruomenei Nr. (14-5)-D8-8414). </w:t>
            </w:r>
          </w:p>
          <w:p w:rsidR="001050AE" w:rsidRDefault="001050AE" w:rsidP="001050AE">
            <w:pPr>
              <w:pStyle w:val="BodyText"/>
              <w:rPr>
                <w:i/>
                <w:color w:val="000000" w:themeColor="text1"/>
              </w:rPr>
            </w:pPr>
            <w:r>
              <w:rPr>
                <w:rFonts w:eastAsia="Times New Roman"/>
                <w:iCs/>
                <w:lang w:eastAsia="lt-LT"/>
              </w:rPr>
              <w:t>Aplinkos ministerija a</w:t>
            </w:r>
            <w:r>
              <w:t xml:space="preserve">tsižvelgusi į Sveikatos apsaugos ministerijos 2017 m. liepos 24 d. raštu Nr. (1.136-411)4-2778 pateiktą siūlymą ir su minėtu raštu pateikto Lietuvos Respublikos Seimo narės Ingridos </w:t>
            </w:r>
            <w:proofErr w:type="spellStart"/>
            <w:r>
              <w:t>Šimonytės</w:t>
            </w:r>
            <w:proofErr w:type="spellEnd"/>
            <w:r>
              <w:t xml:space="preserve"> LR sveikatos ministerijai adresuoto 2017-06-19 rašto Nr. SN-23 kopiją, kurioje aprašomi Vilniaus miesto </w:t>
            </w:r>
            <w:proofErr w:type="spellStart"/>
            <w:r>
              <w:t>Dailidžių</w:t>
            </w:r>
            <w:proofErr w:type="spellEnd"/>
            <w:r>
              <w:t xml:space="preserve"> gatvės gyventojų nusiskundimai dėl </w:t>
            </w:r>
            <w:proofErr w:type="spellStart"/>
            <w:r>
              <w:t>Dailidžių</w:t>
            </w:r>
            <w:proofErr w:type="spellEnd"/>
            <w:r>
              <w:t xml:space="preserve"> g. Nr. 42 gyvenamajame name</w:t>
            </w:r>
            <w:proofErr w:type="gramStart"/>
            <w:r>
              <w:t xml:space="preserve">  </w:t>
            </w:r>
            <w:proofErr w:type="gramEnd"/>
            <w:r>
              <w:t xml:space="preserve">vykdomos vaikų darželio „Po smilgom“ veiklos galimai keliamų nepatogumų ir suinteresuotų institucijų pateiktas pastabas, </w:t>
            </w:r>
            <w:r w:rsidR="00750AC7">
              <w:t>T</w:t>
            </w:r>
            <w:r>
              <w:t>varkos apraš</w:t>
            </w:r>
            <w:r w:rsidR="00750AC7">
              <w:t xml:space="preserve">o 10 punktą </w:t>
            </w:r>
            <w:r>
              <w:t xml:space="preserve"> siūlo papildyti šia nuostata: </w:t>
            </w:r>
            <w:r w:rsidRPr="00BF3758">
              <w:rPr>
                <w:i/>
              </w:rPr>
              <w:t>„</w:t>
            </w:r>
            <w:r w:rsidRPr="00BF3758">
              <w:rPr>
                <w:i/>
                <w:color w:val="000000" w:themeColor="text1"/>
              </w:rPr>
              <w:t xml:space="preserve">Jeigu blokuotas </w:t>
            </w:r>
            <w:r w:rsidR="00750AC7">
              <w:rPr>
                <w:i/>
                <w:color w:val="000000" w:themeColor="text1"/>
              </w:rPr>
              <w:t xml:space="preserve">gyvenamosios paskirties </w:t>
            </w:r>
            <w:r w:rsidRPr="00BF3758">
              <w:rPr>
                <w:i/>
                <w:color w:val="000000" w:themeColor="text1"/>
              </w:rPr>
              <w:t xml:space="preserve">vieno buto </w:t>
            </w:r>
            <w:r w:rsidR="00750AC7">
              <w:rPr>
                <w:i/>
                <w:color w:val="000000" w:themeColor="text1"/>
              </w:rPr>
              <w:t>pastatas</w:t>
            </w:r>
            <w:r w:rsidRPr="00BF3758">
              <w:rPr>
                <w:i/>
                <w:color w:val="000000" w:themeColor="text1"/>
              </w:rPr>
              <w:t xml:space="preserve"> turi daugiau </w:t>
            </w:r>
            <w:r>
              <w:rPr>
                <w:i/>
                <w:color w:val="000000" w:themeColor="text1"/>
              </w:rPr>
              <w:t>kaip</w:t>
            </w:r>
            <w:r w:rsidRPr="00BF3758">
              <w:rPr>
                <w:i/>
                <w:color w:val="000000" w:themeColor="text1"/>
              </w:rPr>
              <w:t xml:space="preserve"> vieną savininką, planuojantis </w:t>
            </w:r>
            <w:r w:rsidR="00750AC7">
              <w:rPr>
                <w:i/>
                <w:color w:val="000000" w:themeColor="text1"/>
              </w:rPr>
              <w:t xml:space="preserve">šį pastatą </w:t>
            </w:r>
            <w:r w:rsidRPr="00BF3758">
              <w:rPr>
                <w:i/>
                <w:color w:val="000000" w:themeColor="text1"/>
              </w:rPr>
              <w:t xml:space="preserve">ar jo gyvenamąsias patalpas naudoti </w:t>
            </w:r>
            <w:r w:rsidR="00750AC7">
              <w:rPr>
                <w:i/>
                <w:color w:val="000000" w:themeColor="text1"/>
              </w:rPr>
              <w:t xml:space="preserve">Tvarkos aprašo 3 punkte </w:t>
            </w:r>
            <w:r w:rsidRPr="00BF3758">
              <w:rPr>
                <w:i/>
                <w:color w:val="000000" w:themeColor="text1"/>
              </w:rPr>
              <w:t xml:space="preserve"> nurodytų rūšių veiklai</w:t>
            </w:r>
            <w:r w:rsidR="00750AC7">
              <w:rPr>
                <w:i/>
                <w:color w:val="000000" w:themeColor="text1"/>
              </w:rPr>
              <w:t xml:space="preserve">, kurios vykdymas susijęs su klientų lankymusi, </w:t>
            </w:r>
            <w:r w:rsidRPr="00BF3758">
              <w:rPr>
                <w:i/>
                <w:color w:val="000000" w:themeColor="text1"/>
              </w:rPr>
              <w:t xml:space="preserve"> savininkas turi gauti gretimų (blokuotų) </w:t>
            </w:r>
            <w:r w:rsidR="00750AC7">
              <w:rPr>
                <w:i/>
                <w:color w:val="000000" w:themeColor="text1"/>
              </w:rPr>
              <w:t xml:space="preserve">gyvenamosios paskirties vieno buto savininkų </w:t>
            </w:r>
            <w:r w:rsidRPr="00BF3758">
              <w:rPr>
                <w:i/>
                <w:color w:val="000000" w:themeColor="text1"/>
              </w:rPr>
              <w:t>sutikimus</w:t>
            </w:r>
            <w:r>
              <w:rPr>
                <w:i/>
                <w:color w:val="000000" w:themeColor="text1"/>
              </w:rPr>
              <w:t xml:space="preserve"> raštu.</w:t>
            </w:r>
            <w:r w:rsidRPr="00BF3758">
              <w:rPr>
                <w:i/>
                <w:color w:val="000000" w:themeColor="text1"/>
              </w:rPr>
              <w:t xml:space="preserve">“ </w:t>
            </w:r>
          </w:p>
          <w:p w:rsidR="00711EF2" w:rsidRPr="00711EF2" w:rsidRDefault="00711EF2" w:rsidP="001050AE">
            <w:pPr>
              <w:pStyle w:val="Dainiausstilius"/>
              <w:ind w:firstLine="318"/>
              <w:rPr>
                <w:rFonts w:eastAsia="Times New Roman"/>
                <w:iCs/>
                <w:szCs w:val="24"/>
                <w:lang w:eastAsia="lt-LT"/>
              </w:rPr>
            </w:pPr>
          </w:p>
        </w:tc>
      </w:tr>
      <w:tr w:rsidR="00711EF2" w:rsidRPr="00711EF2" w:rsidTr="00041915">
        <w:tc>
          <w:tcPr>
            <w:tcW w:w="276" w:type="pct"/>
          </w:tcPr>
          <w:p w:rsidR="00711EF2" w:rsidRPr="00711EF2" w:rsidRDefault="001050AE" w:rsidP="008330A1">
            <w:pPr>
              <w:pStyle w:val="Dainiausstilius"/>
              <w:ind w:firstLine="0"/>
              <w:jc w:val="center"/>
              <w:rPr>
                <w:rFonts w:eastAsia="Times New Roman"/>
                <w:bCs/>
                <w:szCs w:val="24"/>
              </w:rPr>
            </w:pPr>
            <w:r>
              <w:rPr>
                <w:rFonts w:eastAsia="Times New Roman"/>
                <w:bCs/>
                <w:szCs w:val="24"/>
              </w:rPr>
              <w:t>2</w:t>
            </w:r>
          </w:p>
        </w:tc>
        <w:tc>
          <w:tcPr>
            <w:tcW w:w="1918" w:type="pct"/>
          </w:tcPr>
          <w:p w:rsidR="00711EF2" w:rsidRDefault="001050AE" w:rsidP="008330A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318"/>
              <w:jc w:val="both"/>
              <w:rPr>
                <w:rFonts w:ascii="Times New Roman" w:hAnsi="Times New Roman" w:cs="Times New Roman"/>
                <w:sz w:val="24"/>
                <w:szCs w:val="24"/>
              </w:rPr>
            </w:pPr>
            <w:r>
              <w:rPr>
                <w:rFonts w:ascii="Times New Roman" w:hAnsi="Times New Roman" w:cs="Times New Roman"/>
                <w:sz w:val="24"/>
                <w:szCs w:val="24"/>
              </w:rPr>
              <w:t>Siūlo pakeisti 12 punkto formuluotę</w:t>
            </w:r>
            <w:r w:rsidR="00AE2CA8">
              <w:rPr>
                <w:rFonts w:ascii="Times New Roman" w:hAnsi="Times New Roman" w:cs="Times New Roman"/>
                <w:sz w:val="24"/>
                <w:szCs w:val="24"/>
              </w:rPr>
              <w:t xml:space="preserve"> </w:t>
            </w:r>
            <w:r>
              <w:rPr>
                <w:rFonts w:ascii="Times New Roman" w:hAnsi="Times New Roman" w:cs="Times New Roman"/>
                <w:sz w:val="24"/>
                <w:szCs w:val="24"/>
              </w:rPr>
              <w:t>sekančiai:</w:t>
            </w:r>
          </w:p>
          <w:p w:rsidR="001050AE" w:rsidRPr="00711EF2" w:rsidRDefault="001050AE" w:rsidP="001050A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318"/>
              <w:jc w:val="both"/>
              <w:rPr>
                <w:rFonts w:ascii="Times New Roman" w:hAnsi="Times New Roman" w:cs="Times New Roman"/>
                <w:sz w:val="24"/>
                <w:szCs w:val="24"/>
              </w:rPr>
            </w:pPr>
            <w:r>
              <w:rPr>
                <w:rFonts w:ascii="Times New Roman" w:hAnsi="Times New Roman" w:cs="Times New Roman"/>
                <w:sz w:val="24"/>
                <w:szCs w:val="24"/>
              </w:rPr>
              <w:lastRenderedPageBreak/>
              <w:t>„Jeigu Aprašo 4 punkte nurodytų rūšių veiklos vykdymas susijęs su klientų lankymusi, sprendimą dėl daugiabučio gyvenamojo namo gyvenamųjų patalpų , nepakeitus jų paskirties naudojimo atitinkamai veiklai priima daugiabučio gyvenamojo namo butų ir kitų patalpų savininkai, vadovaudamiesi Lietuvos Respublikos civilinio kodekso 4.85 straipsniu. Sprendimas nepakeitus gyvenamųjų patalpų paskirties leisti vykdyti Aprašo 4 punkte nurodytą veiklą priimamas tik turint visų bendru laiptinės įėjimu besinaudojančių butų savininkų raštiškus sutikimus.“</w:t>
            </w:r>
          </w:p>
        </w:tc>
        <w:tc>
          <w:tcPr>
            <w:tcW w:w="2806" w:type="pct"/>
            <w:gridSpan w:val="2"/>
          </w:tcPr>
          <w:p w:rsidR="001050AE" w:rsidRDefault="001050AE" w:rsidP="001050AE">
            <w:pPr>
              <w:pStyle w:val="BodyText"/>
            </w:pPr>
            <w:r>
              <w:lastRenderedPageBreak/>
              <w:t>Atsižvelgta iš dalies.</w:t>
            </w:r>
          </w:p>
          <w:p w:rsidR="001050AE" w:rsidRDefault="001050AE" w:rsidP="001050AE">
            <w:pPr>
              <w:pStyle w:val="BodyText"/>
            </w:pPr>
            <w:r>
              <w:lastRenderedPageBreak/>
              <w:t xml:space="preserve">Pagal Civilinio kodekso 4.85 straipsnio 3 dalį, jei bendro naudojimo objektai naudojami tenkinti ne viso gyvenamojo namo, o tik atskiroje jo dalyje (laiptinėje) esančių butų ir kitų patalpų savininkų </w:t>
            </w:r>
            <w:proofErr w:type="gramStart"/>
            <w:r>
              <w:t>poreikius</w:t>
            </w:r>
            <w:proofErr w:type="gramEnd"/>
            <w:r>
              <w:t xml:space="preserve">, sprendimai gali būti priimami tos dalies (laiptinės) butų ir kitų patalpų savininkų balsų </w:t>
            </w:r>
            <w:r w:rsidRPr="004C3E5C">
              <w:rPr>
                <w:i/>
              </w:rPr>
              <w:t>dauguma</w:t>
            </w:r>
            <w:r>
              <w:t xml:space="preserve">, jei įstatymuose nenumatyta kitaip. </w:t>
            </w:r>
          </w:p>
          <w:p w:rsidR="00711EF2" w:rsidRPr="00711EF2" w:rsidRDefault="001050AE" w:rsidP="00802EFB">
            <w:pPr>
              <w:pStyle w:val="Dainiausstilius"/>
              <w:ind w:firstLine="318"/>
              <w:rPr>
                <w:rFonts w:eastAsia="Times New Roman"/>
                <w:iCs/>
                <w:szCs w:val="24"/>
                <w:lang w:eastAsia="lt-LT"/>
              </w:rPr>
            </w:pPr>
            <w:r>
              <w:rPr>
                <w:szCs w:val="24"/>
              </w:rPr>
              <w:t xml:space="preserve">Siekdami teisinio aiškumo ir atsižvelgdami į nuo 2013-01-01 pasikeitusias CK 4.85 straipsnio nuostatas, siūlome atitinkamai patikslinti </w:t>
            </w:r>
            <w:r w:rsidR="00802EFB">
              <w:rPr>
                <w:szCs w:val="24"/>
              </w:rPr>
              <w:t>T</w:t>
            </w:r>
            <w:r>
              <w:rPr>
                <w:szCs w:val="24"/>
              </w:rPr>
              <w:t>varkos aprašo projekto 1</w:t>
            </w:r>
            <w:r w:rsidR="00802EFB">
              <w:rPr>
                <w:szCs w:val="24"/>
              </w:rPr>
              <w:t>1</w:t>
            </w:r>
            <w:r>
              <w:rPr>
                <w:szCs w:val="24"/>
              </w:rPr>
              <w:t xml:space="preserve"> punktą, t. y. sprendimas </w:t>
            </w:r>
            <w:r w:rsidRPr="00A33AC3">
              <w:rPr>
                <w:szCs w:val="24"/>
              </w:rPr>
              <w:t xml:space="preserve">dėl gyvenamųjų patalpų naudojimo </w:t>
            </w:r>
            <w:r w:rsidRPr="00A33AC3">
              <w:rPr>
                <w:color w:val="000000" w:themeColor="text1"/>
                <w:szCs w:val="24"/>
              </w:rPr>
              <w:t xml:space="preserve">su klientų lankymusi susijusių rūšių veiklai vykdyti bus priimamas daugiabučio gyvenamojo namo laiptinės, kurioje </w:t>
            </w:r>
            <w:r>
              <w:rPr>
                <w:color w:val="000000" w:themeColor="text1"/>
                <w:szCs w:val="24"/>
              </w:rPr>
              <w:t>yra</w:t>
            </w:r>
            <w:r w:rsidRPr="00A33AC3">
              <w:rPr>
                <w:color w:val="000000" w:themeColor="text1"/>
                <w:szCs w:val="24"/>
              </w:rPr>
              <w:t xml:space="preserve"> gyvenamosios patalpos,  butų ir kitų patalpų savininkų balsų </w:t>
            </w:r>
            <w:r w:rsidRPr="001050AE">
              <w:rPr>
                <w:i/>
                <w:color w:val="000000" w:themeColor="text1"/>
                <w:szCs w:val="24"/>
              </w:rPr>
              <w:t>dauguma</w:t>
            </w:r>
            <w:r w:rsidRPr="00A33AC3">
              <w:rPr>
                <w:color w:val="000000" w:themeColor="text1"/>
                <w:szCs w:val="24"/>
              </w:rPr>
              <w:t xml:space="preserve"> </w:t>
            </w:r>
            <w:r>
              <w:rPr>
                <w:color w:val="000000" w:themeColor="text1"/>
                <w:szCs w:val="24"/>
              </w:rPr>
              <w:t xml:space="preserve">(CK 4.85 str. 3 d.) </w:t>
            </w:r>
            <w:r w:rsidRPr="00A33AC3">
              <w:rPr>
                <w:color w:val="000000" w:themeColor="text1"/>
                <w:szCs w:val="24"/>
              </w:rPr>
              <w:t>ir tik</w:t>
            </w:r>
            <w:r>
              <w:rPr>
                <w:color w:val="000000" w:themeColor="text1"/>
                <w:szCs w:val="24"/>
              </w:rPr>
              <w:t xml:space="preserve"> gavus</w:t>
            </w:r>
            <w:r w:rsidRPr="00A33AC3">
              <w:rPr>
                <w:color w:val="000000" w:themeColor="text1"/>
                <w:szCs w:val="24"/>
              </w:rPr>
              <w:t xml:space="preserve"> su šiomis patalpomis bendras sienas ir (ar) perdangas turinčių butų ir kitų patalpų savininkų raštiškus sutikimus</w:t>
            </w:r>
          </w:p>
        </w:tc>
      </w:tr>
      <w:tr w:rsidR="00214D69" w:rsidRPr="00711EF2" w:rsidTr="00CC69BC">
        <w:trPr>
          <w:trHeight w:val="319"/>
        </w:trPr>
        <w:tc>
          <w:tcPr>
            <w:tcW w:w="276" w:type="pct"/>
          </w:tcPr>
          <w:p w:rsidR="00214D69" w:rsidRPr="00711EF2" w:rsidRDefault="00214D69" w:rsidP="008330A1">
            <w:pPr>
              <w:pStyle w:val="Dainiausstilius"/>
              <w:ind w:firstLine="0"/>
              <w:jc w:val="center"/>
              <w:rPr>
                <w:rFonts w:eastAsia="Times New Roman"/>
                <w:bCs/>
                <w:szCs w:val="24"/>
              </w:rPr>
            </w:pPr>
          </w:p>
        </w:tc>
        <w:tc>
          <w:tcPr>
            <w:tcW w:w="4724" w:type="pct"/>
            <w:gridSpan w:val="3"/>
          </w:tcPr>
          <w:p w:rsidR="00214D69" w:rsidRPr="00F31C71" w:rsidRDefault="00214D69" w:rsidP="00F44DF9">
            <w:pPr>
              <w:pStyle w:val="Dainiausstilius"/>
              <w:ind w:firstLine="318"/>
              <w:rPr>
                <w:rFonts w:eastAsia="Times New Roman"/>
                <w:b/>
                <w:iCs/>
                <w:szCs w:val="24"/>
                <w:lang w:eastAsia="lt-LT"/>
              </w:rPr>
            </w:pPr>
            <w:r w:rsidRPr="00F31C71">
              <w:rPr>
                <w:rFonts w:eastAsia="Times New Roman"/>
                <w:b/>
                <w:iCs/>
                <w:szCs w:val="24"/>
                <w:lang w:eastAsia="lt-LT"/>
              </w:rPr>
              <w:t>Pilaitės bendruomenė 2017-11-17 raštas Nr. 17/LRV-05</w:t>
            </w:r>
          </w:p>
        </w:tc>
      </w:tr>
      <w:tr w:rsidR="001050AE" w:rsidRPr="00711EF2" w:rsidTr="00041915">
        <w:tc>
          <w:tcPr>
            <w:tcW w:w="276" w:type="pct"/>
          </w:tcPr>
          <w:p w:rsidR="001050AE" w:rsidRPr="00711EF2" w:rsidRDefault="007E1F99" w:rsidP="008330A1">
            <w:pPr>
              <w:pStyle w:val="Dainiausstilius"/>
              <w:ind w:firstLine="0"/>
              <w:jc w:val="center"/>
              <w:rPr>
                <w:rFonts w:eastAsia="Times New Roman"/>
                <w:bCs/>
                <w:szCs w:val="24"/>
              </w:rPr>
            </w:pPr>
            <w:r>
              <w:rPr>
                <w:rFonts w:eastAsia="Times New Roman"/>
                <w:bCs/>
                <w:szCs w:val="24"/>
              </w:rPr>
              <w:t xml:space="preserve">1. </w:t>
            </w:r>
          </w:p>
        </w:tc>
        <w:tc>
          <w:tcPr>
            <w:tcW w:w="1918" w:type="pct"/>
          </w:tcPr>
          <w:p w:rsidR="001050AE" w:rsidRPr="00711EF2" w:rsidRDefault="007E1F99" w:rsidP="007E1F9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318"/>
              <w:jc w:val="both"/>
              <w:rPr>
                <w:rFonts w:ascii="Times New Roman" w:hAnsi="Times New Roman" w:cs="Times New Roman"/>
                <w:sz w:val="24"/>
                <w:szCs w:val="24"/>
              </w:rPr>
            </w:pPr>
            <w:r>
              <w:rPr>
                <w:rFonts w:ascii="Times New Roman" w:hAnsi="Times New Roman" w:cs="Times New Roman"/>
                <w:sz w:val="24"/>
                <w:szCs w:val="24"/>
              </w:rPr>
              <w:t xml:space="preserve">Siūlo, kad ūkio subjektas norintis vykdyti Aprašo 4 punkte nurodytų rūšių veiklą susijusia su klientų lankymųsi, turi gauti raštiškus sutikimus  ne tik bendrosios dalinės  nuosavybės teise nekilnojamąjį turtą valdančiais savininkais, bet ir su visų sklypų savininkais, kurie naudojasi ta pačia infrastruktūra (kiemu, automobilių parkavimosi vietomis)  </w:t>
            </w:r>
          </w:p>
        </w:tc>
        <w:tc>
          <w:tcPr>
            <w:tcW w:w="2806" w:type="pct"/>
            <w:gridSpan w:val="2"/>
          </w:tcPr>
          <w:p w:rsidR="00AE2CA8" w:rsidRDefault="00AE2CA8" w:rsidP="00F44DF9">
            <w:pPr>
              <w:pStyle w:val="Dainiausstilius"/>
              <w:ind w:firstLine="318"/>
              <w:rPr>
                <w:rFonts w:eastAsia="Times New Roman"/>
                <w:iCs/>
                <w:szCs w:val="24"/>
                <w:lang w:eastAsia="lt-LT"/>
              </w:rPr>
            </w:pPr>
            <w:r>
              <w:rPr>
                <w:rFonts w:eastAsia="Times New Roman"/>
                <w:iCs/>
                <w:szCs w:val="24"/>
                <w:lang w:eastAsia="lt-LT"/>
              </w:rPr>
              <w:t>Atsižvelgta iš dalies</w:t>
            </w:r>
            <w:r w:rsidR="0022048A">
              <w:rPr>
                <w:rFonts w:eastAsia="Times New Roman"/>
                <w:iCs/>
                <w:szCs w:val="24"/>
                <w:lang w:eastAsia="lt-LT"/>
              </w:rPr>
              <w:t>. (Aplinkos ministerijos 2018-01-08 raštas bendruomenei Nr. (14-5)-D8-1008).</w:t>
            </w:r>
          </w:p>
          <w:p w:rsidR="001050AE" w:rsidRPr="00711EF2" w:rsidRDefault="00AE2CA8" w:rsidP="000917E0">
            <w:pPr>
              <w:pStyle w:val="BodyText"/>
              <w:rPr>
                <w:rFonts w:eastAsia="Times New Roman"/>
                <w:iCs/>
                <w:lang w:eastAsia="lt-LT"/>
              </w:rPr>
            </w:pPr>
            <w:r>
              <w:rPr>
                <w:rFonts w:eastAsia="Times New Roman"/>
                <w:iCs/>
                <w:lang w:eastAsia="lt-LT"/>
              </w:rPr>
              <w:t>Aplinkos ministerija a</w:t>
            </w:r>
            <w:r>
              <w:t xml:space="preserve">tsižvelgusi į Sveikatos apsaugos ministerijos 2017 m. liepos 24 d. raštu Nr. (1.136-411)4-2778 pateiktą siūlymą ir su minėtu raštu pateikto Lietuvos Respublikos Seimo narės Ingridos </w:t>
            </w:r>
            <w:proofErr w:type="spellStart"/>
            <w:r>
              <w:t>Šimonytės</w:t>
            </w:r>
            <w:proofErr w:type="spellEnd"/>
            <w:r>
              <w:t xml:space="preserve"> LR sveikatos ministerijai adresuoto 2017-06-19 rašto Nr. SN-23 kopiją, kurioje aprašomi Vilniaus miesto </w:t>
            </w:r>
            <w:proofErr w:type="spellStart"/>
            <w:r>
              <w:t>Dailidžių</w:t>
            </w:r>
            <w:proofErr w:type="spellEnd"/>
            <w:r>
              <w:t xml:space="preserve"> gatvės gyventojų nusiskundimai dėl </w:t>
            </w:r>
            <w:proofErr w:type="spellStart"/>
            <w:r>
              <w:t>Dailidžių</w:t>
            </w:r>
            <w:proofErr w:type="spellEnd"/>
            <w:r>
              <w:t xml:space="preserve"> g. Nr. 42 gyvenamajame name</w:t>
            </w:r>
            <w:proofErr w:type="gramStart"/>
            <w:r>
              <w:t xml:space="preserve">  </w:t>
            </w:r>
            <w:proofErr w:type="gramEnd"/>
            <w:r>
              <w:t xml:space="preserve">vykdomos vaikų darželio „Po smilgom“ veiklos galimai keliamų nepatogumų ir suinteresuotų institucijų pateiktas pastabas, </w:t>
            </w:r>
            <w:r w:rsidR="00802EFB">
              <w:t>T</w:t>
            </w:r>
            <w:r>
              <w:t>varkos apraš</w:t>
            </w:r>
            <w:r w:rsidR="00802EFB">
              <w:t>o 10 punktą</w:t>
            </w:r>
            <w:r>
              <w:t xml:space="preserve"> siūlo papildyti šia nuostata: </w:t>
            </w:r>
            <w:r w:rsidR="00150284" w:rsidRPr="00BF3758">
              <w:rPr>
                <w:i/>
              </w:rPr>
              <w:t>„</w:t>
            </w:r>
            <w:r w:rsidR="00150284" w:rsidRPr="00BF3758">
              <w:rPr>
                <w:i/>
                <w:color w:val="000000" w:themeColor="text1"/>
              </w:rPr>
              <w:t xml:space="preserve">Jeigu blokuotas </w:t>
            </w:r>
            <w:r w:rsidR="00150284">
              <w:rPr>
                <w:i/>
                <w:color w:val="000000" w:themeColor="text1"/>
              </w:rPr>
              <w:t xml:space="preserve">gyvenamosios paskirties </w:t>
            </w:r>
            <w:r w:rsidR="00150284" w:rsidRPr="00BF3758">
              <w:rPr>
                <w:i/>
                <w:color w:val="000000" w:themeColor="text1"/>
              </w:rPr>
              <w:t xml:space="preserve">vieno buto </w:t>
            </w:r>
            <w:r w:rsidR="00150284">
              <w:rPr>
                <w:i/>
                <w:color w:val="000000" w:themeColor="text1"/>
              </w:rPr>
              <w:t>pastatas</w:t>
            </w:r>
            <w:r w:rsidR="00150284" w:rsidRPr="00BF3758">
              <w:rPr>
                <w:i/>
                <w:color w:val="000000" w:themeColor="text1"/>
              </w:rPr>
              <w:t xml:space="preserve"> turi daugiau </w:t>
            </w:r>
            <w:r w:rsidR="00150284">
              <w:rPr>
                <w:i/>
                <w:color w:val="000000" w:themeColor="text1"/>
              </w:rPr>
              <w:t>kaip</w:t>
            </w:r>
            <w:r w:rsidR="00150284" w:rsidRPr="00BF3758">
              <w:rPr>
                <w:i/>
                <w:color w:val="000000" w:themeColor="text1"/>
              </w:rPr>
              <w:t xml:space="preserve"> vieną savininką, planuojantis </w:t>
            </w:r>
            <w:r w:rsidR="00150284">
              <w:rPr>
                <w:i/>
                <w:color w:val="000000" w:themeColor="text1"/>
              </w:rPr>
              <w:t xml:space="preserve">šį pastatą </w:t>
            </w:r>
            <w:r w:rsidR="00150284" w:rsidRPr="00BF3758">
              <w:rPr>
                <w:i/>
                <w:color w:val="000000" w:themeColor="text1"/>
              </w:rPr>
              <w:t xml:space="preserve">ar jo gyvenamąsias patalpas naudoti </w:t>
            </w:r>
            <w:r w:rsidR="00150284">
              <w:rPr>
                <w:i/>
                <w:color w:val="000000" w:themeColor="text1"/>
              </w:rPr>
              <w:t xml:space="preserve">Tvarkos aprašo 3 punkte </w:t>
            </w:r>
            <w:r w:rsidR="00150284" w:rsidRPr="00BF3758">
              <w:rPr>
                <w:i/>
                <w:color w:val="000000" w:themeColor="text1"/>
              </w:rPr>
              <w:t xml:space="preserve"> nurodytų rūšių veiklai</w:t>
            </w:r>
            <w:r w:rsidR="00150284">
              <w:rPr>
                <w:i/>
                <w:color w:val="000000" w:themeColor="text1"/>
              </w:rPr>
              <w:t xml:space="preserve">, kurios vykdymas susijęs su klientų lankymusi, </w:t>
            </w:r>
            <w:r w:rsidR="00150284" w:rsidRPr="00BF3758">
              <w:rPr>
                <w:i/>
                <w:color w:val="000000" w:themeColor="text1"/>
              </w:rPr>
              <w:t xml:space="preserve"> savininkas turi gauti gretimų (blokuotų) </w:t>
            </w:r>
            <w:r w:rsidR="00150284">
              <w:rPr>
                <w:i/>
                <w:color w:val="000000" w:themeColor="text1"/>
              </w:rPr>
              <w:t xml:space="preserve">gyvenamosios paskirties vieno buto savininkų </w:t>
            </w:r>
            <w:r w:rsidR="00150284" w:rsidRPr="00BF3758">
              <w:rPr>
                <w:i/>
                <w:color w:val="000000" w:themeColor="text1"/>
              </w:rPr>
              <w:t>sutikimus</w:t>
            </w:r>
            <w:r w:rsidR="00150284">
              <w:rPr>
                <w:i/>
                <w:color w:val="000000" w:themeColor="text1"/>
              </w:rPr>
              <w:t xml:space="preserve"> raštu.</w:t>
            </w:r>
            <w:r w:rsidR="00150284" w:rsidRPr="00BF3758">
              <w:rPr>
                <w:i/>
                <w:color w:val="000000" w:themeColor="text1"/>
              </w:rPr>
              <w:t xml:space="preserve">“ </w:t>
            </w:r>
          </w:p>
        </w:tc>
      </w:tr>
      <w:tr w:rsidR="00214D69" w:rsidRPr="00711EF2" w:rsidTr="00041915">
        <w:tc>
          <w:tcPr>
            <w:tcW w:w="276" w:type="pct"/>
          </w:tcPr>
          <w:p w:rsidR="00214D69" w:rsidRPr="00711EF2" w:rsidRDefault="00AE2CA8" w:rsidP="008330A1">
            <w:pPr>
              <w:pStyle w:val="Dainiausstilius"/>
              <w:ind w:firstLine="0"/>
              <w:jc w:val="center"/>
              <w:rPr>
                <w:rFonts w:eastAsia="Times New Roman"/>
                <w:bCs/>
                <w:szCs w:val="24"/>
              </w:rPr>
            </w:pPr>
            <w:r>
              <w:rPr>
                <w:rFonts w:eastAsia="Times New Roman"/>
                <w:bCs/>
                <w:szCs w:val="24"/>
              </w:rPr>
              <w:t>2</w:t>
            </w:r>
          </w:p>
        </w:tc>
        <w:tc>
          <w:tcPr>
            <w:tcW w:w="1918" w:type="pct"/>
          </w:tcPr>
          <w:p w:rsidR="00214D69" w:rsidRPr="00AE2CA8" w:rsidRDefault="00AE2CA8" w:rsidP="00AE2CA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318"/>
              <w:jc w:val="both"/>
              <w:rPr>
                <w:rFonts w:ascii="Times New Roman" w:hAnsi="Times New Roman" w:cs="Times New Roman"/>
                <w:sz w:val="24"/>
                <w:szCs w:val="24"/>
              </w:rPr>
            </w:pPr>
            <w:r w:rsidRPr="00AE2CA8">
              <w:rPr>
                <w:rFonts w:ascii="Times New Roman" w:hAnsi="Times New Roman" w:cs="Times New Roman"/>
                <w:sz w:val="24"/>
                <w:szCs w:val="24"/>
              </w:rPr>
              <w:t xml:space="preserve">Nurodo, kad aprašo projekto 12 punktas prieštarauja Lietuvos Respublikos </w:t>
            </w:r>
            <w:r w:rsidRPr="00AE2CA8">
              <w:rPr>
                <w:rStyle w:val="Strong"/>
                <w:rFonts w:ascii="Times New Roman" w:hAnsi="Times New Roman" w:cs="Times New Roman"/>
                <w:b w:val="0"/>
                <w:sz w:val="24"/>
                <w:szCs w:val="24"/>
              </w:rPr>
              <w:t>daugiabučių gyvenamųjų namų ir kitos paskirties pastatų savininkų bendrijų įstatymo 21 straipsnio 2 daliai</w:t>
            </w:r>
            <w:r>
              <w:rPr>
                <w:rStyle w:val="Strong"/>
                <w:rFonts w:ascii="Times New Roman" w:hAnsi="Times New Roman" w:cs="Times New Roman"/>
                <w:b w:val="0"/>
                <w:sz w:val="24"/>
                <w:szCs w:val="24"/>
              </w:rPr>
              <w:t xml:space="preserve"> ir siūlo aprašo 4 punkto veiklos vykdytojams sudaryti sutartis su daugiabučių namų bendrija ar administruojančia įmone ar su blokuotų </w:t>
            </w:r>
            <w:r>
              <w:rPr>
                <w:rStyle w:val="Strong"/>
                <w:rFonts w:ascii="Times New Roman" w:hAnsi="Times New Roman" w:cs="Times New Roman"/>
                <w:b w:val="0"/>
                <w:sz w:val="24"/>
                <w:szCs w:val="24"/>
              </w:rPr>
              <w:lastRenderedPageBreak/>
              <w:t>vieno, dviejų ar daugiau namų savininkais sudaryti sutartis, kurios būtų numatytos naudojimosi sąlygos, prievolės, tenkinant abiejų pusių interesus.</w:t>
            </w:r>
          </w:p>
        </w:tc>
        <w:tc>
          <w:tcPr>
            <w:tcW w:w="2806" w:type="pct"/>
            <w:gridSpan w:val="2"/>
          </w:tcPr>
          <w:p w:rsidR="00AE2CA8" w:rsidRPr="00AE2CA8" w:rsidRDefault="00AE2CA8" w:rsidP="00AE2CA8">
            <w:pPr>
              <w:pStyle w:val="BodyText"/>
              <w:rPr>
                <w:rFonts w:cs="Times New Roman"/>
              </w:rPr>
            </w:pPr>
            <w:r w:rsidRPr="00AE2CA8">
              <w:rPr>
                <w:rFonts w:cs="Times New Roman"/>
              </w:rPr>
              <w:lastRenderedPageBreak/>
              <w:t>Neatsižvelgta.</w:t>
            </w:r>
          </w:p>
          <w:p w:rsidR="00AE2CA8" w:rsidRPr="00AE2CA8" w:rsidRDefault="00AE2CA8" w:rsidP="00AE2CA8">
            <w:pPr>
              <w:pStyle w:val="BodyText"/>
              <w:rPr>
                <w:rFonts w:cs="Times New Roman"/>
              </w:rPr>
            </w:pPr>
            <w:r w:rsidRPr="00AE2CA8">
              <w:rPr>
                <w:rStyle w:val="Strong"/>
                <w:rFonts w:cs="Times New Roman"/>
                <w:b w:val="0"/>
              </w:rPr>
              <w:t xml:space="preserve">Atkreipiame dėmesį, kad butų ir kitų patalpų savininkų teises ir pareigas, susijusias su bendrosios dalinės nuosavybės teisės objektų valdymu nustato </w:t>
            </w:r>
            <w:r w:rsidRPr="00AE2CA8">
              <w:rPr>
                <w:rFonts w:cs="Times New Roman"/>
              </w:rPr>
              <w:t>Lietuvos Respublikos</w:t>
            </w:r>
            <w:r w:rsidRPr="00AE2CA8">
              <w:rPr>
                <w:rFonts w:cs="Times New Roman"/>
                <w:b/>
              </w:rPr>
              <w:t xml:space="preserve"> </w:t>
            </w:r>
            <w:r w:rsidRPr="00AE2CA8">
              <w:rPr>
                <w:rStyle w:val="Strong"/>
                <w:rFonts w:cs="Times New Roman"/>
                <w:b w:val="0"/>
              </w:rPr>
              <w:t>daugiabučių gyvenamųjų namų ir kitos paskirties pastatų savininkų bendrijų įstatymo</w:t>
            </w:r>
            <w:r w:rsidR="00150284">
              <w:rPr>
                <w:rStyle w:val="Strong"/>
                <w:rFonts w:cs="Times New Roman"/>
                <w:b w:val="0"/>
              </w:rPr>
              <w:t xml:space="preserve"> (toliau – Bendrijų įstatymas)</w:t>
            </w:r>
            <w:r w:rsidRPr="00AE2CA8">
              <w:rPr>
                <w:rStyle w:val="Strong"/>
                <w:rFonts w:cs="Times New Roman"/>
                <w:b w:val="0"/>
              </w:rPr>
              <w:t xml:space="preserve"> 21 straipsnio 1 dalis. Bendrijų įstatymo 21 straipsnio 2 dalis reglamentuoja, kad neatsižvelgiant į tai, ar </w:t>
            </w:r>
            <w:r w:rsidRPr="00AE2CA8">
              <w:rPr>
                <w:rStyle w:val="Strong"/>
                <w:rFonts w:cs="Times New Roman"/>
                <w:b w:val="0"/>
              </w:rPr>
              <w:lastRenderedPageBreak/>
              <w:t xml:space="preserve">butų ir kitų patalpų savininkų  </w:t>
            </w:r>
            <w:r w:rsidRPr="002A08F6">
              <w:rPr>
                <w:rFonts w:cs="Times New Roman"/>
              </w:rPr>
              <w:t>savininkai yra</w:t>
            </w:r>
            <w:r w:rsidRPr="00AE2CA8">
              <w:rPr>
                <w:rFonts w:cs="Times New Roman"/>
                <w:b/>
              </w:rPr>
              <w:t xml:space="preserve"> </w:t>
            </w:r>
            <w:r w:rsidRPr="00AE2CA8">
              <w:rPr>
                <w:rFonts w:cs="Times New Roman"/>
              </w:rPr>
              <w:t>bendrijos nariai, ar ne,  jų pareigos įgyvendinant minėto straipsnio 1 dalies nuostatas yra lygios.</w:t>
            </w:r>
          </w:p>
          <w:p w:rsidR="00214D69" w:rsidRPr="00AE2CA8" w:rsidRDefault="00AE2CA8" w:rsidP="000917E0">
            <w:pPr>
              <w:pStyle w:val="BodyText"/>
              <w:rPr>
                <w:rFonts w:eastAsia="Times New Roman"/>
                <w:iCs/>
                <w:lang w:eastAsia="lt-LT"/>
              </w:rPr>
            </w:pPr>
            <w:r w:rsidRPr="00AE2CA8">
              <w:rPr>
                <w:rFonts w:cs="Times New Roman"/>
              </w:rPr>
              <w:t xml:space="preserve">Siūlymas </w:t>
            </w:r>
            <w:r w:rsidR="00271BAC">
              <w:rPr>
                <w:rFonts w:cs="Times New Roman"/>
              </w:rPr>
              <w:t xml:space="preserve">Tvarkos </w:t>
            </w:r>
            <w:r w:rsidRPr="00AE2CA8">
              <w:rPr>
                <w:rFonts w:cs="Times New Roman"/>
              </w:rPr>
              <w:t>aprašo projektą papildyti nuostata,</w:t>
            </w:r>
            <w:r w:rsidRPr="00AE2CA8">
              <w:rPr>
                <w:rFonts w:cs="Times New Roman"/>
                <w:b/>
              </w:rPr>
              <w:t xml:space="preserve"> </w:t>
            </w:r>
            <w:r w:rsidRPr="00AE2CA8">
              <w:rPr>
                <w:rFonts w:cs="Times New Roman"/>
              </w:rPr>
              <w:t xml:space="preserve">reglamentuojančia </w:t>
            </w:r>
            <w:r w:rsidR="00271BAC">
              <w:rPr>
                <w:rFonts w:cs="Times New Roman"/>
              </w:rPr>
              <w:t xml:space="preserve">Tvarkos </w:t>
            </w:r>
            <w:r w:rsidRPr="00AE2CA8">
              <w:rPr>
                <w:rFonts w:cs="Times New Roman"/>
              </w:rPr>
              <w:t xml:space="preserve">aprašo projekto </w:t>
            </w:r>
            <w:r w:rsidR="00150284">
              <w:rPr>
                <w:rFonts w:cs="Times New Roman"/>
              </w:rPr>
              <w:t>3</w:t>
            </w:r>
            <w:r w:rsidRPr="00AE2CA8">
              <w:rPr>
                <w:rFonts w:cs="Times New Roman"/>
              </w:rPr>
              <w:t xml:space="preserve"> punkte nurodytas veiklos rūšis planuojantiems vykdyti subjektams sudaryti su daugiabučių namų bendrija ar administruojančia įmone ar su blokuotų namų savininkais </w:t>
            </w:r>
            <w:r w:rsidRPr="00AE2CA8">
              <w:rPr>
                <w:rFonts w:cs="Times New Roman"/>
                <w:i/>
              </w:rPr>
              <w:t>sutartis</w:t>
            </w:r>
            <w:r w:rsidRPr="00AE2CA8">
              <w:rPr>
                <w:rFonts w:cs="Times New Roman"/>
              </w:rPr>
              <w:t>, kuriose būtų numatytos naudojimosi sąlygos, prievolės, neatitinka Bendrijų įstatymo 21 straipsnio 1 dalies, Civilinio</w:t>
            </w:r>
            <w:proofErr w:type="gramStart"/>
            <w:r w:rsidRPr="00AE2CA8">
              <w:rPr>
                <w:rFonts w:cs="Times New Roman"/>
              </w:rPr>
              <w:t xml:space="preserve">  </w:t>
            </w:r>
            <w:proofErr w:type="gramEnd"/>
            <w:r w:rsidRPr="00AE2CA8">
              <w:rPr>
                <w:rFonts w:cs="Times New Roman"/>
              </w:rPr>
              <w:t xml:space="preserve">kodekso 4.85 straipsnio nuostatų ir yra ne šio </w:t>
            </w:r>
            <w:r w:rsidR="00150284">
              <w:rPr>
                <w:rFonts w:cs="Times New Roman"/>
              </w:rPr>
              <w:t xml:space="preserve">Tvarkos </w:t>
            </w:r>
            <w:r w:rsidRPr="00AE2CA8">
              <w:rPr>
                <w:rFonts w:cs="Times New Roman"/>
              </w:rPr>
              <w:t>aprašo projekto reglamentavimo sritis.</w:t>
            </w:r>
          </w:p>
        </w:tc>
      </w:tr>
      <w:tr w:rsidR="00047D4E" w:rsidRPr="00711EF2" w:rsidTr="00CC69BC">
        <w:tc>
          <w:tcPr>
            <w:tcW w:w="5000" w:type="pct"/>
            <w:gridSpan w:val="4"/>
          </w:tcPr>
          <w:p w:rsidR="00047D4E" w:rsidRPr="00047D4E" w:rsidRDefault="00047D4E" w:rsidP="00F44DF9">
            <w:pPr>
              <w:pStyle w:val="Dainiausstilius"/>
              <w:ind w:firstLine="318"/>
              <w:rPr>
                <w:rFonts w:eastAsia="Times New Roman"/>
                <w:b/>
                <w:iCs/>
                <w:szCs w:val="24"/>
                <w:lang w:eastAsia="lt-LT"/>
              </w:rPr>
            </w:pPr>
            <w:r w:rsidRPr="00047D4E">
              <w:rPr>
                <w:rFonts w:eastAsia="Times New Roman"/>
                <w:b/>
                <w:iCs/>
                <w:szCs w:val="24"/>
                <w:lang w:eastAsia="lt-LT"/>
              </w:rPr>
              <w:lastRenderedPageBreak/>
              <w:t>Visuomeninė organizacija Žvėryno bendruomenė 2017-11 14 raštas</w:t>
            </w:r>
          </w:p>
        </w:tc>
      </w:tr>
      <w:tr w:rsidR="006D50D3" w:rsidRPr="00711EF2" w:rsidTr="00041915">
        <w:tc>
          <w:tcPr>
            <w:tcW w:w="276" w:type="pct"/>
          </w:tcPr>
          <w:p w:rsidR="006D50D3" w:rsidRPr="00711EF2" w:rsidRDefault="00047D4E" w:rsidP="008330A1">
            <w:pPr>
              <w:pStyle w:val="Dainiausstilius"/>
              <w:ind w:firstLine="0"/>
              <w:jc w:val="center"/>
              <w:rPr>
                <w:rFonts w:eastAsia="Times New Roman"/>
                <w:bCs/>
                <w:szCs w:val="24"/>
              </w:rPr>
            </w:pPr>
            <w:r>
              <w:rPr>
                <w:rFonts w:eastAsia="Times New Roman"/>
                <w:bCs/>
                <w:szCs w:val="24"/>
              </w:rPr>
              <w:t>1</w:t>
            </w:r>
          </w:p>
        </w:tc>
        <w:tc>
          <w:tcPr>
            <w:tcW w:w="1918" w:type="pct"/>
          </w:tcPr>
          <w:p w:rsidR="006D50D3" w:rsidRPr="00711EF2" w:rsidRDefault="00B94476" w:rsidP="00B9447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318"/>
              <w:jc w:val="both"/>
              <w:rPr>
                <w:rFonts w:ascii="Times New Roman" w:hAnsi="Times New Roman" w:cs="Times New Roman"/>
                <w:sz w:val="24"/>
                <w:szCs w:val="24"/>
              </w:rPr>
            </w:pPr>
            <w:r>
              <w:rPr>
                <w:rFonts w:ascii="Times New Roman" w:hAnsi="Times New Roman" w:cs="Times New Roman"/>
                <w:sz w:val="24"/>
                <w:szCs w:val="24"/>
              </w:rPr>
              <w:t>Siūlo Nutarimo projekte palikti šiuo metu galiojančio Lietuvos Respublikos Vyriausybės  2011 m. spalio 12 d. nutarimu Nr.1188 patvirtino „Statinio (jo patalpų) naudojimo ne pagal paskirtį atvejų ir tvarkos aprašo 9 punkto redakciją.</w:t>
            </w:r>
          </w:p>
        </w:tc>
        <w:tc>
          <w:tcPr>
            <w:tcW w:w="2806" w:type="pct"/>
            <w:gridSpan w:val="2"/>
          </w:tcPr>
          <w:p w:rsidR="00B94476" w:rsidRDefault="00B94476" w:rsidP="00047D4E">
            <w:pPr>
              <w:pStyle w:val="BodyText"/>
              <w:rPr>
                <w:rStyle w:val="Strong"/>
                <w:b w:val="0"/>
              </w:rPr>
            </w:pPr>
            <w:r>
              <w:rPr>
                <w:rStyle w:val="Strong"/>
                <w:b w:val="0"/>
              </w:rPr>
              <w:t>Neatsižvelgta.</w:t>
            </w:r>
            <w:r w:rsidR="0022048A">
              <w:rPr>
                <w:rStyle w:val="Strong"/>
                <w:b w:val="0"/>
              </w:rPr>
              <w:t xml:space="preserve"> (Aplinkos ministerijos 2017-12-06 raštas bendruomenei Nr. (14-5)-D8-8094).</w:t>
            </w:r>
          </w:p>
          <w:p w:rsidR="00047D4E" w:rsidRDefault="00047D4E" w:rsidP="00047D4E">
            <w:pPr>
              <w:pStyle w:val="PlainText"/>
              <w:ind w:firstLine="567"/>
              <w:jc w:val="both"/>
              <w:rPr>
                <w:rFonts w:ascii="Times New Roman" w:eastAsia="Times New Roman" w:hAnsi="Times New Roman" w:cs="Times New Roman"/>
                <w:sz w:val="24"/>
                <w:szCs w:val="24"/>
                <w:lang w:eastAsia="lt-LT"/>
              </w:rPr>
            </w:pPr>
            <w:r w:rsidRPr="009E3170">
              <w:rPr>
                <w:rFonts w:ascii="Times New Roman" w:hAnsi="Times New Roman" w:cs="Times New Roman"/>
                <w:sz w:val="24"/>
                <w:szCs w:val="24"/>
              </w:rPr>
              <w:t>Lietuvos Respublikos Vyriausybės 2011 m. spalio 12 d. nutarimu Nr. 1178 „D</w:t>
            </w:r>
            <w:r w:rsidRPr="009E3170">
              <w:rPr>
                <w:rFonts w:ascii="Times New Roman" w:eastAsia="Times New Roman" w:hAnsi="Times New Roman" w:cs="Times New Roman"/>
                <w:sz w:val="24"/>
                <w:szCs w:val="24"/>
                <w:lang w:eastAsia="lt-LT"/>
              </w:rPr>
              <w:t>ėl Statinio (jo patalpų) naudojimo ne pagal paskirtį atvejų ir tvarkos aprašo patvirtinimo“ ir L</w:t>
            </w:r>
            <w:r w:rsidRPr="009E3170">
              <w:rPr>
                <w:rFonts w:ascii="Times New Roman" w:hAnsi="Times New Roman" w:cs="Times New Roman"/>
                <w:sz w:val="24"/>
                <w:szCs w:val="24"/>
              </w:rPr>
              <w:t xml:space="preserve">ietuvos Respublikos Vyriausybės 1997 m. birželio 23 d. nutarimo Nr. 656 „Dėl Lietuvos Respublikos gyventojų apsirūpinimo gyvenamosiomis patalpomis įstatymo 3 straipsnio įgyvendinimo“ pripažinimo netekusiu galios“ patvirtinto </w:t>
            </w:r>
            <w:r w:rsidRPr="009E3170">
              <w:rPr>
                <w:rFonts w:ascii="Times New Roman" w:eastAsia="Times New Roman" w:hAnsi="Times New Roman" w:cs="Times New Roman"/>
                <w:sz w:val="24"/>
                <w:szCs w:val="24"/>
                <w:lang w:eastAsia="lt-LT"/>
              </w:rPr>
              <w:t xml:space="preserve">Statinio (jo patalpų) naudojimo ne pagal paskirtį atvejų ir </w:t>
            </w:r>
            <w:r w:rsidR="00194A2D">
              <w:rPr>
                <w:rFonts w:ascii="Times New Roman" w:eastAsia="Times New Roman" w:hAnsi="Times New Roman" w:cs="Times New Roman"/>
                <w:sz w:val="24"/>
                <w:szCs w:val="24"/>
                <w:lang w:eastAsia="lt-LT"/>
              </w:rPr>
              <w:t>T</w:t>
            </w:r>
            <w:r w:rsidRPr="009E3170">
              <w:rPr>
                <w:rFonts w:ascii="Times New Roman" w:eastAsia="Times New Roman" w:hAnsi="Times New Roman" w:cs="Times New Roman"/>
                <w:sz w:val="24"/>
                <w:szCs w:val="24"/>
                <w:lang w:eastAsia="lt-LT"/>
              </w:rPr>
              <w:t xml:space="preserve">varkos aprašo </w:t>
            </w:r>
            <w:r>
              <w:rPr>
                <w:rFonts w:ascii="Times New Roman" w:eastAsia="Times New Roman" w:hAnsi="Times New Roman" w:cs="Times New Roman"/>
                <w:sz w:val="24"/>
                <w:szCs w:val="24"/>
                <w:lang w:eastAsia="lt-LT"/>
              </w:rPr>
              <w:t xml:space="preserve">9 punkte reglamentuota: </w:t>
            </w:r>
          </w:p>
          <w:p w:rsidR="00047D4E" w:rsidRPr="009E3170" w:rsidRDefault="00047D4E" w:rsidP="00047D4E">
            <w:pPr>
              <w:pStyle w:val="HTMLPreformatted"/>
              <w:tabs>
                <w:tab w:val="clear" w:pos="916"/>
              </w:tabs>
              <w:ind w:firstLine="567"/>
              <w:jc w:val="both"/>
              <w:rPr>
                <w:rFonts w:ascii="Times New Roman" w:hAnsi="Times New Roman" w:cs="Times New Roman"/>
                <w:color w:val="000000" w:themeColor="text1"/>
                <w:sz w:val="24"/>
                <w:szCs w:val="24"/>
              </w:rPr>
            </w:pPr>
            <w:r>
              <w:rPr>
                <w:rFonts w:ascii="Times New Roman" w:hAnsi="Times New Roman" w:cs="Times New Roman"/>
                <w:sz w:val="24"/>
                <w:szCs w:val="24"/>
              </w:rPr>
              <w:t>„</w:t>
            </w:r>
            <w:r w:rsidRPr="009E3170">
              <w:rPr>
                <w:rFonts w:ascii="Times New Roman" w:hAnsi="Times New Roman" w:cs="Times New Roman"/>
                <w:sz w:val="24"/>
                <w:szCs w:val="24"/>
              </w:rPr>
              <w:t>9.</w:t>
            </w:r>
            <w:r w:rsidRPr="009E3170">
              <w:rPr>
                <w:rFonts w:ascii="Times New Roman" w:hAnsi="Times New Roman" w:cs="Times New Roman"/>
                <w:b/>
                <w:sz w:val="24"/>
                <w:szCs w:val="24"/>
              </w:rPr>
              <w:t xml:space="preserve"> </w:t>
            </w:r>
            <w:r w:rsidRPr="009E3170">
              <w:rPr>
                <w:rFonts w:ascii="Times New Roman" w:hAnsi="Times New Roman" w:cs="Times New Roman"/>
                <w:i/>
                <w:color w:val="000000" w:themeColor="text1"/>
                <w:sz w:val="24"/>
                <w:szCs w:val="24"/>
              </w:rPr>
              <w:t xml:space="preserve">Jeigu </w:t>
            </w:r>
            <w:r w:rsidR="00271BAC">
              <w:rPr>
                <w:rFonts w:ascii="Times New Roman" w:hAnsi="Times New Roman" w:cs="Times New Roman"/>
                <w:i/>
                <w:color w:val="000000" w:themeColor="text1"/>
                <w:sz w:val="24"/>
                <w:szCs w:val="24"/>
              </w:rPr>
              <w:t xml:space="preserve"> A</w:t>
            </w:r>
            <w:r w:rsidRPr="009E3170">
              <w:rPr>
                <w:rFonts w:ascii="Times New Roman" w:hAnsi="Times New Roman" w:cs="Times New Roman"/>
                <w:i/>
                <w:color w:val="000000" w:themeColor="text1"/>
                <w:sz w:val="24"/>
                <w:szCs w:val="24"/>
              </w:rPr>
              <w:t>prašo 4 punkte nurodytų rūšių veiklos vykdymas susijęs su klientų lankymusi</w:t>
            </w:r>
            <w:r w:rsidRPr="009D5C01">
              <w:rPr>
                <w:rFonts w:ascii="Times New Roman" w:hAnsi="Times New Roman" w:cs="Times New Roman"/>
                <w:i/>
                <w:color w:val="000000" w:themeColor="text1"/>
                <w:sz w:val="24"/>
                <w:szCs w:val="24"/>
              </w:rPr>
              <w:t>, sprendimą dėl daugiabučio gyvenamojo namo gyvenamųjų patalpų, nepakeitus jų paskirties, naudojimo atitinkamai veiklai priima daugiabučio gyvenamojo namo butų ir kitų patalpų</w:t>
            </w:r>
            <w:r w:rsidRPr="009D5C01">
              <w:rPr>
                <w:rFonts w:ascii="Times New Roman" w:hAnsi="Times New Roman"/>
                <w:i/>
                <w:color w:val="000000" w:themeColor="text1"/>
                <w:sz w:val="24"/>
                <w:szCs w:val="24"/>
              </w:rPr>
              <w:t xml:space="preserve"> </w:t>
            </w:r>
            <w:r w:rsidRPr="009D5C01">
              <w:rPr>
                <w:rFonts w:ascii="Times New Roman" w:hAnsi="Times New Roman" w:cs="Times New Roman"/>
                <w:i/>
                <w:color w:val="000000" w:themeColor="text1"/>
                <w:sz w:val="24"/>
                <w:szCs w:val="24"/>
              </w:rPr>
              <w:t xml:space="preserve">savininkai, vadovaudamiesi Lietuvos Respublikos </w:t>
            </w:r>
            <w:r w:rsidRPr="009D5C01">
              <w:rPr>
                <w:rFonts w:ascii="Times New Roman" w:hAnsi="Times New Roman" w:cs="Times New Roman"/>
                <w:i/>
                <w:iCs/>
                <w:color w:val="000000" w:themeColor="text1"/>
                <w:sz w:val="24"/>
                <w:szCs w:val="24"/>
              </w:rPr>
              <w:t>civilinio kodekso</w:t>
            </w:r>
            <w:r>
              <w:rPr>
                <w:rFonts w:ascii="Times New Roman" w:hAnsi="Times New Roman" w:cs="Times New Roman"/>
                <w:i/>
                <w:iCs/>
                <w:color w:val="000000" w:themeColor="text1"/>
                <w:sz w:val="24"/>
                <w:szCs w:val="24"/>
              </w:rPr>
              <w:t xml:space="preserve"> (toliau – CK)</w:t>
            </w:r>
            <w:r w:rsidRPr="009D5C01">
              <w:rPr>
                <w:rFonts w:ascii="Times New Roman" w:hAnsi="Times New Roman" w:cs="Times New Roman"/>
                <w:i/>
                <w:iCs/>
                <w:color w:val="000000" w:themeColor="text1"/>
                <w:sz w:val="24"/>
                <w:szCs w:val="24"/>
              </w:rPr>
              <w:t xml:space="preserve"> 4.85</w:t>
            </w:r>
            <w:r w:rsidRPr="009D5C01">
              <w:rPr>
                <w:rFonts w:ascii="Times New Roman" w:hAnsi="Times New Roman" w:cs="Times New Roman"/>
                <w:i/>
                <w:color w:val="000000" w:themeColor="text1"/>
                <w:sz w:val="24"/>
                <w:szCs w:val="24"/>
              </w:rPr>
              <w:t xml:space="preserve"> straipsniu. Sprendimas nepakeitus gyvenamųjų patalpų paskirties leisti vykdyti Aprašo 4 punkte nurodytų rūšių veiklą priimamas tik turint su šiomis patalpomis bendras sienas ir (ar) perdangas turinčių butų ir kitų patalpų savininkų raštiškus sutikimus</w:t>
            </w:r>
            <w:r w:rsidRPr="009D5C0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r w:rsidRPr="009D5C0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Pagal 2011 metais galiojusio CK 4.85 straipsnio nuostatas </w:t>
            </w:r>
            <w:r w:rsidRPr="009D5C01">
              <w:rPr>
                <w:rFonts w:ascii="Times New Roman" w:hAnsi="Times New Roman" w:cs="Times New Roman"/>
                <w:color w:val="000000" w:themeColor="text1"/>
                <w:sz w:val="24"/>
                <w:szCs w:val="24"/>
              </w:rPr>
              <w:t>sprendimą leisti daugiabučio gyvenamojo namo gyvenamosiose patalpose vykdyti su klientų lankym</w:t>
            </w:r>
            <w:r>
              <w:rPr>
                <w:rFonts w:ascii="Times New Roman" w:hAnsi="Times New Roman" w:cs="Times New Roman"/>
                <w:color w:val="000000" w:themeColor="text1"/>
                <w:sz w:val="24"/>
                <w:szCs w:val="24"/>
              </w:rPr>
              <w:t>ų</w:t>
            </w:r>
            <w:r w:rsidRPr="009D5C01">
              <w:rPr>
                <w:rFonts w:ascii="Times New Roman" w:hAnsi="Times New Roman" w:cs="Times New Roman"/>
                <w:color w:val="000000" w:themeColor="text1"/>
                <w:sz w:val="24"/>
                <w:szCs w:val="24"/>
              </w:rPr>
              <w:t xml:space="preserve">si susijusią veiklą </w:t>
            </w:r>
            <w:r w:rsidRPr="009D5C01">
              <w:rPr>
                <w:rFonts w:ascii="Times New Roman" w:hAnsi="Times New Roman" w:cs="Times New Roman"/>
                <w:i/>
                <w:color w:val="000000" w:themeColor="text1"/>
                <w:sz w:val="24"/>
                <w:szCs w:val="24"/>
              </w:rPr>
              <w:t xml:space="preserve">butų ir kitų patalpų savininkai, </w:t>
            </w:r>
            <w:r w:rsidRPr="009D5C01">
              <w:rPr>
                <w:rFonts w:ascii="Times New Roman" w:hAnsi="Times New Roman" w:cs="Times New Roman"/>
                <w:color w:val="000000" w:themeColor="text1"/>
                <w:sz w:val="24"/>
                <w:szCs w:val="24"/>
              </w:rPr>
              <w:t xml:space="preserve">priima </w:t>
            </w:r>
            <w:r w:rsidRPr="006A142A">
              <w:rPr>
                <w:rFonts w:ascii="Times New Roman" w:hAnsi="Times New Roman" w:cs="Times New Roman"/>
                <w:i/>
                <w:color w:val="000000" w:themeColor="text1"/>
                <w:sz w:val="24"/>
                <w:szCs w:val="24"/>
              </w:rPr>
              <w:t>b</w:t>
            </w:r>
            <w:r w:rsidRPr="009D5C01">
              <w:rPr>
                <w:rFonts w:ascii="Times New Roman" w:hAnsi="Times New Roman" w:cs="Times New Roman"/>
                <w:i/>
                <w:sz w:val="24"/>
                <w:szCs w:val="24"/>
              </w:rPr>
              <w:t>utų ir kitų patalpų savininkų</w:t>
            </w:r>
            <w:r w:rsidRPr="009D5C01">
              <w:rPr>
                <w:rFonts w:ascii="Times New Roman" w:hAnsi="Times New Roman" w:cs="Times New Roman"/>
                <w:sz w:val="24"/>
                <w:szCs w:val="24"/>
              </w:rPr>
              <w:t xml:space="preserve"> </w:t>
            </w:r>
            <w:r w:rsidRPr="009D5C01">
              <w:rPr>
                <w:rFonts w:ascii="Times New Roman" w:hAnsi="Times New Roman" w:cs="Times New Roman"/>
                <w:i/>
                <w:sz w:val="24"/>
                <w:szCs w:val="24"/>
              </w:rPr>
              <w:t>balsų dauguma</w:t>
            </w:r>
            <w:r w:rsidRPr="009D5C01">
              <w:rPr>
                <w:rFonts w:ascii="Times New Roman" w:hAnsi="Times New Roman" w:cs="Times New Roman"/>
                <w:sz w:val="24"/>
                <w:szCs w:val="24"/>
              </w:rPr>
              <w:t>,</w:t>
            </w:r>
            <w:r>
              <w:rPr>
                <w:rFonts w:ascii="Times New Roman" w:hAnsi="Times New Roman" w:cs="Times New Roman"/>
                <w:sz w:val="24"/>
                <w:szCs w:val="24"/>
              </w:rPr>
              <w:t xml:space="preserve"> </w:t>
            </w:r>
            <w:r w:rsidRPr="009D5C01">
              <w:rPr>
                <w:rFonts w:ascii="Times New Roman" w:hAnsi="Times New Roman" w:cs="Times New Roman"/>
                <w:sz w:val="24"/>
                <w:szCs w:val="24"/>
              </w:rPr>
              <w:t>jeigu butų ir kitų patalpų savininkų bendrijos įstatuose ar</w:t>
            </w:r>
            <w:r>
              <w:rPr>
                <w:rFonts w:ascii="Times New Roman" w:hAnsi="Times New Roman" w:cs="Times New Roman"/>
                <w:sz w:val="24"/>
                <w:szCs w:val="24"/>
              </w:rPr>
              <w:t xml:space="preserve"> </w:t>
            </w:r>
            <w:r w:rsidRPr="009D5C01">
              <w:rPr>
                <w:rFonts w:ascii="Times New Roman" w:hAnsi="Times New Roman" w:cs="Times New Roman"/>
                <w:sz w:val="24"/>
                <w:szCs w:val="24"/>
              </w:rPr>
              <w:t>jungtinės veiklos sutartyje nenumatyta kitaip</w:t>
            </w:r>
            <w:r>
              <w:rPr>
                <w:rFonts w:ascii="Times New Roman" w:hAnsi="Times New Roman" w:cs="Times New Roman"/>
                <w:sz w:val="24"/>
                <w:szCs w:val="24"/>
              </w:rPr>
              <w:t>,</w:t>
            </w:r>
            <w:r w:rsidRPr="009D5C01">
              <w:rPr>
                <w:rFonts w:ascii="Times New Roman" w:hAnsi="Times New Roman" w:cs="Times New Roman"/>
                <w:color w:val="000000" w:themeColor="text1"/>
                <w:sz w:val="24"/>
                <w:szCs w:val="24"/>
              </w:rPr>
              <w:t xml:space="preserve"> ir tik turėdami su minėtomis patalpomis bendras sienas ir (ar) perdangas turinčių butų ir kitų patalpų savininkų raštiškus sutikimus</w:t>
            </w:r>
            <w:r>
              <w:rPr>
                <w:rFonts w:ascii="Times New Roman" w:hAnsi="Times New Roman" w:cs="Times New Roman"/>
                <w:color w:val="000000" w:themeColor="text1"/>
                <w:sz w:val="24"/>
                <w:szCs w:val="24"/>
              </w:rPr>
              <w:t xml:space="preserve">. </w:t>
            </w:r>
          </w:p>
          <w:p w:rsidR="006D50D3" w:rsidRPr="00711EF2" w:rsidRDefault="00047D4E" w:rsidP="000917E0">
            <w:pPr>
              <w:pStyle w:val="PlainText"/>
              <w:ind w:firstLine="567"/>
              <w:jc w:val="both"/>
              <w:rPr>
                <w:iCs/>
              </w:rPr>
            </w:pPr>
            <w:r>
              <w:rPr>
                <w:rFonts w:ascii="Times New Roman" w:hAnsi="Times New Roman" w:cs="Times New Roman"/>
                <w:sz w:val="24"/>
                <w:szCs w:val="24"/>
              </w:rPr>
              <w:lastRenderedPageBreak/>
              <w:t xml:space="preserve">Siekdami teisinio aiškumo ir atsižvelgdami į nuo 2013-01-01 pasikeitusias CK 4.85 straipsnio ir bendrijų įstatymo nuostatas, siūlome atitinkamai patikslinti </w:t>
            </w:r>
            <w:r w:rsidR="00271BAC">
              <w:rPr>
                <w:rFonts w:ascii="Times New Roman" w:hAnsi="Times New Roman" w:cs="Times New Roman"/>
                <w:sz w:val="24"/>
                <w:szCs w:val="24"/>
              </w:rPr>
              <w:t xml:space="preserve">Tvarkos </w:t>
            </w:r>
            <w:r>
              <w:rPr>
                <w:rFonts w:ascii="Times New Roman" w:hAnsi="Times New Roman" w:cs="Times New Roman"/>
                <w:sz w:val="24"/>
                <w:szCs w:val="24"/>
              </w:rPr>
              <w:t>aprašo projekto 1</w:t>
            </w:r>
            <w:r w:rsidR="00271BAC">
              <w:rPr>
                <w:rFonts w:ascii="Times New Roman" w:hAnsi="Times New Roman" w:cs="Times New Roman"/>
                <w:sz w:val="24"/>
                <w:szCs w:val="24"/>
              </w:rPr>
              <w:t>1</w:t>
            </w:r>
            <w:r>
              <w:rPr>
                <w:rFonts w:ascii="Times New Roman" w:hAnsi="Times New Roman" w:cs="Times New Roman"/>
                <w:sz w:val="24"/>
                <w:szCs w:val="24"/>
              </w:rPr>
              <w:t xml:space="preserve"> punktą, t. y. sprendimas leisti </w:t>
            </w:r>
            <w:r w:rsidRPr="00A33AC3">
              <w:rPr>
                <w:rFonts w:ascii="Times New Roman" w:hAnsi="Times New Roman" w:cs="Times New Roman"/>
                <w:sz w:val="24"/>
                <w:szCs w:val="24"/>
              </w:rPr>
              <w:t xml:space="preserve"> gyvenam</w:t>
            </w:r>
            <w:r>
              <w:rPr>
                <w:rFonts w:ascii="Times New Roman" w:hAnsi="Times New Roman" w:cs="Times New Roman"/>
                <w:sz w:val="24"/>
                <w:szCs w:val="24"/>
              </w:rPr>
              <w:t>ąsias</w:t>
            </w:r>
            <w:r w:rsidRPr="00A33AC3">
              <w:rPr>
                <w:rFonts w:ascii="Times New Roman" w:hAnsi="Times New Roman" w:cs="Times New Roman"/>
                <w:sz w:val="24"/>
                <w:szCs w:val="24"/>
              </w:rPr>
              <w:t xml:space="preserve"> patalp</w:t>
            </w:r>
            <w:r>
              <w:rPr>
                <w:rFonts w:ascii="Times New Roman" w:hAnsi="Times New Roman" w:cs="Times New Roman"/>
                <w:sz w:val="24"/>
                <w:szCs w:val="24"/>
              </w:rPr>
              <w:t>as</w:t>
            </w:r>
            <w:r w:rsidRPr="00A33AC3">
              <w:rPr>
                <w:rFonts w:ascii="Times New Roman" w:hAnsi="Times New Roman" w:cs="Times New Roman"/>
                <w:sz w:val="24"/>
                <w:szCs w:val="24"/>
              </w:rPr>
              <w:t xml:space="preserve"> naudo</w:t>
            </w:r>
            <w:r>
              <w:rPr>
                <w:rFonts w:ascii="Times New Roman" w:hAnsi="Times New Roman" w:cs="Times New Roman"/>
                <w:sz w:val="24"/>
                <w:szCs w:val="24"/>
              </w:rPr>
              <w:t>ti</w:t>
            </w:r>
            <w:r w:rsidRPr="00A33AC3">
              <w:rPr>
                <w:rFonts w:ascii="Times New Roman" w:hAnsi="Times New Roman" w:cs="Times New Roman"/>
                <w:sz w:val="24"/>
                <w:szCs w:val="24"/>
              </w:rPr>
              <w:t xml:space="preserve"> </w:t>
            </w:r>
            <w:r w:rsidRPr="00A33AC3">
              <w:rPr>
                <w:rFonts w:ascii="Times New Roman" w:hAnsi="Times New Roman" w:cs="Times New Roman"/>
                <w:color w:val="000000" w:themeColor="text1"/>
                <w:sz w:val="24"/>
                <w:szCs w:val="24"/>
              </w:rPr>
              <w:t>su klientų lankym</w:t>
            </w:r>
            <w:r>
              <w:rPr>
                <w:rFonts w:ascii="Times New Roman" w:hAnsi="Times New Roman" w:cs="Times New Roman"/>
                <w:color w:val="000000" w:themeColor="text1"/>
                <w:sz w:val="24"/>
                <w:szCs w:val="24"/>
              </w:rPr>
              <w:t>ų</w:t>
            </w:r>
            <w:r w:rsidRPr="00A33AC3">
              <w:rPr>
                <w:rFonts w:ascii="Times New Roman" w:hAnsi="Times New Roman" w:cs="Times New Roman"/>
                <w:color w:val="000000" w:themeColor="text1"/>
                <w:sz w:val="24"/>
                <w:szCs w:val="24"/>
              </w:rPr>
              <w:t xml:space="preserve">si susijusių rūšių veiklai vykdyti bus priimamas daugiabučio gyvenamojo namo laiptinės, kurioje </w:t>
            </w:r>
            <w:r>
              <w:rPr>
                <w:rFonts w:ascii="Times New Roman" w:hAnsi="Times New Roman" w:cs="Times New Roman"/>
                <w:color w:val="000000" w:themeColor="text1"/>
                <w:sz w:val="24"/>
                <w:szCs w:val="24"/>
              </w:rPr>
              <w:t>yra</w:t>
            </w:r>
            <w:r w:rsidRPr="00A33AC3">
              <w:rPr>
                <w:rFonts w:ascii="Times New Roman" w:hAnsi="Times New Roman" w:cs="Times New Roman"/>
                <w:color w:val="000000" w:themeColor="text1"/>
                <w:sz w:val="24"/>
                <w:szCs w:val="24"/>
              </w:rPr>
              <w:t xml:space="preserve"> gyvenamosios patalpos,  butų ir kitų patalpų savininkų balsų </w:t>
            </w:r>
            <w:r w:rsidRPr="00B94476">
              <w:rPr>
                <w:rFonts w:ascii="Times New Roman" w:hAnsi="Times New Roman" w:cs="Times New Roman"/>
                <w:i/>
                <w:color w:val="000000" w:themeColor="text1"/>
                <w:sz w:val="24"/>
                <w:szCs w:val="24"/>
              </w:rPr>
              <w:t>dauguma</w:t>
            </w:r>
            <w:r w:rsidRPr="00A33AC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(CK 4.85 str. 3 d</w:t>
            </w:r>
            <w:r>
              <w:rPr>
                <w:rStyle w:val="FootnoteReference"/>
                <w:rFonts w:ascii="Times New Roman" w:hAnsi="Times New Roman" w:cs="Times New Roman"/>
                <w:color w:val="000000" w:themeColor="text1"/>
                <w:sz w:val="24"/>
                <w:szCs w:val="24"/>
              </w:rPr>
              <w:footnoteReference w:id="1"/>
            </w:r>
            <w:r>
              <w:rPr>
                <w:rFonts w:ascii="Times New Roman" w:hAnsi="Times New Roman" w:cs="Times New Roman"/>
                <w:color w:val="000000" w:themeColor="text1"/>
                <w:sz w:val="24"/>
                <w:szCs w:val="24"/>
              </w:rPr>
              <w:t xml:space="preserve">.) </w:t>
            </w:r>
            <w:r w:rsidRPr="00A33AC3">
              <w:rPr>
                <w:rFonts w:ascii="Times New Roman" w:hAnsi="Times New Roman" w:cs="Times New Roman"/>
                <w:color w:val="000000" w:themeColor="text1"/>
                <w:sz w:val="24"/>
                <w:szCs w:val="24"/>
              </w:rPr>
              <w:t>ir tik</w:t>
            </w:r>
            <w:r>
              <w:rPr>
                <w:rFonts w:ascii="Times New Roman" w:hAnsi="Times New Roman" w:cs="Times New Roman"/>
                <w:color w:val="000000" w:themeColor="text1"/>
                <w:sz w:val="24"/>
                <w:szCs w:val="24"/>
              </w:rPr>
              <w:t xml:space="preserve"> gavus</w:t>
            </w:r>
            <w:r w:rsidRPr="00A33AC3">
              <w:rPr>
                <w:rFonts w:ascii="Times New Roman" w:hAnsi="Times New Roman" w:cs="Times New Roman"/>
                <w:color w:val="000000" w:themeColor="text1"/>
                <w:sz w:val="24"/>
                <w:szCs w:val="24"/>
              </w:rPr>
              <w:t xml:space="preserve"> su šiomis patalpomis bendras sienas ir (ar) perdangas turinčių butų ir kitų patalpų savininkų raštiškus sutikimus.</w:t>
            </w:r>
            <w:r w:rsidRPr="00C70EF6">
              <w:rPr>
                <w:color w:val="000000" w:themeColor="text1"/>
                <w:szCs w:val="24"/>
              </w:rPr>
              <w:t xml:space="preserve"> </w:t>
            </w:r>
            <w:r>
              <w:rPr>
                <w:rFonts w:ascii="Times New Roman" w:hAnsi="Times New Roman" w:cs="Times New Roman"/>
                <w:sz w:val="24"/>
                <w:szCs w:val="24"/>
              </w:rPr>
              <w:t xml:space="preserve"> </w:t>
            </w:r>
          </w:p>
        </w:tc>
      </w:tr>
      <w:tr w:rsidR="00047D4E" w:rsidRPr="00711EF2" w:rsidTr="00041915">
        <w:tc>
          <w:tcPr>
            <w:tcW w:w="276" w:type="pct"/>
          </w:tcPr>
          <w:p w:rsidR="00047D4E" w:rsidRDefault="00B94476" w:rsidP="008330A1">
            <w:pPr>
              <w:pStyle w:val="Dainiausstilius"/>
              <w:ind w:firstLine="0"/>
              <w:jc w:val="center"/>
              <w:rPr>
                <w:rFonts w:eastAsia="Times New Roman"/>
                <w:bCs/>
                <w:szCs w:val="24"/>
              </w:rPr>
            </w:pPr>
            <w:r>
              <w:rPr>
                <w:rFonts w:eastAsia="Times New Roman"/>
                <w:bCs/>
                <w:szCs w:val="24"/>
              </w:rPr>
              <w:lastRenderedPageBreak/>
              <w:t xml:space="preserve">2 </w:t>
            </w:r>
          </w:p>
        </w:tc>
        <w:tc>
          <w:tcPr>
            <w:tcW w:w="1918" w:type="pct"/>
          </w:tcPr>
          <w:p w:rsidR="00047D4E" w:rsidRPr="00711EF2" w:rsidRDefault="00B94476" w:rsidP="009F1FA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318"/>
              <w:jc w:val="both"/>
              <w:rPr>
                <w:rFonts w:ascii="Times New Roman" w:hAnsi="Times New Roman" w:cs="Times New Roman"/>
                <w:sz w:val="24"/>
                <w:szCs w:val="24"/>
              </w:rPr>
            </w:pPr>
            <w:r>
              <w:rPr>
                <w:rFonts w:ascii="Times New Roman" w:hAnsi="Times New Roman" w:cs="Times New Roman"/>
                <w:sz w:val="24"/>
                <w:szCs w:val="24"/>
              </w:rPr>
              <w:t xml:space="preserve">Siūlo nutarimo projekte nurodyti ir tai, kad su laiptinės (prireikus su namo gyventojais) būtų sudaroma sutartis dėl pakeistų patalpų naudojimo sąlygų, atsakomybės, naudotojo prievolių. </w:t>
            </w:r>
            <w:bookmarkStart w:id="2" w:name="_GoBack"/>
            <w:bookmarkEnd w:id="2"/>
            <w:r>
              <w:rPr>
                <w:rFonts w:ascii="Times New Roman" w:hAnsi="Times New Roman" w:cs="Times New Roman"/>
                <w:sz w:val="24"/>
                <w:szCs w:val="24"/>
              </w:rPr>
              <w:t xml:space="preserve"> </w:t>
            </w:r>
          </w:p>
        </w:tc>
        <w:tc>
          <w:tcPr>
            <w:tcW w:w="2806" w:type="pct"/>
            <w:gridSpan w:val="2"/>
          </w:tcPr>
          <w:p w:rsidR="00047D4E" w:rsidRPr="008F34C9" w:rsidRDefault="00B94476" w:rsidP="000917E0">
            <w:pPr>
              <w:pStyle w:val="NormalWeb"/>
              <w:spacing w:before="0" w:beforeAutospacing="0" w:after="0" w:afterAutospacing="0"/>
              <w:ind w:firstLine="567"/>
              <w:jc w:val="both"/>
              <w:rPr>
                <w:rStyle w:val="Strong"/>
              </w:rPr>
            </w:pPr>
            <w:r>
              <w:t xml:space="preserve">Siūlymas </w:t>
            </w:r>
            <w:r w:rsidR="00194A2D">
              <w:t>T</w:t>
            </w:r>
            <w:r>
              <w:t xml:space="preserve">varkos aprašo projektą papildyti nuostata, kad patalpų naudojimo sąlygas, atsakomybę ir prievoles numatyti  su laiptinės ar gyvenamojo namo gyventojais sudaromose sutartyse, yra ne šio </w:t>
            </w:r>
            <w:r w:rsidR="00194A2D">
              <w:t xml:space="preserve">Tvarkos </w:t>
            </w:r>
            <w:r>
              <w:t>aprašo projekto reglamentavimo sritis. Statinių techninės ir naudojimo priežiūros tvarka reglamentuota Statybos įstatymo 48 ir 49 straipsniuose ir statybos techniniame reglamente STR 1.07.03:2017 „Statinių techninės ir naudojimo priežiūros tvarka. Naujų nekilnojamojo turto kadastro objektų formavimo tvarka“.</w:t>
            </w:r>
          </w:p>
        </w:tc>
      </w:tr>
    </w:tbl>
    <w:p w:rsidR="0064782E" w:rsidRPr="00711EF2" w:rsidRDefault="0064782E">
      <w:pPr>
        <w:rPr>
          <w:rFonts w:ascii="Times New Roman" w:hAnsi="Times New Roman"/>
          <w:sz w:val="24"/>
          <w:szCs w:val="24"/>
        </w:rPr>
      </w:pPr>
    </w:p>
    <w:sectPr w:rsidR="0064782E" w:rsidRPr="00711EF2" w:rsidSect="00584714">
      <w:headerReference w:type="even" r:id="rId7"/>
      <w:headerReference w:type="default" r:id="rId8"/>
      <w:footerReference w:type="even" r:id="rId9"/>
      <w:footerReference w:type="default" r:id="rId10"/>
      <w:headerReference w:type="first" r:id="rId11"/>
      <w:footerReference w:type="first" r:id="rId12"/>
      <w:pgSz w:w="16838" w:h="11906" w:orient="landscape" w:code="9"/>
      <w:pgMar w:top="1701" w:right="1134" w:bottom="567"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573" w:rsidRDefault="00EF0573" w:rsidP="001050AE">
      <w:pPr>
        <w:spacing w:after="0" w:line="240" w:lineRule="auto"/>
      </w:pPr>
      <w:r>
        <w:separator/>
      </w:r>
    </w:p>
  </w:endnote>
  <w:endnote w:type="continuationSeparator" w:id="0">
    <w:p w:rsidR="00EF0573" w:rsidRDefault="00EF0573" w:rsidP="00105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Andale Sans UI">
    <w:altName w:val="Times New Roman"/>
    <w:charset w:val="BA"/>
    <w:family w:val="auto"/>
    <w:pitch w:val="variable"/>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714" w:rsidRDefault="005847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714" w:rsidRDefault="005847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714" w:rsidRDefault="005847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573" w:rsidRDefault="00EF0573" w:rsidP="001050AE">
      <w:pPr>
        <w:spacing w:after="0" w:line="240" w:lineRule="auto"/>
      </w:pPr>
      <w:r>
        <w:separator/>
      </w:r>
    </w:p>
  </w:footnote>
  <w:footnote w:type="continuationSeparator" w:id="0">
    <w:p w:rsidR="00EF0573" w:rsidRDefault="00EF0573" w:rsidP="001050AE">
      <w:pPr>
        <w:spacing w:after="0" w:line="240" w:lineRule="auto"/>
      </w:pPr>
      <w:r>
        <w:continuationSeparator/>
      </w:r>
    </w:p>
  </w:footnote>
  <w:footnote w:id="1">
    <w:p w:rsidR="00047D4E" w:rsidRPr="00906270" w:rsidRDefault="00047D4E" w:rsidP="00047D4E">
      <w:pPr>
        <w:pStyle w:val="HTMLPreformatted"/>
        <w:tabs>
          <w:tab w:val="clear" w:pos="916"/>
        </w:tabs>
        <w:jc w:val="both"/>
        <w:rPr>
          <w:rFonts w:ascii="Times New Roman" w:hAnsi="Times New Roman" w:cs="Times New Roman"/>
          <w:sz w:val="16"/>
          <w:szCs w:val="16"/>
        </w:rPr>
      </w:pPr>
      <w:r w:rsidRPr="00906270">
        <w:rPr>
          <w:rStyle w:val="FootnoteReference"/>
          <w:rFonts w:ascii="Times New Roman" w:hAnsi="Times New Roman" w:cs="Times New Roman"/>
          <w:sz w:val="16"/>
          <w:szCs w:val="16"/>
        </w:rPr>
        <w:footnoteRef/>
      </w:r>
      <w:r w:rsidRPr="00906270">
        <w:rPr>
          <w:rFonts w:ascii="Times New Roman" w:hAnsi="Times New Roman" w:cs="Times New Roman"/>
          <w:sz w:val="16"/>
          <w:szCs w:val="16"/>
        </w:rPr>
        <w:t xml:space="preserve"> CK 4.85 str. 3 d. </w:t>
      </w:r>
      <w:r>
        <w:rPr>
          <w:rFonts w:ascii="Times New Roman" w:hAnsi="Times New Roman" w:cs="Times New Roman"/>
          <w:sz w:val="16"/>
          <w:szCs w:val="16"/>
        </w:rPr>
        <w:t>„</w:t>
      </w:r>
      <w:r w:rsidRPr="00906270">
        <w:rPr>
          <w:rFonts w:ascii="Times New Roman" w:hAnsi="Times New Roman" w:cs="Times New Roman"/>
          <w:sz w:val="16"/>
          <w:szCs w:val="16"/>
        </w:rPr>
        <w:t>Sprendimai dėl atskirų bendrojo naudojimo objektų, kurie</w:t>
      </w:r>
      <w:r>
        <w:rPr>
          <w:rFonts w:ascii="Times New Roman" w:hAnsi="Times New Roman" w:cs="Times New Roman"/>
          <w:sz w:val="16"/>
          <w:szCs w:val="16"/>
        </w:rPr>
        <w:t xml:space="preserve"> </w:t>
      </w:r>
      <w:r w:rsidRPr="00906270">
        <w:rPr>
          <w:rFonts w:ascii="Times New Roman" w:hAnsi="Times New Roman" w:cs="Times New Roman"/>
          <w:sz w:val="16"/>
          <w:szCs w:val="16"/>
        </w:rPr>
        <w:t>pagal butų ir kitų patalpų savininkų bendrijos, jungtinės veiklos sutarties dalyvių  arba bendrojo  naudojimo objektų administratoriaus  sudarytą  bendrojo naudojimo objektų  aprašą naudojami  tenkinti  ne  viso gyvenamojo namo, o tik atskiroje jo dalyje</w:t>
      </w:r>
      <w:r>
        <w:rPr>
          <w:rFonts w:ascii="Times New Roman" w:hAnsi="Times New Roman" w:cs="Times New Roman"/>
          <w:sz w:val="16"/>
          <w:szCs w:val="16"/>
        </w:rPr>
        <w:t xml:space="preserve"> </w:t>
      </w:r>
      <w:r w:rsidRPr="00906270">
        <w:rPr>
          <w:rFonts w:ascii="Times New Roman" w:hAnsi="Times New Roman" w:cs="Times New Roman"/>
          <w:sz w:val="16"/>
          <w:szCs w:val="16"/>
        </w:rPr>
        <w:t>esančių butų  ir  kitų patalpų  savininkų  poreikius, nepažeidžiant  name esančių butų ir kitų patalpų savininkų teisių ir butų ir kitų patalpų savininkų susirinkimo ar balsuojant raštu priimtų  sprendimų,  valdymo  ir naudojimo gali būti priimami tos dalies  butų  ir  kitų  patalpų  savininkų  balsų  dauguma, jeigu įstatymuose  nenustatyta kitaip, ir yra privalomi tos dalies butų ir  kitų  patalpų  savininkams.  Šių  dalies butų ir kitų patalpų savininkų  susirinkimas  šaukiamas vadovaujantis šio straipsnio 4 ir 5 dalyse nurodyta tvarka.</w:t>
      </w:r>
      <w:r>
        <w:rPr>
          <w:rFonts w:ascii="Times New Roman" w:hAnsi="Times New Roman" w:cs="Times New Roman"/>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714" w:rsidRDefault="005847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4638934"/>
      <w:docPartObj>
        <w:docPartGallery w:val="Page Numbers (Top of Page)"/>
        <w:docPartUnique/>
      </w:docPartObj>
    </w:sdtPr>
    <w:sdtEndPr/>
    <w:sdtContent>
      <w:p w:rsidR="00584714" w:rsidRDefault="00584714">
        <w:pPr>
          <w:pStyle w:val="Header"/>
          <w:jc w:val="center"/>
        </w:pPr>
        <w:r>
          <w:fldChar w:fldCharType="begin"/>
        </w:r>
        <w:r>
          <w:instrText>PAGE   \* MERGEFORMAT</w:instrText>
        </w:r>
        <w:r>
          <w:fldChar w:fldCharType="separate"/>
        </w:r>
        <w:r w:rsidR="00041915">
          <w:rPr>
            <w:noProof/>
          </w:rPr>
          <w:t>5</w:t>
        </w:r>
        <w:r>
          <w:fldChar w:fldCharType="end"/>
        </w:r>
      </w:p>
    </w:sdtContent>
  </w:sdt>
  <w:p w:rsidR="00584714" w:rsidRDefault="005847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714" w:rsidRDefault="005847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DF9"/>
    <w:rsid w:val="00041915"/>
    <w:rsid w:val="00047D4E"/>
    <w:rsid w:val="000917E0"/>
    <w:rsid w:val="001050AE"/>
    <w:rsid w:val="00150284"/>
    <w:rsid w:val="00194A2D"/>
    <w:rsid w:val="00214D69"/>
    <w:rsid w:val="0022048A"/>
    <w:rsid w:val="00257C39"/>
    <w:rsid w:val="00271BAC"/>
    <w:rsid w:val="002A08F6"/>
    <w:rsid w:val="002D4B21"/>
    <w:rsid w:val="00392E67"/>
    <w:rsid w:val="00421AF8"/>
    <w:rsid w:val="0057669E"/>
    <w:rsid w:val="00584714"/>
    <w:rsid w:val="0064782E"/>
    <w:rsid w:val="006D50D3"/>
    <w:rsid w:val="006E1D6C"/>
    <w:rsid w:val="00711EF2"/>
    <w:rsid w:val="00750AC7"/>
    <w:rsid w:val="007A0BFC"/>
    <w:rsid w:val="007E1F99"/>
    <w:rsid w:val="007F73F1"/>
    <w:rsid w:val="00802EFB"/>
    <w:rsid w:val="00893B77"/>
    <w:rsid w:val="008F23FA"/>
    <w:rsid w:val="009272FD"/>
    <w:rsid w:val="009377EC"/>
    <w:rsid w:val="009F1FAA"/>
    <w:rsid w:val="00AE2CA8"/>
    <w:rsid w:val="00B94476"/>
    <w:rsid w:val="00BB7567"/>
    <w:rsid w:val="00CC69BC"/>
    <w:rsid w:val="00E91DF3"/>
    <w:rsid w:val="00EC41A9"/>
    <w:rsid w:val="00EF0573"/>
    <w:rsid w:val="00F31C71"/>
    <w:rsid w:val="00F44DF9"/>
    <w:rsid w:val="00FF6EC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DF9"/>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iniausstilius">
    <w:name w:val="Dainiaus stilius"/>
    <w:basedOn w:val="Normal"/>
    <w:qFormat/>
    <w:rsid w:val="00F44DF9"/>
    <w:pPr>
      <w:spacing w:after="0" w:line="240" w:lineRule="auto"/>
      <w:ind w:firstLine="567"/>
      <w:jc w:val="both"/>
    </w:pPr>
    <w:rPr>
      <w:rFonts w:ascii="Times New Roman" w:hAnsi="Times New Roman"/>
      <w:sz w:val="24"/>
    </w:rPr>
  </w:style>
  <w:style w:type="paragraph" w:styleId="HTMLPreformatted">
    <w:name w:val="HTML Preformatted"/>
    <w:basedOn w:val="Normal"/>
    <w:link w:val="HTMLPreformattedChar"/>
    <w:uiPriority w:val="99"/>
    <w:unhideWhenUsed/>
    <w:rsid w:val="00F44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lt-LT"/>
    </w:rPr>
  </w:style>
  <w:style w:type="character" w:customStyle="1" w:styleId="HTMLPreformattedChar">
    <w:name w:val="HTML Preformatted Char"/>
    <w:basedOn w:val="DefaultParagraphFont"/>
    <w:link w:val="HTMLPreformatted"/>
    <w:uiPriority w:val="99"/>
    <w:rsid w:val="00F44DF9"/>
    <w:rPr>
      <w:rFonts w:ascii="Courier New" w:eastAsia="Times New Roman" w:hAnsi="Courier New" w:cs="Courier New"/>
      <w:color w:val="000000"/>
      <w:sz w:val="20"/>
      <w:szCs w:val="20"/>
      <w:lang w:eastAsia="lt-LT"/>
    </w:rPr>
  </w:style>
  <w:style w:type="paragraph" w:styleId="NoSpacing">
    <w:name w:val="No Spacing"/>
    <w:uiPriority w:val="1"/>
    <w:qFormat/>
    <w:rsid w:val="008F23FA"/>
    <w:rPr>
      <w:rFonts w:eastAsia="Times New Roman" w:cs="Times New Roman"/>
      <w:szCs w:val="20"/>
    </w:rPr>
  </w:style>
  <w:style w:type="paragraph" w:styleId="BalloonText">
    <w:name w:val="Balloon Text"/>
    <w:basedOn w:val="Normal"/>
    <w:link w:val="BalloonTextChar"/>
    <w:uiPriority w:val="99"/>
    <w:semiHidden/>
    <w:unhideWhenUsed/>
    <w:rsid w:val="008F23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3FA"/>
    <w:rPr>
      <w:rFonts w:ascii="Tahoma" w:eastAsia="Calibri" w:hAnsi="Tahoma" w:cs="Tahoma"/>
      <w:sz w:val="16"/>
      <w:szCs w:val="16"/>
    </w:rPr>
  </w:style>
  <w:style w:type="paragraph" w:styleId="BodyText">
    <w:name w:val="Body Text"/>
    <w:aliases w:val=" Char"/>
    <w:basedOn w:val="Normal"/>
    <w:link w:val="BodyTextChar"/>
    <w:rsid w:val="001050AE"/>
    <w:pPr>
      <w:widowControl w:val="0"/>
      <w:suppressAutoHyphens/>
      <w:spacing w:after="0" w:line="240" w:lineRule="auto"/>
      <w:ind w:firstLine="567"/>
      <w:jc w:val="both"/>
    </w:pPr>
    <w:rPr>
      <w:rFonts w:ascii="Times New Roman" w:eastAsia="Andale Sans UI" w:hAnsi="Times New Roman" w:cs="Tahoma"/>
      <w:sz w:val="24"/>
      <w:szCs w:val="24"/>
      <w:lang w:bidi="en-US"/>
    </w:rPr>
  </w:style>
  <w:style w:type="character" w:customStyle="1" w:styleId="BodyTextChar">
    <w:name w:val="Body Text Char"/>
    <w:aliases w:val=" Char Char"/>
    <w:basedOn w:val="DefaultParagraphFont"/>
    <w:link w:val="BodyText"/>
    <w:rsid w:val="001050AE"/>
    <w:rPr>
      <w:rFonts w:eastAsia="Andale Sans UI" w:cs="Tahoma"/>
      <w:szCs w:val="24"/>
      <w:lang w:bidi="en-US"/>
    </w:rPr>
  </w:style>
  <w:style w:type="character" w:customStyle="1" w:styleId="FootnoteCharacters">
    <w:name w:val="Footnote Characters"/>
    <w:rsid w:val="001050AE"/>
  </w:style>
  <w:style w:type="character" w:styleId="FootnoteReference">
    <w:name w:val="footnote reference"/>
    <w:basedOn w:val="DefaultParagraphFont"/>
    <w:uiPriority w:val="99"/>
    <w:semiHidden/>
    <w:unhideWhenUsed/>
    <w:rsid w:val="001050AE"/>
    <w:rPr>
      <w:vertAlign w:val="superscript"/>
    </w:rPr>
  </w:style>
  <w:style w:type="character" w:styleId="Hyperlink">
    <w:name w:val="Hyperlink"/>
    <w:rsid w:val="00AE2CA8"/>
    <w:rPr>
      <w:color w:val="000080"/>
      <w:u w:val="single"/>
    </w:rPr>
  </w:style>
  <w:style w:type="character" w:styleId="Strong">
    <w:name w:val="Strong"/>
    <w:basedOn w:val="DefaultParagraphFont"/>
    <w:uiPriority w:val="22"/>
    <w:qFormat/>
    <w:rsid w:val="00AE2CA8"/>
    <w:rPr>
      <w:b/>
      <w:bCs/>
    </w:rPr>
  </w:style>
  <w:style w:type="paragraph" w:styleId="FootnoteText">
    <w:name w:val="footnote text"/>
    <w:basedOn w:val="Normal"/>
    <w:link w:val="FootnoteTextChar"/>
    <w:uiPriority w:val="99"/>
    <w:semiHidden/>
    <w:unhideWhenUsed/>
    <w:rsid w:val="00AE2CA8"/>
    <w:pPr>
      <w:widowControl w:val="0"/>
      <w:suppressAutoHyphens/>
      <w:spacing w:after="0" w:line="240" w:lineRule="auto"/>
    </w:pPr>
    <w:rPr>
      <w:rFonts w:ascii="Times New Roman" w:eastAsia="Andale Sans UI" w:hAnsi="Times New Roman" w:cs="Tahoma"/>
      <w:sz w:val="20"/>
      <w:szCs w:val="20"/>
      <w:lang w:bidi="en-US"/>
    </w:rPr>
  </w:style>
  <w:style w:type="character" w:customStyle="1" w:styleId="FootnoteTextChar">
    <w:name w:val="Footnote Text Char"/>
    <w:basedOn w:val="DefaultParagraphFont"/>
    <w:link w:val="FootnoteText"/>
    <w:uiPriority w:val="99"/>
    <w:semiHidden/>
    <w:rsid w:val="00AE2CA8"/>
    <w:rPr>
      <w:rFonts w:eastAsia="Andale Sans UI" w:cs="Tahoma"/>
      <w:sz w:val="20"/>
      <w:szCs w:val="20"/>
      <w:lang w:bidi="en-US"/>
    </w:rPr>
  </w:style>
  <w:style w:type="paragraph" w:styleId="PlainText">
    <w:name w:val="Plain Text"/>
    <w:basedOn w:val="Normal"/>
    <w:link w:val="PlainTextChar"/>
    <w:uiPriority w:val="99"/>
    <w:unhideWhenUsed/>
    <w:rsid w:val="00047D4E"/>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047D4E"/>
    <w:rPr>
      <w:rFonts w:ascii="Calibri" w:hAnsi="Calibri"/>
      <w:sz w:val="22"/>
      <w:szCs w:val="21"/>
    </w:rPr>
  </w:style>
  <w:style w:type="paragraph" w:styleId="NormalWeb">
    <w:name w:val="Normal (Web)"/>
    <w:basedOn w:val="Normal"/>
    <w:uiPriority w:val="99"/>
    <w:unhideWhenUsed/>
    <w:rsid w:val="00047D4E"/>
    <w:pPr>
      <w:spacing w:before="100" w:beforeAutospacing="1" w:after="100" w:afterAutospacing="1" w:line="240" w:lineRule="auto"/>
    </w:pPr>
    <w:rPr>
      <w:rFonts w:ascii="Times New Roman" w:eastAsia="Times New Roman" w:hAnsi="Times New Roman"/>
      <w:sz w:val="24"/>
      <w:szCs w:val="24"/>
      <w:lang w:eastAsia="lt-LT"/>
    </w:rPr>
  </w:style>
  <w:style w:type="paragraph" w:styleId="Header">
    <w:name w:val="header"/>
    <w:basedOn w:val="Normal"/>
    <w:link w:val="HeaderChar"/>
    <w:uiPriority w:val="99"/>
    <w:unhideWhenUsed/>
    <w:rsid w:val="00584714"/>
    <w:pPr>
      <w:tabs>
        <w:tab w:val="center" w:pos="4819"/>
        <w:tab w:val="right" w:pos="9638"/>
      </w:tabs>
      <w:spacing w:after="0" w:line="240" w:lineRule="auto"/>
    </w:pPr>
  </w:style>
  <w:style w:type="character" w:customStyle="1" w:styleId="HeaderChar">
    <w:name w:val="Header Char"/>
    <w:basedOn w:val="DefaultParagraphFont"/>
    <w:link w:val="Header"/>
    <w:uiPriority w:val="99"/>
    <w:rsid w:val="00584714"/>
    <w:rPr>
      <w:rFonts w:ascii="Calibri" w:eastAsia="Calibri" w:hAnsi="Calibri" w:cs="Times New Roman"/>
      <w:sz w:val="22"/>
    </w:rPr>
  </w:style>
  <w:style w:type="paragraph" w:styleId="Footer">
    <w:name w:val="footer"/>
    <w:basedOn w:val="Normal"/>
    <w:link w:val="FooterChar"/>
    <w:uiPriority w:val="99"/>
    <w:unhideWhenUsed/>
    <w:rsid w:val="00584714"/>
    <w:pPr>
      <w:tabs>
        <w:tab w:val="center" w:pos="4819"/>
        <w:tab w:val="right" w:pos="9638"/>
      </w:tabs>
      <w:spacing w:after="0" w:line="240" w:lineRule="auto"/>
    </w:pPr>
  </w:style>
  <w:style w:type="character" w:customStyle="1" w:styleId="FooterChar">
    <w:name w:val="Footer Char"/>
    <w:basedOn w:val="DefaultParagraphFont"/>
    <w:link w:val="Footer"/>
    <w:uiPriority w:val="99"/>
    <w:rsid w:val="00584714"/>
    <w:rPr>
      <w:rFonts w:ascii="Calibri" w:eastAsia="Calibri"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DF9"/>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iniausstilius">
    <w:name w:val="Dainiaus stilius"/>
    <w:basedOn w:val="Normal"/>
    <w:qFormat/>
    <w:rsid w:val="00F44DF9"/>
    <w:pPr>
      <w:spacing w:after="0" w:line="240" w:lineRule="auto"/>
      <w:ind w:firstLine="567"/>
      <w:jc w:val="both"/>
    </w:pPr>
    <w:rPr>
      <w:rFonts w:ascii="Times New Roman" w:hAnsi="Times New Roman"/>
      <w:sz w:val="24"/>
    </w:rPr>
  </w:style>
  <w:style w:type="paragraph" w:styleId="HTMLPreformatted">
    <w:name w:val="HTML Preformatted"/>
    <w:basedOn w:val="Normal"/>
    <w:link w:val="HTMLPreformattedChar"/>
    <w:uiPriority w:val="99"/>
    <w:unhideWhenUsed/>
    <w:rsid w:val="00F44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lt-LT"/>
    </w:rPr>
  </w:style>
  <w:style w:type="character" w:customStyle="1" w:styleId="HTMLPreformattedChar">
    <w:name w:val="HTML Preformatted Char"/>
    <w:basedOn w:val="DefaultParagraphFont"/>
    <w:link w:val="HTMLPreformatted"/>
    <w:uiPriority w:val="99"/>
    <w:rsid w:val="00F44DF9"/>
    <w:rPr>
      <w:rFonts w:ascii="Courier New" w:eastAsia="Times New Roman" w:hAnsi="Courier New" w:cs="Courier New"/>
      <w:color w:val="000000"/>
      <w:sz w:val="20"/>
      <w:szCs w:val="20"/>
      <w:lang w:eastAsia="lt-LT"/>
    </w:rPr>
  </w:style>
  <w:style w:type="paragraph" w:styleId="NoSpacing">
    <w:name w:val="No Spacing"/>
    <w:uiPriority w:val="1"/>
    <w:qFormat/>
    <w:rsid w:val="008F23FA"/>
    <w:rPr>
      <w:rFonts w:eastAsia="Times New Roman" w:cs="Times New Roman"/>
      <w:szCs w:val="20"/>
    </w:rPr>
  </w:style>
  <w:style w:type="paragraph" w:styleId="BalloonText">
    <w:name w:val="Balloon Text"/>
    <w:basedOn w:val="Normal"/>
    <w:link w:val="BalloonTextChar"/>
    <w:uiPriority w:val="99"/>
    <w:semiHidden/>
    <w:unhideWhenUsed/>
    <w:rsid w:val="008F23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3FA"/>
    <w:rPr>
      <w:rFonts w:ascii="Tahoma" w:eastAsia="Calibri" w:hAnsi="Tahoma" w:cs="Tahoma"/>
      <w:sz w:val="16"/>
      <w:szCs w:val="16"/>
    </w:rPr>
  </w:style>
  <w:style w:type="paragraph" w:styleId="BodyText">
    <w:name w:val="Body Text"/>
    <w:aliases w:val=" Char"/>
    <w:basedOn w:val="Normal"/>
    <w:link w:val="BodyTextChar"/>
    <w:rsid w:val="001050AE"/>
    <w:pPr>
      <w:widowControl w:val="0"/>
      <w:suppressAutoHyphens/>
      <w:spacing w:after="0" w:line="240" w:lineRule="auto"/>
      <w:ind w:firstLine="567"/>
      <w:jc w:val="both"/>
    </w:pPr>
    <w:rPr>
      <w:rFonts w:ascii="Times New Roman" w:eastAsia="Andale Sans UI" w:hAnsi="Times New Roman" w:cs="Tahoma"/>
      <w:sz w:val="24"/>
      <w:szCs w:val="24"/>
      <w:lang w:bidi="en-US"/>
    </w:rPr>
  </w:style>
  <w:style w:type="character" w:customStyle="1" w:styleId="BodyTextChar">
    <w:name w:val="Body Text Char"/>
    <w:aliases w:val=" Char Char"/>
    <w:basedOn w:val="DefaultParagraphFont"/>
    <w:link w:val="BodyText"/>
    <w:rsid w:val="001050AE"/>
    <w:rPr>
      <w:rFonts w:eastAsia="Andale Sans UI" w:cs="Tahoma"/>
      <w:szCs w:val="24"/>
      <w:lang w:bidi="en-US"/>
    </w:rPr>
  </w:style>
  <w:style w:type="character" w:customStyle="1" w:styleId="FootnoteCharacters">
    <w:name w:val="Footnote Characters"/>
    <w:rsid w:val="001050AE"/>
  </w:style>
  <w:style w:type="character" w:styleId="FootnoteReference">
    <w:name w:val="footnote reference"/>
    <w:basedOn w:val="DefaultParagraphFont"/>
    <w:uiPriority w:val="99"/>
    <w:semiHidden/>
    <w:unhideWhenUsed/>
    <w:rsid w:val="001050AE"/>
    <w:rPr>
      <w:vertAlign w:val="superscript"/>
    </w:rPr>
  </w:style>
  <w:style w:type="character" w:styleId="Hyperlink">
    <w:name w:val="Hyperlink"/>
    <w:rsid w:val="00AE2CA8"/>
    <w:rPr>
      <w:color w:val="000080"/>
      <w:u w:val="single"/>
    </w:rPr>
  </w:style>
  <w:style w:type="character" w:styleId="Strong">
    <w:name w:val="Strong"/>
    <w:basedOn w:val="DefaultParagraphFont"/>
    <w:uiPriority w:val="22"/>
    <w:qFormat/>
    <w:rsid w:val="00AE2CA8"/>
    <w:rPr>
      <w:b/>
      <w:bCs/>
    </w:rPr>
  </w:style>
  <w:style w:type="paragraph" w:styleId="FootnoteText">
    <w:name w:val="footnote text"/>
    <w:basedOn w:val="Normal"/>
    <w:link w:val="FootnoteTextChar"/>
    <w:uiPriority w:val="99"/>
    <w:semiHidden/>
    <w:unhideWhenUsed/>
    <w:rsid w:val="00AE2CA8"/>
    <w:pPr>
      <w:widowControl w:val="0"/>
      <w:suppressAutoHyphens/>
      <w:spacing w:after="0" w:line="240" w:lineRule="auto"/>
    </w:pPr>
    <w:rPr>
      <w:rFonts w:ascii="Times New Roman" w:eastAsia="Andale Sans UI" w:hAnsi="Times New Roman" w:cs="Tahoma"/>
      <w:sz w:val="20"/>
      <w:szCs w:val="20"/>
      <w:lang w:bidi="en-US"/>
    </w:rPr>
  </w:style>
  <w:style w:type="character" w:customStyle="1" w:styleId="FootnoteTextChar">
    <w:name w:val="Footnote Text Char"/>
    <w:basedOn w:val="DefaultParagraphFont"/>
    <w:link w:val="FootnoteText"/>
    <w:uiPriority w:val="99"/>
    <w:semiHidden/>
    <w:rsid w:val="00AE2CA8"/>
    <w:rPr>
      <w:rFonts w:eastAsia="Andale Sans UI" w:cs="Tahoma"/>
      <w:sz w:val="20"/>
      <w:szCs w:val="20"/>
      <w:lang w:bidi="en-US"/>
    </w:rPr>
  </w:style>
  <w:style w:type="paragraph" w:styleId="PlainText">
    <w:name w:val="Plain Text"/>
    <w:basedOn w:val="Normal"/>
    <w:link w:val="PlainTextChar"/>
    <w:uiPriority w:val="99"/>
    <w:unhideWhenUsed/>
    <w:rsid w:val="00047D4E"/>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047D4E"/>
    <w:rPr>
      <w:rFonts w:ascii="Calibri" w:hAnsi="Calibri"/>
      <w:sz w:val="22"/>
      <w:szCs w:val="21"/>
    </w:rPr>
  </w:style>
  <w:style w:type="paragraph" w:styleId="NormalWeb">
    <w:name w:val="Normal (Web)"/>
    <w:basedOn w:val="Normal"/>
    <w:uiPriority w:val="99"/>
    <w:unhideWhenUsed/>
    <w:rsid w:val="00047D4E"/>
    <w:pPr>
      <w:spacing w:before="100" w:beforeAutospacing="1" w:after="100" w:afterAutospacing="1" w:line="240" w:lineRule="auto"/>
    </w:pPr>
    <w:rPr>
      <w:rFonts w:ascii="Times New Roman" w:eastAsia="Times New Roman" w:hAnsi="Times New Roman"/>
      <w:sz w:val="24"/>
      <w:szCs w:val="24"/>
      <w:lang w:eastAsia="lt-LT"/>
    </w:rPr>
  </w:style>
  <w:style w:type="paragraph" w:styleId="Header">
    <w:name w:val="header"/>
    <w:basedOn w:val="Normal"/>
    <w:link w:val="HeaderChar"/>
    <w:uiPriority w:val="99"/>
    <w:unhideWhenUsed/>
    <w:rsid w:val="00584714"/>
    <w:pPr>
      <w:tabs>
        <w:tab w:val="center" w:pos="4819"/>
        <w:tab w:val="right" w:pos="9638"/>
      </w:tabs>
      <w:spacing w:after="0" w:line="240" w:lineRule="auto"/>
    </w:pPr>
  </w:style>
  <w:style w:type="character" w:customStyle="1" w:styleId="HeaderChar">
    <w:name w:val="Header Char"/>
    <w:basedOn w:val="DefaultParagraphFont"/>
    <w:link w:val="Header"/>
    <w:uiPriority w:val="99"/>
    <w:rsid w:val="00584714"/>
    <w:rPr>
      <w:rFonts w:ascii="Calibri" w:eastAsia="Calibri" w:hAnsi="Calibri" w:cs="Times New Roman"/>
      <w:sz w:val="22"/>
    </w:rPr>
  </w:style>
  <w:style w:type="paragraph" w:styleId="Footer">
    <w:name w:val="footer"/>
    <w:basedOn w:val="Normal"/>
    <w:link w:val="FooterChar"/>
    <w:uiPriority w:val="99"/>
    <w:unhideWhenUsed/>
    <w:rsid w:val="00584714"/>
    <w:pPr>
      <w:tabs>
        <w:tab w:val="center" w:pos="4819"/>
        <w:tab w:val="right" w:pos="9638"/>
      </w:tabs>
      <w:spacing w:after="0" w:line="240" w:lineRule="auto"/>
    </w:pPr>
  </w:style>
  <w:style w:type="character" w:customStyle="1" w:styleId="FooterChar">
    <w:name w:val="Footer Char"/>
    <w:basedOn w:val="DefaultParagraphFont"/>
    <w:link w:val="Footer"/>
    <w:uiPriority w:val="99"/>
    <w:rsid w:val="00584714"/>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5</Pages>
  <Words>7722</Words>
  <Characters>4402</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v.kriauciukaite</cp:lastModifiedBy>
  <cp:revision>29</cp:revision>
  <cp:lastPrinted>2018-01-08T12:38:00Z</cp:lastPrinted>
  <dcterms:created xsi:type="dcterms:W3CDTF">2017-12-15T11:57:00Z</dcterms:created>
  <dcterms:modified xsi:type="dcterms:W3CDTF">2018-01-08T12:55:00Z</dcterms:modified>
</cp:coreProperties>
</file>