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3c420119d74e1893f6a3c18ebf8d00"/>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3"/>
              <w:szCs w:val="24"/>
              <w:lang w:eastAsia="zh-CN"/>
            </w:rPr>
          </w:pPr>
          <w:r>
            <w:rPr>
              <w:b/>
              <w:bCs/>
              <w:color w:val="000000"/>
              <w:kern w:val="3"/>
              <w:szCs w:val="24"/>
              <w:lang w:eastAsia="zh-CN"/>
            </w:rPr>
            <w:t>ŠIAULIŲ MIESTO SAVIVALDYBĖS ADMINISTRACIJOS</w:t>
          </w:r>
        </w:p>
        <w:sdt>
          <w:sdtPr>
            <w:alias w:val="skyrius"/>
            <w:tag w:val="part_9b6bea8f15ca44c0a2c00eb0ba76f9c3"/>
            <w:lock w:val="sdtLocked"/>
            <w:richText/>
          </w:sdtPr>
          <w:sdtContent>
            <w:p>
              <w:pPr>
                <w:suppressAutoHyphens/>
                <w:jc w:val="center"/>
                <w:rPr>
                  <w:b/>
                  <w:bCs/>
                  <w:kern w:val="3"/>
                  <w:szCs w:val="24"/>
                  <w:lang w:eastAsia="zh-CN"/>
                </w:rPr>
              </w:pPr>
              <w:r>
                <w:rPr>
                  <w:b/>
                  <w:bCs/>
                  <w:kern w:val="3"/>
                  <w:szCs w:val="24"/>
                  <w:lang w:eastAsia="zh-CN"/>
                </w:rPr>
                <w:t>SOCIALINIŲ PASLAUGŲ SKYRIUS</w:t>
              </w:r>
            </w:p>
            <w:p>
              <w:pPr>
                <w:suppressAutoHyphens/>
                <w:rPr>
                  <w:kern w:val="3"/>
                  <w:szCs w:val="24"/>
                  <w:lang w:eastAsia="zh-CN"/>
                </w:rPr>
              </w:pPr>
            </w:p>
            <w:p>
              <w:pPr>
                <w:suppressAutoHyphens/>
                <w:rPr>
                  <w:kern w:val="3"/>
                  <w:szCs w:val="24"/>
                  <w:lang w:eastAsia="zh-CN"/>
                </w:rPr>
              </w:pPr>
              <w:r>
                <w:rPr>
                  <w:kern w:val="3"/>
                  <w:szCs w:val="24"/>
                  <w:lang w:eastAsia="zh-CN"/>
                </w:rPr>
                <w:t>Šiaulių miesto savivaldybės tarybai</w:t>
              </w:r>
            </w:p>
            <w:p>
              <w:pPr>
                <w:suppressAutoHyphens/>
                <w:rPr>
                  <w:kern w:val="3"/>
                  <w:szCs w:val="24"/>
                  <w:lang w:eastAsia="zh-CN"/>
                </w:rPr>
              </w:pPr>
            </w:p>
            <w:sdt>
              <w:sdtPr>
                <w:alias w:val="poskyris"/>
                <w:tag w:val="part_869e08a4ab284680b5eb117a9cfa0bd4"/>
                <w:lock w:val="sdtLocked"/>
                <w:richText/>
              </w:sdtPr>
              <w:sdtContent>
                <w:sdt>
                  <w:sdtPr>
                    <w:alias w:val="Pavadinimas"/>
                    <w:tag w:val="title_869e08a4ab284680b5eb117a9cfa0bd4"/>
                    <w:lock w:val="sdtLocked"/>
                    <w:richText/>
                  </w:sdtPr>
                  <w:sdtContent>
                    <w:p>
                      <w:pPr>
                        <w:tabs>
                          <w:tab w:val="center" w:pos="4819"/>
                          <w:tab w:val="right" w:pos="9638"/>
                        </w:tabs>
                        <w:jc w:val="center"/>
                        <w:rPr>
                          <w:rFonts w:eastAsia="Lucida Sans Unicode"/>
                          <w:b/>
                          <w:bCs/>
                          <w:szCs w:val="24"/>
                          <w:shd w:val="clear" w:color="auto" w:fill="FFFFFF"/>
                        </w:rPr>
                      </w:pPr>
                      <w:r>
                        <w:rPr>
                          <w:rFonts w:eastAsia="Calibri"/>
                          <w:b/>
                          <w:bCs/>
                          <w:szCs w:val="24"/>
                        </w:rPr>
                        <w:t>SPRENDIMO „DĖL ŠIAULIŲ MIESTO SAVIVALDYBĖS 2022 M. VASARIO 3 D. SPRENDIMO NR. T-30 „DĖL BIUDŽETINIŲ ĮSTAIGŲ SOCIALINIŲ PASLAUGŲ SĄRAŠO IR KAINŲ NUSTATYMO“</w:t>
                      </w:r>
                      <w:r>
                        <w:rPr>
                          <w:rFonts w:eastAsia="Lucida Sans Unicode"/>
                          <w:b/>
                          <w:bCs/>
                          <w:szCs w:val="24"/>
                          <w:shd w:val="clear" w:color="auto" w:fill="FFFFFF"/>
                        </w:rPr>
                        <w:t xml:space="preserve"> PAKEITIMO PROJEKTO </w:t>
                      </w:r>
                    </w:p>
                    <w:p>
                      <w:pPr>
                        <w:tabs>
                          <w:tab w:val="center" w:pos="4819"/>
                          <w:tab w:val="right" w:pos="9638"/>
                        </w:tabs>
                        <w:jc w:val="center"/>
                        <w:rPr>
                          <w:rFonts w:eastAsia="Lucida Sans Unicode"/>
                          <w:b/>
                          <w:bCs/>
                          <w:szCs w:val="24"/>
                          <w:shd w:val="clear" w:color="auto" w:fill="FFFFFF"/>
                        </w:rPr>
                      </w:pPr>
                      <w:r>
                        <w:rPr>
                          <w:rFonts w:eastAsia="Calibri"/>
                          <w:b/>
                          <w:bCs/>
                          <w:szCs w:val="24"/>
                        </w:rPr>
                        <w:t>AIŠKINAMASIS RAŠTAS</w:t>
                      </w:r>
                    </w:p>
                  </w:sdtContent>
                </w:sdt>
                <w:p>
                  <w:pPr>
                    <w:tabs>
                      <w:tab w:val="center" w:pos="4819"/>
                      <w:tab w:val="right" w:pos="9638"/>
                    </w:tabs>
                    <w:jc w:val="center"/>
                    <w:rPr>
                      <w:rFonts w:eastAsia="Calibri"/>
                      <w:b/>
                      <w:bCs/>
                      <w:szCs w:val="24"/>
                    </w:rPr>
                  </w:pPr>
                </w:p>
                <w:p>
                  <w:pPr>
                    <w:jc w:val="center"/>
                    <w:rPr>
                      <w:color w:val="000000"/>
                      <w:szCs w:val="24"/>
                    </w:rPr>
                  </w:pPr>
                  <w:r>
                    <w:rPr>
                      <w:color w:val="000000"/>
                      <w:szCs w:val="24"/>
                    </w:rPr>
                    <w:t xml:space="preserve">2025 m. lapkričio  17 d. </w:t>
                  </w:r>
                </w:p>
                <w:p>
                  <w:pPr>
                    <w:widowControl w:val="0"/>
                    <w:jc w:val="center"/>
                    <w:rPr>
                      <w:rFonts w:eastAsia="Lucida Sans Unicode"/>
                      <w:iCs/>
                      <w:color w:val="000000"/>
                      <w:szCs w:val="24"/>
                      <w:lang w:eastAsia="lt-LT"/>
                    </w:rPr>
                  </w:pPr>
                  <w:r>
                    <w:rPr>
                      <w:rFonts w:eastAsia="Lucida Sans Unicode"/>
                      <w:iCs/>
                      <w:color w:val="000000"/>
                      <w:szCs w:val="24"/>
                      <w:lang w:eastAsia="lt-LT"/>
                    </w:rPr>
                    <w:t>Šiauliai</w:t>
                  </w:r>
                </w:p>
                <w:p>
                  <w:pPr>
                    <w:widowControl w:val="0"/>
                    <w:ind w:firstLine="426"/>
                    <w:jc w:val="center"/>
                    <w:rPr>
                      <w:rFonts w:eastAsia="Lucida Sans Unicode"/>
                      <w:iCs/>
                      <w:color w:val="000000"/>
                      <w:szCs w:val="24"/>
                      <w:lang w:eastAsia="lt-LT"/>
                    </w:rPr>
                  </w:pPr>
                </w:p>
              </w:sdtContent>
            </w:sdt>
            <w:sdt>
              <w:sdtPr>
                <w:alias w:val="poskyris"/>
                <w:tag w:val="part_b81d3a70bd8b4e36bfe1a93c7e385bcd"/>
                <w:lock w:val="sdtLocked"/>
                <w:richText/>
              </w:sdtPr>
              <w:sdtContent>
                <w:p>
                  <w:pPr>
                    <w:widowControl w:val="0"/>
                    <w:overflowPunct w:val="0"/>
                    <w:ind w:firstLine="426"/>
                    <w:jc w:val="both"/>
                    <w:rPr>
                      <w:b/>
                      <w:color w:val="000000"/>
                      <w:szCs w:val="24"/>
                      <w:lang w:eastAsia="lt-LT"/>
                    </w:rPr>
                  </w:pPr>
                  <w:sdt>
                    <w:sdtPr>
                      <w:alias w:val="Pavadinimas"/>
                      <w:tag w:val="title_b81d3a70bd8b4e36bfe1a93c7e385bcd"/>
                      <w:lock w:val="sdtLocked"/>
                      <w:richText/>
                    </w:sdtPr>
                    <w:sdtContent>
                      <w:r>
                        <w:rPr>
                          <w:b/>
                          <w:color w:val="000000"/>
                          <w:szCs w:val="24"/>
                          <w:lang w:eastAsia="lt-LT"/>
                        </w:rPr>
                        <w:t xml:space="preserve">Parengto sprendimo projekto tikslai ir uždaviniai. </w:t>
                      </w:r>
                    </w:sdtContent>
                  </w:sdt>
                </w:p>
                <w:p>
                  <w:pPr>
                    <w:ind w:firstLine="425"/>
                    <w:jc w:val="both"/>
                    <w:rPr>
                      <w:rFonts w:eastAsia="Calibri"/>
                      <w:szCs w:val="24"/>
                    </w:rPr>
                  </w:pPr>
                  <w:r>
                    <w:rPr>
                      <w:rFonts w:eastAsia="Calibri"/>
                      <w:szCs w:val="24"/>
                    </w:rPr>
                    <w:t xml:space="preserve">Parengto sprendimo projekto tikslas – pakeisti biudžetinių įstaigų socialinių paslaugų ir kainų sąrašą ir jį išdėstyti nauja redakcija. Keičiamos Šiaulių kompleksinių paslaugų namų „Alka“ (toliau – Šiaulių „Alka“), Šiaulių miesto savivaldybės globos namų (toliau – Globos namai), Šiaulių miesto savivaldybės socialinių paslaugų centro (toliau – Socialinių paslaugų centro), Šiaulių „Spindulio“ ugdymo centro (toliau – „Spindulys“), Šiaulių miesto šeimos centro (toliau – Šeimos centro) teikiamų socialinių paslaugų kainos. </w:t>
                  </w:r>
                </w:p>
              </w:sdtContent>
            </w:sdt>
            <w:sdt>
              <w:sdtPr>
                <w:alias w:val="poskyris"/>
                <w:tag w:val="part_d0bb2dff36994e3386a24d4259e69df6"/>
                <w:lock w:val="sdtLocked"/>
                <w:richText/>
              </w:sdtPr>
              <w:sdtContent>
                <w:p>
                  <w:pPr>
                    <w:ind w:firstLine="425"/>
                    <w:jc w:val="both"/>
                    <w:rPr>
                      <w:rFonts w:eastAsia="Calibri"/>
                      <w:b/>
                      <w:szCs w:val="24"/>
                    </w:rPr>
                  </w:pPr>
                  <w:sdt>
                    <w:sdtPr>
                      <w:alias w:val="Pavadinimas"/>
                      <w:tag w:val="title_d0bb2dff36994e3386a24d4259e69df6"/>
                      <w:lock w:val="sdtLocked"/>
                      <w:richText/>
                    </w:sdtPr>
                    <w:sdtContent>
                      <w:r>
                        <w:rPr>
                          <w:rFonts w:eastAsia="Calibri"/>
                          <w:b/>
                          <w:szCs w:val="24"/>
                        </w:rPr>
                        <w:t>Dabartinis sprendimo projekte aptariamų klausimų reguliavimas.</w:t>
                      </w:r>
                    </w:sdtContent>
                  </w:sdt>
                </w:p>
                <w:p>
                  <w:pPr>
                    <w:ind w:firstLine="425"/>
                    <w:jc w:val="both"/>
                    <w:rPr>
                      <w:rFonts w:eastAsia="Calibri"/>
                      <w:szCs w:val="24"/>
                    </w:rPr>
                  </w:pPr>
                  <w:r>
                    <w:rPr>
                      <w:rFonts w:eastAsia="Calibri"/>
                      <w:szCs w:val="24"/>
                    </w:rPr>
                    <w:t>Šiaulių miesto savivaldybės tarybos 2022 m. vasario 3 d. sprendimu Nr. T-30 „Dėl biudžetinių įstaigų socialinių paslaugų sąrašo ir kainų nustatymo“ patvirtintos teikiamų socialinių paslaugų sąrašas ir jų kainos.</w:t>
                  </w:r>
                </w:p>
                <w:p>
                  <w:pPr>
                    <w:ind w:firstLine="425"/>
                    <w:jc w:val="both"/>
                    <w:rPr>
                      <w:rFonts w:eastAsia="Calibri"/>
                      <w:szCs w:val="24"/>
                      <w:lang w:eastAsia="lt-LT"/>
                    </w:rPr>
                  </w:pPr>
                  <w:r>
                    <w:rPr>
                      <w:rFonts w:eastAsia="Calibri"/>
                      <w:szCs w:val="24"/>
                      <w:lang w:eastAsia="lt-LT"/>
                    </w:rPr>
                    <w:t xml:space="preserve">Socialines paslaugas teikiančios įstaigos, Šiaulių „Alka“, Globos namai, Socialinių paslaugų centras,  „Spindulys“ ir Šeimos centras įvertinusios tai, kad nustatytos kainos nebepadengs minėtų paslaugų teikimo išlaidų, nes didėja bendroji socialinės globos ir priežiūros lėšų dalis (įstaigos administracinio, ūkinio ir aptarnaujančiojo personalo darbo užmokestis, išlaidos kitoms prekėms (kanceliarinės prekės, spaudiniai ir kitos prekės, susijusios su įstaigos administravimui) ir kitos išlaidos (vandentiekis, kanalizacija, ryšių paslaugos, spaudiniai ir kita) ir kintamoji socialinės globos ir priežiūros lėšų dalis (tiesiogiai paslaugas teikiančių darbuotojų darbo užmokestis, ir kitos prekės ir paslaugos, kurios susijusioms su paslaugos gavėjo poreikiais ir kt.), todėl įstaigos prašo nustatyti didesnes 5 teikiamų socialinių paslaugų (</w:t>
                  </w:r>
                  <w:r>
                    <w:rPr>
                      <w:rFonts w:eastAsia="Calibri"/>
                      <w:i/>
                      <w:iCs/>
                      <w:szCs w:val="24"/>
                      <w:lang w:eastAsia="lt-LT"/>
                    </w:rPr>
                    <w:t>ilgalaikės (trumpalaikės,) dienos socialinės globos namuose ir institucijoje, laikino atokvėpio asmens namuose ir institucijoje, pagalbos į namus, asmeninio asistento</w:t>
                  </w:r>
                  <w:r>
                    <w:rPr>
                      <w:rFonts w:eastAsia="Calibri"/>
                      <w:szCs w:val="24"/>
                      <w:lang w:eastAsia="lt-LT"/>
                    </w:rPr>
                    <w:t>) ir 3 naujų paslaugų (</w:t>
                  </w:r>
                  <w:r>
                    <w:rPr>
                      <w:rFonts w:eastAsia="Calibri"/>
                      <w:i/>
                      <w:iCs/>
                      <w:szCs w:val="24"/>
                      <w:lang w:eastAsia="lt-LT"/>
                    </w:rPr>
                    <w:t>laikino apnakvindinimo, Socialinių įgūdžių ugdymo, palaikymo ir (ar) atkūrimo, asmens nukėlimas laiptų kopikliu 1 karto</w:t>
                  </w:r>
                  <w:r>
                    <w:rPr>
                      <w:rFonts w:eastAsia="Calibri"/>
                      <w:szCs w:val="24"/>
                      <w:lang w:eastAsia="lt-LT"/>
                    </w:rPr>
                    <w:t>) kainas</w:t>
                  </w:r>
                </w:p>
                <w:p>
                  <w:pPr>
                    <w:ind w:firstLine="425"/>
                    <w:jc w:val="both"/>
                    <w:rPr>
                      <w:szCs w:val="24"/>
                      <w:lang w:eastAsia="lt-LT"/>
                    </w:rPr>
                  </w:pPr>
                  <w:r>
                    <w:rPr>
                      <w:rFonts w:eastAsia="Calibri"/>
                      <w:szCs w:val="24"/>
                      <w:lang w:eastAsia="lt-LT"/>
                    </w:rPr>
                    <w:t>Socialinių paslaugų finansavimo ir lėšų apskaičiavimo metodikos, patvirtintos Lietuvos Respublikos socialinės apsaugos ir darbo ministro 2024 m. birželio 25 d. įsakymu Nr. A1-426 „Dėl socialinių paslaugų finansavimo ir lėšų apskaičiavimo metodikos patvirtinimo“ (toliau - Metodikos), 16 punkte</w:t>
                  </w:r>
                  <w:r>
                    <w:rPr>
                      <w:rFonts w:eastAsia="Calibri"/>
                      <w:szCs w:val="24"/>
                    </w:rPr>
                    <w:t xml:space="preserve">, </w:t>
                  </w:r>
                  <w:r>
                    <w:rPr>
                      <w:szCs w:val="24"/>
                      <w:lang w:eastAsia="lt-LT"/>
                    </w:rPr>
                    <w:t xml:space="preserve">numatyta, kad </w:t>
                  </w:r>
                  <w:r>
                    <w:rPr>
                      <w:rFonts w:eastAsia="Calibri"/>
                      <w:szCs w:val="24"/>
                    </w:rPr>
                    <w:t xml:space="preserve"> </w:t>
                  </w:r>
                  <w:r>
                    <w:rPr>
                      <w:szCs w:val="24"/>
                      <w:lang w:eastAsia="lt-LT"/>
                    </w:rPr>
                    <w:t>socialinės priežiūros ir (ar) laikino atokvėpio paslaugos kainą socialinių paslaugų įstaigos nustato pagal Metodikos 19 punkte nurodytas lėšų dalis,  vadovaudamosi Socialinių paslaugų katalogu bei kitais teisės aktais, reglamentuojančiais socialinių paslaugų organizavimą ir teikimą, derindamos ją su socialinių paslaugų įstaigos</w:t>
                  </w:r>
                  <w:r>
                    <w:rPr>
                      <w:b/>
                      <w:bCs/>
                      <w:szCs w:val="24"/>
                      <w:lang w:eastAsia="lt-LT"/>
                    </w:rPr>
                    <w:t> </w:t>
                  </w:r>
                  <w:r>
                    <w:rPr>
                      <w:szCs w:val="24"/>
                      <w:lang w:eastAsia="lt-LT"/>
                    </w:rPr>
                    <w:t>savininko teises ir pareigas įgyvendinančia institucija ar socialinių paslaugų įstaigos dalininkais (savininkais), taip pat su socialinę priežiūrą ir (ar) laikino atokvėpio paslaugą finansuojančiomis savivaldybių administracijomis, atsižvelgdamos į socialinės priežiūros ir (ar) laikino atokvėpio ir socialinės globos paslaugų organizavimo išlaidas, jų efektyvų panaudojimą ir šių paslaugų teikimo savivaldybės teritorijoje ypatumus. </w:t>
                  </w:r>
                </w:p>
              </w:sdtContent>
            </w:sdt>
            <w:sdt>
              <w:sdtPr>
                <w:alias w:val="poskyris"/>
                <w:tag w:val="part_f684563bc70b4d1fa2bc5a4e57f1173f"/>
                <w:lock w:val="sdtLocked"/>
                <w:richText/>
              </w:sdtPr>
              <w:sdtContent>
                <w:p>
                  <w:pPr>
                    <w:ind w:firstLine="426"/>
                    <w:jc w:val="both"/>
                    <w:rPr>
                      <w:rFonts w:eastAsia="Calibri"/>
                      <w:szCs w:val="24"/>
                    </w:rPr>
                  </w:pPr>
                  <w:sdt>
                    <w:sdtPr>
                      <w:alias w:val="Pavadinimas"/>
                      <w:tag w:val="title_f684563bc70b4d1fa2bc5a4e57f1173f"/>
                      <w:lock w:val="sdtLocked"/>
                      <w:richText/>
                    </w:sdtPr>
                    <w:sdtContent>
                      <w:r>
                        <w:rPr>
                          <w:rFonts w:eastAsia="Calibri"/>
                          <w:b/>
                          <w:szCs w:val="24"/>
                        </w:rPr>
                        <w:t>Sprendimo projekte numatytos naujos teisinio reglamentavimo nuostatos.</w:t>
                      </w:r>
                    </w:sdtContent>
                  </w:sdt>
                </w:p>
                <w:p>
                  <w:pPr>
                    <w:ind w:left="-6" w:right="6" w:firstLine="431"/>
                    <w:jc w:val="both"/>
                    <w:rPr>
                      <w:rFonts w:eastAsia="Calibri"/>
                      <w:szCs w:val="24"/>
                    </w:rPr>
                  </w:pPr>
                  <w:r>
                    <w:rPr>
                      <w:rFonts w:eastAsia="Calibri"/>
                      <w:szCs w:val="24"/>
                    </w:rPr>
                    <w:t xml:space="preserve">Teikiame tvirtinti pakeistą biudžetinių įstaigų socialinių paslaugų ir kainų sąrašą </w:t>
                  </w:r>
                  <w:r>
                    <w:rPr>
                      <w:rFonts w:eastAsia="Calibri"/>
                      <w:bCs/>
                      <w:szCs w:val="24"/>
                    </w:rPr>
                    <w:t xml:space="preserve">(Kompleksinių paslaugų namų </w:t>
                  </w:r>
                  <w:r>
                    <w:rPr>
                      <w:rFonts w:eastAsia="Calibri"/>
                      <w:szCs w:val="24"/>
                      <w:lang w:eastAsia="lt-LT"/>
                    </w:rPr>
                    <w:t xml:space="preserve">„Alka“, Globos namų, Socialinių paslaugų centro,  „Spindulio“ ir  Šeimos centro),</w:t>
                  </w:r>
                  <w:r>
                    <w:rPr>
                      <w:rFonts w:eastAsia="Calibri"/>
                      <w:szCs w:val="24"/>
                    </w:rPr>
                    <w:t xml:space="preserve"> kuris išdėstomas nauja redakcija.</w:t>
                  </w:r>
                </w:p>
                <w:p>
                  <w:pPr>
                    <w:ind w:left="-6" w:right="6" w:firstLine="431"/>
                    <w:jc w:val="both"/>
                    <w:rPr>
                      <w:rFonts w:eastAsia="Calibri"/>
                      <w:szCs w:val="24"/>
                    </w:rPr>
                  </w:pPr>
                  <w:r>
                    <w:rPr>
                      <w:rFonts w:eastAsia="Calibri"/>
                      <w:szCs w:val="24"/>
                      <w:lang w:eastAsia="he-IL" w:bidi="he-IL"/>
                    </w:rPr>
                    <w:t>Tarybos sprendimo projekto</w:t>
                  </w:r>
                  <w:r>
                    <w:rPr>
                      <w:rFonts w:eastAsia="Calibri"/>
                      <w:szCs w:val="24"/>
                    </w:rPr>
                    <w:t xml:space="preserve"> 1 priedo pakeitimai pateikiami lyginamajam socialinių paslaugų ir kainų sąrašo variante. </w:t>
                  </w:r>
                </w:p>
              </w:sdtContent>
            </w:sdt>
            <w:sdt>
              <w:sdtPr>
                <w:alias w:val="poskyris"/>
                <w:tag w:val="part_0711bd7c073e4b35b8dc1c00fa353b0a"/>
                <w:lock w:val="sdtLocked"/>
                <w:richText/>
              </w:sdtPr>
              <w:sdtContent>
                <w:p>
                  <w:pPr>
                    <w:widowControl w:val="0"/>
                    <w:overflowPunct w:val="0"/>
                    <w:ind w:firstLine="426"/>
                    <w:jc w:val="both"/>
                    <w:rPr>
                      <w:b/>
                      <w:szCs w:val="24"/>
                      <w:lang w:eastAsia="lt-LT"/>
                    </w:rPr>
                  </w:pPr>
                  <w:sdt>
                    <w:sdtPr>
                      <w:alias w:val="Pavadinimas"/>
                      <w:tag w:val="title_0711bd7c073e4b35b8dc1c00fa353b0a"/>
                      <w:lock w:val="sdtLocked"/>
                      <w:richText/>
                    </w:sdtPr>
                    <w:sdtContent>
                      <w:r>
                        <w:rPr>
                          <w:b/>
                          <w:szCs w:val="24"/>
                          <w:lang w:eastAsia="lt-LT"/>
                        </w:rPr>
                        <w:t>Priėmus sprendimą, galimos pasekmės.</w:t>
                      </w:r>
                    </w:sdtContent>
                  </w:sdt>
                </w:p>
                <w:p>
                  <w:pPr>
                    <w:ind w:firstLine="425"/>
                    <w:jc w:val="both"/>
                    <w:rPr>
                      <w:rFonts w:eastAsia="Calibri"/>
                      <w:szCs w:val="24"/>
                    </w:rPr>
                  </w:pPr>
                  <w:r>
                    <w:rPr>
                      <w:rFonts w:eastAsia="HG Mincho Light J"/>
                      <w:bCs/>
                      <w:szCs w:val="24"/>
                      <w:lang w:eastAsia="zh-CN" w:bidi="hi-IN"/>
                    </w:rPr>
                    <w:t xml:space="preserve">Teigiamos: </w:t>
                  </w:r>
                  <w:r>
                    <w:rPr>
                      <w:rFonts w:eastAsia="Calibri"/>
                      <w:szCs w:val="24"/>
                      <w:lang w:bidi="he-IL"/>
                    </w:rPr>
                    <w:t xml:space="preserve">nustatytos </w:t>
                  </w:r>
                  <w:r>
                    <w:rPr>
                      <w:rFonts w:eastAsia="Calibri"/>
                      <w:szCs w:val="24"/>
                    </w:rPr>
                    <w:t xml:space="preserve">socialinių paslaugų </w:t>
                  </w:r>
                  <w:r>
                    <w:rPr>
                      <w:rFonts w:eastAsia="Calibri"/>
                      <w:szCs w:val="24"/>
                      <w:lang w:bidi="he-IL"/>
                    </w:rPr>
                    <w:t xml:space="preserve">kainos padengs minėtų paslaugų teikimo išlaidas ir </w:t>
                  </w:r>
                  <w:r>
                    <w:rPr>
                      <w:rFonts w:eastAsia="Calibri"/>
                      <w:szCs w:val="24"/>
                    </w:rPr>
                    <w:t>padės tinkamai planuoti lėšas socialinėms paslaugoms.</w:t>
                  </w:r>
                </w:p>
                <w:p>
                  <w:pPr>
                    <w:ind w:firstLine="425"/>
                    <w:jc w:val="both"/>
                    <w:rPr>
                      <w:rFonts w:eastAsia="Calibri"/>
                      <w:szCs w:val="24"/>
                    </w:rPr>
                  </w:pPr>
                  <w:r>
                    <w:rPr>
                      <w:rFonts w:eastAsia="Calibri"/>
                      <w:szCs w:val="24"/>
                    </w:rPr>
                    <w:t>Neigiamų pasekmių nenumatoma.</w:t>
                  </w:r>
                </w:p>
              </w:sdtContent>
            </w:sdt>
            <w:sdt>
              <w:sdtPr>
                <w:alias w:val="poskyris"/>
                <w:tag w:val="part_88c3221d170142c8b137b750138ea33f"/>
                <w:lock w:val="sdtLocked"/>
                <w:richText/>
              </w:sdtPr>
              <w:sdtContent>
                <w:p>
                  <w:pPr>
                    <w:ind w:firstLine="425"/>
                    <w:jc w:val="both"/>
                    <w:rPr>
                      <w:rFonts w:eastAsia="Calibri"/>
                      <w:szCs w:val="24"/>
                    </w:rPr>
                  </w:pPr>
                  <w:sdt>
                    <w:sdtPr>
                      <w:alias w:val="Pavadinimas"/>
                      <w:tag w:val="title_88c3221d170142c8b137b750138ea33f"/>
                      <w:lock w:val="sdtLocked"/>
                      <w:richText/>
                    </w:sdtPr>
                    <w:sdtContent>
                      <w:r>
                        <w:rPr>
                          <w:rFonts w:eastAsia="Calibri"/>
                          <w:b/>
                          <w:szCs w:val="24"/>
                        </w:rPr>
                        <w:t xml:space="preserve">Priėmus sprendimą, keičiami ar pripažįstami  negaliojančiais teisės aktai.</w:t>
                      </w:r>
                    </w:sdtContent>
                  </w:sdt>
                </w:p>
                <w:p>
                  <w:pPr>
                    <w:ind w:firstLine="426"/>
                    <w:jc w:val="both"/>
                    <w:rPr>
                      <w:rFonts w:eastAsia="Calibri"/>
                      <w:szCs w:val="24"/>
                    </w:rPr>
                  </w:pPr>
                  <w:r>
                    <w:rPr>
                      <w:rFonts w:eastAsia="Calibri"/>
                      <w:szCs w:val="24"/>
                    </w:rPr>
                    <w:t xml:space="preserve">Priėmus sprendimą, keičiamos </w:t>
                  </w:r>
                  <w:r>
                    <w:rPr>
                      <w:rFonts w:eastAsia="Calibri"/>
                      <w:bCs/>
                      <w:szCs w:val="24"/>
                    </w:rPr>
                    <w:t xml:space="preserve">Šiaulių miesto savivaldybės tarybos 2022 m. vasario 3 d. sprendimo Nr. T-30 „Dėl biudžetinių įstaigų socialinių paslaugų sąrašo ir kainų nustatymo“ patvirtinto Biudžetinių įstaigų socialinių paslaugų ir kainų sąrašas, ir jis išdėstomas nauja redakcija. </w:t>
                  </w:r>
                </w:p>
              </w:sdtContent>
            </w:sdt>
            <w:sdt>
              <w:sdtPr>
                <w:alias w:val="poskyris"/>
                <w:tag w:val="part_c4f1d7598895418eb40b08dda1fd8a03"/>
                <w:lock w:val="sdtLocked"/>
                <w:richText/>
              </w:sdtPr>
              <w:sdtContent>
                <w:p>
                  <w:pPr>
                    <w:widowControl w:val="0"/>
                    <w:suppressAutoHyphens/>
                    <w:overflowPunct w:val="0"/>
                    <w:spacing w:line="100" w:lineRule="atLeast"/>
                    <w:ind w:firstLine="426"/>
                    <w:jc w:val="both"/>
                    <w:rPr>
                      <w:b/>
                      <w:szCs w:val="24"/>
                      <w:lang w:eastAsia="lt-LT"/>
                    </w:rPr>
                  </w:pPr>
                  <w:sdt>
                    <w:sdtPr>
                      <w:alias w:val="Pavadinimas"/>
                      <w:tag w:val="title_c4f1d7598895418eb40b08dda1fd8a03"/>
                      <w:lock w:val="sdtLocked"/>
                      <w:richText/>
                    </w:sdtPr>
                    <w:sdtContent>
                      <w:r>
                        <w:rPr>
                          <w:b/>
                          <w:szCs w:val="24"/>
                          <w:lang w:eastAsia="lt-LT"/>
                        </w:rPr>
                        <w:t>Sprendimui įgyvendinti reikalingi priimti papildomi teisės aktai.</w:t>
                      </w:r>
                    </w:sdtContent>
                  </w:sdt>
                </w:p>
                <w:p>
                  <w:pPr>
                    <w:ind w:firstLine="426"/>
                    <w:jc w:val="both"/>
                    <w:rPr>
                      <w:szCs w:val="24"/>
                    </w:rPr>
                  </w:pPr>
                  <w:r>
                    <w:rPr>
                      <w:szCs w:val="24"/>
                    </w:rPr>
                    <w:t>Priėmus sprendimą keisti ar naikinti galiojančių teisės aktų nereikės.</w:t>
                  </w:r>
                </w:p>
              </w:sdtContent>
            </w:sdt>
            <w:sdt>
              <w:sdtPr>
                <w:alias w:val="poskyris"/>
                <w:tag w:val="part_4b19f83a5e2a412a8fb2a1de5b5b20d3"/>
                <w:lock w:val="sdtLocked"/>
                <w:richText/>
              </w:sdtPr>
              <w:sdtContent>
                <w:p>
                  <w:pPr>
                    <w:ind w:firstLine="426"/>
                    <w:jc w:val="both"/>
                    <w:rPr>
                      <w:rFonts w:eastAsia="Calibri"/>
                      <w:b/>
                      <w:szCs w:val="24"/>
                    </w:rPr>
                  </w:pPr>
                  <w:sdt>
                    <w:sdtPr>
                      <w:alias w:val="Pavadinimas"/>
                      <w:tag w:val="title_4b19f83a5e2a412a8fb2a1de5b5b20d3"/>
                      <w:lock w:val="sdtLocked"/>
                      <w:richText/>
                    </w:sdtPr>
                    <w:sdtContent>
                      <w:r>
                        <w:rPr>
                          <w:rFonts w:eastAsia="Calibri"/>
                          <w:b/>
                          <w:szCs w:val="24"/>
                        </w:rPr>
                        <w:t>Sprendimui įgyvendinti reikalingos lėšos.</w:t>
                      </w:r>
                    </w:sdtContent>
                  </w:sdt>
                </w:p>
                <w:p>
                  <w:pPr>
                    <w:ind w:firstLine="432"/>
                    <w:jc w:val="both"/>
                    <w:rPr>
                      <w:rFonts w:eastAsia="Calibri"/>
                      <w:szCs w:val="24"/>
                    </w:rPr>
                  </w:pPr>
                  <w:r>
                    <w:rPr>
                      <w:rFonts w:eastAsia="Calibri"/>
                      <w:szCs w:val="24"/>
                    </w:rPr>
                    <w:t>Sprendimui įgyvendinti planuojame, kad papildomų biudžeto lėšų nereikės, nes reikalingos lėšos 2026 m. biudžete suplanuotos 6 programoje, pagal šiuo metu paslaugas gaunančių asmenų skaičių.</w:t>
                  </w:r>
                </w:p>
                <w:p>
                  <w:pPr>
                    <w:ind w:firstLine="426"/>
                    <w:jc w:val="both"/>
                    <w:rPr>
                      <w:rFonts w:eastAsia="Calibri"/>
                      <w:szCs w:val="24"/>
                    </w:rPr>
                  </w:pPr>
                  <w:r>
                    <w:rPr>
                      <w:rFonts w:eastAsia="Calibri"/>
                      <w:b/>
                      <w:bCs/>
                      <w:szCs w:val="24"/>
                    </w:rPr>
                    <w:t>Sprendimo projekto antikorupcinis vertinimas</w:t>
                  </w:r>
                  <w:r>
                    <w:rPr>
                      <w:rFonts w:eastAsia="Calibri"/>
                      <w:szCs w:val="24"/>
                    </w:rPr>
                    <w:t xml:space="preserve"> buvo atliekamas.</w:t>
                  </w:r>
                </w:p>
                <w:p>
                  <w:pPr>
                    <w:suppressAutoHyphens/>
                    <w:ind w:firstLine="426"/>
                    <w:jc w:val="both"/>
                    <w:rPr>
                      <w:kern w:val="3"/>
                      <w:szCs w:val="24"/>
                      <w:lang w:val="es-ES" w:eastAsia="zh-CN"/>
                    </w:rPr>
                  </w:pPr>
                  <w:r>
                    <w:rPr>
                      <w:b/>
                      <w:kern w:val="3"/>
                      <w:szCs w:val="24"/>
                      <w:shd w:val="clear" w:color="auto" w:fill="FFFFFF"/>
                      <w:lang w:eastAsia="zh-CN"/>
                    </w:rPr>
                    <w:t>N</w:t>
                  </w:r>
                  <w:r>
                    <w:rPr>
                      <w:rFonts w:eastAsia="Calibri"/>
                      <w:b/>
                      <w:kern w:val="3"/>
                      <w:szCs w:val="24"/>
                      <w:lang w:eastAsia="zh-CN"/>
                    </w:rPr>
                    <w:t xml:space="preserve">umatomo teisinio reguliavimo poveikio vertinimas </w:t>
                  </w:r>
                  <w:r>
                    <w:rPr>
                      <w:rFonts w:eastAsia="Calibri"/>
                      <w:kern w:val="3"/>
                      <w:szCs w:val="24"/>
                      <w:lang w:eastAsia="zh-CN"/>
                    </w:rPr>
                    <w:t>neatliekamas</w:t>
                  </w:r>
                  <w:r>
                    <w:rPr>
                      <w:rFonts w:eastAsia="Calibri"/>
                      <w:b/>
                      <w:kern w:val="3"/>
                      <w:szCs w:val="24"/>
                      <w:lang w:eastAsia="zh-CN"/>
                    </w:rPr>
                    <w:t>.</w:t>
                  </w:r>
                </w:p>
                <w:p>
                  <w:pPr>
                    <w:spacing w:line="100" w:lineRule="atLeast"/>
                    <w:ind w:left="-5" w:right="8" w:firstLine="431"/>
                    <w:jc w:val="both"/>
                    <w:rPr>
                      <w:rFonts w:eastAsia="Calibri"/>
                      <w:szCs w:val="24"/>
                    </w:rPr>
                  </w:pPr>
                  <w:r>
                    <w:rPr>
                      <w:rFonts w:eastAsia="Calibri"/>
                      <w:b/>
                      <w:bCs/>
                      <w:szCs w:val="24"/>
                      <w:lang w:eastAsia="lt-LT"/>
                    </w:rPr>
                    <w:t>Sprendimo projektą parengė</w:t>
                  </w:r>
                  <w:r>
                    <w:rPr>
                      <w:rFonts w:eastAsia="Calibri"/>
                      <w:szCs w:val="24"/>
                      <w:lang w:eastAsia="lt-LT"/>
                    </w:rPr>
                    <w:t xml:space="preserve"> Socialinių paslaugų skyrius. Tiesioginis rengėjas – </w:t>
                  </w:r>
                  <w:r>
                    <w:rPr>
                      <w:rFonts w:eastAsia="Calibri"/>
                      <w:szCs w:val="24"/>
                      <w:shd w:val="clear" w:color="auto" w:fill="FFFFFF"/>
                    </w:rPr>
                    <w:t>Socialinių paslaugų skyriaus vedėjo pavaduotoja Lina Lašinė, tel. 38 64 90, iniciatorius – Socialinių paslaugų skyriaus vedėja Ramutė Pilypienė,</w:t>
                  </w:r>
                  <w:r>
                    <w:rPr>
                      <w:rFonts w:eastAsia="Calibri"/>
                      <w:szCs w:val="24"/>
                    </w:rPr>
                    <w:t xml:space="preserve"> Šiaulių kompleksinių paslaugų namų „Alka“ ir Šiaulių miesto šeimos centro direktorius Rimantas Žąsinas, Šiaulių miesto savivaldybės globos namų direktorė Danutė Akaveckienė, Šiaulių miesto savivaldybės socialinių paslaugų centro direktorė Vida Šalnienė, Šiaulių „Spindulio“ ugdymo centro direktorė Eglė Mikelėnė. </w:t>
                  </w:r>
                </w:p>
                <w:p>
                  <w:pPr>
                    <w:rPr>
                      <w:sz w:val="18"/>
                      <w:szCs w:val="18"/>
                    </w:rPr>
                  </w:pPr>
                </w:p>
                <w:p>
                  <w:pPr>
                    <w:suppressAutoHyphens/>
                    <w:ind w:firstLine="426"/>
                    <w:jc w:val="both"/>
                    <w:rPr>
                      <w:color w:val="000000"/>
                      <w:kern w:val="3"/>
                      <w:szCs w:val="24"/>
                      <w:shd w:val="clear" w:color="auto" w:fill="FFFFFF"/>
                      <w:lang w:eastAsia="zh-CN"/>
                    </w:rPr>
                  </w:pPr>
                </w:p>
                <w:p>
                  <w:pPr>
                    <w:widowControl w:val="0"/>
                    <w:rPr>
                      <w:rFonts w:eastAsia="Lucida Sans Unicode"/>
                      <w:b/>
                      <w:bCs/>
                      <w:iCs/>
                      <w:color w:val="000000"/>
                      <w:sz w:val="22"/>
                      <w:szCs w:val="22"/>
                      <w:shd w:val="clear" w:color="auto" w:fill="FFFFFF"/>
                      <w:lang w:eastAsia="lt-LT"/>
                    </w:rPr>
                  </w:pPr>
                </w:p>
                <w:p>
                  <w:pPr>
                    <w:widowControl w:val="0"/>
                    <w:rPr>
                      <w:rFonts w:eastAsia="Lucida Sans Unicode"/>
                      <w:b/>
                      <w:bCs/>
                      <w:iCs/>
                      <w:color w:val="000000"/>
                      <w:sz w:val="22"/>
                      <w:szCs w:val="22"/>
                      <w:shd w:val="clear" w:color="auto" w:fill="FFFFFF"/>
                      <w:lang w:eastAsia="lt-LT"/>
                    </w:rPr>
                  </w:pPr>
                </w:p>
              </w:sdtContent>
            </w:sdt>
          </w:sdtContent>
        </w:sdt>
        <w:sdt>
          <w:sdtPr>
            <w:alias w:val="signatura"/>
            <w:tag w:val="part_c6c80ac50d7f49f4b13db9f1bc091733"/>
            <w:lock w:val="sdtLocked"/>
            <w:richText/>
          </w:sdtPr>
          <w:sdtContent>
            <w:p>
              <w:pPr>
                <w:tabs>
                  <w:tab w:val="left" w:pos="0"/>
                </w:tabs>
                <w:rPr>
                  <w:rFonts w:eastAsia="Calibri"/>
                  <w:color w:val="000000"/>
                  <w:szCs w:val="24"/>
                </w:rPr>
              </w:pPr>
              <w:r>
                <w:rPr>
                  <w:rFonts w:eastAsia="Calibri"/>
                  <w:color w:val="000000"/>
                  <w:szCs w:val="24"/>
                </w:rPr>
                <w:t xml:space="preserve">Skyriaus vedėja </w:t>
                <w:tab/>
                <w:tab/>
                <w:tab/>
                <w:tab/>
                <w:tab/>
                <w:t>Ramutė Pilypienė</w:t>
              </w:r>
            </w:p>
            <w:p>
              <w:pPr>
                <w:tabs>
                  <w:tab w:val="left" w:pos="0"/>
                </w:tabs>
                <w:rPr>
                  <w:rFonts w:eastAsia="Calibri"/>
                  <w:color w:val="000000"/>
                  <w:szCs w:val="24"/>
                </w:rPr>
              </w:pPr>
            </w:p>
            <w:p>
              <w:pPr>
                <w:tabs>
                  <w:tab w:val="left" w:pos="0"/>
                </w:tabs>
                <w:rPr>
                  <w:rFonts w:eastAsia="Calibri"/>
                  <w:color w:val="000000"/>
                  <w:sz w:val="22"/>
                  <w:szCs w:val="22"/>
                </w:rPr>
              </w:pPr>
            </w:p>
            <w:p>
              <w:pPr>
                <w:tabs>
                  <w:tab w:val="left" w:pos="0"/>
                  <w:tab w:val="left" w:pos="4678"/>
                </w:tabs>
                <w:rPr>
                  <w:rFonts w:eastAsia="Calibri"/>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eastAsia="Calibri"/>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3</w:t>
    </w:r>
    <w:r>
      <w:rPr>
        <w:rFonts w:eastAsia="Calibri"/>
        <w:szCs w:val="24"/>
      </w:rPr>
      <w:fldChar w:fldCharType="end"/>
    </w:r>
  </w:p>
  <w:p>
    <w:pPr>
      <w:rPr>
        <w:rFonts w:eastAsia="Calibri"/>
        <w:b/>
        <w:szCs w:val="24"/>
      </w:rPr>
    </w:pPr>
    <w:r>
      <w:rPr>
        <w:rFonts w:ascii="Calibri" w:eastAsia="Calibri" w:hAnsi="Calibri"/>
        <w:sz w:val="22"/>
        <w:szCs w:val="22"/>
      </w:rPr>
      <w:tab/>
    </w:r>
  </w:p>
  <w:p>
    <w:pPr>
      <w:jc w:val="center"/>
      <w:rPr>
        <w:rFonts w:eastAsia="Calibri"/>
        <w:b/>
        <w:szCs w:val="24"/>
      </w:rPr>
    </w:pPr>
    <w:r>
      <w:rPr>
        <w:rFonts w:eastAsia="Calibri"/>
        <w:b/>
        <w:szCs w:val="24"/>
      </w:rPr>
      <w:t xml:space="preserve"> </w: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DF405-A9DD-4F3B-B216-39D8301C42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353817">
      <w:bodyDiv w:val="1"/>
      <w:marLeft w:val="0"/>
      <w:marRight w:val="0"/>
      <w:marTop w:val="0"/>
      <w:marBottom w:val="0"/>
      <w:divBdr>
        <w:top w:val="none" w:sz="0" w:space="0" w:color="auto"/>
        <w:left w:val="none" w:sz="0" w:space="0" w:color="auto"/>
        <w:bottom w:val="none" w:sz="0" w:space="0" w:color="auto"/>
        <w:right w:val="none" w:sz="0" w:space="0" w:color="auto"/>
      </w:divBdr>
      <w:divsChild>
        <w:div w:id="1270044829">
          <w:marLeft w:val="0"/>
          <w:marRight w:val="0"/>
          <w:marTop w:val="0"/>
          <w:marBottom w:val="0"/>
          <w:divBdr>
            <w:top w:val="none" w:sz="0" w:space="0" w:color="auto"/>
            <w:left w:val="none" w:sz="0" w:space="0" w:color="auto"/>
            <w:bottom w:val="none" w:sz="0" w:space="0" w:color="auto"/>
            <w:right w:val="none" w:sz="0" w:space="0" w:color="auto"/>
          </w:divBdr>
        </w:div>
      </w:divsChild>
    </w:div>
    <w:div w:id="214312880">
      <w:bodyDiv w:val="1"/>
      <w:marLeft w:val="0"/>
      <w:marRight w:val="0"/>
      <w:marTop w:val="0"/>
      <w:marBottom w:val="0"/>
      <w:divBdr>
        <w:top w:val="none" w:sz="0" w:space="0" w:color="auto"/>
        <w:left w:val="none" w:sz="0" w:space="0" w:color="auto"/>
        <w:bottom w:val="none" w:sz="0" w:space="0" w:color="auto"/>
        <w:right w:val="none" w:sz="0" w:space="0" w:color="auto"/>
      </w:divBdr>
    </w:div>
    <w:div w:id="547642789">
      <w:bodyDiv w:val="1"/>
      <w:marLeft w:val="0"/>
      <w:marRight w:val="0"/>
      <w:marTop w:val="0"/>
      <w:marBottom w:val="0"/>
      <w:divBdr>
        <w:top w:val="none" w:sz="0" w:space="0" w:color="auto"/>
        <w:left w:val="none" w:sz="0" w:space="0" w:color="auto"/>
        <w:bottom w:val="none" w:sz="0" w:space="0" w:color="auto"/>
        <w:right w:val="none" w:sz="0" w:space="0" w:color="auto"/>
      </w:divBdr>
    </w:div>
    <w:div w:id="580605351">
      <w:bodyDiv w:val="1"/>
      <w:marLeft w:val="0"/>
      <w:marRight w:val="0"/>
      <w:marTop w:val="0"/>
      <w:marBottom w:val="0"/>
      <w:divBdr>
        <w:top w:val="none" w:sz="0" w:space="0" w:color="auto"/>
        <w:left w:val="none" w:sz="0" w:space="0" w:color="auto"/>
        <w:bottom w:val="none" w:sz="0" w:space="0" w:color="auto"/>
        <w:right w:val="none" w:sz="0" w:space="0" w:color="auto"/>
      </w:divBdr>
    </w:div>
    <w:div w:id="611665627">
      <w:bodyDiv w:val="1"/>
      <w:marLeft w:val="0"/>
      <w:marRight w:val="0"/>
      <w:marTop w:val="0"/>
      <w:marBottom w:val="0"/>
      <w:divBdr>
        <w:top w:val="none" w:sz="0" w:space="0" w:color="auto"/>
        <w:left w:val="none" w:sz="0" w:space="0" w:color="auto"/>
        <w:bottom w:val="none" w:sz="0" w:space="0" w:color="auto"/>
        <w:right w:val="none" w:sz="0" w:space="0" w:color="auto"/>
      </w:divBdr>
    </w:div>
    <w:div w:id="653337574">
      <w:bodyDiv w:val="1"/>
      <w:marLeft w:val="0"/>
      <w:marRight w:val="0"/>
      <w:marTop w:val="0"/>
      <w:marBottom w:val="0"/>
      <w:divBdr>
        <w:top w:val="none" w:sz="0" w:space="0" w:color="auto"/>
        <w:left w:val="none" w:sz="0" w:space="0" w:color="auto"/>
        <w:bottom w:val="none" w:sz="0" w:space="0" w:color="auto"/>
        <w:right w:val="none" w:sz="0" w:space="0" w:color="auto"/>
      </w:divBdr>
    </w:div>
    <w:div w:id="1285692516">
      <w:bodyDiv w:val="1"/>
      <w:marLeft w:val="0"/>
      <w:marRight w:val="0"/>
      <w:marTop w:val="0"/>
      <w:marBottom w:val="0"/>
      <w:divBdr>
        <w:top w:val="none" w:sz="0" w:space="0" w:color="auto"/>
        <w:left w:val="none" w:sz="0" w:space="0" w:color="auto"/>
        <w:bottom w:val="none" w:sz="0" w:space="0" w:color="auto"/>
        <w:right w:val="none" w:sz="0" w:space="0" w:color="auto"/>
      </w:divBdr>
      <w:divsChild>
        <w:div w:id="1362124683">
          <w:marLeft w:val="0"/>
          <w:marRight w:val="0"/>
          <w:marTop w:val="0"/>
          <w:marBottom w:val="0"/>
          <w:divBdr>
            <w:top w:val="none" w:sz="0" w:space="0" w:color="auto"/>
            <w:left w:val="none" w:sz="0" w:space="0" w:color="auto"/>
            <w:bottom w:val="none" w:sz="0" w:space="0" w:color="auto"/>
            <w:right w:val="none" w:sz="0" w:space="0" w:color="auto"/>
          </w:divBdr>
        </w:div>
      </w:divsChild>
    </w:div>
    <w:div w:id="1816681700">
      <w:bodyDiv w:val="1"/>
      <w:marLeft w:val="0"/>
      <w:marRight w:val="0"/>
      <w:marTop w:val="0"/>
      <w:marBottom w:val="0"/>
      <w:divBdr>
        <w:top w:val="none" w:sz="0" w:space="0" w:color="auto"/>
        <w:left w:val="none" w:sz="0" w:space="0" w:color="auto"/>
        <w:bottom w:val="none" w:sz="0" w:space="0" w:color="auto"/>
        <w:right w:val="none" w:sz="0" w:space="0" w:color="auto"/>
      </w:divBdr>
    </w:div>
    <w:div w:id="1985506389">
      <w:bodyDiv w:val="1"/>
      <w:marLeft w:val="0"/>
      <w:marRight w:val="0"/>
      <w:marTop w:val="0"/>
      <w:marBottom w:val="0"/>
      <w:divBdr>
        <w:top w:val="none" w:sz="0" w:space="0" w:color="auto"/>
        <w:left w:val="none" w:sz="0" w:space="0" w:color="auto"/>
        <w:bottom w:val="none" w:sz="0" w:space="0" w:color="auto"/>
        <w:right w:val="none" w:sz="0" w:space="0" w:color="auto"/>
      </w:divBdr>
    </w:div>
    <w:div w:id="203765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9bbdb86efe04ef88713f66d6a5de954" PartId="473c420119d74e1893f6a3c18ebf8d00">
    <Part Type="skyrius" Nr="999" DocPartId="fdfa1dbb90874bfda9d6add93c2f14ab" PartId="9b6bea8f15ca44c0a2c00eb0ba76f9c3">
      <Part Type="poskyris" Title="SPRENDIMO „DĖL ŠIAULIŲ MIESTO SAVIVALDYBĖS 2022 M. VASARIO 3 D. SPRENDIMO NR. T-30 „DĖL BIUDŽETINIŲ ĮSTAIGŲ SOCIALINIŲ PASLAUGŲ SĄRAŠO IR KAINŲ NUSTATYMO“ PAKEITIMO PROJEKTO AIŠKINAMASIS RAŠTAS" DocPartId="d67dcff3481545cc9c8b18e63fb0ad6e" PartId="869e08a4ab284680b5eb117a9cfa0bd4"/>
      <Part Type="poskyris" Title="Parengto sprendimo projekto tikslai ir uždaviniai." DocPartId="150dea3ae9b94ae38b92c900e0302315" PartId="b81d3a70bd8b4e36bfe1a93c7e385bcd"/>
      <Part Type="poskyris" Title="Dabartinis sprendimo projekte aptariamų klausimų reguliavimas." DocPartId="0d99236290c741c5a2f9eff9396a617e" PartId="d0bb2dff36994e3386a24d4259e69df6"/>
      <Part Type="poskyris" Title="Sprendimo projekte numatytos naujos teisinio reglamentavimo nuostatos." DocPartId="e88a7136462e4c81962c96813f5809a6" PartId="f684563bc70b4d1fa2bc5a4e57f1173f"/>
      <Part Type="poskyris" Title="Priėmus sprendimą, galimos pasekmės." DocPartId="be1381f938fa4687ad937e07336098b7" PartId="0711bd7c073e4b35b8dc1c00fa353b0a"/>
      <Part Type="poskyris" Title="Priėmus sprendimą, keičiami ar pripažįstami negaliojančiais teisės aktai." DocPartId="1dfce405ae5a44cca20bee07a66dacb9" PartId="88c3221d170142c8b137b750138ea33f"/>
      <Part Type="poskyris" Title="Sprendimui įgyvendinti reikalingi priimti papildomi teisės aktai." DocPartId="509d34c436bc402c93dbf1152de45545" PartId="c4f1d7598895418eb40b08dda1fd8a03"/>
      <Part Type="poskyris" Title="Sprendimui įgyvendinti reikalingos lėšos." DocPartId="1ba406cc2c2441cca2fb62cca9699893" PartId="4b19f83a5e2a412a8fb2a1de5b5b20d3"/>
    </Part>
    <Part Type="signatura" DocPartId="e133fbdb79234d7c9147be71f8390081" PartId="c6c80ac50d7f49f4b13db9f1bc091733"/>
  </Part>
</Parts>
</file>

<file path=customXml/itemProps1.xml><?xml version="1.0" encoding="utf-8"?>
<ds:datastoreItem xmlns:ds="http://schemas.openxmlformats.org/officeDocument/2006/customXml" ds:itemID="{612B57F7-5787-4FF7-8C57-ABB849F19203}">
  <ds:schemaRefs>
    <ds:schemaRef ds:uri="http://schemas.openxmlformats.org/officeDocument/2006/bibliography"/>
  </ds:schemaRefs>
</ds:datastoreItem>
</file>

<file path=customXml/itemProps2.xml><?xml version="1.0" encoding="utf-8"?>
<ds:datastoreItem xmlns:ds="http://schemas.openxmlformats.org/officeDocument/2006/customXml" ds:itemID="{671B5050-4312-4247-A271-7B573DCB93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657</Words>
  <Characters>4837</Characters>
  <Application>Microsoft Office Word</Application>
  <DocSecurity>4</DocSecurity>
  <Lines>80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2025-11-20T11:31:00Z</dcterms:created>
  <dc:creator>Arunas</dc:creator>
  <lastModifiedBy>adlibuser</lastModifiedBy>
  <lastPrinted>2024-04-04T14:18:00Z</lastPrinted>
  <dcterms:modified xsi:type="dcterms:W3CDTF">2025-11-20T11:31:00Z</dcterms:modified>
  <revision>2</revision>
  <dc:title>ŠIAULIŲ MIESTO SAVIVALDYBĖS ADMINISTRACIJOS</dc:title>
</coreProperties>
</file>