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513"/>
          <w:tab w:val="right" w:pos="9026"/>
        </w:tabs>
        <w:rPr>
          <w:rFonts w:ascii="Calibri" w:eastAsia="Calibri" w:hAnsi="Calibri"/>
          <w:sz w:val="22"/>
          <w:szCs w:val="22"/>
        </w:rPr>
      </w:pPr>
    </w:p>
    <w:p>
      <w:pPr>
        <w:tabs>
          <w:tab w:val="left" w:pos="0"/>
        </w:tabs>
        <w:spacing w:line="360" w:lineRule="auto"/>
        <w:jc w:val="center"/>
        <w:rPr>
          <w:bCs/>
          <w:iCs/>
          <w:caps/>
          <w:szCs w:val="24"/>
        </w:rPr>
      </w:pPr>
      <w:r>
        <w:rPr>
          <w:bCs/>
          <w:iCs/>
          <w:szCs w:val="24"/>
        </w:rPr>
        <w:t>RASEINIŲ RAJONO SAVIVALDYBĖS ADMINISTRACIJA</w:t>
      </w:r>
    </w:p>
    <w:p>
      <w:pPr>
        <w:rPr>
          <w:sz w:val="20"/>
        </w:rPr>
      </w:pPr>
    </w:p>
    <w:p>
      <w:pPr>
        <w:tabs>
          <w:tab w:val="left" w:pos="567"/>
        </w:tabs>
        <w:spacing w:line="360" w:lineRule="auto"/>
        <w:jc w:val="center"/>
        <w:rPr>
          <w:b/>
          <w:bCs/>
          <w:szCs w:val="24"/>
        </w:rPr>
      </w:pPr>
      <w:r>
        <w:rPr>
          <w:b/>
          <w:bCs/>
          <w:szCs w:val="24"/>
        </w:rPr>
        <w:t>AIŠKINAMASIS RAŠTAS</w:t>
      </w:r>
    </w:p>
    <w:p>
      <w:pPr>
        <w:rPr>
          <w:sz w:val="20"/>
        </w:rPr>
      </w:pPr>
    </w:p>
    <w:p>
      <w:pPr>
        <w:spacing w:line="360" w:lineRule="auto"/>
        <w:jc w:val="center"/>
        <w:rPr>
          <w:b/>
          <w:bCs/>
          <w:szCs w:val="24"/>
          <w:lang w:eastAsia="lt-LT"/>
        </w:rPr>
      </w:pPr>
      <w:r>
        <w:rPr>
          <w:b/>
          <w:bCs/>
          <w:caps/>
          <w:szCs w:val="24"/>
          <w:lang w:eastAsia="lt-LT"/>
        </w:rPr>
        <w:t>Dėl TARYBOS sprendimo „</w:t>
      </w:r>
      <w:r>
        <w:rPr>
          <w:b/>
          <w:bCs/>
          <w:szCs w:val="24"/>
          <w:lang w:eastAsia="lt-LT"/>
        </w:rPr>
        <w:t xml:space="preserve">DĖL JAUNIMO ORGANIZACIJŲ  IR NEFORMALIŲ JAUNIMO GRUPIŲ TEIKIAMŲ SOCIALINIŲ IR PILIETINIŲ INICIATYVŲ PROJEKTŲ FINANSAVIMO KONKURSO ORGANIZAVIMO TVARKOS APRAŠO PATVIRTINIMO</w:t>
      </w:r>
      <w:r>
        <w:rPr>
          <w:b/>
          <w:bCs/>
          <w:caps/>
          <w:szCs w:val="24"/>
          <w:lang w:eastAsia="lt-LT"/>
        </w:rPr>
        <w:t>“ projekto</w:t>
      </w:r>
    </w:p>
    <w:p>
      <w:pPr>
        <w:rPr>
          <w:sz w:val="20"/>
        </w:rPr>
      </w:pPr>
    </w:p>
    <w:p>
      <w:pPr>
        <w:tabs>
          <w:tab w:val="left" w:pos="567"/>
        </w:tabs>
        <w:jc w:val="center"/>
        <w:rPr>
          <w:szCs w:val="24"/>
          <w:lang w:eastAsia="lt-LT"/>
        </w:rPr>
      </w:pPr>
      <w:r>
        <w:rPr>
          <w:szCs w:val="24"/>
          <w:lang w:eastAsia="lt-LT"/>
        </w:rPr>
        <w:t>2021 m. kovo 10 d.</w:t>
      </w:r>
    </w:p>
    <w:p>
      <w:pPr>
        <w:tabs>
          <w:tab w:val="left" w:pos="0"/>
        </w:tabs>
        <w:jc w:val="center"/>
        <w:rPr>
          <w:szCs w:val="24"/>
          <w:lang w:eastAsia="lt-LT"/>
        </w:rPr>
      </w:pPr>
      <w:r>
        <w:rPr>
          <w:szCs w:val="24"/>
          <w:lang w:eastAsia="lt-LT"/>
        </w:rPr>
        <w:t>Raseiniai</w:t>
      </w:r>
    </w:p>
    <w:p>
      <w:pPr>
        <w:tabs>
          <w:tab w:val="left" w:pos="0"/>
        </w:tabs>
        <w:jc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0"/>
      </w:tblGrid>
      <w:tr>
        <w:trPr>
          <w:trHeight w:hRule="exact" w:val="397"/>
        </w:trPr>
        <w:tc>
          <w:tcPr>
            <w:tcW w:w="9740" w:type="dxa"/>
            <w:vAlign w:val="center"/>
          </w:tcPr>
          <w:p>
            <w:pPr>
              <w:spacing w:line="360" w:lineRule="auto"/>
              <w:ind w:firstLine="540"/>
              <w:rPr>
                <w:b/>
                <w:bCs/>
                <w:szCs w:val="24"/>
                <w:lang w:eastAsia="lt-LT"/>
              </w:rPr>
            </w:pPr>
            <w:r>
              <w:rPr>
                <w:b/>
                <w:bCs/>
                <w:iCs/>
                <w:szCs w:val="24"/>
                <w:lang w:eastAsia="lt-LT"/>
              </w:rPr>
              <w:t>1. Parengto projekto tikslai ir uždaviniai.</w:t>
            </w:r>
          </w:p>
        </w:tc>
      </w:tr>
      <w:tr>
        <w:tc>
          <w:tcPr>
            <w:tcW w:w="9740" w:type="dxa"/>
          </w:tcPr>
          <w:p>
            <w:pPr>
              <w:spacing w:line="276" w:lineRule="auto"/>
              <w:ind w:firstLine="620"/>
              <w:jc w:val="both"/>
              <w:rPr>
                <w:szCs w:val="24"/>
                <w:lang w:eastAsia="lt-LT"/>
              </w:rPr>
            </w:pPr>
            <w:r>
              <w:rPr>
                <w:szCs w:val="24"/>
                <w:lang w:eastAsia="lt-LT"/>
              </w:rPr>
              <w:t xml:space="preserve">Projekto tikslas – parengti ir patvirtinti jaunimo pilietinių ir socialinių iniciatyvų projektų finansavimo konkurso organizavimo tvarkos aprašą, kuriuo vadovaujantis būtų organizuojami jaunimo pilietinių ir socialinių iniciatyvų konkursai Raseinių rajono savivaldybėje. Kadangi šiuose konkursuose dalyvauja ir paraiškas jiems teikia nevyriausybinės jaunimo organizacijos (toliau -  NJO), savo veikla vykdančios Raseinių rajono teritorijoje, vadovaujantis Lietuvos Respublikos nevyriausybinių organizacijų plėtros įstatymo 7 straipsnio 4 dalimi, NJO finansavimo ir administravimo tvarką turi tvirtinti Savivaldybės taryba. </w:t>
            </w:r>
          </w:p>
        </w:tc>
      </w:tr>
      <w:tr>
        <w:trPr>
          <w:trHeight w:hRule="exact" w:val="397"/>
        </w:trPr>
        <w:tc>
          <w:tcPr>
            <w:tcW w:w="9740" w:type="dxa"/>
            <w:vAlign w:val="center"/>
          </w:tcPr>
          <w:p>
            <w:pPr>
              <w:spacing w:line="360" w:lineRule="auto"/>
              <w:ind w:firstLine="540"/>
              <w:jc w:val="both"/>
              <w:rPr>
                <w:b/>
                <w:bCs/>
                <w:iCs/>
                <w:szCs w:val="24"/>
                <w:lang w:eastAsia="lt-LT"/>
              </w:rPr>
            </w:pPr>
            <w:r>
              <w:rPr>
                <w:b/>
                <w:bCs/>
                <w:iCs/>
                <w:szCs w:val="24"/>
                <w:lang w:eastAsia="lt-LT"/>
              </w:rPr>
              <w:t>2. Kokių pozityvių rezultatų laukiama.</w:t>
            </w:r>
          </w:p>
        </w:tc>
      </w:tr>
      <w:tr>
        <w:tc>
          <w:tcPr>
            <w:tcW w:w="9740" w:type="dxa"/>
          </w:tcPr>
          <w:p>
            <w:pPr>
              <w:spacing w:line="276" w:lineRule="auto"/>
              <w:ind w:firstLine="547"/>
              <w:jc w:val="both"/>
              <w:rPr>
                <w:szCs w:val="24"/>
                <w:lang w:eastAsia="lt-LT"/>
              </w:rPr>
            </w:pPr>
            <w:r>
              <w:rPr>
                <w:szCs w:val="24"/>
                <w:lang w:eastAsia="lt-LT"/>
              </w:rPr>
              <w:t xml:space="preserve">Raseinių rajono savivaldybėje galios bendra vieninga tvarka reglamentuojanti nevyriausybinių jaunimo organizacijų ar neformalių jaunimo grupių teikiamų projektų reikalavimus, vertinimo, paskelbimo, finansavimo tvarką ir pan. Taip jaunimo organizacijoms ir neformalioms jaunimo grupėms bus paprasčiau sekti informaciją apie jiems skelbiamus kvietimus teikti projektines paraiškas. </w:t>
            </w:r>
          </w:p>
        </w:tc>
      </w:tr>
      <w:tr>
        <w:trPr>
          <w:trHeight w:hRule="exact" w:val="567"/>
        </w:trPr>
        <w:tc>
          <w:tcPr>
            <w:tcW w:w="9740" w:type="dxa"/>
            <w:vAlign w:val="center"/>
          </w:tcPr>
          <w:p>
            <w:pPr>
              <w:ind w:firstLine="539"/>
              <w:jc w:val="both"/>
              <w:rPr>
                <w:b/>
                <w:bCs/>
                <w:iCs/>
                <w:szCs w:val="24"/>
                <w:lang w:eastAsia="lt-LT"/>
              </w:rPr>
            </w:pPr>
            <w:r>
              <w:rPr>
                <w:b/>
                <w:bCs/>
                <w:iCs/>
                <w:szCs w:val="24"/>
                <w:lang w:eastAsia="lt-LT"/>
              </w:rPr>
              <w:t>3. Galimos neigiamos priimto projekto pasekmės ir kokių priemonių reikėtų imtis, kad tokių pasekmių būtų išvengta.</w:t>
            </w:r>
          </w:p>
        </w:tc>
      </w:tr>
      <w:tr>
        <w:tc>
          <w:tcPr>
            <w:tcW w:w="9740" w:type="dxa"/>
          </w:tcPr>
          <w:p>
            <w:pPr>
              <w:spacing w:line="360" w:lineRule="auto"/>
              <w:ind w:firstLine="540"/>
              <w:jc w:val="both"/>
              <w:rPr>
                <w:szCs w:val="24"/>
                <w:lang w:eastAsia="lt-LT"/>
              </w:rPr>
            </w:pPr>
            <w:r>
              <w:rPr>
                <w:szCs w:val="24"/>
                <w:lang w:eastAsia="lt-LT"/>
              </w:rPr>
              <w:t>Neigiamų pasekmių nenumatoma</w:t>
            </w:r>
          </w:p>
        </w:tc>
      </w:tr>
      <w:tr>
        <w:trPr>
          <w:trHeight w:hRule="exact" w:val="567"/>
        </w:trPr>
        <w:tc>
          <w:tcPr>
            <w:tcW w:w="9740" w:type="dxa"/>
            <w:vAlign w:val="center"/>
          </w:tcPr>
          <w:p>
            <w:pPr>
              <w:ind w:firstLine="539"/>
              <w:jc w:val="both"/>
              <w:rPr>
                <w:b/>
                <w:bCs/>
                <w:iCs/>
                <w:szCs w:val="24"/>
                <w:lang w:eastAsia="lt-LT"/>
              </w:rPr>
            </w:pPr>
            <w:r>
              <w:rPr>
                <w:b/>
                <w:bCs/>
                <w:iCs/>
                <w:szCs w:val="24"/>
                <w:lang w:eastAsia="lt-LT"/>
              </w:rPr>
              <w:t>4. Jeigu reikia atlikti sprendimo projekto antikorupcinį vertinimą, sprendžia projekto rengėjas, atsižvelgdamas į Teisės aktų projektų antikorupcinio vertinimo taisykles.</w:t>
            </w:r>
          </w:p>
        </w:tc>
      </w:tr>
      <w:tr>
        <w:tc>
          <w:tcPr>
            <w:tcW w:w="9740" w:type="dxa"/>
          </w:tcPr>
          <w:p>
            <w:pPr>
              <w:spacing w:line="360" w:lineRule="auto"/>
              <w:ind w:firstLine="540"/>
              <w:jc w:val="both"/>
              <w:rPr>
                <w:szCs w:val="24"/>
                <w:lang w:eastAsia="lt-LT"/>
              </w:rPr>
            </w:pPr>
            <w:r>
              <w:rPr>
                <w:szCs w:val="24"/>
                <w:lang w:eastAsia="lt-LT"/>
              </w:rPr>
              <w:t>Antikorupcinis vertinimas nenumatytas</w:t>
            </w:r>
          </w:p>
        </w:tc>
      </w:tr>
      <w:tr>
        <w:trPr>
          <w:trHeight w:hRule="exact" w:val="567"/>
        </w:trPr>
        <w:tc>
          <w:tcPr>
            <w:tcW w:w="9740" w:type="dxa"/>
          </w:tcPr>
          <w:p>
            <w:pPr>
              <w:ind w:firstLine="539"/>
              <w:jc w:val="both"/>
              <w:rPr>
                <w:b/>
                <w:bCs/>
                <w:iCs/>
                <w:szCs w:val="24"/>
                <w:lang w:eastAsia="lt-LT"/>
              </w:rPr>
            </w:pPr>
            <w:r>
              <w:rPr>
                <w:b/>
                <w:bCs/>
                <w:iCs/>
                <w:szCs w:val="24"/>
                <w:lang w:eastAsia="lt-LT"/>
              </w:rPr>
              <w:t>5. Projekto rengimo metu gauti specialistų vertinimai ir išvados, ekonominiai apskaičiavimai (sąmatos) ir konkretūs finansavimo šaltiniai.</w:t>
            </w:r>
          </w:p>
        </w:tc>
      </w:tr>
      <w:tr>
        <w:tc>
          <w:tcPr>
            <w:tcW w:w="9740" w:type="dxa"/>
          </w:tcPr>
          <w:p>
            <w:pPr>
              <w:spacing w:line="276" w:lineRule="auto"/>
              <w:ind w:firstLine="547"/>
              <w:jc w:val="both"/>
              <w:rPr>
                <w:szCs w:val="24"/>
                <w:lang w:eastAsia="lt-LT"/>
              </w:rPr>
            </w:pPr>
            <w:r>
              <w:rPr>
                <w:szCs w:val="24"/>
                <w:lang w:eastAsia="lt-LT"/>
              </w:rPr>
              <w:t>Sprendimo projektas suderintas su Raseinių rajono savivaldybės mero pavaduotoju, administracijos direktoriumi, Teisės, personalo ir civilinės metrikacijos skyriumi, Bendrųjų reikalų ir informacinių technologijų skyriaus vyriausiuoju specialistu (kalbos tvarkytoju),</w:t>
            </w:r>
            <w:r>
              <w:rPr>
                <w:rFonts w:ascii="Arial" w:eastAsia="Calibri" w:hAnsi="Arial" w:cs="Arial"/>
                <w:b/>
                <w:bCs/>
                <w:color w:val="22211D"/>
                <w:sz w:val="27"/>
                <w:szCs w:val="27"/>
              </w:rPr>
              <w:t xml:space="preserve"> </w:t>
            </w:r>
            <w:r>
              <w:rPr>
                <w:b/>
                <w:bCs/>
                <w:szCs w:val="24"/>
                <w:lang w:eastAsia="lt-LT"/>
              </w:rPr>
              <w:br/>
            </w:r>
            <w:r>
              <w:rPr>
                <w:szCs w:val="24"/>
                <w:lang w:eastAsia="lt-LT"/>
              </w:rPr>
              <w:t>Centralizuotos buhalterinės apskaitos skyriaus atsakingais specialistais.</w:t>
            </w:r>
          </w:p>
        </w:tc>
      </w:tr>
      <w:tr>
        <w:trPr>
          <w:trHeight w:hRule="exact" w:val="717"/>
        </w:trPr>
        <w:tc>
          <w:tcPr>
            <w:tcW w:w="9740" w:type="dxa"/>
            <w:vAlign w:val="center"/>
          </w:tcPr>
          <w:p>
            <w:pPr>
              <w:ind w:firstLine="540"/>
              <w:jc w:val="both"/>
              <w:rPr>
                <w:b/>
                <w:szCs w:val="24"/>
                <w:lang w:eastAsia="lt-LT"/>
              </w:rPr>
            </w:pPr>
            <w:r>
              <w:rPr>
                <w:b/>
                <w:szCs w:val="24"/>
                <w:lang w:eastAsia="lt-LT"/>
              </w:rPr>
              <w:t>6. Numatomo teisinio reguliavimo poveikio vertinimas (norminio pobūdžio teisės aktams).</w:t>
            </w:r>
          </w:p>
        </w:tc>
      </w:tr>
      <w:tr>
        <w:trPr>
          <w:trHeight w:hRule="exact" w:val="397"/>
        </w:trPr>
        <w:tc>
          <w:tcPr>
            <w:tcW w:w="9740" w:type="dxa"/>
            <w:vAlign w:val="center"/>
          </w:tcPr>
          <w:p>
            <w:pPr>
              <w:spacing w:line="360" w:lineRule="auto"/>
              <w:ind w:firstLine="540"/>
              <w:jc w:val="both"/>
              <w:rPr>
                <w:bCs/>
                <w:szCs w:val="24"/>
                <w:lang w:eastAsia="lt-LT"/>
              </w:rPr>
            </w:pPr>
            <w:r>
              <w:rPr>
                <w:bCs/>
                <w:szCs w:val="24"/>
                <w:lang w:eastAsia="lt-LT"/>
              </w:rPr>
              <w:t>Šis teisės aktas neprieštarauja norminio pobūdžio teisės aktams.</w:t>
            </w:r>
          </w:p>
        </w:tc>
      </w:tr>
      <w:tr>
        <w:trPr>
          <w:trHeight w:hRule="exact" w:val="397"/>
        </w:trPr>
        <w:tc>
          <w:tcPr>
            <w:tcW w:w="9740" w:type="dxa"/>
            <w:vAlign w:val="center"/>
          </w:tcPr>
          <w:p>
            <w:pPr>
              <w:spacing w:line="360" w:lineRule="auto"/>
              <w:ind w:firstLine="540"/>
              <w:jc w:val="both"/>
              <w:rPr>
                <w:b/>
                <w:szCs w:val="24"/>
                <w:lang w:eastAsia="lt-LT"/>
              </w:rPr>
            </w:pPr>
            <w:r>
              <w:rPr>
                <w:b/>
                <w:bCs/>
                <w:iCs/>
                <w:szCs w:val="24"/>
                <w:lang w:eastAsia="lt-LT"/>
              </w:rPr>
              <w:t>7. Projekto autorius ar autorių grupė.</w:t>
            </w:r>
          </w:p>
        </w:tc>
      </w:tr>
      <w:tr>
        <w:tc>
          <w:tcPr>
            <w:tcW w:w="9740" w:type="dxa"/>
          </w:tcPr>
          <w:p>
            <w:pPr>
              <w:spacing w:line="276" w:lineRule="auto"/>
              <w:ind w:firstLine="547"/>
              <w:jc w:val="both"/>
              <w:rPr>
                <w:szCs w:val="24"/>
                <w:lang w:eastAsia="lt-LT"/>
              </w:rPr>
            </w:pPr>
            <w:r>
              <w:rPr>
                <w:szCs w:val="24"/>
                <w:lang w:eastAsia="lt-LT"/>
              </w:rPr>
              <w:t>Vaida Tunaitienė, Raseinių rajono savivaldybės administracijos jaunimo reikalų koordinatorė (vyriausioji specialistė).</w:t>
            </w:r>
          </w:p>
        </w:tc>
      </w:tr>
    </w:tbl>
    <w:p>
      <w:pPr>
        <w:spacing w:line="360" w:lineRule="auto"/>
        <w:rPr>
          <w:bCs/>
          <w:szCs w:val="24"/>
        </w:rPr>
      </w:pPr>
    </w:p>
    <w:p>
      <w:pPr>
        <w:rPr>
          <w:sz w:val="20"/>
        </w:rPr>
      </w:pPr>
    </w:p>
    <w:p>
      <w:pPr>
        <w:spacing w:line="360" w:lineRule="auto"/>
        <w:rPr>
          <w:szCs w:val="24"/>
        </w:rPr>
      </w:pPr>
    </w:p>
    <w:p>
      <w:pPr>
        <w:rPr>
          <w:sz w:val="20"/>
        </w:rPr>
      </w:pPr>
    </w:p>
    <w:p>
      <w:pPr>
        <w:tabs>
          <w:tab w:val="left" w:pos="7890"/>
        </w:tabs>
        <w:spacing w:line="276" w:lineRule="auto"/>
        <w:rPr>
          <w:szCs w:val="24"/>
        </w:rPr>
      </w:pPr>
      <w:r>
        <w:rPr>
          <w:szCs w:val="24"/>
        </w:rPr>
        <w:t xml:space="preserve">Jaunimo reikalų koordinatorė                                                                                Vaida Tunaitienė</w:t>
      </w:r>
    </w:p>
    <w:p>
      <w:pPr>
        <w:spacing w:line="276" w:lineRule="auto"/>
        <w:rPr>
          <w:szCs w:val="24"/>
        </w:rPr>
      </w:pPr>
      <w:r>
        <w:rPr>
          <w:szCs w:val="24"/>
        </w:rPr>
        <w:t>(Vyriausioji specialistė)</w:t>
      </w:r>
    </w:p>
    <w:p>
      <w:pPr>
        <w:spacing w:line="360" w:lineRule="auto"/>
        <w:rPr>
          <w:rFonts w:ascii="Calibri" w:eastAsia="Calibri" w:hAnsi="Calibri"/>
          <w:sz w:val="22"/>
          <w:szCs w:val="22"/>
        </w:rPr>
      </w:pPr>
      <w:r>
        <w:rPr>
          <w:szCs w:val="24"/>
        </w:rPr>
        <w:t>(Autorius, pareigos)</w:t>
        <w:tab/>
        <w:tab/>
        <w:t>(parašas)</w:t>
        <w:tab/>
        <w:tab/>
        <w:tab/>
        <w:t>(vardas, pavardė)</w:t>
      </w: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2" w:footer="0"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Calibri" w:eastAsia="Calibri" w:hAnsi="Calibri"/>
          <w:sz w:val="22"/>
          <w:szCs w:val="22"/>
        </w:rPr>
      </w:pPr>
      <w:r>
        <w:rPr>
          <w:rFonts w:ascii="Calibri" w:eastAsia="Calibri" w:hAnsi="Calibri"/>
          <w:sz w:val="22"/>
          <w:szCs w:val="22"/>
        </w:rPr>
        <w:separator/>
      </w:r>
    </w:p>
  </w:endnote>
  <w:endnote w:type="continuationSeparator" w:id="0">
    <w:p>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Calibri" w:eastAsia="Calibri" w:hAnsi="Calibri"/>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Calibri" w:eastAsia="Calibri" w:hAnsi="Calibri"/>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Calibri" w:eastAsia="Calibri" w:hAnsi="Calibri"/>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Calibri" w:eastAsia="Calibri" w:hAnsi="Calibri"/>
          <w:sz w:val="22"/>
          <w:szCs w:val="22"/>
        </w:rPr>
      </w:pPr>
      <w:r>
        <w:rPr>
          <w:rFonts w:ascii="Calibri" w:eastAsia="Calibri" w:hAnsi="Calibri"/>
          <w:sz w:val="22"/>
          <w:szCs w:val="22"/>
        </w:rPr>
        <w:separator/>
      </w:r>
    </w:p>
  </w:footnote>
  <w:footnote w:type="continuationSeparator" w:id="0">
    <w:p>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13"/>
        <w:tab w:val="right" w:pos="9026"/>
      </w:tabs>
      <w:rPr>
        <w:rFonts w:ascii="Calibri" w:eastAsia="Calibri" w:hAnsi="Calibri"/>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13"/>
        <w:tab w:val="right" w:pos="9026"/>
      </w:tabs>
      <w:rPr>
        <w:rFonts w:ascii="Calibri" w:eastAsia="Calibri" w:hAnsi="Calibri"/>
        <w:sz w:val="22"/>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13"/>
        <w:tab w:val="right" w:pos="9026"/>
      </w:tabs>
      <w:rPr>
        <w:rFonts w:ascii="Calibri" w:eastAsia="Calibri" w:hAnsi="Calibri"/>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2449</Characters>
  <Application>Microsoft Office Word</Application>
  <DocSecurity>4</DocSecurity>
  <Lines>48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2021-03-16T06:54:00Z</dcterms:created>
  <dc:creator>Vilma Urbonienė</dc:creator>
  <lastModifiedBy>adlibuser</lastModifiedBy>
  <dcterms:modified xsi:type="dcterms:W3CDTF">2021-03-16T06:54:00Z</dcterms:modified>
  <revision>2</revision>
</coreProperties>
</file>