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efffe4b7cc042b58534f368083553a5"/>
        <w:lock w:val="sdtLocked"/>
        <w:richText/>
      </w:sdtPr>
      <w:sdtContent>
        <w:p>
          <w:pPr>
            <w:jc w:val="center"/>
            <w:rPr>
              <w:b/>
              <w:caps/>
              <w:szCs w:val="24"/>
            </w:rPr>
          </w:pPr>
          <w:r>
            <w:rPr>
              <w:b/>
              <w:caps/>
              <w:szCs w:val="24"/>
            </w:rPr>
            <w:t xml:space="preserve">direktyvOS </w:t>
          </w:r>
          <w:r>
            <w:rPr>
              <w:b/>
              <w:szCs w:val="24"/>
            </w:rPr>
            <w:t xml:space="preserve">2019/882/ES </w:t>
          </w:r>
          <w:r>
            <w:rPr>
              <w:b/>
              <w:caps/>
              <w:szCs w:val="24"/>
            </w:rPr>
            <w:t>ir nacionalinių teisės aktų projektų atitikties lentelė</w:t>
          </w:r>
        </w:p>
        <w:p>
          <w:pPr>
            <w:rPr>
              <w:szCs w:val="24"/>
            </w:rPr>
          </w:pPr>
        </w:p>
        <w:tbl>
          <w:tblPr>
            <w:tblW w:w="1499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64"/>
            <w:gridCol w:w="7868"/>
            <w:gridCol w:w="1858"/>
          </w:tblGrid>
          <w:tr>
            <w:trPr>
              <w:trHeight w:val="57"/>
            </w:trPr>
            <w:tc>
              <w:tcPr>
                <w:tcW w:w="5264" w:type="dxa"/>
              </w:tcPr>
              <w:p>
                <w:pPr>
                  <w:jc w:val="both"/>
                  <w:rPr>
                    <w:b/>
                    <w:szCs w:val="24"/>
                  </w:rPr>
                </w:pPr>
                <w:r>
                  <w:rPr>
                    <w:b/>
                    <w:szCs w:val="24"/>
                  </w:rPr>
                  <w:t>2019 m. balandžio 17 d. Europos Parlamento ir Tarybos direktyva (ES) 2019/882 dėl gaminių ir paslaugų prieinamumo reikalavimų</w:t>
                </w:r>
              </w:p>
            </w:tc>
            <w:tc>
              <w:tcPr>
                <w:tcW w:w="7868" w:type="dxa"/>
              </w:tcPr>
              <w:p>
                <w:pPr>
                  <w:jc w:val="both"/>
                  <w:rPr>
                    <w:b/>
                    <w:bCs/>
                    <w:szCs w:val="24"/>
                  </w:rPr>
                </w:pPr>
                <w:r>
                  <w:rPr>
                    <w:b/>
                    <w:bCs/>
                    <w:szCs w:val="24"/>
                  </w:rPr>
                  <w:t xml:space="preserve">Lietuvos Respublikos </w:t>
                </w:r>
                <w:r>
                  <w:rPr>
                    <w:b/>
                    <w:bCs/>
                    <w:szCs w:val="24"/>
                    <w:lang w:val="en-US" w:eastAsia="lt-LT"/>
                  </w:rPr>
                  <w:t>gaminių ir paslaugų</w:t>
                </w:r>
                <w:r>
                  <w:rPr>
                    <w:szCs w:val="24"/>
                    <w:lang w:val="en-US" w:eastAsia="lt-LT"/>
                  </w:rPr>
                  <w:t xml:space="preserve"> </w:t>
                </w:r>
                <w:r>
                  <w:rPr>
                    <w:b/>
                    <w:bCs/>
                    <w:szCs w:val="24"/>
                  </w:rPr>
                  <w:t>prieinamumo reikalavimų įstatymo projektas (toliau – Projektas)</w:t>
                </w:r>
              </w:p>
              <w:p>
                <w:pPr>
                  <w:jc w:val="both"/>
                  <w:rPr>
                    <w:b/>
                    <w:bCs/>
                    <w:szCs w:val="24"/>
                  </w:rPr>
                </w:pPr>
              </w:p>
              <w:p>
                <w:pPr>
                  <w:jc w:val="both"/>
                  <w:rPr>
                    <w:szCs w:val="24"/>
                  </w:rPr>
                </w:pPr>
                <w:r>
                  <w:rPr>
                    <w:szCs w:val="24"/>
                  </w:rPr>
                  <w:t>Lietuvos Respublikos civilinio proceso kodeksas (suvestinė redakcija nuo 2022-08-01 iki 2022-12-31), patvirtintas Lietuvos Respublikos civilinio proceso kodekso patvirtinimo, įsigaliojimo ir įgyvendinimo įstatymu Nr. IX-743 (toliau – CPK)</w:t>
                </w:r>
              </w:p>
              <w:p>
                <w:pPr>
                  <w:jc w:val="both"/>
                  <w:rPr>
                    <w:szCs w:val="24"/>
                  </w:rPr>
                </w:pPr>
              </w:p>
              <w:p>
                <w:pPr>
                  <w:jc w:val="both"/>
                  <w:rPr>
                    <w:szCs w:val="24"/>
                  </w:rPr>
                </w:pPr>
                <w:r>
                  <w:rPr>
                    <w:szCs w:val="24"/>
                  </w:rPr>
                  <w:t>Lietuvos Respublikos kelių transporto kodeksas Nr. I-1628 (suvestinė redakcijuo nuo 2022-08-01 iki 2024-08-20) (toliau – KTK)</w:t>
                </w:r>
              </w:p>
              <w:p>
                <w:pPr>
                  <w:jc w:val="both"/>
                  <w:rPr>
                    <w:szCs w:val="24"/>
                  </w:rPr>
                </w:pPr>
              </w:p>
              <w:p>
                <w:pPr>
                  <w:jc w:val="both"/>
                  <w:rPr>
                    <w:szCs w:val="24"/>
                  </w:rPr>
                </w:pPr>
                <w:r>
                  <w:rPr>
                    <w:szCs w:val="24"/>
                  </w:rPr>
                  <w:t>Lietuvos Respublikos Bendrojo pagalbos centro įstatymas Nr. IX-2246 (suvestinė redakcija nuo 2021-12-01) (toliau – BPCĮ)</w:t>
                </w:r>
              </w:p>
              <w:p>
                <w:pPr>
                  <w:jc w:val="both"/>
                  <w:rPr>
                    <w:szCs w:val="24"/>
                  </w:rPr>
                </w:pPr>
              </w:p>
              <w:p>
                <w:pPr>
                  <w:jc w:val="both"/>
                  <w:rPr>
                    <w:szCs w:val="24"/>
                  </w:rPr>
                </w:pPr>
                <w:r>
                  <w:rPr>
                    <w:szCs w:val="24"/>
                  </w:rPr>
                  <w:t>Lietuvos Respublikos neįgaliųjų socialinės integracijos įstatymas Nr. I-2044 (suvestinė redakcija nuo 2022-09-01 iki 2022-12-31) (toliau – NSIĮ)</w:t>
                </w:r>
              </w:p>
              <w:p>
                <w:pPr>
                  <w:jc w:val="both"/>
                  <w:rPr>
                    <w:szCs w:val="24"/>
                  </w:rPr>
                </w:pPr>
              </w:p>
              <w:p>
                <w:pPr>
                  <w:jc w:val="both"/>
                  <w:rPr>
                    <w:szCs w:val="24"/>
                  </w:rPr>
                </w:pPr>
                <w:r>
                  <w:rPr>
                    <w:szCs w:val="24"/>
                  </w:rPr>
                  <w:t>Lietuvos Respublikos paslaugų įstatymas Nr. XI-570 (suvestinė redakcija nuo 2017-07-01) (toliau – PĮ)</w:t>
                </w:r>
              </w:p>
              <w:p>
                <w:pPr>
                  <w:jc w:val="both"/>
                  <w:rPr>
                    <w:szCs w:val="24"/>
                  </w:rPr>
                </w:pPr>
              </w:p>
              <w:p>
                <w:pPr>
                  <w:jc w:val="both"/>
                  <w:rPr>
                    <w:szCs w:val="24"/>
                  </w:rPr>
                </w:pPr>
                <w:r>
                  <w:rPr>
                    <w:szCs w:val="24"/>
                  </w:rPr>
                  <w:t>Lietuvos Respublikos visuomenės informavimo įstatymas Nr. I-1418 (suvestinė redakcija nuo 2022-05-28) (toliau – VIĮ)</w:t>
                </w:r>
              </w:p>
              <w:p>
                <w:pPr>
                  <w:jc w:val="both"/>
                  <w:rPr>
                    <w:szCs w:val="24"/>
                  </w:rPr>
                </w:pPr>
              </w:p>
              <w:p>
                <w:pPr>
                  <w:jc w:val="both"/>
                  <w:rPr>
                    <w:color w:val="000000"/>
                    <w:szCs w:val="24"/>
                  </w:rPr>
                </w:pPr>
                <w:r>
                  <w:rPr>
                    <w:color w:val="000000"/>
                    <w:szCs w:val="24"/>
                  </w:rPr>
                  <w:t xml:space="preserve">Lietuvos Respublikos elektroninių ryšių įstatymas Nr. IX-2135 </w:t>
                </w:r>
                <w:r>
                  <w:rPr>
                    <w:szCs w:val="24"/>
                  </w:rPr>
                  <w:t>(suvestinė redakcija nuo 2022-05-01) (toliau – ERĮ)</w:t>
                </w:r>
              </w:p>
              <w:p>
                <w:pPr>
                  <w:jc w:val="both"/>
                  <w:rPr>
                    <w:color w:val="000000"/>
                    <w:szCs w:val="24"/>
                  </w:rPr>
                </w:pPr>
              </w:p>
              <w:p>
                <w:pPr>
                  <w:jc w:val="both"/>
                  <w:rPr>
                    <w:color w:val="000000"/>
                    <w:szCs w:val="24"/>
                  </w:rPr>
                </w:pPr>
                <w:r>
                  <w:rPr>
                    <w:color w:val="000000"/>
                    <w:szCs w:val="24"/>
                  </w:rPr>
                  <w:t xml:space="preserve">Lietuvos Respublikos vartotojų teisių apsaugos įstatymas Nr. I-657 </w:t>
                </w:r>
                <w:r>
                  <w:rPr>
                    <w:szCs w:val="24"/>
                  </w:rPr>
                  <w:t>(suvestinė redakcija nuo 2022-05-28) (toliau – VTAĮ)</w:t>
                </w:r>
              </w:p>
              <w:p>
                <w:pPr>
                  <w:jc w:val="both"/>
                  <w:rPr>
                    <w:color w:val="000000"/>
                    <w:szCs w:val="24"/>
                  </w:rPr>
                </w:pPr>
              </w:p>
              <w:p>
                <w:pPr>
                  <w:jc w:val="both"/>
                  <w:rPr>
                    <w:color w:val="000000"/>
                    <w:szCs w:val="24"/>
                  </w:rPr>
                </w:pPr>
                <w:r>
                  <w:rPr>
                    <w:color w:val="000000"/>
                    <w:szCs w:val="24"/>
                  </w:rPr>
                  <w:t xml:space="preserve">Lietuvos Respublikos smulkaus ir vidutinio verslo plėtros įstatymas Nr. VIII-935 </w:t>
                </w:r>
                <w:r>
                  <w:rPr>
                    <w:szCs w:val="24"/>
                  </w:rPr>
                  <w:t>(suvestinė redakcija nuo 2022-03-31) (toliau – SVVPĮ)</w:t>
                </w:r>
              </w:p>
              <w:p>
                <w:pPr>
                  <w:jc w:val="both"/>
                  <w:rPr>
                    <w:color w:val="000000"/>
                    <w:szCs w:val="24"/>
                  </w:rPr>
                </w:pPr>
              </w:p>
              <w:p>
                <w:pPr>
                  <w:jc w:val="both"/>
                  <w:rPr>
                    <w:color w:val="000000"/>
                    <w:szCs w:val="24"/>
                  </w:rPr>
                </w:pPr>
                <w:r>
                  <w:rPr>
                    <w:color w:val="000000"/>
                    <w:szCs w:val="24"/>
                  </w:rPr>
                  <w:t xml:space="preserve">Lietuvos Respublikos transporto veiklos pagrindų įstatymas Nr. I-1863 </w:t>
                </w:r>
                <w:r>
                  <w:rPr>
                    <w:szCs w:val="24"/>
                  </w:rPr>
                  <w:t>(suvestinė redakcija nuo 2022-08-01 iki 2022-10-31) (toliau – TVPĮ)</w:t>
                </w:r>
              </w:p>
            </w:tc>
            <w:tc>
              <w:tcPr>
                <w:tcW w:w="1858" w:type="dxa"/>
              </w:tcPr>
              <w:p>
                <w:pPr>
                  <w:ind w:left="95"/>
                  <w:jc w:val="both"/>
                  <w:rPr>
                    <w:b/>
                    <w:bCs/>
                    <w:szCs w:val="24"/>
                  </w:rPr>
                </w:pPr>
                <w:r>
                  <w:rPr>
                    <w:b/>
                    <w:bCs/>
                    <w:szCs w:val="24"/>
                  </w:rPr>
                  <w:t>Direktyvos perkėlimo (įgyvendinimo) lygis (visiškas, dalinis)</w:t>
                </w:r>
              </w:p>
            </w:tc>
          </w:tr>
          <w:tr>
            <w:trPr>
              <w:trHeight w:val="1975"/>
            </w:trPr>
            <w:tc>
              <w:tcPr>
                <w:tcW w:w="5264" w:type="dxa"/>
              </w:tcPr>
              <w:p>
                <w:pPr>
                  <w:jc w:val="both"/>
                  <w:rPr>
                    <w:b/>
                    <w:color w:val="000000"/>
                    <w:szCs w:val="24"/>
                  </w:rPr>
                </w:pPr>
                <w:r>
                  <w:rPr>
                    <w:b/>
                    <w:color w:val="000000"/>
                    <w:szCs w:val="24"/>
                  </w:rPr>
                  <w:t>1 straipsnis</w:t>
                </w:r>
              </w:p>
              <w:p>
                <w:pPr>
                  <w:jc w:val="both"/>
                  <w:rPr>
                    <w:b/>
                    <w:color w:val="000000"/>
                    <w:szCs w:val="24"/>
                  </w:rPr>
                </w:pPr>
                <w:r>
                  <w:rPr>
                    <w:b/>
                    <w:color w:val="000000"/>
                    <w:szCs w:val="24"/>
                  </w:rPr>
                  <w:t>Dalykas</w:t>
                </w:r>
              </w:p>
              <w:p>
                <w:pPr>
                  <w:jc w:val="both"/>
                  <w:rPr>
                    <w:szCs w:val="24"/>
                  </w:rPr>
                </w:pPr>
                <w:r>
                  <w:rPr>
                    <w:color w:val="000000"/>
                    <w:szCs w:val="24"/>
                  </w:rPr>
                  <w:t>Šios direktyvos tikslas yra prisidėti prie tinkamo vidaus rinkos veikimo suderinant valstybių narių įstatymus ir kitus teisės aktus, susijusius su tam tikrų gaminių ir paslaugų prieinamumo reikalavimais, visų pirma panaikinant dėl skirtingų prieinamumo reikalavimų valstybėse narėse kylančias kliūtis laisvam gaminių ir paslaugų, kuriems taikoma ši direktyva, judėjimui ir užkertant joms kelią.</w:t>
                </w:r>
              </w:p>
            </w:tc>
            <w:tc>
              <w:tcPr>
                <w:tcW w:w="7868" w:type="dxa"/>
              </w:tcPr>
              <w:p>
                <w:pPr>
                  <w:jc w:val="both"/>
                  <w:rPr>
                    <w:bCs/>
                    <w:szCs w:val="24"/>
                  </w:rPr>
                </w:pPr>
                <w:r>
                  <w:rPr>
                    <w:b/>
                    <w:szCs w:val="24"/>
                  </w:rPr>
                  <w:t>Projektas</w:t>
                </w:r>
              </w:p>
              <w:p>
                <w:pPr>
                  <w:ind w:left="95"/>
                  <w:jc w:val="both"/>
                  <w:rPr>
                    <w:bCs/>
                    <w:szCs w:val="24"/>
                  </w:rPr>
                </w:pPr>
              </w:p>
              <w:p>
                <w:pPr>
                  <w:jc w:val="both"/>
                  <w:rPr>
                    <w:b/>
                    <w:color w:val="000000"/>
                    <w:szCs w:val="24"/>
                  </w:rPr>
                </w:pPr>
                <w:r>
                  <w:rPr>
                    <w:b/>
                    <w:color w:val="000000"/>
                    <w:szCs w:val="24"/>
                  </w:rPr>
                  <w:t>1 straipsnis. Įstatymo paskirtis ir tikslas</w:t>
                </w:r>
              </w:p>
              <w:p>
                <w:pPr>
                  <w:jc w:val="both"/>
                  <w:rPr>
                    <w:color w:val="000000"/>
                    <w:szCs w:val="24"/>
                  </w:rPr>
                </w:pPr>
                <w:r>
                  <w:rPr>
                    <w:color w:val="000000"/>
                    <w:szCs w:val="24"/>
                  </w:rPr>
                  <w:t>1. Šis įstatymas nustato gaminių ir paslaugų, nurodytų šio įstatymo 2 straipsnio 2 ir 4 dalyse, prieinamumo reikalavimus, siekiant laisvo gaminių ir paslaugų judėjimo Europos ekonominėje erdvėje.</w:t>
                </w:r>
              </w:p>
              <w:p>
                <w:pPr>
                  <w:jc w:val="both"/>
                  <w:rPr>
                    <w:color w:val="000000"/>
                    <w:szCs w:val="24"/>
                  </w:rPr>
                </w:pPr>
                <w:r>
                  <w:rPr>
                    <w:color w:val="000000"/>
                    <w:szCs w:val="24"/>
                  </w:rPr>
                  <w:t>2. Šio įstatymo tikslas – užtikrinti, kad į Europos ekonominės bendrijos rinką (toliau – rinka) būtų pateikiami tik prieinamumo reikalavimus atitinkantys gaminiai ir paslaugos, jei šiems gaminiams ir paslaugoms taikomi prieinamumo reikalavimai.</w:t>
                </w:r>
              </w:p>
              <w:p>
                <w:pPr>
                  <w:jc w:val="both"/>
                  <w:rPr>
                    <w:color w:val="000000"/>
                    <w:szCs w:val="24"/>
                  </w:rPr>
                </w:pPr>
              </w:p>
            </w:tc>
            <w:tc>
              <w:tcPr>
                <w:tcW w:w="1858" w:type="dxa"/>
              </w:tcPr>
              <w:p>
                <w:pPr>
                  <w:jc w:val="both"/>
                  <w:rPr>
                    <w:b/>
                    <w:bCs/>
                    <w:szCs w:val="24"/>
                  </w:rPr>
                </w:pPr>
                <w:r>
                  <w:rPr>
                    <w:b/>
                    <w:bCs/>
                    <w:szCs w:val="24"/>
                  </w:rPr>
                  <w:t>Visiškas</w:t>
                </w:r>
              </w:p>
            </w:tc>
          </w:tr>
          <w:tr>
            <w:trPr>
              <w:trHeight w:val="1975"/>
            </w:trPr>
            <w:tc>
              <w:tcPr>
                <w:tcW w:w="5264" w:type="dxa"/>
              </w:tcPr>
              <w:p>
                <w:pPr>
                  <w:jc w:val="both"/>
                  <w:rPr>
                    <w:b/>
                    <w:color w:val="000000"/>
                    <w:szCs w:val="24"/>
                  </w:rPr>
                </w:pPr>
                <w:r>
                  <w:rPr>
                    <w:b/>
                    <w:color w:val="000000"/>
                    <w:szCs w:val="24"/>
                  </w:rPr>
                  <w:t>2 straipsnis</w:t>
                </w:r>
              </w:p>
              <w:p>
                <w:pPr>
                  <w:jc w:val="both"/>
                  <w:rPr>
                    <w:b/>
                    <w:color w:val="000000"/>
                    <w:szCs w:val="24"/>
                  </w:rPr>
                </w:pPr>
                <w:r>
                  <w:rPr>
                    <w:b/>
                    <w:color w:val="000000"/>
                    <w:szCs w:val="24"/>
                  </w:rPr>
                  <w:t>Taikymo sritis</w:t>
                </w:r>
              </w:p>
              <w:p>
                <w:pPr>
                  <w:jc w:val="both"/>
                  <w:rPr>
                    <w:color w:val="000000"/>
                    <w:szCs w:val="24"/>
                  </w:rPr>
                </w:pPr>
                <w:r>
                  <w:rPr>
                    <w:color w:val="000000"/>
                    <w:szCs w:val="24"/>
                  </w:rPr>
                  <w:t>1. Ši direktyva taikoma šiems po 2025 m. birželio 28 d. rinkai pateiktiems gaminiams:</w:t>
                </w:r>
              </w:p>
              <w:p>
                <w:pPr>
                  <w:jc w:val="both"/>
                  <w:rPr>
                    <w:color w:val="000000"/>
                    <w:szCs w:val="24"/>
                  </w:rPr>
                </w:pPr>
                <w:r>
                  <w:rPr>
                    <w:color w:val="000000"/>
                    <w:szCs w:val="24"/>
                  </w:rPr>
                  <w:t>a) bendrosios paskirties vartotojų kompiuterių aparatinės įrangos sistemoms ir toms aparatinės įrangos sistemoms skirtoms operacinėms sistemoms;</w:t>
                </w:r>
              </w:p>
              <w:p>
                <w:pPr>
                  <w:jc w:val="both"/>
                  <w:rPr>
                    <w:color w:val="000000"/>
                    <w:szCs w:val="24"/>
                  </w:rPr>
                </w:pPr>
                <w:r>
                  <w:rPr>
                    <w:color w:val="000000"/>
                    <w:szCs w:val="24"/>
                  </w:rPr>
                  <w:t>b) toliau išvardytiems savitarnos terminalams:</w:t>
                </w:r>
              </w:p>
              <w:p>
                <w:pPr>
                  <w:jc w:val="both"/>
                  <w:rPr>
                    <w:color w:val="000000"/>
                    <w:szCs w:val="24"/>
                  </w:rPr>
                </w:pPr>
                <w:r>
                  <w:rPr>
                    <w:color w:val="000000"/>
                    <w:szCs w:val="24"/>
                  </w:rPr>
                  <w:t>i) mokėjimo terminalams;</w:t>
                </w:r>
              </w:p>
              <w:p>
                <w:pPr>
                  <w:jc w:val="both"/>
                  <w:rPr>
                    <w:color w:val="000000"/>
                    <w:szCs w:val="24"/>
                  </w:rPr>
                </w:pPr>
                <w:r>
                  <w:rPr>
                    <w:color w:val="000000"/>
                    <w:szCs w:val="24"/>
                  </w:rPr>
                  <w:t>ii) šiems savitarnos terminalams, skirtiems paslaugoms, kurioms taikoma ši direktyva:</w:t>
                </w:r>
              </w:p>
              <w:p>
                <w:pPr>
                  <w:jc w:val="both"/>
                  <w:rPr>
                    <w:color w:val="000000"/>
                    <w:szCs w:val="24"/>
                  </w:rPr>
                </w:pPr>
                <w:r>
                  <w:rPr>
                    <w:color w:val="000000"/>
                    <w:szCs w:val="24"/>
                  </w:rPr>
                  <w:t>— bankomatams,</w:t>
                </w:r>
              </w:p>
              <w:p>
                <w:pPr>
                  <w:jc w:val="both"/>
                  <w:rPr>
                    <w:color w:val="000000"/>
                    <w:szCs w:val="24"/>
                  </w:rPr>
                </w:pPr>
                <w:r>
                  <w:rPr>
                    <w:color w:val="000000"/>
                    <w:szCs w:val="24"/>
                  </w:rPr>
                  <w:t>— bilietų pardavimo automatams,</w:t>
                </w:r>
              </w:p>
              <w:p>
                <w:pPr>
                  <w:jc w:val="both"/>
                  <w:rPr>
                    <w:color w:val="000000"/>
                    <w:szCs w:val="24"/>
                  </w:rPr>
                </w:pPr>
                <w:r>
                  <w:rPr>
                    <w:color w:val="000000"/>
                    <w:szCs w:val="24"/>
                  </w:rPr>
                  <w:t>— registracijos automatams,</w:t>
                </w:r>
              </w:p>
              <w:p>
                <w:pPr>
                  <w:jc w:val="both"/>
                  <w:rPr>
                    <w:color w:val="000000"/>
                    <w:szCs w:val="24"/>
                  </w:rPr>
                </w:pPr>
                <w:r>
                  <w:rPr>
                    <w:color w:val="000000"/>
                    <w:szCs w:val="24"/>
                  </w:rPr>
                  <w:t>— interaktyviems informacijos teikimo savitarnos terminalams, išskyrus terminalus, kurie yra transporto priemonių, orlaivių, laivų arba riedmenų įmontuotos sudedamosios dalys;</w:t>
                </w:r>
              </w:p>
              <w:p>
                <w:pPr>
                  <w:jc w:val="both"/>
                  <w:rPr>
                    <w:color w:val="000000"/>
                    <w:szCs w:val="24"/>
                  </w:rPr>
                </w:pPr>
                <w:r>
                  <w:rPr>
                    <w:color w:val="000000"/>
                    <w:szCs w:val="24"/>
                  </w:rPr>
                  <w:t>c) Vartotojų galiniams įrenginiams su interaktyviais kompiuteriniais pajėgumais, naudojamiems elektroninių ryšių paslaugoms;</w:t>
                </w:r>
              </w:p>
              <w:p>
                <w:pPr>
                  <w:jc w:val="both"/>
                  <w:rPr>
                    <w:color w:val="000000"/>
                    <w:szCs w:val="24"/>
                  </w:rPr>
                </w:pPr>
                <w:r>
                  <w:rPr>
                    <w:color w:val="000000"/>
                    <w:szCs w:val="24"/>
                  </w:rPr>
                  <w:t>d) vartotojų galiniams įrenginiams su interaktyviais kompiuteriniais pajėgumais, naudojamiems prieigai prie audiovizualinės žiniasklaidos paslaugų, ir</w:t>
                </w:r>
              </w:p>
              <w:p>
                <w:pPr>
                  <w:jc w:val="both"/>
                  <w:rPr>
                    <w:color w:val="000000"/>
                    <w:szCs w:val="24"/>
                  </w:rPr>
                </w:pPr>
                <w:r>
                  <w:rPr>
                    <w:color w:val="000000"/>
                    <w:szCs w:val="24"/>
                  </w:rPr>
                  <w:t>e) e. skaityklėms.</w:t>
                </w:r>
              </w:p>
            </w:tc>
            <w:tc>
              <w:tcPr>
                <w:tcW w:w="7868" w:type="dxa"/>
              </w:tcPr>
              <w:p>
                <w:pPr>
                  <w:jc w:val="both"/>
                  <w:rPr>
                    <w:bCs/>
                    <w:szCs w:val="24"/>
                  </w:rPr>
                </w:pPr>
                <w:r>
                  <w:rPr>
                    <w:b/>
                    <w:szCs w:val="24"/>
                  </w:rPr>
                  <w:t>Projektas</w:t>
                </w:r>
              </w:p>
              <w:p>
                <w:pPr>
                  <w:ind w:firstLine="708"/>
                  <w:jc w:val="both"/>
                  <w:rPr>
                    <w:b/>
                    <w:color w:val="000000"/>
                    <w:szCs w:val="24"/>
                  </w:rPr>
                </w:pPr>
              </w:p>
              <w:p>
                <w:pPr>
                  <w:jc w:val="both"/>
                  <w:rPr>
                    <w:b/>
                    <w:color w:val="000000"/>
                    <w:szCs w:val="24"/>
                  </w:rPr>
                </w:pPr>
                <w:r>
                  <w:rPr>
                    <w:b/>
                    <w:color w:val="000000"/>
                    <w:szCs w:val="24"/>
                  </w:rPr>
                  <w:t>2 straipsnis. Įstatymo taikymas</w:t>
                </w:r>
              </w:p>
              <w:p>
                <w:pPr>
                  <w:jc w:val="both"/>
                  <w:rPr>
                    <w:bCs/>
                    <w:color w:val="000000"/>
                    <w:szCs w:val="24"/>
                  </w:rPr>
                </w:pPr>
                <w:r>
                  <w:rPr>
                    <w:bCs/>
                    <w:color w:val="000000"/>
                    <w:szCs w:val="24"/>
                  </w:rPr>
                  <w:t>2. Šis įstatymas taikomas šiems į rinką teikiamiems gaminiams:</w:t>
                </w:r>
              </w:p>
              <w:p>
                <w:pPr>
                  <w:jc w:val="both"/>
                  <w:rPr>
                    <w:bCs/>
                    <w:color w:val="000000"/>
                    <w:szCs w:val="24"/>
                  </w:rPr>
                </w:pPr>
                <w:r>
                  <w:rPr>
                    <w:bCs/>
                    <w:color w:val="000000"/>
                    <w:szCs w:val="24"/>
                  </w:rPr>
                  <w:t>1) vartotojų bendrosios paskirties kompiuterių aparatinės įrangos sistemoms ir joms skirtoms operacinėms sistemoms;</w:t>
                </w:r>
              </w:p>
              <w:p>
                <w:pPr>
                  <w:jc w:val="both"/>
                  <w:rPr>
                    <w:bCs/>
                    <w:color w:val="000000"/>
                    <w:szCs w:val="24"/>
                  </w:rPr>
                </w:pPr>
                <w:r>
                  <w:rPr>
                    <w:bCs/>
                    <w:color w:val="000000"/>
                    <w:szCs w:val="24"/>
                  </w:rPr>
                  <w:t>2) savitarnos terminalams (mokėjimo terminalams, taip pat savitarnos terminalams, skirtiems paslaugoms, kurioms taikomas šis įstatymas, teikti – bankomatams, bilietų pardavimo automatams, registracijos automatams, interaktyviems informacijos teikimo savitarnos terminalams, išskyrus terminalus, kurie yra transporto priemonių, orlaivių, laivų arba geležinkelių riedmenų įmontuotos sudedamosios dalys);</w:t>
                </w:r>
              </w:p>
              <w:p>
                <w:pPr>
                  <w:jc w:val="both"/>
                  <w:rPr>
                    <w:bCs/>
                    <w:color w:val="000000"/>
                    <w:szCs w:val="24"/>
                  </w:rPr>
                </w:pPr>
                <w:r>
                  <w:rPr>
                    <w:bCs/>
                    <w:color w:val="000000"/>
                    <w:szCs w:val="24"/>
                  </w:rPr>
                  <w:t>3) vartotojų galiniams įrenginiams su interaktyviaisiais kompiuteriniais pajėgumais, naudojamiems elektroninių ryšių paslaugoms;</w:t>
                </w:r>
              </w:p>
              <w:p>
                <w:pPr>
                  <w:jc w:val="both"/>
                  <w:rPr>
                    <w:bCs/>
                    <w:color w:val="000000"/>
                    <w:szCs w:val="24"/>
                  </w:rPr>
                </w:pPr>
                <w:r>
                  <w:rPr>
                    <w:bCs/>
                    <w:color w:val="000000"/>
                    <w:szCs w:val="24"/>
                  </w:rPr>
                  <w:t>4) vartotojo prieigos prie audiovizualinės žiniasklaidos paslaugų interaktyviesiems įrenginiams;</w:t>
                </w:r>
              </w:p>
              <w:p>
                <w:pPr>
                  <w:jc w:val="both"/>
                  <w:rPr>
                    <w:bCs/>
                    <w:color w:val="000000"/>
                    <w:szCs w:val="24"/>
                  </w:rPr>
                </w:pPr>
                <w:r>
                  <w:rPr>
                    <w:bCs/>
                    <w:color w:val="000000"/>
                    <w:szCs w:val="24"/>
                  </w:rPr>
                  <w:t>5) elektroninėms skaityklėms.</w:t>
                </w:r>
              </w:p>
              <w:p>
                <w:pPr>
                  <w:jc w:val="both"/>
                  <w:rPr>
                    <w:bCs/>
                    <w:color w:val="000000"/>
                    <w:szCs w:val="24"/>
                  </w:rPr>
                </w:pPr>
                <w:r>
                  <w:rPr>
                    <w:bCs/>
                    <w:color w:val="000000"/>
                    <w:szCs w:val="24"/>
                  </w:rPr>
                  <w:t>3. Šio straipsnio 2 dalyje nurodyti gaminiai, kurie yra geležinkelių sistemos sąveikaujančios dalys, turi atitikti šiame įstatyme nustatytus reikalavimus, taip pat reikalavimus, nustatytus atitinkamose geležinkelių techninio sąveikumo specifikacijose ar ES specifikacijose. Gaminių, kurie yra taip pat ir geležinkelių sistemos sąveikaujančios dalys, atitiktis įvertinama šio įstatymo ir Lietuvos Respublikos geležinkelių transporto eismo saugos įstatymo ir jį įgyvendinančių teisės aktų nustatyta tvarka.</w:t>
                </w:r>
              </w:p>
              <w:p>
                <w:pPr>
                  <w:jc w:val="both"/>
                  <w:rPr>
                    <w:szCs w:val="24"/>
                  </w:rPr>
                </w:pPr>
              </w:p>
            </w:tc>
            <w:tc>
              <w:tcPr>
                <w:tcW w:w="1858" w:type="dxa"/>
              </w:tcPr>
              <w:p>
                <w:pPr>
                  <w:jc w:val="both"/>
                  <w:rPr>
                    <w:b/>
                    <w:bCs/>
                    <w:szCs w:val="24"/>
                  </w:rPr>
                </w:pPr>
                <w:r>
                  <w:rPr>
                    <w:b/>
                    <w:bCs/>
                    <w:szCs w:val="24"/>
                  </w:rPr>
                  <w:t>Visiškas</w:t>
                </w:r>
              </w:p>
            </w:tc>
          </w:tr>
          <w:tr>
            <w:trPr>
              <w:trHeight w:val="1975"/>
            </w:trPr>
            <w:tc>
              <w:tcPr>
                <w:tcW w:w="5264" w:type="dxa"/>
              </w:tcPr>
              <w:p>
                <w:pPr>
                  <w:jc w:val="both"/>
                  <w:rPr>
                    <w:color w:val="000000"/>
                    <w:szCs w:val="24"/>
                  </w:rPr>
                </w:pPr>
                <w:r>
                  <w:rPr>
                    <w:color w:val="000000"/>
                    <w:szCs w:val="24"/>
                  </w:rPr>
                  <w:t>2. Nedarant poveikio šios direktyvos 32 straipsniui, ši direktyva taikoma šioms po 2025 m. birželio 28 d. vartotojams teikiamoms paslaugoms:</w:t>
                </w:r>
              </w:p>
              <w:p>
                <w:pPr>
                  <w:jc w:val="both"/>
                  <w:rPr>
                    <w:color w:val="000000"/>
                    <w:szCs w:val="24"/>
                  </w:rPr>
                </w:pPr>
                <w:r>
                  <w:rPr>
                    <w:color w:val="000000"/>
                    <w:szCs w:val="24"/>
                  </w:rPr>
                  <w:t>a) elektroninių ryšių paslaugoms, išskyrus perdavimo paslaugas, naudojamas automatų sąveikos paslaugoms teikti;</w:t>
                </w:r>
              </w:p>
              <w:p>
                <w:pPr>
                  <w:jc w:val="both"/>
                  <w:rPr>
                    <w:color w:val="000000"/>
                    <w:szCs w:val="24"/>
                  </w:rPr>
                </w:pPr>
                <w:r>
                  <w:rPr>
                    <w:color w:val="000000"/>
                    <w:szCs w:val="24"/>
                  </w:rPr>
                  <w:t>b) paslaugoms, kuriomis suteikiama prieiga prie audiovizualinės žiniasklaidos paslaugų;</w:t>
                </w:r>
              </w:p>
              <w:p>
                <w:pPr>
                  <w:jc w:val="both"/>
                  <w:rPr>
                    <w:color w:val="000000"/>
                    <w:szCs w:val="24"/>
                  </w:rPr>
                </w:pPr>
                <w:r>
                  <w:rPr>
                    <w:color w:val="000000"/>
                    <w:szCs w:val="24"/>
                  </w:rPr>
                  <w:t>c) šiems keleivinio oro, autobusų, geležinkelių ir vandens transporto paslaugų, išskyrus mieste ir priemiesčiuose teikiamas transporto paslaugas bei regioninio transporto paslaugas, kurioms taikomi tik v punkte išvardyti elementai, elementams:</w:t>
                </w:r>
              </w:p>
              <w:p>
                <w:pPr>
                  <w:jc w:val="both"/>
                  <w:rPr>
                    <w:color w:val="000000"/>
                    <w:szCs w:val="24"/>
                  </w:rPr>
                </w:pPr>
                <w:r>
                  <w:rPr>
                    <w:color w:val="000000"/>
                    <w:szCs w:val="24"/>
                  </w:rPr>
                  <w:t>i) interneto svetainėms;</w:t>
                </w:r>
              </w:p>
              <w:p>
                <w:pPr>
                  <w:jc w:val="both"/>
                  <w:rPr>
                    <w:color w:val="000000"/>
                    <w:szCs w:val="24"/>
                  </w:rPr>
                </w:pPr>
                <w:r>
                  <w:rPr>
                    <w:color w:val="000000"/>
                    <w:szCs w:val="24"/>
                  </w:rPr>
                  <w:t>ii) nešiojamaisiais prietaisais teikiamoms paslaugoms, įskaitant mobiliąsias programas;</w:t>
                </w:r>
              </w:p>
              <w:p>
                <w:pPr>
                  <w:jc w:val="both"/>
                  <w:rPr>
                    <w:color w:val="000000"/>
                    <w:szCs w:val="24"/>
                  </w:rPr>
                </w:pPr>
                <w:r>
                  <w:rPr>
                    <w:color w:val="000000"/>
                    <w:szCs w:val="24"/>
                  </w:rPr>
                  <w:t>iii) elektroniniams bilietams ir elektroninių bilietų pardavimo paslaugoms;</w:t>
                </w:r>
              </w:p>
              <w:p>
                <w:pPr>
                  <w:jc w:val="both"/>
                  <w:rPr>
                    <w:color w:val="000000"/>
                    <w:szCs w:val="24"/>
                  </w:rPr>
                </w:pPr>
                <w:r>
                  <w:rPr>
                    <w:color w:val="000000"/>
                    <w:szCs w:val="24"/>
                  </w:rPr>
                  <w:t xml:space="preserve">iv) informacijos apie transporto paslaugas teikimui, įskaitant kelionių informaciją realiuoju laiku; kalbant apie informacinius ekranus, šis reikalavimas taikomas tik Sąjungos teritorijoje esantiems interaktyviesiems ekranams, ir </w:t>
                </w:r>
              </w:p>
              <w:p>
                <w:pPr>
                  <w:jc w:val="both"/>
                  <w:rPr>
                    <w:color w:val="000000"/>
                    <w:szCs w:val="24"/>
                  </w:rPr>
                </w:pPr>
                <w:r>
                  <w:rPr>
                    <w:color w:val="000000"/>
                    <w:szCs w:val="24"/>
                  </w:rPr>
                  <w:t>v) Sąjungos teritorijoje esantiems interaktyviems savitarnos terminalams, išskyrus tuos, kurie yra transporto priemonių, orlaivių, laivų ir riedmenų, naudojamų bet kuriai tokių keleivinio transporto paslaugų daliai teikti, įmontuotos sudedamosios dalys;</w:t>
                </w:r>
              </w:p>
              <w:p>
                <w:pPr>
                  <w:jc w:val="both"/>
                  <w:rPr>
                    <w:color w:val="000000"/>
                    <w:szCs w:val="24"/>
                  </w:rPr>
                </w:pPr>
                <w:r>
                  <w:rPr>
                    <w:color w:val="000000"/>
                    <w:szCs w:val="24"/>
                  </w:rPr>
                  <w:t>d) banko paslaugoms vartotojams;</w:t>
                </w:r>
              </w:p>
              <w:p>
                <w:pPr>
                  <w:jc w:val="both"/>
                  <w:rPr>
                    <w:color w:val="000000"/>
                    <w:szCs w:val="24"/>
                  </w:rPr>
                </w:pPr>
                <w:r>
                  <w:rPr>
                    <w:color w:val="000000"/>
                    <w:szCs w:val="24"/>
                  </w:rPr>
                  <w:t>e) e. knygoms bei specialiai programinei įrangai ir</w:t>
                </w:r>
              </w:p>
              <w:p>
                <w:pPr>
                  <w:jc w:val="both"/>
                  <w:rPr>
                    <w:color w:val="000000"/>
                    <w:szCs w:val="24"/>
                  </w:rPr>
                </w:pPr>
                <w:r>
                  <w:rPr>
                    <w:color w:val="000000"/>
                    <w:szCs w:val="24"/>
                  </w:rPr>
                  <w:t>f) e. prekybos paslaugoms.</w:t>
                </w:r>
              </w:p>
              <w:p>
                <w:pPr>
                  <w:jc w:val="both"/>
                  <w:rPr>
                    <w:b/>
                    <w:color w:val="000000"/>
                    <w:szCs w:val="24"/>
                  </w:rPr>
                </w:pPr>
              </w:p>
            </w:tc>
            <w:tc>
              <w:tcPr>
                <w:tcW w:w="7868" w:type="dxa"/>
              </w:tcPr>
              <w:p>
                <w:pPr>
                  <w:jc w:val="both"/>
                  <w:rPr>
                    <w:bCs/>
                    <w:szCs w:val="24"/>
                  </w:rPr>
                </w:pPr>
                <w:r>
                  <w:rPr>
                    <w:b/>
                    <w:szCs w:val="24"/>
                  </w:rPr>
                  <w:t>Projektas</w:t>
                </w:r>
              </w:p>
              <w:p>
                <w:pPr>
                  <w:ind w:firstLine="708"/>
                  <w:jc w:val="both"/>
                  <w:rPr>
                    <w:b/>
                    <w:color w:val="000000"/>
                    <w:szCs w:val="24"/>
                  </w:rPr>
                </w:pPr>
              </w:p>
              <w:p>
                <w:pPr>
                  <w:jc w:val="both"/>
                  <w:rPr>
                    <w:b/>
                    <w:color w:val="000000"/>
                    <w:szCs w:val="24"/>
                  </w:rPr>
                </w:pPr>
                <w:r>
                  <w:rPr>
                    <w:b/>
                    <w:color w:val="000000"/>
                    <w:szCs w:val="24"/>
                  </w:rPr>
                  <w:t>2 straipsnis. Įstatymo taikymas</w:t>
                </w:r>
              </w:p>
              <w:p>
                <w:pPr>
                  <w:jc w:val="both"/>
                  <w:rPr>
                    <w:bCs/>
                    <w:color w:val="000000"/>
                    <w:szCs w:val="24"/>
                  </w:rPr>
                </w:pPr>
                <w:r>
                  <w:rPr>
                    <w:bCs/>
                    <w:color w:val="000000"/>
                    <w:szCs w:val="24"/>
                  </w:rPr>
                  <w:t>4. Šis įstatymas taikomas šioms paslaugoms:</w:t>
                </w:r>
              </w:p>
              <w:p>
                <w:pPr>
                  <w:jc w:val="both"/>
                  <w:rPr>
                    <w:bCs/>
                    <w:color w:val="000000"/>
                    <w:szCs w:val="24"/>
                  </w:rPr>
                </w:pPr>
                <w:r>
                  <w:rPr>
                    <w:bCs/>
                    <w:color w:val="000000"/>
                    <w:szCs w:val="24"/>
                  </w:rPr>
                  <w:t>1) elektroninių ryšių paslaugoms, išskyrus perdavimo (siuntimo) paslaugas, naudojamas įrenginių tarpusavio sąveikos paslaugoms teikti;</w:t>
                </w:r>
              </w:p>
              <w:p>
                <w:pPr>
                  <w:jc w:val="both"/>
                  <w:rPr>
                    <w:bCs/>
                    <w:color w:val="000000"/>
                    <w:szCs w:val="24"/>
                  </w:rPr>
                </w:pPr>
                <w:r>
                  <w:rPr>
                    <w:bCs/>
                    <w:color w:val="000000"/>
                    <w:szCs w:val="24"/>
                  </w:rPr>
                  <w:t>2) audiovizualinės žiniasklaidos paslaugų prieigos paslaugoms;</w:t>
                </w:r>
              </w:p>
              <w:p>
                <w:pPr>
                  <w:jc w:val="both"/>
                  <w:rPr>
                    <w:bCs/>
                    <w:color w:val="000000"/>
                    <w:szCs w:val="24"/>
                  </w:rPr>
                </w:pPr>
                <w:r>
                  <w:rPr>
                    <w:bCs/>
                    <w:color w:val="000000"/>
                    <w:szCs w:val="24"/>
                  </w:rPr>
                  <w:t>3) šiems keleivinio oro, autobusų ir vandens transporto paslaugų, išskyrus mieste ir priemiesčiuose teikiamas transporto paslaugas bei regioninio transporto paslaugas, keleivių vežimo geležinkelių transportu paslaugų elementams: interneto svetainėms, nešiojamaisiais prietaisais teikiamoms paslaugoms (įskaitant mobiliąsias programas), elektroniniams bilietams ir elektroninių bilietų pardavimo paslaugoms, informacijos apie transporto paslaugas teikimui, įskaitant kelionių informaciją realiuoju laiku, informaciniams ekranams ir interaktyviems savitarnos terminalams. Paslaugų prieinamumo reikalavimai informaciniams ekranams taikomi tik ES teritorijoje esantiems interaktyviems ekranams, taip pat ES teritorijoje esantiems interaktyviems savitarnos terminalams, išskyrus ekranus ir terminalus, kurie yra transporto priemonių, orlaivių, laivų arba geležinkelių riedmenų įmontuotos sudedamosios dalys;</w:t>
                </w:r>
              </w:p>
              <w:p>
                <w:pPr>
                  <w:jc w:val="both"/>
                  <w:rPr>
                    <w:bCs/>
                    <w:color w:val="000000"/>
                    <w:szCs w:val="24"/>
                  </w:rPr>
                </w:pPr>
                <w:r>
                  <w:rPr>
                    <w:bCs/>
                    <w:color w:val="000000"/>
                    <w:szCs w:val="24"/>
                  </w:rPr>
                  <w:t>4) banko paslaugoms vartotojams;</w:t>
                </w:r>
              </w:p>
              <w:p>
                <w:pPr>
                  <w:jc w:val="both"/>
                  <w:rPr>
                    <w:bCs/>
                    <w:color w:val="000000"/>
                    <w:szCs w:val="24"/>
                  </w:rPr>
                </w:pPr>
                <w:r>
                  <w:rPr>
                    <w:bCs/>
                    <w:color w:val="000000"/>
                    <w:szCs w:val="24"/>
                  </w:rPr>
                  <w:t>5) elektroninėms knygoms bei specialiai programinei įrangai;</w:t>
                </w:r>
              </w:p>
              <w:p>
                <w:pPr>
                  <w:jc w:val="both"/>
                  <w:rPr>
                    <w:b/>
                    <w:szCs w:val="24"/>
                  </w:rPr>
                </w:pPr>
                <w:r>
                  <w:rPr>
                    <w:bCs/>
                    <w:color w:val="000000"/>
                    <w:szCs w:val="24"/>
                  </w:rPr>
                  <w:t>6) elektroninės prekybos paslaugoms.</w:t>
                </w:r>
              </w:p>
            </w:tc>
            <w:tc>
              <w:tcPr>
                <w:tcW w:w="1858" w:type="dxa"/>
              </w:tcPr>
              <w:p>
                <w:pPr>
                  <w:jc w:val="both"/>
                  <w:rPr>
                    <w:b/>
                    <w:bCs/>
                    <w:szCs w:val="24"/>
                  </w:rPr>
                </w:pPr>
                <w:r>
                  <w:rPr>
                    <w:b/>
                    <w:bCs/>
                    <w:szCs w:val="24"/>
                  </w:rPr>
                  <w:t>Visiškas</w:t>
                </w:r>
              </w:p>
            </w:tc>
          </w:tr>
          <w:tr>
            <w:trPr>
              <w:trHeight w:val="1975"/>
            </w:trPr>
            <w:tc>
              <w:tcPr>
                <w:tcW w:w="5264" w:type="dxa"/>
              </w:tcPr>
              <w:p>
                <w:pPr>
                  <w:jc w:val="both"/>
                  <w:rPr>
                    <w:color w:val="000000"/>
                    <w:szCs w:val="24"/>
                  </w:rPr>
                </w:pPr>
                <w:r>
                  <w:rPr>
                    <w:color w:val="000000"/>
                    <w:szCs w:val="24"/>
                  </w:rPr>
                  <w:t>3. Ši direktyva taikoma atsakymams į skubios pagalbos pranešimus, kurie gaunami Europos bendruoju pagalbos telefono numeriu 112.</w:t>
                </w:r>
              </w:p>
            </w:tc>
            <w:tc>
              <w:tcPr>
                <w:tcW w:w="7868" w:type="dxa"/>
              </w:tcPr>
              <w:p>
                <w:pPr>
                  <w:jc w:val="both"/>
                  <w:rPr>
                    <w:bCs/>
                    <w:szCs w:val="24"/>
                  </w:rPr>
                </w:pPr>
                <w:r>
                  <w:rPr>
                    <w:b/>
                    <w:szCs w:val="24"/>
                  </w:rPr>
                  <w:t>Projektas</w:t>
                </w:r>
              </w:p>
              <w:p>
                <w:pPr>
                  <w:ind w:firstLine="708"/>
                  <w:jc w:val="both"/>
                  <w:rPr>
                    <w:b/>
                    <w:color w:val="000000"/>
                    <w:szCs w:val="24"/>
                  </w:rPr>
                </w:pPr>
              </w:p>
              <w:p>
                <w:pPr>
                  <w:jc w:val="both"/>
                  <w:rPr>
                    <w:b/>
                    <w:color w:val="000000"/>
                    <w:szCs w:val="24"/>
                  </w:rPr>
                </w:pPr>
                <w:r>
                  <w:rPr>
                    <w:b/>
                    <w:color w:val="000000"/>
                    <w:szCs w:val="24"/>
                  </w:rPr>
                  <w:t>2 straipsnis. Įstatymo taikymas</w:t>
                </w:r>
              </w:p>
              <w:p>
                <w:pPr>
                  <w:jc w:val="both"/>
                  <w:rPr>
                    <w:bCs/>
                    <w:color w:val="000000"/>
                    <w:szCs w:val="24"/>
                  </w:rPr>
                </w:pPr>
                <w:r>
                  <w:rPr>
                    <w:bCs/>
                    <w:color w:val="000000"/>
                    <w:szCs w:val="24"/>
                  </w:rPr>
                  <w:t>5. Šis įstatymas taip pat taikomas atsakymams į skubios pagalbos prašymus, kurie gaunami skubiosios pagalbos tarnybų ryšio numeriu 112.</w:t>
                </w:r>
              </w:p>
              <w:p>
                <w:pPr>
                  <w:jc w:val="both"/>
                  <w:rPr>
                    <w:b/>
                    <w:szCs w:val="24"/>
                  </w:rPr>
                </w:pPr>
              </w:p>
            </w:tc>
            <w:tc>
              <w:tcPr>
                <w:tcW w:w="1858" w:type="dxa"/>
              </w:tcPr>
              <w:p>
                <w:pPr>
                  <w:jc w:val="both"/>
                  <w:rPr>
                    <w:b/>
                    <w:bCs/>
                    <w:szCs w:val="24"/>
                  </w:rPr>
                </w:pPr>
                <w:r>
                  <w:rPr>
                    <w:b/>
                    <w:bCs/>
                    <w:szCs w:val="24"/>
                  </w:rPr>
                  <w:t>Visiškas</w:t>
                </w:r>
              </w:p>
            </w:tc>
          </w:tr>
          <w:tr>
            <w:trPr>
              <w:trHeight w:val="1975"/>
            </w:trPr>
            <w:tc>
              <w:tcPr>
                <w:tcW w:w="5264" w:type="dxa"/>
              </w:tcPr>
              <w:p>
                <w:pPr>
                  <w:jc w:val="both"/>
                  <w:rPr>
                    <w:color w:val="000000"/>
                    <w:szCs w:val="24"/>
                  </w:rPr>
                </w:pPr>
                <w:r>
                  <w:rPr>
                    <w:color w:val="000000"/>
                    <w:szCs w:val="24"/>
                  </w:rPr>
                  <w:t>4. Ši direktyva netaikoma šiam interneto svetainių ir mobiliųjų programų turiniui:</w:t>
                </w:r>
              </w:p>
              <w:p>
                <w:pPr>
                  <w:jc w:val="both"/>
                  <w:rPr>
                    <w:color w:val="000000"/>
                    <w:szCs w:val="24"/>
                  </w:rPr>
                </w:pPr>
                <w:r>
                  <w:rPr>
                    <w:color w:val="000000"/>
                    <w:szCs w:val="24"/>
                  </w:rPr>
                  <w:t>a) iš anksto įrašytai apibrėžtos trukmės žiniasklaidai, paskelbtai anksčiau nei 2025 m. birželio 28 d.;</w:t>
                </w:r>
              </w:p>
              <w:p>
                <w:pPr>
                  <w:jc w:val="both"/>
                  <w:rPr>
                    <w:color w:val="000000"/>
                    <w:szCs w:val="24"/>
                  </w:rPr>
                </w:pPr>
                <w:r>
                  <w:rPr>
                    <w:color w:val="000000"/>
                    <w:szCs w:val="24"/>
                  </w:rPr>
                  <w:t>b) biuro programinės įrangos rinkmenų formatams, paskelbtiems anksčiau nei 2025 m. birželio 28 d.;</w:t>
                </w:r>
              </w:p>
              <w:p>
                <w:pPr>
                  <w:jc w:val="both"/>
                  <w:rPr>
                    <w:color w:val="000000"/>
                    <w:szCs w:val="24"/>
                  </w:rPr>
                </w:pPr>
                <w:r>
                  <w:rPr>
                    <w:color w:val="000000"/>
                    <w:szCs w:val="24"/>
                  </w:rPr>
                  <w:t>c) internetiniams žemėlapiams ir kartografavimo paslaugoms, jeigu žemėlapių, skirtų navigacijai, atveju esminė informacija pateikiama prieinamu skaitmeniniu būdu;</w:t>
                </w:r>
              </w:p>
              <w:p>
                <w:pPr>
                  <w:jc w:val="both"/>
                  <w:rPr>
                    <w:color w:val="000000"/>
                    <w:szCs w:val="24"/>
                  </w:rPr>
                </w:pPr>
                <w:r>
                  <w:rPr>
                    <w:color w:val="000000"/>
                    <w:szCs w:val="24"/>
                  </w:rPr>
                  <w:t>d) trečiosios šalies turiniui, kuris nėra nei finansuojamas, nei parengtas, nei kontroliuojamas atitinkamo ekonominės veiklos vykdytojo;</w:t>
                </w:r>
              </w:p>
              <w:p>
                <w:pPr>
                  <w:jc w:val="both"/>
                  <w:rPr>
                    <w:color w:val="000000"/>
                    <w:szCs w:val="24"/>
                  </w:rPr>
                </w:pPr>
                <w:r>
                  <w:rPr>
                    <w:color w:val="000000"/>
                    <w:szCs w:val="24"/>
                  </w:rPr>
                  <w:t>e) interneto svetainių ir mobiliųjų programų, kurios apibrėžiamos kaip archyvai, o tai reiškia, kad jose yra tik turinys, kuris nėra atnaujinamas arba redaguojamas po 2025 m. birželio 28 d.</w:t>
                </w:r>
              </w:p>
              <w:p>
                <w:pPr>
                  <w:jc w:val="both"/>
                  <w:rPr>
                    <w:color w:val="000000"/>
                    <w:szCs w:val="24"/>
                  </w:rPr>
                </w:pPr>
                <w:r>
                  <w:rPr>
                    <w:color w:val="000000"/>
                    <w:szCs w:val="24"/>
                  </w:rPr>
                  <w:t>5. Ši direktyva nedaro poveikio Direktyvai (ES) 2017/1564 ir Reglamentui (ES) 2017/1563.</w:t>
                </w:r>
              </w:p>
            </w:tc>
            <w:tc>
              <w:tcPr>
                <w:tcW w:w="7868" w:type="dxa"/>
              </w:tcPr>
              <w:p>
                <w:pPr>
                  <w:jc w:val="both"/>
                  <w:rPr>
                    <w:bCs/>
                    <w:szCs w:val="24"/>
                  </w:rPr>
                </w:pPr>
                <w:r>
                  <w:rPr>
                    <w:b/>
                    <w:szCs w:val="24"/>
                  </w:rPr>
                  <w:t>Projektas</w:t>
                </w:r>
              </w:p>
              <w:p>
                <w:pPr>
                  <w:ind w:firstLine="708"/>
                  <w:jc w:val="both"/>
                  <w:rPr>
                    <w:b/>
                    <w:color w:val="000000"/>
                    <w:szCs w:val="24"/>
                  </w:rPr>
                </w:pPr>
              </w:p>
              <w:p>
                <w:pPr>
                  <w:jc w:val="both"/>
                  <w:rPr>
                    <w:b/>
                    <w:color w:val="000000"/>
                    <w:szCs w:val="24"/>
                  </w:rPr>
                </w:pPr>
                <w:r>
                  <w:rPr>
                    <w:b/>
                    <w:color w:val="000000"/>
                    <w:szCs w:val="24"/>
                  </w:rPr>
                  <w:t>2 straipsnis. Įstatymo taikymas</w:t>
                </w:r>
              </w:p>
              <w:p>
                <w:pPr>
                  <w:jc w:val="both"/>
                  <w:rPr>
                    <w:bCs/>
                    <w:color w:val="000000"/>
                    <w:szCs w:val="24"/>
                  </w:rPr>
                </w:pPr>
                <w:r>
                  <w:rPr>
                    <w:bCs/>
                    <w:color w:val="000000"/>
                    <w:szCs w:val="24"/>
                  </w:rPr>
                  <w:t>6. Šis įstatymas netaikomas šiam interneto svetainių ir mobiliųjų programų turiniui:</w:t>
                </w:r>
              </w:p>
              <w:p>
                <w:pPr>
                  <w:jc w:val="both"/>
                  <w:rPr>
                    <w:bCs/>
                    <w:color w:val="000000"/>
                    <w:szCs w:val="24"/>
                  </w:rPr>
                </w:pPr>
                <w:r>
                  <w:rPr>
                    <w:bCs/>
                    <w:color w:val="000000"/>
                    <w:szCs w:val="24"/>
                  </w:rPr>
                  <w:t>1) iš anksto įrašytam apibrėžtos trukmės žiniasklaidos turiniui, paskelbtam iki šio įstatymo įsigaliojimo datos;</w:t>
                </w:r>
              </w:p>
              <w:p>
                <w:pPr>
                  <w:jc w:val="both"/>
                  <w:rPr>
                    <w:bCs/>
                    <w:color w:val="000000"/>
                    <w:szCs w:val="24"/>
                  </w:rPr>
                </w:pPr>
                <w:r>
                  <w:rPr>
                    <w:bCs/>
                    <w:color w:val="000000"/>
                    <w:szCs w:val="24"/>
                  </w:rPr>
                  <w:t>2) biuro programinės įrangos rinkmenų formatams, paskelbtiems iki šio įstatymo įsigaliojimo datos;</w:t>
                </w:r>
              </w:p>
              <w:p>
                <w:pPr>
                  <w:jc w:val="both"/>
                  <w:rPr>
                    <w:bCs/>
                    <w:color w:val="000000"/>
                    <w:szCs w:val="24"/>
                  </w:rPr>
                </w:pPr>
                <w:r>
                  <w:rPr>
                    <w:bCs/>
                    <w:color w:val="000000"/>
                    <w:szCs w:val="24"/>
                  </w:rPr>
                  <w:t>3) internetiniams žemėlapiams ir kartografavimo paslaugoms, jeigu žemėlapiuose, skirtuose navigacijai, esminė informacija pateikiama prieinamu skaitmeniniu būdu;</w:t>
                </w:r>
              </w:p>
              <w:p>
                <w:pPr>
                  <w:jc w:val="both"/>
                  <w:rPr>
                    <w:bCs/>
                    <w:color w:val="000000"/>
                    <w:szCs w:val="24"/>
                  </w:rPr>
                </w:pPr>
                <w:r>
                  <w:rPr>
                    <w:bCs/>
                    <w:color w:val="000000"/>
                    <w:szCs w:val="24"/>
                  </w:rPr>
                  <w:t>4) trečiosios šalies turiniui, kuris nėra nei finansuojamas, nei parengtas, nei kontroliuojamas atitinkamo ekonominės veiklos vykdytojo;</w:t>
                </w:r>
              </w:p>
              <w:p>
                <w:pPr>
                  <w:jc w:val="both"/>
                  <w:rPr>
                    <w:bCs/>
                    <w:color w:val="000000"/>
                    <w:szCs w:val="24"/>
                  </w:rPr>
                </w:pPr>
                <w:r>
                  <w:rPr>
                    <w:bCs/>
                    <w:color w:val="000000"/>
                    <w:szCs w:val="24"/>
                  </w:rPr>
                  <w:t>5) interneto svetainėms ir mobiliosioms programoms, kurios apibrėžiamos kaip archyvai, t. y. kurių turinys, įsigaliojus šiam įstatymui, nėra atnaujinamas arba redaguojamas.</w:t>
                </w:r>
              </w:p>
            </w:tc>
            <w:tc>
              <w:tcPr>
                <w:tcW w:w="1858" w:type="dxa"/>
              </w:tcPr>
              <w:p>
                <w:pPr>
                  <w:jc w:val="both"/>
                  <w:rPr>
                    <w:b/>
                    <w:bCs/>
                    <w:szCs w:val="24"/>
                  </w:rPr>
                </w:pPr>
                <w:r>
                  <w:rPr>
                    <w:b/>
                    <w:bCs/>
                    <w:szCs w:val="24"/>
                  </w:rPr>
                  <w:t>Visiškas</w:t>
                </w:r>
              </w:p>
            </w:tc>
          </w:tr>
          <w:tr>
            <w:trPr>
              <w:trHeight w:val="1975"/>
            </w:trPr>
            <w:tc>
              <w:tcPr>
                <w:tcW w:w="5264" w:type="dxa"/>
              </w:tcPr>
              <w:p>
                <w:pPr>
                  <w:jc w:val="both"/>
                  <w:rPr>
                    <w:b/>
                    <w:color w:val="000000"/>
                    <w:szCs w:val="24"/>
                  </w:rPr>
                </w:pPr>
                <w:r>
                  <w:rPr>
                    <w:b/>
                    <w:color w:val="000000"/>
                    <w:szCs w:val="24"/>
                  </w:rPr>
                  <w:t>3 straipsnis</w:t>
                </w:r>
              </w:p>
              <w:p>
                <w:pPr>
                  <w:jc w:val="both"/>
                  <w:rPr>
                    <w:b/>
                    <w:color w:val="000000"/>
                    <w:szCs w:val="24"/>
                  </w:rPr>
                </w:pPr>
                <w:r>
                  <w:rPr>
                    <w:b/>
                    <w:color w:val="000000"/>
                    <w:szCs w:val="24"/>
                  </w:rPr>
                  <w:t>Terminų apibrėžtys</w:t>
                </w:r>
              </w:p>
              <w:p>
                <w:pPr>
                  <w:jc w:val="both"/>
                  <w:rPr>
                    <w:color w:val="000000"/>
                    <w:szCs w:val="24"/>
                  </w:rPr>
                </w:pPr>
                <w:r>
                  <w:rPr>
                    <w:color w:val="000000"/>
                    <w:szCs w:val="24"/>
                  </w:rPr>
                  <w:t>Šioje direktyvoje vartojamų terminų apibrėžtys:</w:t>
                </w:r>
              </w:p>
              <w:p>
                <w:pPr>
                  <w:rPr>
                    <w:sz w:val="18"/>
                    <w:szCs w:val="18"/>
                  </w:rPr>
                </w:pPr>
              </w:p>
              <w:p>
                <w:pPr>
                  <w:jc w:val="both"/>
                  <w:rPr>
                    <w:color w:val="000000"/>
                    <w:szCs w:val="24"/>
                  </w:rPr>
                </w:pPr>
                <w:r>
                  <w:rPr>
                    <w:color w:val="000000"/>
                    <w:szCs w:val="24"/>
                  </w:rPr>
                  <w:t>1) neįgalieji – asmenys, turintys ilgalaikių fizinių, psichikos, intelekto ar jutimo sutrikimų, kurie drauge su kitomis įvairiomis kliūtimis gali trukdyti šiems asmenims visapusiškai ir veiksmingai dalyvauti visuomenėje lygiomis sąlygomis su kitais asmenimis;</w:t>
                </w:r>
              </w:p>
            </w:tc>
            <w:tc>
              <w:tcPr>
                <w:tcW w:w="7868" w:type="dxa"/>
              </w:tcPr>
              <w:p>
                <w:pPr>
                  <w:jc w:val="both"/>
                  <w:rPr>
                    <w:b/>
                    <w:color w:val="000000"/>
                    <w:szCs w:val="24"/>
                  </w:rPr>
                </w:pPr>
                <w:r>
                  <w:rPr>
                    <w:b/>
                    <w:color w:val="000000"/>
                    <w:szCs w:val="24"/>
                  </w:rPr>
                  <w:t>NSIĮ</w:t>
                </w:r>
              </w:p>
              <w:p>
                <w:pPr>
                  <w:jc w:val="both"/>
                  <w:rPr>
                    <w:b/>
                    <w:color w:val="000000"/>
                    <w:szCs w:val="24"/>
                  </w:rPr>
                </w:pPr>
              </w:p>
              <w:p>
                <w:pPr>
                  <w:jc w:val="both"/>
                  <w:rPr>
                    <w:b/>
                    <w:color w:val="000000"/>
                    <w:szCs w:val="24"/>
                  </w:rPr>
                </w:pPr>
                <w:r>
                  <w:rPr>
                    <w:b/>
                    <w:color w:val="000000"/>
                    <w:szCs w:val="24"/>
                  </w:rPr>
                  <w:t>2 straipsnis. Pagrindinės šio Įstatymo sąvokos</w:t>
                </w:r>
              </w:p>
              <w:p>
                <w:pPr>
                  <w:jc w:val="both"/>
                  <w:rPr>
                    <w:color w:val="000000"/>
                    <w:szCs w:val="24"/>
                  </w:rPr>
                </w:pPr>
                <w:r>
                  <w:rPr>
                    <w:color w:val="000000"/>
                    <w:szCs w:val="24"/>
                  </w:rPr>
                  <w:t>&lt;...&gt;</w:t>
                </w:r>
              </w:p>
              <w:p>
                <w:pPr>
                  <w:jc w:val="both"/>
                  <w:rPr>
                    <w:color w:val="000000"/>
                    <w:szCs w:val="24"/>
                  </w:rPr>
                </w:pPr>
                <w:r>
                  <w:rPr>
                    <w:color w:val="000000"/>
                    <w:szCs w:val="24"/>
                  </w:rPr>
                  <w:t>5. Darbingumo lygis – asmens pajėgumas įgyvendinti anksčiau įgytą profesinę kompetenciją ar įgyti naują profesinę kompetenciją arba atlikti mažesnės profesinės kompetencijos reikalaujančius darbus.</w:t>
                </w:r>
              </w:p>
              <w:p>
                <w:pPr>
                  <w:jc w:val="both"/>
                  <w:rPr>
                    <w:color w:val="000000"/>
                    <w:szCs w:val="24"/>
                  </w:rPr>
                </w:pPr>
                <w:r>
                  <w:rPr>
                    <w:color w:val="000000"/>
                    <w:szCs w:val="24"/>
                  </w:rPr>
                  <w:t xml:space="preserve">&lt;...&gt; </w:t>
                </w:r>
              </w:p>
              <w:p>
                <w:pPr>
                  <w:jc w:val="both"/>
                  <w:rPr>
                    <w:color w:val="000000"/>
                    <w:szCs w:val="24"/>
                  </w:rPr>
                </w:pPr>
                <w:r>
                  <w:rPr>
                    <w:color w:val="000000"/>
                    <w:szCs w:val="24"/>
                  </w:rPr>
                  <w:t>9. Neįgalumas – dėl asmens kūno sandaros ir funkcijų sutrikimo bei nepalankių aplinkos veiksnių sąveikos atsiradęs ilgalaikis sveikatos būklės pablogėjimas, dalyvavimo visuomenės gyvenime ir veiklos galimybių sumažėjimas.</w:t>
                </w:r>
              </w:p>
              <w:p>
                <w:pPr>
                  <w:jc w:val="both"/>
                  <w:rPr>
                    <w:color w:val="000000"/>
                    <w:szCs w:val="24"/>
                  </w:rPr>
                </w:pPr>
                <w:r>
                  <w:rPr>
                    <w:color w:val="000000"/>
                    <w:szCs w:val="24"/>
                  </w:rPr>
                  <w:t>10. Neįgalumo lygis – kompleksiškai įvertinus nustatytas asmens sveikatos būklės, savarankiškumo kasdienėje veikloje ir galimybių ugdytis netekimo mastas.</w:t>
                </w:r>
              </w:p>
              <w:p>
                <w:pPr>
                  <w:jc w:val="both"/>
                  <w:rPr>
                    <w:color w:val="000000"/>
                    <w:szCs w:val="24"/>
                  </w:rPr>
                </w:pPr>
                <w:r>
                  <w:rPr>
                    <w:color w:val="000000"/>
                    <w:szCs w:val="24"/>
                  </w:rPr>
                  <w:t>11. Neįgalusis – asmuo, kuriam šio Įstatymo nustatyta tvarka nustatytas neįgalumo lygis arba 55 procentų ir mažesnis darbingumo lygis, arba specialiųjų poreikių lygis.</w:t>
                </w:r>
              </w:p>
              <w:p>
                <w:pPr>
                  <w:jc w:val="both"/>
                  <w:rPr>
                    <w:color w:val="000000"/>
                    <w:szCs w:val="24"/>
                  </w:rPr>
                </w:pPr>
                <w:r>
                  <w:rPr>
                    <w:color w:val="000000"/>
                    <w:szCs w:val="24"/>
                  </w:rPr>
                  <w:t>&lt;...&gt;</w:t>
                </w:r>
              </w:p>
              <w:p>
                <w:pPr>
                  <w:jc w:val="both"/>
                  <w:rPr>
                    <w:color w:val="000000"/>
                    <w:szCs w:val="24"/>
                  </w:rPr>
                </w:pPr>
                <w:r>
                  <w:rPr>
                    <w:color w:val="000000"/>
                    <w:szCs w:val="24"/>
                  </w:rPr>
                  <w:t>13. Specialusis poreikis – specialiosios pagalbos reikmė, atsirandanti dėl asmens įgimtų ar įgytų ilgalaikių sveikatos sutrikimų (neįgalumo ar darbingumo netekimo) ir nepalankių aplinkos veiksnių.</w:t>
                </w:r>
              </w:p>
              <w:p>
                <w:pPr>
                  <w:jc w:val="both"/>
                  <w:rPr>
                    <w:color w:val="000000"/>
                    <w:szCs w:val="24"/>
                  </w:rPr>
                </w:pPr>
                <w:r>
                  <w:rPr>
                    <w:color w:val="000000"/>
                    <w:szCs w:val="24"/>
                  </w:rPr>
                  <w:t>&lt;...&gt;</w:t>
                </w:r>
              </w:p>
              <w:p>
                <w:pPr>
                  <w:jc w:val="both"/>
                  <w:rPr>
                    <w:color w:val="000000"/>
                    <w:szCs w:val="24"/>
                  </w:rPr>
                </w:pPr>
                <w:r>
                  <w:rPr>
                    <w:color w:val="000000"/>
                    <w:szCs w:val="24"/>
                  </w:rPr>
                  <w:t>15. Specialiųjų poreikių lygis – asmens, sukakusio senatvės pensijos amžių, savarankiškumo netekimo mastas, nustatomas atsižvelgiant į asmens specialiuosius poreikius.</w:t>
                </w:r>
              </w:p>
              <w:p>
                <w:pPr>
                  <w:jc w:val="both"/>
                  <w:rPr>
                    <w:b/>
                    <w:bCs/>
                    <w:szCs w:val="24"/>
                  </w:rPr>
                </w:pPr>
              </w:p>
            </w:tc>
            <w:tc>
              <w:tcPr>
                <w:tcW w:w="1858" w:type="dxa"/>
              </w:tcPr>
              <w:p>
                <w:pPr>
                  <w:jc w:val="both"/>
                  <w:rPr>
                    <w:b/>
                    <w:bCs/>
                    <w:szCs w:val="24"/>
                  </w:rPr>
                </w:pPr>
                <w:r>
                  <w:rPr>
                    <w:b/>
                    <w:bCs/>
                    <w:color w:val="000000"/>
                    <w:szCs w:val="24"/>
                  </w:rPr>
                  <w:t>Visiškas</w:t>
                </w:r>
              </w:p>
            </w:tc>
          </w:tr>
          <w:tr>
            <w:trPr>
              <w:trHeight w:val="64"/>
            </w:trPr>
            <w:tc>
              <w:tcPr>
                <w:tcW w:w="5264" w:type="dxa"/>
              </w:tcPr>
              <w:p>
                <w:pPr>
                  <w:jc w:val="both"/>
                  <w:rPr>
                    <w:bCs/>
                    <w:color w:val="000000"/>
                    <w:szCs w:val="24"/>
                  </w:rPr>
                </w:pPr>
                <w:r>
                  <w:rPr>
                    <w:bCs/>
                    <w:color w:val="000000"/>
                    <w:szCs w:val="24"/>
                  </w:rPr>
                  <w:t>2) gaminys – gamybos proceso metu pagaminta medžiaga, preparatas ar prekė, išskyrus maistą, pašarus, gyvus augalus ir gyvūnus, žmogaus kilmės gaminius bei augalinės ir gyvūninės kilmės gaminius, tiesiogiai susijusius su jų būsima reprodukcija;</w:t>
                </w:r>
              </w:p>
            </w:tc>
            <w:tc>
              <w:tcPr>
                <w:tcW w:w="7868" w:type="dxa"/>
              </w:tcPr>
              <w:p>
                <w:pPr>
                  <w:jc w:val="both"/>
                  <w:rPr>
                    <w:bCs/>
                    <w:szCs w:val="24"/>
                  </w:rPr>
                </w:pPr>
                <w:r>
                  <w:rPr>
                    <w:b/>
                    <w:szCs w:val="24"/>
                  </w:rPr>
                  <w:t>Projektas</w:t>
                </w:r>
              </w:p>
              <w:p>
                <w:pPr>
                  <w:jc w:val="both"/>
                  <w:rPr>
                    <w:b/>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7. </w:t>
                </w:r>
                <w:r>
                  <w:rPr>
                    <w:b/>
                    <w:color w:val="000000"/>
                    <w:szCs w:val="24"/>
                  </w:rPr>
                  <w:t xml:space="preserve">Gaminys </w:t>
                </w:r>
                <w:r>
                  <w:rPr>
                    <w:bCs/>
                    <w:color w:val="000000"/>
                    <w:szCs w:val="24"/>
                  </w:rPr>
                  <w:t>– gamybos proceso metu pagaminta medžiaga, preparatas ar prekė, išskyrus maistą, pašarus, gyvus augalus ir gyvūnus, žmogaus kilmės gaminius bei augalinės ir gyvūninės kilmės gaminius, tiesiogiai susijusius su jų būsima reprodukcija.</w:t>
                </w:r>
              </w:p>
            </w:tc>
            <w:tc>
              <w:tcPr>
                <w:tcW w:w="1858" w:type="dxa"/>
              </w:tcPr>
              <w:p>
                <w:pPr>
                  <w:jc w:val="both"/>
                  <w:rPr>
                    <w:b/>
                    <w:bCs/>
                    <w:color w:val="000000"/>
                    <w:szCs w:val="24"/>
                  </w:rPr>
                </w:pPr>
                <w:r>
                  <w:rPr>
                    <w:b/>
                    <w:bCs/>
                    <w:color w:val="000000"/>
                    <w:szCs w:val="24"/>
                  </w:rPr>
                  <w:t>Visiškas</w:t>
                </w:r>
              </w:p>
            </w:tc>
          </w:tr>
          <w:tr>
            <w:trPr>
              <w:trHeight w:val="2409"/>
            </w:trPr>
            <w:tc>
              <w:tcPr>
                <w:tcW w:w="5264" w:type="dxa"/>
              </w:tcPr>
              <w:p>
                <w:pPr>
                  <w:jc w:val="both"/>
                  <w:rPr>
                    <w:bCs/>
                    <w:color w:val="000000"/>
                    <w:szCs w:val="24"/>
                  </w:rPr>
                </w:pPr>
                <w:r>
                  <w:rPr>
                    <w:bCs/>
                    <w:color w:val="000000"/>
                    <w:szCs w:val="24"/>
                  </w:rPr>
                  <w:t>3) paslauga – paslauga, kaip apibrėžta Europos Parlamento ir Tarybos direktyvos 2006/123/EB 4 straipsnio 1 punkte;</w:t>
                </w:r>
              </w:p>
            </w:tc>
            <w:tc>
              <w:tcPr>
                <w:tcW w:w="7868" w:type="dxa"/>
              </w:tcPr>
              <w:p>
                <w:pPr>
                  <w:jc w:val="both"/>
                  <w:rPr>
                    <w:b/>
                    <w:color w:val="000000"/>
                    <w:szCs w:val="24"/>
                  </w:rPr>
                </w:pPr>
                <w:r>
                  <w:rPr>
                    <w:b/>
                    <w:color w:val="000000"/>
                    <w:szCs w:val="24"/>
                  </w:rPr>
                  <w:t>PĮ</w:t>
                </w:r>
              </w:p>
              <w:p>
                <w:pPr>
                  <w:jc w:val="both"/>
                  <w:rPr>
                    <w:b/>
                    <w:color w:val="000000"/>
                    <w:szCs w:val="24"/>
                  </w:rPr>
                </w:pPr>
              </w:p>
              <w:p>
                <w:pPr>
                  <w:jc w:val="both"/>
                  <w:rPr>
                    <w:b/>
                    <w:color w:val="000000"/>
                    <w:szCs w:val="24"/>
                  </w:rPr>
                </w:pPr>
                <w:r>
                  <w:rPr>
                    <w:b/>
                    <w:color w:val="000000"/>
                    <w:szCs w:val="24"/>
                  </w:rPr>
                  <w:t>2 straipsnis. Pagrindinės šio įstatymo sąvokos</w:t>
                </w:r>
              </w:p>
              <w:p>
                <w:pPr>
                  <w:jc w:val="both"/>
                  <w:rPr>
                    <w:color w:val="000000"/>
                    <w:szCs w:val="24"/>
                  </w:rPr>
                </w:pPr>
                <w:r>
                  <w:rPr>
                    <w:color w:val="000000"/>
                    <w:szCs w:val="24"/>
                  </w:rPr>
                  <w:t>&lt;...&gt;</w:t>
                </w:r>
              </w:p>
              <w:p>
                <w:pPr>
                  <w:jc w:val="both"/>
                  <w:rPr>
                    <w:color w:val="000000"/>
                    <w:szCs w:val="24"/>
                  </w:rPr>
                </w:pPr>
                <w:r>
                  <w:rPr>
                    <w:color w:val="000000"/>
                    <w:szCs w:val="24"/>
                  </w:rPr>
                  <w:t xml:space="preserve">10. </w:t>
                </w:r>
                <w:r>
                  <w:rPr>
                    <w:b/>
                    <w:bCs/>
                    <w:color w:val="000000"/>
                    <w:szCs w:val="24"/>
                  </w:rPr>
                  <w:t>Paslauga</w:t>
                </w:r>
                <w:r>
                  <w:rPr>
                    <w:color w:val="000000"/>
                    <w:szCs w:val="24"/>
                  </w:rPr>
                  <w:t xml:space="preserve"> – bet kokia savarankiška, paprastai už užmokestį atliekama ūkinė komercinė veikla, kurios nereglamentuoja nuostatos dėl prekių, kapitalo ar asmenų judėjimo laisvės, kaip nurodyta Europos bendrijos steigimo sutarties 50 straipsnyje.</w:t>
                </w:r>
              </w:p>
              <w:p>
                <w:pPr>
                  <w:jc w:val="both"/>
                  <w:rPr>
                    <w:color w:val="000000"/>
                    <w:szCs w:val="24"/>
                  </w:rPr>
                </w:pPr>
              </w:p>
            </w:tc>
            <w:tc>
              <w:tcPr>
                <w:tcW w:w="1858" w:type="dxa"/>
              </w:tcPr>
              <w:p>
                <w:pPr>
                  <w:jc w:val="both"/>
                  <w:rPr>
                    <w:b/>
                    <w:bCs/>
                    <w:color w:val="000000"/>
                    <w:szCs w:val="24"/>
                  </w:rPr>
                </w:pPr>
                <w:r>
                  <w:rPr>
                    <w:b/>
                    <w:bCs/>
                    <w:color w:val="000000"/>
                    <w:szCs w:val="24"/>
                  </w:rPr>
                  <w:t>Visiškas</w:t>
                </w:r>
              </w:p>
            </w:tc>
          </w:tr>
          <w:tr>
            <w:trPr>
              <w:trHeight w:val="274"/>
            </w:trPr>
            <w:tc>
              <w:tcPr>
                <w:tcW w:w="5264" w:type="dxa"/>
              </w:tcPr>
              <w:p>
                <w:pPr>
                  <w:jc w:val="both"/>
                  <w:rPr>
                    <w:b/>
                    <w:color w:val="000000"/>
                    <w:szCs w:val="24"/>
                  </w:rPr>
                </w:pPr>
                <w:r>
                  <w:rPr>
                    <w:color w:val="000000"/>
                    <w:szCs w:val="24"/>
                  </w:rPr>
                  <w:t>4) paslaugų teikėjas – fizinis ar juridinis asmuo, kuris teikia paslaugą Sąjungos rinkoje arba siūlo teikti tokią paslaugą vartotojams Sąjungoje;</w:t>
                </w:r>
              </w:p>
            </w:tc>
            <w:tc>
              <w:tcPr>
                <w:tcW w:w="7868" w:type="dxa"/>
              </w:tcPr>
              <w:p>
                <w:pPr>
                  <w:jc w:val="both"/>
                  <w:rPr>
                    <w:b/>
                    <w:color w:val="000000"/>
                    <w:szCs w:val="24"/>
                  </w:rPr>
                </w:pPr>
                <w:r>
                  <w:rPr>
                    <w:b/>
                    <w:color w:val="000000"/>
                    <w:szCs w:val="24"/>
                  </w:rPr>
                  <w:t>PĮ</w:t>
                </w:r>
              </w:p>
              <w:p>
                <w:pPr>
                  <w:jc w:val="both"/>
                  <w:rPr>
                    <w:b/>
                    <w:color w:val="000000"/>
                    <w:szCs w:val="24"/>
                  </w:rPr>
                </w:pPr>
              </w:p>
              <w:p>
                <w:pPr>
                  <w:jc w:val="both"/>
                  <w:rPr>
                    <w:b/>
                    <w:color w:val="000000"/>
                    <w:szCs w:val="24"/>
                  </w:rPr>
                </w:pPr>
                <w:r>
                  <w:rPr>
                    <w:b/>
                    <w:color w:val="000000"/>
                    <w:szCs w:val="24"/>
                  </w:rPr>
                  <w:t>2 straipsnis. Pagrindinės šio įstatymo sąvokos</w:t>
                </w:r>
              </w:p>
              <w:p>
                <w:pPr>
                  <w:jc w:val="both"/>
                  <w:rPr>
                    <w:color w:val="000000"/>
                    <w:szCs w:val="24"/>
                  </w:rPr>
                </w:pPr>
                <w:r>
                  <w:rPr>
                    <w:color w:val="000000"/>
                    <w:szCs w:val="24"/>
                  </w:rPr>
                  <w:t>&lt;...&gt;</w:t>
                </w:r>
              </w:p>
              <w:p>
                <w:pPr>
                  <w:jc w:val="both"/>
                  <w:rPr>
                    <w:color w:val="000000"/>
                    <w:szCs w:val="24"/>
                  </w:rPr>
                </w:pPr>
                <w:r>
                  <w:rPr>
                    <w:color w:val="000000"/>
                    <w:szCs w:val="24"/>
                  </w:rPr>
                  <w:t xml:space="preserve">9. </w:t>
                </w:r>
                <w:r>
                  <w:rPr>
                    <w:b/>
                    <w:bCs/>
                    <w:color w:val="000000"/>
                    <w:szCs w:val="24"/>
                  </w:rPr>
                  <w:t>Lietuvos Respublikos teikėjas</w:t>
                </w:r>
                <w:r>
                  <w:rPr>
                    <w:color w:val="000000"/>
                    <w:szCs w:val="24"/>
                  </w:rPr>
                  <w:t xml:space="preserve"> – siūlantis arba teikiantis paslaugą valstybės narės pilietis, kitas fizinis asmuo, kuris naudojasi Europos Sąjungos teisės aktuose jam suteiktomis judėjimo valstybėse narėse teisėmis, turintys teisę gyventi Lietuvos Respublikoje, arba Lietuvos Respublikoje įsteigtas juridinis asmuo ar jo padalinys, taip pat valstybės narės juridinio asmens ar kitos organizacijos padalinys ar dukterinė bendrovė, įsteigti Lietuvos Respublikoje.</w:t>
                </w:r>
              </w:p>
              <w:p>
                <w:pPr>
                  <w:jc w:val="both"/>
                  <w:rPr>
                    <w:color w:val="000000"/>
                    <w:szCs w:val="24"/>
                  </w:rPr>
                </w:pPr>
                <w:r>
                  <w:rPr>
                    <w:color w:val="000000"/>
                    <w:szCs w:val="24"/>
                  </w:rPr>
                  <w:t>&lt;...&gt;</w:t>
                </w:r>
              </w:p>
              <w:p>
                <w:pPr>
                  <w:jc w:val="both"/>
                  <w:rPr>
                    <w:color w:val="000000"/>
                    <w:szCs w:val="24"/>
                  </w:rPr>
                </w:pPr>
                <w:r>
                  <w:rPr>
                    <w:color w:val="000000"/>
                    <w:szCs w:val="24"/>
                  </w:rPr>
                  <w:t>14. </w:t>
                </w:r>
                <w:r>
                  <w:rPr>
                    <w:b/>
                    <w:bCs/>
                    <w:color w:val="000000"/>
                    <w:szCs w:val="24"/>
                  </w:rPr>
                  <w:t>Teikėjas </w:t>
                </w:r>
                <w:r>
                  <w:rPr>
                    <w:color w:val="000000"/>
                    <w:szCs w:val="24"/>
                  </w:rPr>
                  <w:t>– Lietuvos Respublikos teikėjas ar valstybės narės teikėjas.</w:t>
                </w:r>
              </w:p>
              <w:p>
                <w:pPr>
                  <w:jc w:val="both"/>
                  <w:rPr>
                    <w:color w:val="000000"/>
                    <w:szCs w:val="24"/>
                  </w:rPr>
                </w:pPr>
                <w:r>
                  <w:rPr>
                    <w:color w:val="000000"/>
                    <w:szCs w:val="24"/>
                  </w:rPr>
                  <w:t xml:space="preserve">&lt;...&gt; </w:t>
                </w:r>
              </w:p>
              <w:p>
                <w:pPr>
                  <w:jc w:val="both"/>
                  <w:rPr>
                    <w:color w:val="000000"/>
                    <w:szCs w:val="24"/>
                  </w:rPr>
                </w:pPr>
                <w:r>
                  <w:rPr>
                    <w:color w:val="000000"/>
                    <w:szCs w:val="24"/>
                  </w:rPr>
                  <w:t xml:space="preserve">18. </w:t>
                </w:r>
                <w:r>
                  <w:rPr>
                    <w:b/>
                    <w:bCs/>
                    <w:color w:val="000000"/>
                    <w:szCs w:val="24"/>
                  </w:rPr>
                  <w:t>Valstybės narės teikėjas</w:t>
                </w:r>
                <w:r>
                  <w:rPr>
                    <w:color w:val="000000"/>
                    <w:szCs w:val="24"/>
                  </w:rPr>
                  <w:t xml:space="preserve"> – siūlantis arba teikiantis paslaugą valstybės narės pilietis, kitas fizinis asmuo, kuris naudojasi Europos Sąjungos teisės aktuose jam suteiktomis judėjimo valstybėse narėse teisėmis, arba valstybėje narėje įsteigtas juridinis asmuo, arba kita organizacija ar jų padaliniai.</w:t>
                </w:r>
              </w:p>
              <w:p>
                <w:pPr>
                  <w:jc w:val="both"/>
                  <w:rPr>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b/>
                    <w:color w:val="000000"/>
                    <w:szCs w:val="24"/>
                  </w:rPr>
                </w:pPr>
                <w:r>
                  <w:rPr>
                    <w:color w:val="000000"/>
                    <w:szCs w:val="24"/>
                  </w:rPr>
                  <w:t>5) audiovizualinės žiniasklaidos paslaugos – paslaugos, kaip apibrėžta Direktyvos 2010/13/ES 1 straipsnio 1 dalies a punkte;</w:t>
                </w:r>
              </w:p>
            </w:tc>
            <w:tc>
              <w:tcPr>
                <w:tcW w:w="7868" w:type="dxa"/>
              </w:tcPr>
              <w:p>
                <w:pPr>
                  <w:jc w:val="both"/>
                  <w:rPr>
                    <w:b/>
                    <w:color w:val="000000"/>
                    <w:szCs w:val="24"/>
                  </w:rPr>
                </w:pPr>
                <w:r>
                  <w:rPr>
                    <w:b/>
                    <w:color w:val="000000"/>
                    <w:szCs w:val="24"/>
                  </w:rPr>
                  <w:t>VIĮ</w:t>
                </w:r>
              </w:p>
              <w:p>
                <w:pPr>
                  <w:jc w:val="both"/>
                  <w:rPr>
                    <w:b/>
                    <w:color w:val="000000"/>
                    <w:szCs w:val="24"/>
                  </w:rPr>
                </w:pPr>
              </w:p>
              <w:p>
                <w:pPr>
                  <w:jc w:val="both"/>
                  <w:rPr>
                    <w:b/>
                    <w:color w:val="000000"/>
                    <w:szCs w:val="24"/>
                  </w:rPr>
                </w:pPr>
                <w:r>
                  <w:rPr>
                    <w:b/>
                    <w:color w:val="000000"/>
                    <w:szCs w:val="24"/>
                  </w:rPr>
                  <w:t>2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10.</w:t>
                </w:r>
                <w:r>
                  <w:rPr>
                    <w:b/>
                    <w:color w:val="000000"/>
                    <w:szCs w:val="24"/>
                  </w:rPr>
                  <w:t xml:space="preserve"> Audiovizualinės žiniasklaidos paslauga </w:t>
                </w:r>
                <w:r>
                  <w:rPr>
                    <w:bCs/>
                    <w:color w:val="000000"/>
                    <w:szCs w:val="24"/>
                  </w:rPr>
                  <w:t>– televizijos programų transliavimas, užsakomoji audiovizualinės žiniasklaidos paslauga, komercinių audiovizualinių pranešimų skelbimo paslauga, kai tokių paslaugų ar nuo jų atsiejamos dalies pagrindinis tikslas elektroninių ryšių tinklais visuomenei teikti (perduoti) programas informavimo, pramogų ar švietimo tikslais ir už kurias redakcinė atsakomybė tenka šių paslaugų teikėjui, vykdančiam ūkinę komercinę veiklą.</w:t>
                </w:r>
              </w:p>
              <w:p>
                <w:pPr>
                  <w:jc w:val="both"/>
                  <w:rPr>
                    <w:b/>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Cs/>
                    <w:color w:val="000000"/>
                    <w:szCs w:val="24"/>
                  </w:rPr>
                </w:pPr>
                <w:r>
                  <w:rPr>
                    <w:bCs/>
                    <w:color w:val="000000"/>
                    <w:szCs w:val="24"/>
                  </w:rPr>
                  <w:t>6) paslaugos, kuriomis suteikiama prieiga prie audiovizualinės žiniasklaidos paslaugų – elektroninių ryšių tinklais perduodamos paslaugos, kuriomis naudojamasi siekiant identifikuoti, pasirinkti, peržiūrėti audiovizualinės žiniasklaidos paslaugas ir visas teikiamas funkcijas, kaip antai subtitrus kurtiesiems ir klausos sutrikimų turintiems asmenims, garso komentarus, įgarsintus subtitrus ir vertimą į gestų kalbą, sukuriamas įgyvendinant priemones, kuriomis siekiama užtikrinti paslaugų prieinamumą, kaip nurodyta Direktyvos 2010/13/ES 7 straipsnyje, ir gauti apie jas informaciją; ir apima elektroninius programų vadovus (EPV);</w:t>
                </w:r>
              </w:p>
            </w:tc>
            <w:tc>
              <w:tcPr>
                <w:tcW w:w="7868" w:type="dxa"/>
              </w:tcPr>
              <w:p>
                <w:pPr>
                  <w:jc w:val="both"/>
                  <w:rPr>
                    <w:b/>
                    <w:bCs/>
                    <w:iCs/>
                    <w:color w:val="000000"/>
                    <w:szCs w:val="24"/>
                  </w:rPr>
                </w:pPr>
                <w:r>
                  <w:rPr>
                    <w:b/>
                    <w:bCs/>
                    <w:iCs/>
                    <w:color w:val="000000"/>
                    <w:szCs w:val="24"/>
                  </w:rPr>
                  <w:t>Projektas</w:t>
                </w:r>
              </w:p>
              <w:p>
                <w:pPr>
                  <w:ind w:firstLine="708"/>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1. </w:t>
                </w:r>
                <w:r>
                  <w:rPr>
                    <w:b/>
                    <w:bCs/>
                    <w:color w:val="000000"/>
                    <w:szCs w:val="24"/>
                  </w:rPr>
                  <w:t xml:space="preserve">Audiovizualinės žiniasklaidos paslaugų prieigos paslaugos </w:t>
                </w:r>
                <w:r>
                  <w:rPr>
                    <w:bCs/>
                    <w:color w:val="000000"/>
                    <w:szCs w:val="24"/>
                  </w:rPr>
                  <w:t>– paslaugos, teikiamos elektroninių ryšių tinklais, kuriomis naudojamasi siekiant identifikuoti, pasirinkti, peržiūrėti audiovizualinės žiniasklaidos paslaugas ir naudotis visomis teikiamomis funkcijomis, kaip antai subtitrais kurtiesiems ir klausos sutrikimų turintiems asmenims, garsiniu vaizdavimu, įgarsintais subtitrais ir vertimu į gestų kalbą, sukuriamais įgyvendinant priemones, kuriomis siekiama užtikrinti paslaugų prieinamumą, kaip tai numatyta Lietuvos Respublikos visuomenės informavimo įstatymo 34 straipsnyje, ir gauti apie jas informaciją, įskaitant ir elektroninius programų vadovus.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Cs/>
                    <w:color w:val="000000"/>
                    <w:szCs w:val="24"/>
                  </w:rPr>
                </w:pPr>
                <w:r>
                  <w:rPr>
                    <w:bCs/>
                    <w:color w:val="000000"/>
                    <w:szCs w:val="24"/>
                  </w:rPr>
                  <w:t>7) vartotojų galinis įrenginys su interaktyviais kompiuteriniais pajėgumais, naudojamas prieigai prie audiovizualinės žiniasklaidos paslaugų – įrenginys, kurio pagrindinė paskirtis yra suteikti prieigą prie audiovizualinės žiniasklaidos paslaugų;</w:t>
                </w:r>
              </w:p>
            </w:tc>
            <w:tc>
              <w:tcPr>
                <w:tcW w:w="7868" w:type="dxa"/>
              </w:tcPr>
              <w:p>
                <w:pPr>
                  <w:jc w:val="both"/>
                  <w:rPr>
                    <w:b/>
                    <w:bCs/>
                    <w:iCs/>
                    <w:color w:val="000000"/>
                    <w:szCs w:val="24"/>
                  </w:rPr>
                </w:pPr>
                <w:r>
                  <w:rPr>
                    <w:b/>
                    <w:bCs/>
                    <w:iCs/>
                    <w:color w:val="000000"/>
                    <w:szCs w:val="24"/>
                  </w:rPr>
                  <w:t>Projektas</w:t>
                </w:r>
              </w:p>
              <w:p>
                <w:pPr>
                  <w:ind w:firstLine="708"/>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18. </w:t>
                </w:r>
                <w:r>
                  <w:rPr>
                    <w:b/>
                    <w:color w:val="000000"/>
                    <w:szCs w:val="24"/>
                  </w:rPr>
                  <w:t xml:space="preserve">Vartotojų prieigos prie audiovizualinės žiniasklaidos paslaugų interaktyvusis įrenginys </w:t>
                </w:r>
                <w:r>
                  <w:rPr>
                    <w:bCs/>
                    <w:color w:val="000000"/>
                    <w:szCs w:val="24"/>
                  </w:rPr>
                  <w:t>– įrenginys, kurio pagrindinė paskirtis yra suteikti vartotojui prieigą prie audiovizualinės žiniasklaidos paslaugų.</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Cs/>
                    <w:color w:val="000000"/>
                    <w:szCs w:val="24"/>
                  </w:rPr>
                </w:pPr>
                <w:r>
                  <w:rPr>
                    <w:bCs/>
                    <w:color w:val="000000"/>
                    <w:szCs w:val="24"/>
                  </w:rPr>
                  <w:t>8) elektroninių ryšių paslauga – elektroninių ryšių paslauga, kaip apibrėžta Direktyvos (ES) 2018/1972 2 straipsnio 4 punkte;</w:t>
                </w:r>
              </w:p>
            </w:tc>
            <w:tc>
              <w:tcPr>
                <w:tcW w:w="7868" w:type="dxa"/>
              </w:tcPr>
              <w:p>
                <w:pPr>
                  <w:jc w:val="both"/>
                  <w:rPr>
                    <w:b/>
                    <w:color w:val="000000"/>
                    <w:szCs w:val="24"/>
                  </w:rPr>
                </w:pPr>
                <w:r>
                  <w:rPr>
                    <w:b/>
                    <w:color w:val="000000"/>
                    <w:szCs w:val="24"/>
                  </w:rPr>
                  <w:t>ERĮ</w:t>
                </w:r>
              </w:p>
              <w:p>
                <w:pPr>
                  <w:jc w:val="both"/>
                  <w:rPr>
                    <w:b/>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17. </w:t>
                </w:r>
                <w:r>
                  <w:rPr>
                    <w:b/>
                    <w:color w:val="000000"/>
                    <w:szCs w:val="24"/>
                  </w:rPr>
                  <w:t>Elektroninių ryšių paslauga</w:t>
                </w:r>
                <w:r>
                  <w:rPr>
                    <w:bCs/>
                    <w:color w:val="000000"/>
                    <w:szCs w:val="24"/>
                  </w:rPr>
                  <w:t xml:space="preserve"> – elektroninių ryšių tinklais paprastai už atlygį teikiama paslauga: interneto prieigos paslauga, kaip ji apibrėžiama 2015 m. lapkričio 25 d. Europos Parlamento ir Tarybos reglamente (ES) 2015/2120, kuriuo nustatomos priemonės, susijusios su atvira interneto prieiga ir mažmeninėmis reguliuojamų ryšio paslaugų ES viduje kainomis, ir kuriuo iš dalies keičiami Direktyva 2002/22/EB ir Reglamentas (ES) Nr. 531/2012, asmenų tarpusavio ryšio paslauga ir paslauga, kurią visiškai ar daugiausia sudaro signalų perdavimas, kaip antai perdavimo (siuntimo) paslauga, naudojamas įrenginių tarpusavio sąveikos paslaugai teikti ar transliavimui (retransliavimui). Elektroninių ryšių paslauga neapima elektroninių ryšių tinklais ar naudojant elektroninių ryšių paslaugą perduodamos informacijos turinio teikimo ar redakcinės turinio kontrolės paslaugos. </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shd w:val="clear" w:color="auto" w:fill="auto"/>
              </w:tcPr>
              <w:p>
                <w:pPr>
                  <w:jc w:val="both"/>
                  <w:rPr>
                    <w:bCs/>
                    <w:color w:val="000000"/>
                    <w:szCs w:val="24"/>
                  </w:rPr>
                </w:pPr>
                <w:r>
                  <w:rPr>
                    <w:bCs/>
                    <w:color w:val="000000"/>
                    <w:szCs w:val="24"/>
                  </w:rPr>
                  <w:t>9) įvairiapusio ryšio realiuoju laiku paslauga – įvairiapusio ryšio realiuoju laiku paslauga, kaip apibrėžta Direktyvos (ES) 2018/1972 2 straipsnio 35 punkte;</w:t>
                </w:r>
              </w:p>
            </w:tc>
            <w:tc>
              <w:tcPr>
                <w:tcW w:w="7868" w:type="dxa"/>
                <w:shd w:val="clear" w:color="auto" w:fill="auto"/>
              </w:tcPr>
              <w:p>
                <w:pPr>
                  <w:jc w:val="both"/>
                  <w:rPr>
                    <w:b/>
                    <w:color w:val="000000"/>
                    <w:szCs w:val="24"/>
                  </w:rPr>
                </w:pPr>
                <w:r>
                  <w:rPr>
                    <w:b/>
                    <w:color w:val="000000"/>
                    <w:szCs w:val="24"/>
                  </w:rPr>
                  <w:t>ERĮ</w:t>
                </w:r>
              </w:p>
              <w:p>
                <w:pPr>
                  <w:jc w:val="both"/>
                  <w:rPr>
                    <w:b/>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color w:val="000000"/>
                    <w:szCs w:val="24"/>
                  </w:rPr>
                </w:pPr>
                <w:r>
                  <w:rPr>
                    <w:color w:val="000000"/>
                    <w:szCs w:val="24"/>
                  </w:rPr>
                  <w:t>34. </w:t>
                </w:r>
                <w:r>
                  <w:rPr>
                    <w:b/>
                    <w:bCs/>
                    <w:color w:val="000000"/>
                    <w:szCs w:val="24"/>
                  </w:rPr>
                  <w:t>Įvairiapusio ryšio realiuoju laiku paslauga</w:t>
                </w:r>
                <w:r>
                  <w:rPr>
                    <w:color w:val="000000"/>
                    <w:szCs w:val="24"/>
                  </w:rPr>
                  <w:t> – multimedijos pokalbių paslauga, kuri užtikrina dvikryptį vienalaikį dviejose ar daugiau vietų esančių viešųjų elektroninių ryšių paslaugų gavėjų gyvo vaizdo, teksto ir balso perdavimą realiuoju laiku.</w:t>
                </w:r>
              </w:p>
              <w:p>
                <w:pPr>
                  <w:jc w:val="both"/>
                  <w:rPr>
                    <w:b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408"/>
            </w:trPr>
            <w:tc>
              <w:tcPr>
                <w:tcW w:w="5264" w:type="dxa"/>
                <w:shd w:val="clear" w:color="auto" w:fill="auto"/>
              </w:tcPr>
              <w:p>
                <w:pPr>
                  <w:jc w:val="both"/>
                  <w:rPr>
                    <w:b/>
                    <w:color w:val="000000"/>
                    <w:szCs w:val="24"/>
                  </w:rPr>
                </w:pPr>
                <w:r>
                  <w:rPr>
                    <w:color w:val="000000"/>
                    <w:szCs w:val="24"/>
                  </w:rPr>
                  <w:t>10) bendrasis pagalbos centras arba BPC – bendrasis pagalbos centras arba BPC, kaip apibrėžta Direktyvos (ES) 2018/1972 2 straipsnio 36 punkte;</w:t>
                </w:r>
              </w:p>
            </w:tc>
            <w:tc>
              <w:tcPr>
                <w:tcW w:w="7868" w:type="dxa"/>
                <w:shd w:val="clear" w:color="auto" w:fill="auto"/>
              </w:tcPr>
              <w:p>
                <w:pPr>
                  <w:jc w:val="both"/>
                  <w:rPr>
                    <w:b/>
                    <w:color w:val="000000"/>
                    <w:szCs w:val="24"/>
                  </w:rPr>
                </w:pPr>
                <w:r>
                  <w:rPr>
                    <w:b/>
                    <w:color w:val="000000"/>
                    <w:szCs w:val="24"/>
                  </w:rPr>
                  <w:t>BPCĮ</w:t>
                </w:r>
              </w:p>
              <w:p>
                <w:pPr>
                  <w:jc w:val="both"/>
                  <w:rPr>
                    <w:b/>
                    <w:color w:val="000000"/>
                    <w:szCs w:val="24"/>
                  </w:rPr>
                </w:pPr>
              </w:p>
              <w:p>
                <w:pPr>
                  <w:jc w:val="both"/>
                  <w:rPr>
                    <w:b/>
                    <w:color w:val="000000"/>
                    <w:szCs w:val="24"/>
                  </w:rPr>
                </w:pPr>
                <w:r>
                  <w:rPr>
                    <w:b/>
                    <w:color w:val="000000"/>
                    <w:szCs w:val="24"/>
                  </w:rPr>
                  <w:t>3 straipsnis. Centro* teisinė forma, steigimo ir veiklos teisiniai pagrindai</w:t>
                </w:r>
              </w:p>
              <w:p>
                <w:pPr>
                  <w:jc w:val="both"/>
                  <w:rPr>
                    <w:bCs/>
                    <w:color w:val="000000"/>
                    <w:szCs w:val="24"/>
                  </w:rPr>
                </w:pPr>
                <w:r>
                  <w:rPr>
                    <w:bCs/>
                    <w:color w:val="000000"/>
                    <w:szCs w:val="24"/>
                  </w:rPr>
                  <w:t>1. Centras yra Priešgaisrinės apsaugos ir gelbėjimo departamentui prie Vidaus reikalų ministerijos pavaldi biudžetinė įstaiga.</w:t>
                </w:r>
              </w:p>
              <w:p>
                <w:pPr>
                  <w:jc w:val="both"/>
                  <w:rPr>
                    <w:bCs/>
                    <w:color w:val="000000"/>
                    <w:szCs w:val="24"/>
                  </w:rPr>
                </w:pPr>
              </w:p>
              <w:p>
                <w:pPr>
                  <w:jc w:val="both"/>
                  <w:rPr>
                    <w:b/>
                    <w:color w:val="000000"/>
                    <w:szCs w:val="24"/>
                  </w:rPr>
                </w:pPr>
                <w:r>
                  <w:rPr>
                    <w:b/>
                    <w:color w:val="000000"/>
                    <w:szCs w:val="24"/>
                  </w:rPr>
                  <w:t>9 straipsnis. Centro uždaviniai</w:t>
                </w:r>
              </w:p>
              <w:p>
                <w:pPr>
                  <w:jc w:val="both"/>
                  <w:rPr>
                    <w:bCs/>
                    <w:color w:val="000000"/>
                    <w:szCs w:val="24"/>
                  </w:rPr>
                </w:pPr>
                <w:r>
                  <w:rPr>
                    <w:bCs/>
                    <w:color w:val="000000"/>
                    <w:szCs w:val="24"/>
                  </w:rPr>
                  <w:t>1. Pagrindinis Centro uždavinys yra užtikrinti atsakymą į pagalbos skambučius ir reagavimą į pagalbos prašymus.</w:t>
                </w:r>
              </w:p>
              <w:p>
                <w:pPr>
                  <w:jc w:val="both"/>
                  <w:rPr>
                    <w:bCs/>
                    <w:color w:val="000000"/>
                    <w:szCs w:val="24"/>
                  </w:rPr>
                </w:pPr>
              </w:p>
              <w:p>
                <w:pPr>
                  <w:jc w:val="both"/>
                  <w:rPr>
                    <w:i/>
                    <w:iCs/>
                    <w:szCs w:val="24"/>
                  </w:rPr>
                </w:pPr>
                <w:r>
                  <w:rPr>
                    <w:i/>
                    <w:iCs/>
                    <w:szCs w:val="24"/>
                  </w:rPr>
                  <w:t>Pastaba. Čia „Centras“ suprantamas kaip Bendrasis pagalbos centras.</w:t>
                </w:r>
              </w:p>
              <w:p>
                <w:pPr>
                  <w:jc w:val="both"/>
                  <w:rPr>
                    <w:bCs/>
                    <w:i/>
                    <w:i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32"/>
            </w:trPr>
            <w:tc>
              <w:tcPr>
                <w:tcW w:w="5264" w:type="dxa"/>
                <w:shd w:val="clear" w:color="auto" w:fill="auto"/>
              </w:tcPr>
              <w:p>
                <w:pPr>
                  <w:jc w:val="both"/>
                  <w:rPr>
                    <w:b/>
                    <w:color w:val="000000"/>
                    <w:szCs w:val="24"/>
                  </w:rPr>
                </w:pPr>
                <w:r>
                  <w:rPr>
                    <w:color w:val="000000"/>
                    <w:szCs w:val="24"/>
                  </w:rPr>
                  <w:t>11) tinkamiausias BPC – tinkamiausias BPC, kaip apibrėžta Direktyvos (ES) 2018/1972 2 straipsnio 37 punkte;</w:t>
                </w:r>
              </w:p>
            </w:tc>
            <w:tc>
              <w:tcPr>
                <w:tcW w:w="7868" w:type="dxa"/>
                <w:shd w:val="clear" w:color="auto" w:fill="auto"/>
              </w:tcPr>
              <w:p>
                <w:pPr>
                  <w:jc w:val="both"/>
                  <w:rPr>
                    <w:b/>
                    <w:color w:val="000000"/>
                    <w:szCs w:val="24"/>
                  </w:rPr>
                </w:pPr>
                <w:r>
                  <w:rPr>
                    <w:b/>
                    <w:color w:val="000000"/>
                    <w:szCs w:val="24"/>
                  </w:rPr>
                  <w:t>BPCĮ</w:t>
                </w:r>
              </w:p>
              <w:p>
                <w:pPr>
                  <w:jc w:val="both"/>
                  <w:rPr>
                    <w:b/>
                    <w:color w:val="000000"/>
                    <w:szCs w:val="24"/>
                  </w:rPr>
                </w:pPr>
              </w:p>
              <w:p>
                <w:pPr>
                  <w:jc w:val="both"/>
                  <w:rPr>
                    <w:b/>
                    <w:color w:val="000000"/>
                    <w:szCs w:val="24"/>
                  </w:rPr>
                </w:pPr>
                <w:r>
                  <w:rPr>
                    <w:b/>
                    <w:color w:val="000000"/>
                    <w:szCs w:val="24"/>
                  </w:rPr>
                  <w:t>3 straipsnis. Centro* teisinė forma, steigimo ir veiklos teisiniai pagrindai</w:t>
                </w:r>
              </w:p>
              <w:p>
                <w:pPr>
                  <w:jc w:val="both"/>
                  <w:rPr>
                    <w:bCs/>
                    <w:color w:val="000000"/>
                    <w:szCs w:val="24"/>
                  </w:rPr>
                </w:pPr>
                <w:r>
                  <w:rPr>
                    <w:bCs/>
                    <w:color w:val="000000"/>
                    <w:szCs w:val="24"/>
                  </w:rPr>
                  <w:t>1. Centras yra Priešgaisrinės apsaugos ir gelbėjimo departamentui prie Vidaus reikalų ministerijos pavaldi biudžetinė įstaiga.</w:t>
                </w:r>
              </w:p>
              <w:p>
                <w:pPr>
                  <w:jc w:val="both"/>
                  <w:rPr>
                    <w:bCs/>
                    <w:color w:val="000000"/>
                    <w:szCs w:val="24"/>
                  </w:rPr>
                </w:pPr>
              </w:p>
              <w:p>
                <w:pPr>
                  <w:jc w:val="both"/>
                  <w:rPr>
                    <w:b/>
                    <w:color w:val="000000"/>
                    <w:szCs w:val="24"/>
                  </w:rPr>
                </w:pPr>
                <w:r>
                  <w:rPr>
                    <w:b/>
                    <w:color w:val="000000"/>
                    <w:szCs w:val="24"/>
                  </w:rPr>
                  <w:t>9 straipsnis. Centro uždaviniai</w:t>
                </w:r>
              </w:p>
              <w:p>
                <w:pPr>
                  <w:jc w:val="both"/>
                  <w:rPr>
                    <w:bCs/>
                    <w:color w:val="000000"/>
                    <w:szCs w:val="24"/>
                  </w:rPr>
                </w:pPr>
                <w:r>
                  <w:rPr>
                    <w:bCs/>
                    <w:color w:val="000000"/>
                    <w:szCs w:val="24"/>
                  </w:rPr>
                  <w:t>1. Pagrindinis Centro uždavinys yra užtikrinti atsakymą į pagalbos skambučius ir reagavimą į pagalbos prašymus.</w:t>
                </w:r>
              </w:p>
              <w:p>
                <w:pPr>
                  <w:jc w:val="both"/>
                  <w:rPr>
                    <w:b/>
                    <w:color w:val="000000"/>
                    <w:szCs w:val="24"/>
                  </w:rPr>
                </w:pPr>
              </w:p>
              <w:p>
                <w:pPr>
                  <w:jc w:val="both"/>
                  <w:rPr>
                    <w:b/>
                    <w:color w:val="000000"/>
                    <w:szCs w:val="24"/>
                  </w:rPr>
                </w:pPr>
                <w:r>
                  <w:rPr>
                    <w:b/>
                    <w:color w:val="000000"/>
                    <w:szCs w:val="24"/>
                  </w:rPr>
                  <w:t>10 straipsnis. Centro funkcijos</w:t>
                </w:r>
              </w:p>
              <w:p>
                <w:pPr>
                  <w:jc w:val="both"/>
                  <w:rPr>
                    <w:bCs/>
                    <w:color w:val="000000"/>
                    <w:szCs w:val="24"/>
                  </w:rPr>
                </w:pPr>
                <w:r>
                  <w:rPr>
                    <w:bCs/>
                    <w:color w:val="000000"/>
                    <w:szCs w:val="24"/>
                  </w:rPr>
                  <w:t>Centro funkcijos:</w:t>
                </w:r>
              </w:p>
              <w:p>
                <w:pPr>
                  <w:jc w:val="both"/>
                  <w:rPr>
                    <w:bCs/>
                    <w:color w:val="000000"/>
                    <w:szCs w:val="24"/>
                  </w:rPr>
                </w:pPr>
                <w:r>
                  <w:rPr>
                    <w:bCs/>
                    <w:color w:val="000000"/>
                    <w:szCs w:val="24"/>
                  </w:rPr>
                  <w:t>1) atsakyti į pagalbos skambučius neinformuojant pagalbos prašančio asmens apie daromą pagalbos skambučio įrašą;</w:t>
                </w:r>
              </w:p>
              <w:p>
                <w:pPr>
                  <w:jc w:val="both"/>
                  <w:rPr>
                    <w:bCs/>
                    <w:color w:val="000000"/>
                    <w:szCs w:val="24"/>
                  </w:rPr>
                </w:pPr>
                <w:r>
                  <w:rPr>
                    <w:bCs/>
                    <w:color w:val="000000"/>
                    <w:szCs w:val="24"/>
                  </w:rPr>
                  <w:t>2) priimti ir operatyviai įvertinti pagalbos prašymus, nustatyti teiktinos pagalbos poreikį;</w:t>
                </w:r>
              </w:p>
              <w:p>
                <w:pPr>
                  <w:jc w:val="both"/>
                  <w:rPr>
                    <w:bCs/>
                    <w:color w:val="000000"/>
                    <w:szCs w:val="24"/>
                  </w:rPr>
                </w:pPr>
                <w:r>
                  <w:rPr>
                    <w:bCs/>
                    <w:color w:val="000000"/>
                    <w:szCs w:val="24"/>
                  </w:rPr>
                  <w:t>3) pagal savo kompetenciją suteikti pagalbos prašančiajam asmeniui pagalbą telefonu arba kitomis Centre įdiegtomis ryšio priemonėmis;</w:t>
                </w:r>
              </w:p>
              <w:p>
                <w:pPr>
                  <w:jc w:val="both"/>
                  <w:rPr>
                    <w:bCs/>
                    <w:color w:val="000000"/>
                    <w:szCs w:val="24"/>
                  </w:rPr>
                </w:pPr>
                <w:r>
                  <w:rPr>
                    <w:bCs/>
                    <w:color w:val="000000"/>
                    <w:szCs w:val="24"/>
                  </w:rPr>
                  <w:t>4) perduoti pranešimus apie pagalbos poreikį reikiamoms pagalbos tarnyboms;</w:t>
                </w:r>
              </w:p>
              <w:p>
                <w:pPr>
                  <w:jc w:val="both"/>
                  <w:rPr>
                    <w:bCs/>
                    <w:color w:val="000000"/>
                    <w:szCs w:val="24"/>
                  </w:rPr>
                </w:pPr>
              </w:p>
              <w:p>
                <w:pPr>
                  <w:jc w:val="both"/>
                  <w:rPr>
                    <w:i/>
                    <w:iCs/>
                    <w:szCs w:val="24"/>
                  </w:rPr>
                </w:pPr>
                <w:r>
                  <w:rPr>
                    <w:i/>
                    <w:iCs/>
                    <w:szCs w:val="24"/>
                  </w:rPr>
                  <w:t>Pastaba. Čia „Centras“ suprantamas kaip Bendrasis pagalbos centras.</w:t>
                </w:r>
              </w:p>
              <w:p>
                <w:pPr>
                  <w:jc w:val="both"/>
                  <w:rPr>
                    <w:b/>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691"/>
            </w:trPr>
            <w:tc>
              <w:tcPr>
                <w:tcW w:w="5264" w:type="dxa"/>
                <w:shd w:val="clear" w:color="auto" w:fill="auto"/>
              </w:tcPr>
              <w:p>
                <w:pPr>
                  <w:jc w:val="both"/>
                  <w:rPr>
                    <w:b/>
                    <w:color w:val="000000"/>
                    <w:szCs w:val="24"/>
                  </w:rPr>
                </w:pPr>
                <w:r>
                  <w:rPr>
                    <w:color w:val="000000"/>
                    <w:szCs w:val="24"/>
                  </w:rPr>
                  <w:t>12) skubios pagalbos ryšys – skubios pagalbos ryšys, kaip apibrėžta Direktyvos (ES) 2018/1972 2 straipsnio 38 punkte;</w:t>
                </w:r>
              </w:p>
            </w:tc>
            <w:tc>
              <w:tcPr>
                <w:tcW w:w="7868" w:type="dxa"/>
                <w:shd w:val="clear" w:color="auto" w:fill="auto"/>
              </w:tcPr>
              <w:p>
                <w:pPr>
                  <w:jc w:val="both"/>
                  <w:rPr>
                    <w:b/>
                    <w:color w:val="000000"/>
                    <w:szCs w:val="24"/>
                  </w:rPr>
                </w:pPr>
                <w:r>
                  <w:rPr>
                    <w:b/>
                    <w:color w:val="000000"/>
                    <w:szCs w:val="24"/>
                  </w:rPr>
                  <w:t>BPCĮ</w:t>
                </w:r>
              </w:p>
              <w:p>
                <w:pPr>
                  <w:jc w:val="both"/>
                  <w:rPr>
                    <w:b/>
                    <w:color w:val="000000"/>
                    <w:szCs w:val="24"/>
                  </w:rPr>
                </w:pPr>
              </w:p>
              <w:p>
                <w:pPr>
                  <w:jc w:val="both"/>
                  <w:rPr>
                    <w:b/>
                    <w:color w:val="000000"/>
                    <w:szCs w:val="24"/>
                  </w:rPr>
                </w:pPr>
                <w:r>
                  <w:rPr>
                    <w:b/>
                    <w:color w:val="000000"/>
                    <w:szCs w:val="24"/>
                  </w:rPr>
                  <w:t>2 straipsnis. Pagrindinės šio įstatymo sąvokos</w:t>
                </w:r>
              </w:p>
              <w:p>
                <w:pPr>
                  <w:jc w:val="both"/>
                  <w:rPr>
                    <w:bCs/>
                    <w:color w:val="000000"/>
                    <w:szCs w:val="24"/>
                  </w:rPr>
                </w:pPr>
                <w:r>
                  <w:rPr>
                    <w:bCs/>
                    <w:color w:val="000000"/>
                    <w:szCs w:val="24"/>
                  </w:rPr>
                  <w:t>&lt;...&gt;</w:t>
                </w:r>
              </w:p>
              <w:p>
                <w:pPr>
                  <w:jc w:val="both"/>
                  <w:rPr>
                    <w:color w:val="000000"/>
                    <w:szCs w:val="24"/>
                  </w:rPr>
                </w:pPr>
                <w:r>
                  <w:rPr>
                    <w:color w:val="000000"/>
                    <w:szCs w:val="24"/>
                  </w:rPr>
                  <w:t>4. </w:t>
                </w:r>
                <w:r>
                  <w:rPr>
                    <w:b/>
                    <w:bCs/>
                    <w:color w:val="000000"/>
                    <w:szCs w:val="24"/>
                  </w:rPr>
                  <w:t>Pagalbos prašymas</w:t>
                </w:r>
                <w:r>
                  <w:rPr>
                    <w:color w:val="000000"/>
                    <w:szCs w:val="24"/>
                  </w:rPr>
                  <w:t> – skubiosios pagalbos tarnybų ryšio numeriu 112, iškvieta „eCall“ ar kitomis Centre įdiegtomis ryšio priemonėmis gaunamas prašymas pagal skubiosios pagalbos tarnybų kompetenciją suteikti pagalbą, kai pranešama apie šio straipsnio 9 dalyje nurodytas aplinkybes.</w:t>
                </w:r>
              </w:p>
              <w:p>
                <w:pPr>
                  <w:jc w:val="both"/>
                  <w:rPr>
                    <w:color w:val="000000"/>
                    <w:szCs w:val="24"/>
                  </w:rPr>
                </w:pPr>
                <w:r>
                  <w:rPr>
                    <w:color w:val="000000"/>
                    <w:szCs w:val="24"/>
                  </w:rPr>
                  <w:t>5. </w:t>
                </w:r>
                <w:r>
                  <w:rPr>
                    <w:b/>
                    <w:bCs/>
                    <w:color w:val="000000"/>
                    <w:szCs w:val="24"/>
                  </w:rPr>
                  <w:t>Pagalbos skambutis</w:t>
                </w:r>
                <w:r>
                  <w:rPr>
                    <w:color w:val="000000"/>
                    <w:szCs w:val="24"/>
                  </w:rPr>
                  <w:t> – asmenų tarpusavio ryšio paslaugų</w:t>
                </w:r>
                <w:r>
                  <w:rPr>
                    <w:b/>
                    <w:bCs/>
                    <w:color w:val="000000"/>
                    <w:szCs w:val="24"/>
                  </w:rPr>
                  <w:t> </w:t>
                </w:r>
                <w:r>
                  <w:rPr>
                    <w:color w:val="000000"/>
                    <w:szCs w:val="24"/>
                  </w:rPr>
                  <w:t>priemonėmis skubiosios pagalbos tarnybų ryšio numeriu 112 sukuriamas sujungimas su Centru, suteikiantis abipusio ryšio galimybę realiuoju laiku.</w:t>
                </w:r>
              </w:p>
              <w:p>
                <w:pPr>
                  <w:jc w:val="both"/>
                  <w:rPr>
                    <w:color w:val="000000"/>
                    <w:szCs w:val="24"/>
                  </w:rPr>
                </w:pPr>
              </w:p>
              <w:p>
                <w:pPr>
                  <w:jc w:val="both"/>
                  <w:rPr>
                    <w:i/>
                    <w:iCs/>
                    <w:szCs w:val="24"/>
                  </w:rPr>
                </w:pPr>
                <w:r>
                  <w:rPr>
                    <w:i/>
                    <w:iCs/>
                    <w:szCs w:val="24"/>
                  </w:rPr>
                  <w:t>Pastaba. Čia „Centras“ suprantamas kaip Bendrasis pagalbos centras.</w:t>
                </w:r>
              </w:p>
              <w:p>
                <w:pPr>
                  <w:jc w:val="both"/>
                  <w:rPr>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975"/>
            </w:trPr>
            <w:tc>
              <w:tcPr>
                <w:tcW w:w="5264" w:type="dxa"/>
                <w:shd w:val="clear" w:color="auto" w:fill="auto"/>
              </w:tcPr>
              <w:p>
                <w:pPr>
                  <w:jc w:val="both"/>
                  <w:rPr>
                    <w:b/>
                    <w:color w:val="000000"/>
                    <w:szCs w:val="24"/>
                  </w:rPr>
                </w:pPr>
                <w:r>
                  <w:rPr>
                    <w:color w:val="000000"/>
                    <w:szCs w:val="24"/>
                  </w:rPr>
                  <w:t>13) skubios pagalbos tarnyba – skubios pagalbos tarnyba, kaip apibrėžta Direktyvos (ES) 2018/1972 2 straipsnio 39 punkte;</w:t>
                </w:r>
              </w:p>
            </w:tc>
            <w:tc>
              <w:tcPr>
                <w:tcW w:w="7868" w:type="dxa"/>
                <w:shd w:val="clear" w:color="auto" w:fill="auto"/>
              </w:tcPr>
              <w:p>
                <w:pPr>
                  <w:jc w:val="both"/>
                  <w:rPr>
                    <w:b/>
                    <w:color w:val="000000"/>
                    <w:szCs w:val="24"/>
                  </w:rPr>
                </w:pPr>
                <w:r>
                  <w:rPr>
                    <w:b/>
                    <w:color w:val="000000"/>
                    <w:szCs w:val="24"/>
                  </w:rPr>
                  <w:t>BPCĮ</w:t>
                </w:r>
              </w:p>
              <w:p>
                <w:pPr>
                  <w:jc w:val="both"/>
                  <w:rPr>
                    <w:b/>
                    <w:color w:val="000000"/>
                    <w:szCs w:val="24"/>
                  </w:rPr>
                </w:pPr>
              </w:p>
              <w:p>
                <w:pPr>
                  <w:jc w:val="both"/>
                  <w:rPr>
                    <w:b/>
                    <w:color w:val="000000"/>
                    <w:szCs w:val="24"/>
                  </w:rPr>
                </w:pPr>
                <w:r>
                  <w:rPr>
                    <w:b/>
                    <w:color w:val="000000"/>
                    <w:szCs w:val="24"/>
                  </w:rPr>
                  <w:t>2 straipsnis. Pagrindinės šio įstatymo sąvokos</w:t>
                </w:r>
              </w:p>
              <w:p>
                <w:pPr>
                  <w:jc w:val="both"/>
                  <w:rPr>
                    <w:bCs/>
                    <w:color w:val="000000"/>
                    <w:szCs w:val="24"/>
                  </w:rPr>
                </w:pPr>
                <w:r>
                  <w:rPr>
                    <w:bCs/>
                    <w:color w:val="000000"/>
                    <w:szCs w:val="24"/>
                  </w:rPr>
                  <w:t>&lt;...&gt;</w:t>
                </w:r>
              </w:p>
              <w:p>
                <w:pPr>
                  <w:jc w:val="both"/>
                  <w:rPr>
                    <w:color w:val="000000"/>
                    <w:szCs w:val="24"/>
                  </w:rPr>
                </w:pPr>
                <w:r>
                  <w:rPr>
                    <w:color w:val="000000"/>
                    <w:szCs w:val="24"/>
                  </w:rPr>
                  <w:t>8. </w:t>
                </w:r>
                <w:r>
                  <w:rPr>
                    <w:b/>
                    <w:bCs/>
                    <w:color w:val="000000"/>
                    <w:szCs w:val="24"/>
                  </w:rPr>
                  <w:t>Skubiosios pagalbos tarnybos </w:t>
                </w:r>
                <w:r>
                  <w:rPr>
                    <w:color w:val="000000"/>
                    <w:szCs w:val="24"/>
                  </w:rPr>
                  <w:t>(toliau – pagalbos tarnybos)</w:t>
                </w:r>
                <w:r>
                  <w:rPr>
                    <w:b/>
                    <w:bCs/>
                    <w:color w:val="000000"/>
                    <w:szCs w:val="24"/>
                  </w:rPr>
                  <w:t> </w:t>
                </w:r>
                <w:r>
                  <w:rPr>
                    <w:color w:val="000000"/>
                    <w:szCs w:val="24"/>
                  </w:rPr>
                  <w:t>–</w:t>
                </w:r>
                <w:r>
                  <w:rPr>
                    <w:b/>
                    <w:bCs/>
                    <w:color w:val="000000"/>
                    <w:szCs w:val="24"/>
                  </w:rPr>
                  <w:t> </w:t>
                </w:r>
                <w:r>
                  <w:rPr>
                    <w:color w:val="000000"/>
                    <w:szCs w:val="24"/>
                  </w:rPr>
                  <w:t>policija, priešgaisrinės gelbėjimo pajėgos, greitosios medicinos pagalbos tarnyba, aplinkos apsaugos pajėgos.</w:t>
                </w:r>
              </w:p>
              <w:p>
                <w:pPr>
                  <w:jc w:val="both"/>
                  <w:rPr>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975"/>
            </w:trPr>
            <w:tc>
              <w:tcPr>
                <w:tcW w:w="5264" w:type="dxa"/>
              </w:tcPr>
              <w:p>
                <w:pPr>
                  <w:jc w:val="both"/>
                  <w:rPr>
                    <w:bCs/>
                    <w:color w:val="000000"/>
                    <w:szCs w:val="24"/>
                  </w:rPr>
                </w:pPr>
                <w:r>
                  <w:rPr>
                    <w:bCs/>
                    <w:color w:val="000000"/>
                    <w:szCs w:val="24"/>
                  </w:rPr>
                  <w:t>14) realiuoju laiku perduodamas tekstas – tekstinis dviejų arba kelių asmenų pokalbis, kai įvedamo teksto simboliai siunčiami tokiu būdu, jog naudotojas pokalbį suvokia kaip nenutrūkstamą;</w:t>
                </w:r>
              </w:p>
            </w:tc>
            <w:tc>
              <w:tcPr>
                <w:tcW w:w="7868" w:type="dxa"/>
              </w:tcPr>
              <w:p>
                <w:pPr>
                  <w:jc w:val="both"/>
                  <w:rPr>
                    <w:b/>
                    <w:bCs/>
                    <w:iCs/>
                    <w:color w:val="000000"/>
                    <w:szCs w:val="24"/>
                  </w:rPr>
                </w:pPr>
                <w:r>
                  <w:rPr>
                    <w:b/>
                    <w:bCs/>
                    <w:iCs/>
                    <w:color w:val="000000"/>
                    <w:szCs w:val="24"/>
                  </w:rPr>
                  <w:t>Projektas</w:t>
                </w:r>
              </w:p>
              <w:p>
                <w:pPr>
                  <w:ind w:firstLine="708"/>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15. </w:t>
                </w:r>
                <w:r>
                  <w:rPr>
                    <w:b/>
                    <w:bCs/>
                    <w:color w:val="000000"/>
                    <w:szCs w:val="24"/>
                  </w:rPr>
                  <w:t>Realiuoju laiku perduodamas tekstas</w:t>
                </w:r>
                <w:r>
                  <w:rPr>
                    <w:bCs/>
                    <w:color w:val="000000"/>
                    <w:szCs w:val="24"/>
                  </w:rPr>
                  <w:t> – tekstinis dviejų ar daugiau asmenų pokalbis, kai įvedamo teksto ženklai siunčiami taip, kad pokalbis suvokiamas kaip nenutrūkstamas.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b/>
                    <w:color w:val="000000"/>
                    <w:szCs w:val="24"/>
                  </w:rPr>
                </w:pPr>
                <w:r>
                  <w:rPr>
                    <w:color w:val="000000"/>
                    <w:szCs w:val="24"/>
                  </w:rPr>
                  <w:t>15) tiekimas rinkai – gaminio, skirto platinti, vartoti arba naudoti Sąjungos rinkoje, tiekimas vykdant komercinę veiklą už atlygį arba nemokamai;</w:t>
                </w:r>
              </w:p>
            </w:tc>
            <w:tc>
              <w:tcPr>
                <w:tcW w:w="7868" w:type="dxa"/>
              </w:tcPr>
              <w:p>
                <w:pPr>
                  <w:jc w:val="both"/>
                  <w:rPr>
                    <w:b/>
                    <w:color w:val="000000"/>
                    <w:szCs w:val="24"/>
                  </w:rPr>
                </w:pPr>
                <w:r>
                  <w:rPr>
                    <w:i/>
                    <w:color w:val="000000"/>
                    <w:szCs w:val="24"/>
                  </w:rPr>
                  <w:t>Nuostata apibrėžta tiesioginio taikymo teisės akte – Reglamente (EB) Nr. 765/2008, todėl jos perkelti nereikia.</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color w:val="000000"/>
                    <w:szCs w:val="24"/>
                  </w:rPr>
                </w:pPr>
                <w:r>
                  <w:rPr>
                    <w:color w:val="000000"/>
                    <w:szCs w:val="24"/>
                  </w:rPr>
                  <w:t>16) pateikimas rinkai – gaminio tiekimas Sąjungos rinkai pirmą kartą;</w:t>
                </w:r>
              </w:p>
            </w:tc>
            <w:tc>
              <w:tcPr>
                <w:tcW w:w="7868" w:type="dxa"/>
              </w:tcPr>
              <w:p>
                <w:pPr>
                  <w:jc w:val="both"/>
                  <w:rPr>
                    <w:b/>
                    <w:color w:val="000000"/>
                    <w:szCs w:val="24"/>
                  </w:rPr>
                </w:pPr>
                <w:r>
                  <w:rPr>
                    <w:i/>
                    <w:color w:val="000000"/>
                    <w:szCs w:val="24"/>
                  </w:rPr>
                  <w:t>Nuostata apibrėžta tiesioginio taikymo teisės akte – Reglamente (EB) Nr. 765/2008.</w:t>
                </w:r>
              </w:p>
            </w:tc>
            <w:tc>
              <w:tcPr>
                <w:tcW w:w="1858" w:type="dxa"/>
              </w:tcPr>
              <w:p>
                <w:pPr>
                  <w:jc w:val="both"/>
                  <w:rPr>
                    <w:b/>
                    <w:bCs/>
                    <w:color w:val="000000"/>
                    <w:szCs w:val="24"/>
                  </w:rPr>
                </w:pPr>
                <w:r>
                  <w:rPr>
                    <w:b/>
                    <w:bCs/>
                    <w:color w:val="000000"/>
                    <w:szCs w:val="24"/>
                  </w:rPr>
                  <w:t>Visiškas</w:t>
                </w:r>
              </w:p>
            </w:tc>
          </w:tr>
          <w:tr>
            <w:trPr>
              <w:trHeight w:val="986"/>
            </w:trPr>
            <w:tc>
              <w:tcPr>
                <w:tcW w:w="5264" w:type="dxa"/>
              </w:tcPr>
              <w:p>
                <w:pPr>
                  <w:jc w:val="both"/>
                  <w:rPr>
                    <w:b/>
                    <w:color w:val="000000"/>
                    <w:szCs w:val="24"/>
                  </w:rPr>
                </w:pPr>
                <w:r>
                  <w:rPr>
                    <w:color w:val="000000"/>
                    <w:szCs w:val="24"/>
                  </w:rPr>
                  <w:t>17) gamintojas – fizinis arba juridinis asmuo, kuris gaminį gamina arba kuriam gaminys jo užsakymu buvo suprojektuotas ar pagamintas ir jį parduoda savo vardu arba naudodamas savo prekių ženklą;</w:t>
                </w:r>
              </w:p>
            </w:tc>
            <w:tc>
              <w:tcPr>
                <w:tcW w:w="7868" w:type="dxa"/>
              </w:tcPr>
              <w:p>
                <w:pPr>
                  <w:jc w:val="both"/>
                  <w:rPr>
                    <w:b/>
                    <w:color w:val="000000"/>
                    <w:szCs w:val="24"/>
                  </w:rPr>
                </w:pPr>
                <w:r>
                  <w:rPr>
                    <w:i/>
                    <w:color w:val="000000"/>
                    <w:szCs w:val="24"/>
                  </w:rPr>
                  <w:t>Nuostata apibrėžta tiesioginio taikymo teisės akte – Reglamente (EB) Nr. 765/2008.</w:t>
                </w:r>
              </w:p>
            </w:tc>
            <w:tc>
              <w:tcPr>
                <w:tcW w:w="1858" w:type="dxa"/>
              </w:tcPr>
              <w:p>
                <w:pPr>
                  <w:jc w:val="both"/>
                  <w:rPr>
                    <w:b/>
                    <w:bCs/>
                    <w:color w:val="000000"/>
                    <w:szCs w:val="24"/>
                  </w:rPr>
                </w:pPr>
                <w:r>
                  <w:rPr>
                    <w:b/>
                    <w:bCs/>
                    <w:color w:val="000000"/>
                    <w:szCs w:val="24"/>
                  </w:rPr>
                  <w:t>Visiškas</w:t>
                </w:r>
              </w:p>
            </w:tc>
          </w:tr>
          <w:tr>
            <w:trPr>
              <w:trHeight w:val="719"/>
            </w:trPr>
            <w:tc>
              <w:tcPr>
                <w:tcW w:w="5264" w:type="dxa"/>
              </w:tcPr>
              <w:p>
                <w:pPr>
                  <w:jc w:val="both"/>
                  <w:rPr>
                    <w:b/>
                    <w:color w:val="000000"/>
                    <w:szCs w:val="24"/>
                  </w:rPr>
                </w:pPr>
                <w:r>
                  <w:rPr>
                    <w:color w:val="000000"/>
                    <w:szCs w:val="24"/>
                  </w:rPr>
                  <w:t>18) įgaliotasis atstovas – Sąjungoje įsisteigęs fizinis arba juridinis asmuo, kuris yra gavęs gamintojo rašytinį įgaliojimą veikti jo vardu atliekant nurodytas užduotis;</w:t>
                </w:r>
              </w:p>
            </w:tc>
            <w:tc>
              <w:tcPr>
                <w:tcW w:w="7868" w:type="dxa"/>
              </w:tcPr>
              <w:p>
                <w:pPr>
                  <w:jc w:val="both"/>
                  <w:rPr>
                    <w:b/>
                    <w:color w:val="000000"/>
                    <w:szCs w:val="24"/>
                  </w:rPr>
                </w:pPr>
                <w:r>
                  <w:rPr>
                    <w:i/>
                    <w:color w:val="000000"/>
                    <w:szCs w:val="24"/>
                  </w:rPr>
                  <w:t>Nuostata apibrėžta tiesioginio taikymo teisės akte – Reglamente (EB) Nr. 765/2008.</w:t>
                </w:r>
              </w:p>
            </w:tc>
            <w:tc>
              <w:tcPr>
                <w:tcW w:w="1858" w:type="dxa"/>
              </w:tcPr>
              <w:p>
                <w:pPr>
                  <w:jc w:val="both"/>
                  <w:rPr>
                    <w:b/>
                    <w:bCs/>
                    <w:color w:val="000000"/>
                    <w:szCs w:val="24"/>
                  </w:rPr>
                </w:pPr>
                <w:r>
                  <w:rPr>
                    <w:b/>
                    <w:bCs/>
                    <w:color w:val="000000"/>
                    <w:szCs w:val="24"/>
                  </w:rPr>
                  <w:t>Visiškas</w:t>
                </w:r>
              </w:p>
            </w:tc>
          </w:tr>
          <w:tr>
            <w:trPr>
              <w:trHeight w:val="607"/>
            </w:trPr>
            <w:tc>
              <w:tcPr>
                <w:tcW w:w="5264" w:type="dxa"/>
              </w:tcPr>
              <w:p>
                <w:pPr>
                  <w:jc w:val="both"/>
                  <w:rPr>
                    <w:b/>
                    <w:color w:val="000000"/>
                    <w:szCs w:val="24"/>
                  </w:rPr>
                </w:pPr>
                <w:r>
                  <w:rPr>
                    <w:color w:val="000000"/>
                    <w:szCs w:val="24"/>
                  </w:rPr>
                  <w:t>19) importuotojas – Sąjungoje įsisteigęs fizinis arba juridinis asmuo, kuris pateikia gaminį iš trečiosios valstybės Sąjungos rinkai;</w:t>
                </w:r>
              </w:p>
            </w:tc>
            <w:tc>
              <w:tcPr>
                <w:tcW w:w="7868" w:type="dxa"/>
              </w:tcPr>
              <w:p>
                <w:pPr>
                  <w:jc w:val="both"/>
                  <w:rPr>
                    <w:b/>
                    <w:color w:val="000000"/>
                    <w:szCs w:val="24"/>
                  </w:rPr>
                </w:pPr>
                <w:r>
                  <w:rPr>
                    <w:i/>
                    <w:color w:val="000000"/>
                    <w:szCs w:val="24"/>
                  </w:rPr>
                  <w:t>Nuostata apibrėžta tiesioginio taikymo teisės akte – Reglamente (EB) Nr. 765/2008.</w:t>
                </w:r>
              </w:p>
            </w:tc>
            <w:tc>
              <w:tcPr>
                <w:tcW w:w="1858" w:type="dxa"/>
              </w:tcPr>
              <w:p>
                <w:pPr>
                  <w:jc w:val="both"/>
                  <w:rPr>
                    <w:b/>
                    <w:bCs/>
                    <w:color w:val="000000"/>
                    <w:szCs w:val="24"/>
                  </w:rPr>
                </w:pPr>
                <w:r>
                  <w:rPr>
                    <w:b/>
                    <w:bCs/>
                    <w:color w:val="000000"/>
                    <w:szCs w:val="24"/>
                  </w:rPr>
                  <w:t>Visiškas</w:t>
                </w:r>
              </w:p>
            </w:tc>
          </w:tr>
          <w:tr>
            <w:trPr>
              <w:trHeight w:val="64"/>
            </w:trPr>
            <w:tc>
              <w:tcPr>
                <w:tcW w:w="5264" w:type="dxa"/>
                <w:tcBorders>
                  <w:top w:val="single" w:sz="4" w:space="0" w:color="auto"/>
                  <w:left w:val="single" w:sz="4" w:space="0" w:color="auto"/>
                  <w:bottom w:val="single" w:sz="4" w:space="0" w:color="auto"/>
                  <w:right w:val="single" w:sz="4" w:space="0" w:color="auto"/>
                </w:tcBorders>
              </w:tcPr>
              <w:p>
                <w:pPr>
                  <w:jc w:val="both"/>
                  <w:rPr>
                    <w:b/>
                    <w:color w:val="000000"/>
                    <w:szCs w:val="24"/>
                  </w:rPr>
                </w:pPr>
                <w:r>
                  <w:rPr>
                    <w:color w:val="000000"/>
                    <w:szCs w:val="24"/>
                  </w:rPr>
                  <w:t>20) platintojas – tiekimo grandinėje veikiantis fizinis arba juridinis asmuo, kuris nėra nei gamintojas, nei importuotojas ir kuris tiekia gaminį rinkai;</w:t>
                </w:r>
              </w:p>
            </w:tc>
            <w:tc>
              <w:tcPr>
                <w:tcW w:w="7868" w:type="dxa"/>
                <w:tcBorders>
                  <w:top w:val="single" w:sz="4" w:space="0" w:color="auto"/>
                  <w:left w:val="single" w:sz="4" w:space="0" w:color="auto"/>
                  <w:bottom w:val="single" w:sz="4" w:space="0" w:color="auto"/>
                  <w:right w:val="single" w:sz="4" w:space="0" w:color="auto"/>
                </w:tcBorders>
              </w:tcPr>
              <w:p>
                <w:pPr>
                  <w:jc w:val="both"/>
                  <w:rPr>
                    <w:b/>
                    <w:color w:val="000000"/>
                    <w:szCs w:val="24"/>
                  </w:rPr>
                </w:pPr>
                <w:r>
                  <w:rPr>
                    <w:i/>
                    <w:color w:val="000000"/>
                    <w:szCs w:val="24"/>
                  </w:rPr>
                  <w:t>Nuostata apibrėžta tiesioginio taikymo teisės akte – Reglamente (EB) Nr. 765/2008.</w:t>
                </w:r>
              </w:p>
            </w:tc>
            <w:tc>
              <w:tcPr>
                <w:tcW w:w="1858" w:type="dxa"/>
                <w:tcBorders>
                  <w:top w:val="single" w:sz="4" w:space="0" w:color="auto"/>
                  <w:left w:val="single" w:sz="4" w:space="0" w:color="auto"/>
                  <w:bottom w:val="single" w:sz="4" w:space="0" w:color="auto"/>
                  <w:right w:val="single" w:sz="4" w:space="0" w:color="auto"/>
                </w:tcBorders>
              </w:tcPr>
              <w:p>
                <w:pPr>
                  <w:jc w:val="both"/>
                  <w:rPr>
                    <w:b/>
                    <w:bCs/>
                    <w:color w:val="000000"/>
                    <w:szCs w:val="24"/>
                  </w:rPr>
                </w:pPr>
                <w:r>
                  <w:rPr>
                    <w:b/>
                    <w:bCs/>
                    <w:color w:val="000000"/>
                    <w:szCs w:val="24"/>
                  </w:rPr>
                  <w:t>Visiškas</w:t>
                </w:r>
              </w:p>
            </w:tc>
          </w:tr>
          <w:tr>
            <w:trPr>
              <w:trHeight w:val="914"/>
            </w:trPr>
            <w:tc>
              <w:tcPr>
                <w:tcW w:w="5264" w:type="dxa"/>
              </w:tcPr>
              <w:p>
                <w:pPr>
                  <w:jc w:val="both"/>
                  <w:rPr>
                    <w:b/>
                    <w:color w:val="000000"/>
                    <w:szCs w:val="24"/>
                  </w:rPr>
                </w:pPr>
                <w:r>
                  <w:rPr>
                    <w:color w:val="000000"/>
                    <w:szCs w:val="24"/>
                  </w:rPr>
                  <w:t>21) ekonominės veiklos vykdytojas – gamintojas, įgaliotasis atstovas, importuotojas, platintojas arba paslaugų teikėjas;</w:t>
                </w:r>
              </w:p>
            </w:tc>
            <w:tc>
              <w:tcPr>
                <w:tcW w:w="7868" w:type="dxa"/>
              </w:tcPr>
              <w:p>
                <w:pPr>
                  <w:jc w:val="both"/>
                  <w:rPr>
                    <w:b/>
                    <w:bCs/>
                    <w:iCs/>
                    <w:color w:val="000000"/>
                    <w:szCs w:val="24"/>
                  </w:rPr>
                </w:pPr>
                <w:r>
                  <w:rPr>
                    <w:b/>
                    <w:bCs/>
                    <w:iCs/>
                    <w:color w:val="000000"/>
                    <w:szCs w:val="24"/>
                  </w:rPr>
                  <w:t>Projektas</w:t>
                </w:r>
              </w:p>
              <w:p>
                <w:pPr>
                  <w:jc w:val="both"/>
                  <w:rPr>
                    <w:bCs/>
                    <w:iCs/>
                    <w:color w:val="000000"/>
                    <w:szCs w:val="24"/>
                  </w:rPr>
                </w:pPr>
              </w:p>
              <w:p>
                <w:pPr>
                  <w:jc w:val="both"/>
                  <w:rPr>
                    <w:b/>
                    <w:bCs/>
                    <w:color w:val="000000"/>
                    <w:szCs w:val="24"/>
                  </w:rPr>
                </w:pPr>
                <w:r>
                  <w:rPr>
                    <w:b/>
                    <w:bCs/>
                    <w:color w:val="000000"/>
                    <w:szCs w:val="24"/>
                  </w:rPr>
                  <w:t>3 straipsnis. Pagrindinės šio įstatymo sąvokos</w:t>
                </w:r>
              </w:p>
              <w:p>
                <w:pPr>
                  <w:jc w:val="both"/>
                  <w:rPr>
                    <w:b/>
                    <w:bCs/>
                    <w:color w:val="000000"/>
                    <w:szCs w:val="24"/>
                  </w:rPr>
                </w:pPr>
                <w:r>
                  <w:rPr>
                    <w:b/>
                    <w:bCs/>
                    <w:color w:val="000000"/>
                    <w:szCs w:val="24"/>
                  </w:rPr>
                  <w:t>&lt;</w:t>
                </w:r>
                <w:r>
                  <w:rPr>
                    <w:color w:val="000000"/>
                    <w:szCs w:val="24"/>
                  </w:rPr>
                  <w:t>...</w:t>
                </w:r>
                <w:r>
                  <w:rPr>
                    <w:b/>
                    <w:bCs/>
                    <w:color w:val="000000"/>
                    <w:szCs w:val="24"/>
                  </w:rPr>
                  <w:t>&gt;</w:t>
                </w:r>
              </w:p>
              <w:p>
                <w:pPr>
                  <w:jc w:val="both"/>
                  <w:rPr>
                    <w:bCs/>
                    <w:iCs/>
                    <w:color w:val="000000"/>
                    <w:szCs w:val="24"/>
                  </w:rPr>
                </w:pPr>
                <w:r>
                  <w:rPr>
                    <w:bCs/>
                    <w:iCs/>
                    <w:color w:val="000000"/>
                    <w:szCs w:val="24"/>
                  </w:rPr>
                  <w:t xml:space="preserve">3. </w:t>
                </w:r>
                <w:r>
                  <w:rPr>
                    <w:b/>
                    <w:iCs/>
                    <w:color w:val="000000"/>
                    <w:szCs w:val="24"/>
                  </w:rPr>
                  <w:t>Ekonominės veiklos vykdytojas</w:t>
                </w:r>
                <w:r>
                  <w:rPr>
                    <w:bCs/>
                    <w:iCs/>
                    <w:color w:val="000000"/>
                    <w:szCs w:val="24"/>
                  </w:rPr>
                  <w:t xml:space="preserve"> – gamintojas, įgaliotasis atstovas, importuotojas, platintojas ar paslaugos teikėjas.</w:t>
                </w:r>
              </w:p>
              <w:p>
                <w:pPr>
                  <w:jc w:val="both"/>
                  <w:rPr>
                    <w:b/>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Cs/>
                    <w:color w:val="000000"/>
                    <w:szCs w:val="24"/>
                  </w:rPr>
                </w:pPr>
                <w:r>
                  <w:rPr>
                    <w:bCs/>
                    <w:color w:val="000000"/>
                    <w:szCs w:val="24"/>
                  </w:rPr>
                  <w:t>22) vartotojas – fizinis asmuo, kuris įsigyja atitinkamą gaminį arba yra atitinkamos paslaugos gavėjas ne jo prekybos, verslo, amato ar profesijos tikslais;</w:t>
                </w:r>
              </w:p>
            </w:tc>
            <w:tc>
              <w:tcPr>
                <w:tcW w:w="7868" w:type="dxa"/>
              </w:tcPr>
              <w:p>
                <w:pPr>
                  <w:jc w:val="both"/>
                  <w:rPr>
                    <w:b/>
                    <w:bCs/>
                    <w:color w:val="000000"/>
                    <w:szCs w:val="24"/>
                  </w:rPr>
                </w:pPr>
                <w:r>
                  <w:rPr>
                    <w:b/>
                    <w:bCs/>
                    <w:color w:val="000000"/>
                    <w:szCs w:val="24"/>
                  </w:rPr>
                  <w:t>VTAĮ</w:t>
                </w:r>
              </w:p>
              <w:p>
                <w:pPr>
                  <w:jc w:val="both"/>
                  <w:rPr>
                    <w:b/>
                    <w:bCs/>
                    <w:color w:val="000000"/>
                    <w:szCs w:val="24"/>
                  </w:rPr>
                </w:pPr>
              </w:p>
              <w:p>
                <w:pPr>
                  <w:jc w:val="both"/>
                  <w:rPr>
                    <w:b/>
                    <w:bCs/>
                    <w:color w:val="000000"/>
                    <w:szCs w:val="24"/>
                  </w:rPr>
                </w:pPr>
                <w:r>
                  <w:rPr>
                    <w:b/>
                    <w:bCs/>
                    <w:color w:val="000000"/>
                    <w:szCs w:val="24"/>
                  </w:rPr>
                  <w:t>2 straipsnis. Pagrindinės šio įstatymo sąvokos</w:t>
                </w:r>
              </w:p>
              <w:p>
                <w:pPr>
                  <w:jc w:val="both"/>
                  <w:rPr>
                    <w:b/>
                    <w:bCs/>
                    <w:color w:val="000000"/>
                    <w:szCs w:val="24"/>
                  </w:rPr>
                </w:pPr>
                <w:r>
                  <w:rPr>
                    <w:b/>
                    <w:bCs/>
                    <w:color w:val="000000"/>
                    <w:szCs w:val="24"/>
                  </w:rPr>
                  <w:t>&lt;</w:t>
                </w:r>
                <w:r>
                  <w:rPr>
                    <w:color w:val="000000"/>
                    <w:szCs w:val="24"/>
                  </w:rPr>
                  <w:t>...</w:t>
                </w:r>
                <w:r>
                  <w:rPr>
                    <w:b/>
                    <w:bCs/>
                    <w:color w:val="000000"/>
                    <w:szCs w:val="24"/>
                  </w:rPr>
                  <w:t>&gt;</w:t>
                </w:r>
              </w:p>
              <w:p>
                <w:pPr>
                  <w:jc w:val="both"/>
                  <w:rPr>
                    <w:b/>
                    <w:bCs/>
                    <w:color w:val="000000"/>
                    <w:szCs w:val="24"/>
                  </w:rPr>
                </w:pPr>
                <w:r>
                  <w:rPr>
                    <w:color w:val="000000"/>
                    <w:szCs w:val="24"/>
                  </w:rPr>
                  <w:t xml:space="preserve">20. </w:t>
                </w:r>
                <w:r>
                  <w:rPr>
                    <w:b/>
                    <w:bCs/>
                    <w:color w:val="000000"/>
                    <w:szCs w:val="24"/>
                  </w:rPr>
                  <w:t>Vartotojas</w:t>
                </w:r>
                <w:r>
                  <w:rPr>
                    <w:color w:val="000000"/>
                    <w:szCs w:val="24"/>
                  </w:rPr>
                  <w:t xml:space="preserve"> – fizinis asmuo, su savo verslu, prekyba, amatu ar profesija nesusijusiais tikslais (vartojimo tikslais) siekiantis sudaryti ar sudarantis sutartis.</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Cs/>
                    <w:color w:val="000000"/>
                    <w:szCs w:val="24"/>
                  </w:rPr>
                </w:pPr>
                <w:r>
                  <w:rPr>
                    <w:color w:val="000000"/>
                    <w:szCs w:val="24"/>
                  </w:rPr>
                  <w:t>23) labai maža įmonė – įmonė, kurioje dirba mažiau nei 10 darbuotojų ir kurios metinė apyvarta neviršija 2 mln. EUR arba kurios bendras metinis balansas neviršija 2 mln. EUR;</w:t>
                </w:r>
              </w:p>
            </w:tc>
            <w:tc>
              <w:tcPr>
                <w:tcW w:w="7868" w:type="dxa"/>
              </w:tcPr>
              <w:p>
                <w:pPr>
                  <w:jc w:val="both"/>
                  <w:rPr>
                    <w:b/>
                    <w:color w:val="000000"/>
                    <w:szCs w:val="24"/>
                  </w:rPr>
                </w:pPr>
                <w:r>
                  <w:rPr>
                    <w:b/>
                    <w:bCs/>
                    <w:color w:val="000000"/>
                    <w:szCs w:val="24"/>
                  </w:rPr>
                  <w:t>SVVPĮ</w:t>
                </w:r>
              </w:p>
              <w:p>
                <w:pPr>
                  <w:jc w:val="both"/>
                  <w:rPr>
                    <w:b/>
                    <w:color w:val="000000"/>
                    <w:szCs w:val="24"/>
                  </w:rPr>
                </w:pPr>
              </w:p>
              <w:p>
                <w:pPr>
                  <w:jc w:val="both"/>
                  <w:rPr>
                    <w:b/>
                    <w:color w:val="000000"/>
                    <w:szCs w:val="24"/>
                  </w:rPr>
                </w:pPr>
                <w:r>
                  <w:rPr>
                    <w:b/>
                    <w:color w:val="000000"/>
                    <w:szCs w:val="24"/>
                  </w:rPr>
                  <w:t>3 straipsnis. Vidutinės, mažos ir labai mažos įmonės</w:t>
                </w:r>
              </w:p>
              <w:p>
                <w:pPr>
                  <w:jc w:val="both"/>
                  <w:rPr>
                    <w:color w:val="000000"/>
                    <w:szCs w:val="24"/>
                  </w:rPr>
                </w:pPr>
                <w:r>
                  <w:rPr>
                    <w:color w:val="000000"/>
                    <w:szCs w:val="24"/>
                  </w:rPr>
                  <w:t>&lt;...&gt;</w:t>
                </w:r>
              </w:p>
              <w:p>
                <w:pPr>
                  <w:jc w:val="both"/>
                  <w:rPr>
                    <w:color w:val="000000"/>
                    <w:szCs w:val="24"/>
                  </w:rPr>
                </w:pPr>
                <w:r>
                  <w:rPr>
                    <w:color w:val="000000"/>
                    <w:szCs w:val="24"/>
                  </w:rPr>
                  <w:t>3. Labai maža įmonė – įmonė, kurioje dirba mažiau kaip 10 darbuotojų ir kurios finansiniai duomenys atitinka bent vieną iš šių sąlygų:</w:t>
                </w:r>
              </w:p>
              <w:p>
                <w:pPr>
                  <w:jc w:val="both"/>
                  <w:rPr>
                    <w:color w:val="000000"/>
                    <w:szCs w:val="24"/>
                  </w:rPr>
                </w:pPr>
                <w:r>
                  <w:rPr>
                    <w:color w:val="000000"/>
                    <w:szCs w:val="24"/>
                  </w:rPr>
                  <w:t>1) įmonės metinės pajamos neviršija 2 mln. eurų;</w:t>
                </w:r>
              </w:p>
              <w:p>
                <w:pPr>
                  <w:jc w:val="both"/>
                  <w:rPr>
                    <w:color w:val="000000"/>
                    <w:szCs w:val="24"/>
                  </w:rPr>
                </w:pPr>
                <w:r>
                  <w:rPr>
                    <w:color w:val="000000"/>
                    <w:szCs w:val="24"/>
                  </w:rPr>
                  <w:t>2) įmonės balanse nurodyto turto vertė neviršija 2 mln. eurų.</w:t>
                </w:r>
              </w:p>
              <w:p>
                <w:pPr>
                  <w:jc w:val="both"/>
                  <w:rPr>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Cs/>
                    <w:color w:val="000000"/>
                    <w:szCs w:val="24"/>
                  </w:rPr>
                </w:pPr>
                <w:r>
                  <w:rPr>
                    <w:color w:val="000000"/>
                    <w:szCs w:val="24"/>
                  </w:rPr>
                  <w:t>24) mažosios ir vidutinės įmonės arba MVĮ – įmonės, kuriose dirba mažiau nei 250 darbuotojų ir kurių metinė apyvarta neviršija 50 mln. EUR arba kurių bendras metinis balansas neviršija 43 mln. EUR, tačiau joms nepriskiriamos labai mažos įmonės;</w:t>
                </w:r>
              </w:p>
            </w:tc>
            <w:tc>
              <w:tcPr>
                <w:tcW w:w="7868" w:type="dxa"/>
              </w:tcPr>
              <w:p>
                <w:pPr>
                  <w:jc w:val="both"/>
                  <w:rPr>
                    <w:b/>
                    <w:color w:val="000000"/>
                    <w:szCs w:val="24"/>
                  </w:rPr>
                </w:pPr>
                <w:r>
                  <w:rPr>
                    <w:b/>
                    <w:bCs/>
                    <w:color w:val="000000"/>
                    <w:szCs w:val="24"/>
                  </w:rPr>
                  <w:t>SVVPĮ</w:t>
                </w:r>
              </w:p>
              <w:p>
                <w:pPr>
                  <w:jc w:val="both"/>
                  <w:rPr>
                    <w:b/>
                    <w:color w:val="000000"/>
                    <w:szCs w:val="24"/>
                  </w:rPr>
                </w:pPr>
              </w:p>
              <w:p>
                <w:pPr>
                  <w:jc w:val="both"/>
                  <w:rPr>
                    <w:b/>
                    <w:color w:val="000000"/>
                    <w:szCs w:val="24"/>
                  </w:rPr>
                </w:pPr>
                <w:r>
                  <w:rPr>
                    <w:b/>
                    <w:color w:val="000000"/>
                    <w:szCs w:val="24"/>
                  </w:rPr>
                  <w:t>3 straipsnis. Vidutinės, mažos ir labai mažos įmonės</w:t>
                </w:r>
              </w:p>
              <w:p>
                <w:pPr>
                  <w:jc w:val="both"/>
                  <w:rPr>
                    <w:color w:val="000000"/>
                    <w:szCs w:val="24"/>
                  </w:rPr>
                </w:pPr>
                <w:r>
                  <w:rPr>
                    <w:color w:val="000000"/>
                    <w:szCs w:val="24"/>
                  </w:rPr>
                  <w:t>1. Vidutinė įmonė – įmonė, kurioje dirba mažiau kaip 250 darbuotojų ir kurios finansiniai duomenys atitinka bent vieną iš šių sąlygų:</w:t>
                </w:r>
              </w:p>
              <w:p>
                <w:pPr>
                  <w:jc w:val="both"/>
                  <w:rPr>
                    <w:color w:val="000000"/>
                    <w:szCs w:val="24"/>
                  </w:rPr>
                </w:pPr>
                <w:r>
                  <w:rPr>
                    <w:color w:val="000000"/>
                    <w:szCs w:val="24"/>
                  </w:rPr>
                  <w:t>1) įmonės metinės pajamos</w:t>
                </w:r>
                <w:r>
                  <w:rPr>
                    <w:b/>
                    <w:bCs/>
                    <w:color w:val="000000"/>
                    <w:szCs w:val="24"/>
                  </w:rPr>
                  <w:t> </w:t>
                </w:r>
                <w:r>
                  <w:rPr>
                    <w:color w:val="000000"/>
                    <w:szCs w:val="24"/>
                  </w:rPr>
                  <w:t>neviršija 50 mln. eurų;</w:t>
                </w:r>
              </w:p>
              <w:p>
                <w:pPr>
                  <w:jc w:val="both"/>
                  <w:rPr>
                    <w:color w:val="000000"/>
                    <w:szCs w:val="24"/>
                  </w:rPr>
                </w:pPr>
                <w:r>
                  <w:rPr>
                    <w:color w:val="000000"/>
                    <w:szCs w:val="24"/>
                  </w:rPr>
                  <w:t>2) įmonės balanse nurodyto turto vertė neviršija 43 mln. eurų.</w:t>
                </w:r>
              </w:p>
              <w:p>
                <w:pPr>
                  <w:jc w:val="both"/>
                  <w:rPr>
                    <w:color w:val="000000"/>
                    <w:szCs w:val="24"/>
                  </w:rPr>
                </w:pPr>
                <w:r>
                  <w:rPr>
                    <w:color w:val="000000"/>
                    <w:szCs w:val="24"/>
                  </w:rPr>
                  <w:t>2. Maža įmonė – įmonė, kurioje dirba mažiau kaip 50 darbuotojų ir kurios finansiniai duomenys atitinka bent vieną iš šių sąlygų:</w:t>
                </w:r>
              </w:p>
              <w:p>
                <w:pPr>
                  <w:jc w:val="both"/>
                  <w:rPr>
                    <w:color w:val="000000"/>
                    <w:szCs w:val="24"/>
                  </w:rPr>
                </w:pPr>
                <w:r>
                  <w:rPr>
                    <w:color w:val="000000"/>
                    <w:szCs w:val="24"/>
                  </w:rPr>
                  <w:t>1) įmonės metinės pajamos neviršija 10 mln. eurų;</w:t>
                </w:r>
              </w:p>
              <w:p>
                <w:pPr>
                  <w:jc w:val="both"/>
                  <w:rPr>
                    <w:color w:val="000000"/>
                    <w:szCs w:val="24"/>
                  </w:rPr>
                </w:pPr>
                <w:r>
                  <w:rPr>
                    <w:color w:val="000000"/>
                    <w:szCs w:val="24"/>
                  </w:rPr>
                  <w:t>2) įmonės balanse nurodyto turto vertė neviršija 10 mln. eurų.</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845"/>
            </w:trPr>
            <w:tc>
              <w:tcPr>
                <w:tcW w:w="5264" w:type="dxa"/>
              </w:tcPr>
              <w:p>
                <w:pPr>
                  <w:jc w:val="both"/>
                  <w:rPr>
                    <w:color w:val="000000"/>
                    <w:szCs w:val="24"/>
                  </w:rPr>
                </w:pPr>
                <w:r>
                  <w:rPr>
                    <w:color w:val="000000"/>
                    <w:szCs w:val="24"/>
                  </w:rPr>
                  <w:t>25) darnusis standartas – darnusis standartas, kaip apibrėžta Reglamento (ES) Nr. 1025/2012 2 straipsnio 1 punkto c papunktyje;</w:t>
                </w:r>
              </w:p>
            </w:tc>
            <w:tc>
              <w:tcPr>
                <w:tcW w:w="7868" w:type="dxa"/>
              </w:tcPr>
              <w:p>
                <w:pPr>
                  <w:jc w:val="both"/>
                  <w:rPr>
                    <w:b/>
                    <w:bCs/>
                    <w:color w:val="000000"/>
                    <w:szCs w:val="24"/>
                  </w:rPr>
                </w:pPr>
                <w:r>
                  <w:rPr>
                    <w:i/>
                    <w:color w:val="000000"/>
                    <w:szCs w:val="24"/>
                  </w:rPr>
                  <w:t>Nuostatos perkelti nereikia, nes ji apibrėžta tiesioginio taikymo teisės akte – Reglamente (ES) Nr. 1025/2012.</w:t>
                </w:r>
              </w:p>
            </w:tc>
            <w:tc>
              <w:tcPr>
                <w:tcW w:w="1858" w:type="dxa"/>
              </w:tcPr>
              <w:p>
                <w:pPr>
                  <w:jc w:val="both"/>
                  <w:rPr>
                    <w:b/>
                    <w:bCs/>
                    <w:color w:val="000000"/>
                    <w:szCs w:val="24"/>
                  </w:rPr>
                </w:pPr>
                <w:r>
                  <w:rPr>
                    <w:b/>
                    <w:bCs/>
                    <w:color w:val="000000"/>
                    <w:szCs w:val="24"/>
                  </w:rPr>
                  <w:t>Visiškas</w:t>
                </w:r>
              </w:p>
            </w:tc>
          </w:tr>
          <w:tr>
            <w:trPr>
              <w:trHeight w:val="1412"/>
            </w:trPr>
            <w:tc>
              <w:tcPr>
                <w:tcW w:w="5264" w:type="dxa"/>
              </w:tcPr>
              <w:p>
                <w:pPr>
                  <w:jc w:val="both"/>
                  <w:rPr>
                    <w:color w:val="000000"/>
                    <w:szCs w:val="24"/>
                  </w:rPr>
                </w:pPr>
                <w:r>
                  <w:rPr>
                    <w:color w:val="000000"/>
                    <w:szCs w:val="24"/>
                  </w:rPr>
                  <w:t>26) techninė specifikacija – techninė specifikacija, kaip apibrėžta Reglamento (ES) Nr. 1025/2012 2 straipsnio 4 punkte, kurioje apibrėžta, kaip laikytis gaminiui arba paslaugai taikytinų prieinamumo reikalavimų;</w:t>
                </w:r>
              </w:p>
            </w:tc>
            <w:tc>
              <w:tcPr>
                <w:tcW w:w="7868" w:type="dxa"/>
              </w:tcPr>
              <w:p>
                <w:pPr>
                  <w:jc w:val="both"/>
                  <w:rPr>
                    <w:b/>
                    <w:bCs/>
                    <w:color w:val="000000"/>
                    <w:szCs w:val="24"/>
                  </w:rPr>
                </w:pPr>
                <w:r>
                  <w:rPr>
                    <w:i/>
                    <w:color w:val="000000"/>
                    <w:szCs w:val="24"/>
                  </w:rPr>
                  <w:t>Nuostatos perkelti nereikia, nes ji apibrėžta tiesioginio taikymo teisės akte – Reglamente (ES) Nr. 1025/2012.</w:t>
                </w:r>
              </w:p>
            </w:tc>
            <w:tc>
              <w:tcPr>
                <w:tcW w:w="1858" w:type="dxa"/>
              </w:tcPr>
              <w:p>
                <w:pPr>
                  <w:jc w:val="both"/>
                  <w:rPr>
                    <w:b/>
                    <w:bCs/>
                    <w:color w:val="000000"/>
                    <w:szCs w:val="24"/>
                  </w:rPr>
                </w:pPr>
                <w:r>
                  <w:rPr>
                    <w:b/>
                    <w:bCs/>
                    <w:color w:val="000000"/>
                    <w:szCs w:val="24"/>
                  </w:rPr>
                  <w:t>Visiškas</w:t>
                </w:r>
              </w:p>
            </w:tc>
          </w:tr>
          <w:tr>
            <w:trPr>
              <w:trHeight w:val="1975"/>
            </w:trPr>
            <w:tc>
              <w:tcPr>
                <w:tcW w:w="526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27) pašalinimas – priemonė, kuria siekiama užkirsti kelią tiekimo grandinėje esančio gaminio tiekimui rinkai;</w:t>
                </w:r>
              </w:p>
            </w:tc>
            <w:tc>
              <w:tcPr>
                <w:tcW w:w="7868" w:type="dxa"/>
                <w:tcBorders>
                  <w:top w:val="single" w:sz="4" w:space="0" w:color="auto"/>
                  <w:left w:val="single" w:sz="4" w:space="0" w:color="auto"/>
                  <w:bottom w:val="single" w:sz="4" w:space="0" w:color="auto"/>
                  <w:right w:val="single" w:sz="4" w:space="0" w:color="auto"/>
                </w:tcBorders>
              </w:tcPr>
              <w:p>
                <w:pPr>
                  <w:jc w:val="both"/>
                  <w:rPr>
                    <w:b/>
                    <w:color w:val="000000"/>
                    <w:szCs w:val="24"/>
                  </w:rPr>
                </w:pPr>
                <w:r>
                  <w:rPr>
                    <w:b/>
                    <w:color w:val="000000"/>
                    <w:szCs w:val="24"/>
                  </w:rPr>
                  <w:t>Projektas</w:t>
                </w:r>
              </w:p>
              <w:p>
                <w:pPr>
                  <w:ind w:firstLine="708"/>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13. </w:t>
                </w:r>
                <w:r>
                  <w:rPr>
                    <w:b/>
                    <w:bCs/>
                    <w:color w:val="000000"/>
                    <w:szCs w:val="24"/>
                  </w:rPr>
                  <w:t xml:space="preserve">Pašalinimas iš rinkos </w:t>
                </w:r>
                <w:r>
                  <w:rPr>
                    <w:bCs/>
                    <w:color w:val="000000"/>
                    <w:szCs w:val="24"/>
                  </w:rPr>
                  <w:t> – priemonė, kuria siekiama užkirsti kelią tiekimo grandinėje esančio gaminio tiekimui į rinką.</w:t>
                </w:r>
              </w:p>
              <w:p>
                <w:pPr>
                  <w:jc w:val="both"/>
                  <w:rPr>
                    <w:bCs/>
                    <w:color w:val="000000"/>
                    <w:szCs w:val="24"/>
                  </w:rPr>
                </w:pPr>
              </w:p>
            </w:tc>
            <w:tc>
              <w:tcPr>
                <w:tcW w:w="1858" w:type="dxa"/>
                <w:tcBorders>
                  <w:top w:val="single" w:sz="4" w:space="0" w:color="auto"/>
                  <w:left w:val="single" w:sz="4" w:space="0" w:color="auto"/>
                  <w:bottom w:val="single" w:sz="4" w:space="0" w:color="auto"/>
                  <w:right w:val="single" w:sz="4" w:space="0" w:color="auto"/>
                </w:tcBorders>
              </w:tcPr>
              <w:p>
                <w:pPr>
                  <w:jc w:val="both"/>
                  <w:rPr>
                    <w:b/>
                    <w:bCs/>
                    <w:color w:val="000000"/>
                    <w:szCs w:val="24"/>
                  </w:rPr>
                </w:pPr>
                <w:r>
                  <w:rPr>
                    <w:b/>
                    <w:bCs/>
                    <w:color w:val="000000"/>
                    <w:szCs w:val="24"/>
                  </w:rPr>
                  <w:t>Visiškas</w:t>
                </w:r>
              </w:p>
            </w:tc>
          </w:tr>
          <w:tr>
            <w:trPr>
              <w:trHeight w:val="1975"/>
            </w:trPr>
            <w:tc>
              <w:tcPr>
                <w:tcW w:w="5264" w:type="dxa"/>
                <w:shd w:val="clear" w:color="auto" w:fill="auto"/>
              </w:tcPr>
              <w:p>
                <w:pPr>
                  <w:jc w:val="both"/>
                  <w:rPr>
                    <w:color w:val="000000"/>
                    <w:szCs w:val="24"/>
                  </w:rPr>
                </w:pPr>
                <w:r>
                  <w:rPr>
                    <w:color w:val="000000"/>
                    <w:szCs w:val="24"/>
                  </w:rPr>
                  <w:t>28) banko paslaugos vartotojams – toliau nurodytų banko ir finansinių paslaugų teikimas vartotojams:</w:t>
                </w:r>
              </w:p>
              <w:p>
                <w:pPr>
                  <w:jc w:val="both"/>
                  <w:rPr>
                    <w:color w:val="000000"/>
                    <w:szCs w:val="24"/>
                  </w:rPr>
                </w:pPr>
                <w:r>
                  <w:rPr>
                    <w:color w:val="000000"/>
                    <w:szCs w:val="24"/>
                  </w:rPr>
                  <w:t>a) kredito sutarčių, kurioms taikoma Europos Parlamento ir Tarybos direktyva 2008/48/EB arba Europos Parlamento ir Tarybos direktyva 2014/17/ES;</w:t>
                </w:r>
              </w:p>
              <w:p>
                <w:pPr>
                  <w:jc w:val="both"/>
                  <w:rPr>
                    <w:color w:val="000000"/>
                    <w:szCs w:val="24"/>
                  </w:rPr>
                </w:pPr>
                <w:r>
                  <w:rPr>
                    <w:color w:val="000000"/>
                    <w:szCs w:val="24"/>
                  </w:rPr>
                  <w:t>b) paslaugų, kaip apibrėžta Europos Parlamento ir Tarybos direktyvos 2014/65/ES I priedo A skirsnio 1, 2, 4 ir 5 punktuose bei B skirsnio 1, 2, 4 ir 5 punktuose;</w:t>
                </w:r>
              </w:p>
              <w:p>
                <w:pPr>
                  <w:jc w:val="both"/>
                  <w:rPr>
                    <w:color w:val="000000"/>
                    <w:szCs w:val="24"/>
                  </w:rPr>
                </w:pPr>
                <w:r>
                  <w:rPr>
                    <w:color w:val="000000"/>
                    <w:szCs w:val="24"/>
                  </w:rPr>
                  <w:t>c) mokėjimo paslaugų, kaip apibrėžta Europos Parlamento ir Tarybos direktyvos (ES) 2015/2366 4 straipsnio 3 punkte;</w:t>
                </w:r>
              </w:p>
              <w:p>
                <w:pPr>
                  <w:jc w:val="both"/>
                  <w:rPr>
                    <w:color w:val="000000"/>
                    <w:szCs w:val="24"/>
                  </w:rPr>
                </w:pPr>
                <w:r>
                  <w:rPr>
                    <w:color w:val="000000"/>
                    <w:szCs w:val="24"/>
                  </w:rPr>
                  <w:t>d) su mokėjimo sąskaitomis susijusių paslaugų, kaip apibrėžta Europos Parlamento ir Tarybos direktyvos 2014/92/ES 2 straipsnio 6 punkte, ir</w:t>
                </w:r>
              </w:p>
              <w:p>
                <w:pPr>
                  <w:jc w:val="both"/>
                  <w:rPr>
                    <w:color w:val="000000"/>
                    <w:szCs w:val="24"/>
                  </w:rPr>
                </w:pPr>
                <w:r>
                  <w:rPr>
                    <w:color w:val="000000"/>
                    <w:szCs w:val="24"/>
                  </w:rPr>
                  <w:t>e) elektroninių pinigų, kaip apibrėžta Europos Parlamento ir Tarybos direktyvos 2009/110/EB 2 straipsnio 2 punkte;</w:t>
                </w:r>
              </w:p>
            </w:tc>
            <w:tc>
              <w:tcPr>
                <w:tcW w:w="7868" w:type="dxa"/>
                <w:shd w:val="clear" w:color="auto" w:fill="auto"/>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2. </w:t>
                </w:r>
                <w:r>
                  <w:rPr>
                    <w:b/>
                    <w:bCs/>
                    <w:color w:val="000000"/>
                    <w:szCs w:val="24"/>
                  </w:rPr>
                  <w:t xml:space="preserve">Banko paslaugos vartotojams </w:t>
                </w:r>
                <w:r>
                  <w:rPr>
                    <w:bCs/>
                    <w:color w:val="000000"/>
                    <w:szCs w:val="24"/>
                  </w:rPr>
                  <w:t> – vartotojams teikiamos banko ir finansinės paslaugos:</w:t>
                </w:r>
              </w:p>
              <w:p>
                <w:pPr>
                  <w:jc w:val="both"/>
                  <w:rPr>
                    <w:bCs/>
                    <w:color w:val="000000"/>
                    <w:szCs w:val="24"/>
                  </w:rPr>
                </w:pPr>
                <w:r>
                  <w:rPr>
                    <w:bCs/>
                    <w:color w:val="000000"/>
                    <w:szCs w:val="24"/>
                  </w:rPr>
                  <w:t>1) su nekilnojamuoju turtu susijusio kredito, kuriam taikomas Lietuvos Respublikos su nekilnojamuoju turtu susijusio kredito įstatymas, teikimas;</w:t>
                </w:r>
              </w:p>
              <w:p>
                <w:pPr>
                  <w:jc w:val="both"/>
                  <w:rPr>
                    <w:bCs/>
                    <w:color w:val="000000"/>
                    <w:szCs w:val="24"/>
                  </w:rPr>
                </w:pPr>
                <w:r>
                  <w:rPr>
                    <w:bCs/>
                    <w:color w:val="000000"/>
                    <w:szCs w:val="24"/>
                  </w:rPr>
                  <w:t>2) vartojimo kredito, kuriam taikomas Lietuvos Respublikos vartojimo kredito įstatymas, teikimas;</w:t>
                </w:r>
              </w:p>
              <w:p>
                <w:pPr>
                  <w:jc w:val="both"/>
                  <w:rPr>
                    <w:bCs/>
                    <w:color w:val="000000"/>
                    <w:szCs w:val="24"/>
                  </w:rPr>
                </w:pPr>
                <w:r>
                  <w:rPr>
                    <w:bCs/>
                    <w:color w:val="000000"/>
                    <w:szCs w:val="24"/>
                  </w:rPr>
                  <w:t>3) Lietuvos Respublikos finansinių priemonių rinkų įstatymo 3 straipsnio 26 dalies 1, 2, 4 ir 5 punktuose bei 45 dalies 1, 2, 4 ir 5 punktuose nustatytos paslaugos;</w:t>
                </w:r>
              </w:p>
              <w:p>
                <w:pPr>
                  <w:jc w:val="both"/>
                  <w:rPr>
                    <w:bCs/>
                    <w:color w:val="000000"/>
                    <w:szCs w:val="24"/>
                  </w:rPr>
                </w:pPr>
                <w:r>
                  <w:rPr>
                    <w:bCs/>
                    <w:color w:val="000000"/>
                    <w:szCs w:val="24"/>
                  </w:rPr>
                  <w:t>4) Lietuvos Respublikos mokėjimų įstatymo 2 straipsnio 58 dalyje nustatytos su mokėjimo sąskaita susijusios paslaugos ir 5 straipsnyje nustatytos mokėjimo paslaugos;</w:t>
                </w:r>
              </w:p>
              <w:p>
                <w:pPr>
                  <w:jc w:val="both"/>
                  <w:rPr>
                    <w:bCs/>
                    <w:color w:val="000000"/>
                    <w:szCs w:val="24"/>
                  </w:rPr>
                </w:pPr>
                <w:r>
                  <w:rPr>
                    <w:bCs/>
                    <w:color w:val="000000"/>
                    <w:szCs w:val="24"/>
                  </w:rPr>
                  <w:t>5) elektroninių pinigų, kaip apibrėžta Lietuvos Respublikos elektroninių pinigų ir elektroninių pinigų įstaigų įstatymo 2 straipsnio 1 dalyje, leidimas.</w:t>
                </w:r>
              </w:p>
            </w:tc>
            <w:tc>
              <w:tcPr>
                <w:tcW w:w="1858" w:type="dxa"/>
                <w:shd w:val="clear" w:color="auto" w:fill="auto"/>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29) mokėjimo terminalas – prietaisas, kurio pagrindinė paskirtis yra sudaryti galimybę atlikti mokėjimus naudojant mokėjimo priemones, kaip apibrėžta Direktyvos (ES) 2015/2366 4 straipsnio 14 punkte, fizinėje pardavimo vietoje, o ne virtualioje aplinkoje;</w:t>
                </w: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11. </w:t>
                </w:r>
                <w:r>
                  <w:rPr>
                    <w:b/>
                    <w:color w:val="000000"/>
                    <w:szCs w:val="24"/>
                  </w:rPr>
                  <w:t>Mokėjimo terminalas</w:t>
                </w:r>
                <w:r>
                  <w:rPr>
                    <w:bCs/>
                    <w:color w:val="000000"/>
                    <w:szCs w:val="24"/>
                  </w:rPr>
                  <w:t> – prietaisas, kurio pagrindinė paskirtis yra sudaryti galimybę atlikti mokėjimus fizinėje pardavimo vietoje naudojant mokėjimo priemones, apibrėžtas Mokėjimų įstatymo 2 straipsnio 32 dalyje.</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30) e. prekybos paslaugos – paslaugos, teikiamos nuotoliniu būdu, naudojant interneto svetaines ir nešiojamaisiais prietaisais teikiamas paslaugas, elektroninėmis priemonėmis ir individualiu vartotojo prašymu siekiant sudaryti vartojimo sutartį;</w:t>
                </w: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6. </w:t>
                </w:r>
                <w:r>
                  <w:rPr>
                    <w:b/>
                    <w:color w:val="000000"/>
                    <w:szCs w:val="24"/>
                  </w:rPr>
                  <w:t>Elektroninės prekybos paslaugos</w:t>
                </w:r>
                <w:r>
                  <w:rPr>
                    <w:bCs/>
                    <w:color w:val="000000"/>
                    <w:szCs w:val="24"/>
                  </w:rPr>
                  <w:t> – paslaugos, teikiamos nuotoliniu būdu, naudojant interneto svetaines ir nešiojamuosius prietaisus teikiamas paslaugas, elektroninėmis priemonėmis ir individualiu vartotojo prašymu siekiant sudaryti vartojimo sutartį.</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31) keleivinio oro transporto paslaugos – komercinės keleivių skraidinimo paslaugos, kaip apibrėžta Reglamento (EB) Nr. 1107/2006 2 straipsnio l punkte, teikiamos išvykstant iš oro uosto, vykstant per jį tranzitu arba atvykstant į jį, kai oro uostas yra valstybės narės teritorijoje, įskaitant skrydžius iš oro uosto, kuris yra trečiojoje valstybėje, į oro uostą, kuris yra valstybės narės teritorijoje, kai paslaugas teikia Sąjungos oro vežėjai;</w:t>
                </w:r>
              </w:p>
            </w:tc>
            <w:tc>
              <w:tcPr>
                <w:tcW w:w="7868" w:type="dxa"/>
              </w:tcPr>
              <w:p>
                <w:pPr>
                  <w:jc w:val="both"/>
                  <w:rPr>
                    <w:b/>
                    <w:bCs/>
                    <w:color w:val="000000"/>
                    <w:szCs w:val="24"/>
                  </w:rPr>
                </w:pPr>
                <w:r>
                  <w:rPr>
                    <w:i/>
                    <w:color w:val="000000"/>
                    <w:szCs w:val="24"/>
                  </w:rPr>
                  <w:t>Nuostata apibrėžta tiesioginio taikymo teisės akte – Reglamente (EB) Nr. 1107/2006.</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32) keleivinio autobusų transporto paslaugos – paslaugos, kurioms taikomos Reglamento (ES) Nr. 181/2011 2 straipsnio 1 ir 2 dalys;</w:t>
                </w:r>
              </w:p>
            </w:tc>
            <w:tc>
              <w:tcPr>
                <w:tcW w:w="7868" w:type="dxa"/>
              </w:tcPr>
              <w:p>
                <w:pPr>
                  <w:jc w:val="both"/>
                  <w:rPr>
                    <w:b/>
                    <w:bCs/>
                    <w:color w:val="000000"/>
                    <w:szCs w:val="24"/>
                  </w:rPr>
                </w:pPr>
                <w:r>
                  <w:rPr>
                    <w:i/>
                    <w:color w:val="000000"/>
                    <w:szCs w:val="24"/>
                  </w:rPr>
                  <w:t>Nuostata apibrėžta tiesioginio taikymo teisės akte – Reglamente (ES) Nr. 181/2011.</w:t>
                </w:r>
              </w:p>
            </w:tc>
            <w:tc>
              <w:tcPr>
                <w:tcW w:w="1858" w:type="dxa"/>
              </w:tcPr>
              <w:p>
                <w:pPr>
                  <w:jc w:val="both"/>
                  <w:rPr>
                    <w:b/>
                    <w:bCs/>
                    <w:color w:val="000000"/>
                    <w:szCs w:val="24"/>
                  </w:rPr>
                </w:pPr>
                <w:r>
                  <w:rPr>
                    <w:b/>
                    <w:bCs/>
                    <w:color w:val="000000"/>
                    <w:szCs w:val="24"/>
                  </w:rPr>
                  <w:t>Visiškas</w:t>
                </w:r>
              </w:p>
            </w:tc>
          </w:tr>
          <w:tr>
            <w:trPr>
              <w:trHeight w:val="1270"/>
            </w:trPr>
            <w:tc>
              <w:tcPr>
                <w:tcW w:w="5264" w:type="dxa"/>
              </w:tcPr>
              <w:p>
                <w:pPr>
                  <w:jc w:val="both"/>
                  <w:rPr>
                    <w:color w:val="000000"/>
                    <w:szCs w:val="24"/>
                  </w:rPr>
                </w:pPr>
                <w:r>
                  <w:rPr>
                    <w:color w:val="000000"/>
                    <w:szCs w:val="24"/>
                  </w:rPr>
                  <w:t>33) keleivinio geležinkelių transporto paslaugos – visos keleivių vežimo geležinkeliu paslaugos, nurodytos Reglamento (EB) Nr. 1371/2007 2 straipsnio 1 dalyje, išskyrus paslaugas, nurodytas to reglamento 2 straipsnio 2 dalyje;</w:t>
                </w:r>
              </w:p>
            </w:tc>
            <w:tc>
              <w:tcPr>
                <w:tcW w:w="7868" w:type="dxa"/>
              </w:tcPr>
              <w:p>
                <w:pPr>
                  <w:jc w:val="both"/>
                  <w:rPr>
                    <w:b/>
                    <w:bCs/>
                    <w:color w:val="000000"/>
                    <w:szCs w:val="24"/>
                  </w:rPr>
                </w:pPr>
                <w:r>
                  <w:rPr>
                    <w:i/>
                    <w:color w:val="000000"/>
                    <w:szCs w:val="24"/>
                  </w:rPr>
                  <w:t>Nuostata apibrėžta tiesioginio taikymo teisės akte – Reglamente (EB) Nr. 1371/2007.</w:t>
                </w:r>
              </w:p>
            </w:tc>
            <w:tc>
              <w:tcPr>
                <w:tcW w:w="1858" w:type="dxa"/>
              </w:tcPr>
              <w:p>
                <w:pPr>
                  <w:jc w:val="both"/>
                  <w:rPr>
                    <w:b/>
                    <w:bCs/>
                    <w:color w:val="000000"/>
                    <w:szCs w:val="24"/>
                  </w:rPr>
                </w:pPr>
                <w:r>
                  <w:rPr>
                    <w:b/>
                    <w:bCs/>
                    <w:color w:val="000000"/>
                    <w:szCs w:val="24"/>
                  </w:rPr>
                  <w:t>Visiškas</w:t>
                </w:r>
              </w:p>
            </w:tc>
          </w:tr>
          <w:tr>
            <w:trPr>
              <w:trHeight w:val="1163"/>
            </w:trPr>
            <w:tc>
              <w:tcPr>
                <w:tcW w:w="5264" w:type="dxa"/>
                <w:tcBorders>
                  <w:top w:val="single" w:sz="4" w:space="0" w:color="auto"/>
                  <w:left w:val="single" w:sz="4" w:space="0" w:color="auto"/>
                  <w:bottom w:val="single" w:sz="4" w:space="0" w:color="auto"/>
                  <w:right w:val="single" w:sz="4" w:space="0" w:color="auto"/>
                </w:tcBorders>
              </w:tcPr>
              <w:p>
                <w:pPr>
                  <w:jc w:val="both"/>
                  <w:rPr>
                    <w:color w:val="000000"/>
                    <w:szCs w:val="24"/>
                  </w:rPr>
                </w:pPr>
                <w:r>
                  <w:rPr>
                    <w:color w:val="000000"/>
                    <w:szCs w:val="24"/>
                  </w:rPr>
                  <w:t>34) keleivinio vandens transporto paslaugos – keleivių vežimo paslaugos, kurioms taikoma Reglamento (ES) Nr. 1177/2010 2 straipsnio 1 dalis, išskyrus paslaugas, nurodytas to reglamento 2 straipsnio 2 dalyje;</w:t>
                </w:r>
              </w:p>
            </w:tc>
            <w:tc>
              <w:tcPr>
                <w:tcW w:w="7868" w:type="dxa"/>
                <w:tcBorders>
                  <w:top w:val="single" w:sz="4" w:space="0" w:color="auto"/>
                  <w:left w:val="single" w:sz="4" w:space="0" w:color="auto"/>
                  <w:bottom w:val="single" w:sz="4" w:space="0" w:color="auto"/>
                  <w:right w:val="single" w:sz="4" w:space="0" w:color="auto"/>
                </w:tcBorders>
              </w:tcPr>
              <w:p>
                <w:pPr>
                  <w:jc w:val="both"/>
                  <w:rPr>
                    <w:b/>
                    <w:bCs/>
                    <w:color w:val="000000"/>
                    <w:szCs w:val="24"/>
                  </w:rPr>
                </w:pPr>
                <w:r>
                  <w:rPr>
                    <w:i/>
                    <w:color w:val="000000"/>
                    <w:szCs w:val="24"/>
                  </w:rPr>
                  <w:t>Nuostata apibrėžta tiesioginio taikymo teisės akte – Reglamente (ES) Nr. 1177/2010.</w:t>
                </w:r>
              </w:p>
            </w:tc>
            <w:tc>
              <w:tcPr>
                <w:tcW w:w="1858" w:type="dxa"/>
                <w:tcBorders>
                  <w:top w:val="single" w:sz="4" w:space="0" w:color="auto"/>
                  <w:left w:val="single" w:sz="4" w:space="0" w:color="auto"/>
                  <w:bottom w:val="single" w:sz="4" w:space="0" w:color="auto"/>
                  <w:right w:val="single" w:sz="4" w:space="0" w:color="auto"/>
                </w:tcBorders>
              </w:tcPr>
              <w:p>
                <w:pPr>
                  <w:jc w:val="both"/>
                  <w:rPr>
                    <w:b/>
                    <w:bCs/>
                    <w:color w:val="000000"/>
                    <w:szCs w:val="24"/>
                  </w:rPr>
                </w:pPr>
                <w:r>
                  <w:rPr>
                    <w:b/>
                    <w:bCs/>
                    <w:color w:val="000000"/>
                    <w:szCs w:val="24"/>
                  </w:rPr>
                  <w:t>Visiškas</w:t>
                </w:r>
              </w:p>
            </w:tc>
          </w:tr>
          <w:tr>
            <w:trPr>
              <w:trHeight w:val="1975"/>
            </w:trPr>
            <w:tc>
              <w:tcPr>
                <w:tcW w:w="5264" w:type="dxa"/>
                <w:shd w:val="clear" w:color="auto" w:fill="FFFFFF" w:themeFill="background1"/>
              </w:tcPr>
              <w:p>
                <w:pPr>
                  <w:jc w:val="both"/>
                  <w:rPr>
                    <w:color w:val="000000"/>
                    <w:szCs w:val="24"/>
                  </w:rPr>
                </w:pPr>
                <w:r>
                  <w:rPr>
                    <w:color w:val="000000"/>
                    <w:szCs w:val="24"/>
                  </w:rPr>
                  <w:t>35) mieste ir priemiesčiuose teikiamos transporto paslaugos – mieste ir priemiesčiuose teikiamos paslaugos, kaip apibrėžta Europos Parlamento ir Tarybos direktyvos 2012/34/ES ( 34 ) 3 straipsnio 6 punkte, bet šios direktyvos tikslais tai apima tik šias transporto rūšis: geležinkelių, autobusų ir tolimojo susisiekimo autobusų, metro, tramvajų ir troleibusų transportą;</w:t>
                </w:r>
              </w:p>
              <w:p>
                <w:pPr>
                  <w:jc w:val="both"/>
                  <w:rPr>
                    <w:color w:val="000000"/>
                    <w:szCs w:val="24"/>
                  </w:rPr>
                </w:pPr>
              </w:p>
              <w:p>
                <w:pPr>
                  <w:jc w:val="both"/>
                  <w:rPr>
                    <w:i/>
                    <w:iCs/>
                    <w:color w:val="000000"/>
                    <w:szCs w:val="24"/>
                  </w:rPr>
                </w:pPr>
                <w:r>
                  <w:rPr>
                    <w:i/>
                    <w:iCs/>
                    <w:color w:val="000000"/>
                    <w:szCs w:val="24"/>
                  </w:rPr>
                  <w:t>Direktyvos 2012/34/ES 3 straipsnio 6 punktas:</w:t>
                </w:r>
              </w:p>
              <w:p>
                <w:pPr>
                  <w:jc w:val="both"/>
                  <w:rPr>
                    <w:color w:val="000000"/>
                    <w:szCs w:val="24"/>
                  </w:rPr>
                </w:pPr>
                <w:r>
                  <w:rPr>
                    <w:i/>
                    <w:iCs/>
                    <w:color w:val="000000"/>
                    <w:szCs w:val="24"/>
                  </w:rPr>
                  <w:t>„mieste ir priemiesčiuose teikiamos paslaugos – transporto paslaugos, kurių pagrindinė paskirtis – patenkinti miesto arba aglomeracijos, įskaitant tarpvalstybinę aglomeraciją, transporto poreikius ir transporto poreikius tarp tokio miesto arba aglomeracijos ir juos supančių rajonų;“</w:t>
                </w:r>
              </w:p>
            </w:tc>
            <w:tc>
              <w:tcPr>
                <w:tcW w:w="7868" w:type="dxa"/>
                <w:shd w:val="clear" w:color="auto" w:fill="FFFFFF" w:themeFill="background1"/>
              </w:tcPr>
              <w:p>
                <w:pPr>
                  <w:jc w:val="both"/>
                  <w:rPr>
                    <w:b/>
                    <w:bCs/>
                    <w:color w:val="000000"/>
                    <w:szCs w:val="24"/>
                  </w:rPr>
                </w:pPr>
                <w:r>
                  <w:rPr>
                    <w:b/>
                    <w:bCs/>
                    <w:color w:val="000000"/>
                    <w:szCs w:val="24"/>
                  </w:rPr>
                  <w:t>TVPĮ</w:t>
                </w:r>
              </w:p>
              <w:p>
                <w:pPr>
                  <w:jc w:val="both"/>
                  <w:rPr>
                    <w:b/>
                    <w:bCs/>
                    <w:color w:val="000000"/>
                    <w:szCs w:val="24"/>
                  </w:rPr>
                </w:pPr>
              </w:p>
              <w:p>
                <w:pPr>
                  <w:jc w:val="both"/>
                  <w:rPr>
                    <w:b/>
                    <w:color w:val="000000"/>
                    <w:szCs w:val="24"/>
                  </w:rPr>
                </w:pPr>
                <w:r>
                  <w:rPr>
                    <w:b/>
                    <w:color w:val="000000"/>
                    <w:szCs w:val="24"/>
                  </w:rPr>
                  <w:t>2 straipsnis. Pagrindinės šio Įstatymo sąvokos</w:t>
                </w:r>
              </w:p>
              <w:p>
                <w:pPr>
                  <w:jc w:val="both"/>
                  <w:rPr>
                    <w:bCs/>
                    <w:color w:val="000000"/>
                    <w:szCs w:val="24"/>
                  </w:rPr>
                </w:pPr>
                <w:r>
                  <w:rPr>
                    <w:bCs/>
                    <w:color w:val="000000"/>
                    <w:szCs w:val="24"/>
                  </w:rPr>
                  <w:t>&lt;…&gt;</w:t>
                </w:r>
              </w:p>
              <w:p>
                <w:pPr>
                  <w:jc w:val="both"/>
                  <w:rPr>
                    <w:bCs/>
                    <w:color w:val="000000"/>
                    <w:szCs w:val="24"/>
                  </w:rPr>
                </w:pPr>
                <w:r>
                  <w:rPr>
                    <w:color w:val="000000"/>
                    <w:szCs w:val="24"/>
                  </w:rPr>
                  <w:t xml:space="preserve">17. </w:t>
                </w:r>
                <w:r>
                  <w:rPr>
                    <w:b/>
                    <w:bCs/>
                    <w:color w:val="000000"/>
                    <w:szCs w:val="24"/>
                  </w:rPr>
                  <w:t>Viešasis transportas</w:t>
                </w:r>
                <w:r>
                  <w:rPr>
                    <w:color w:val="000000"/>
                    <w:szCs w:val="24"/>
                  </w:rPr>
                  <w:t xml:space="preserve"> – keleivių, bagažo ir (arba) krovinių vežimo nustatytais maršrutais nustatytu laiku paslauga, teikiama visiems, kurie kreipiasi.</w:t>
                </w:r>
                <w:r>
                  <w:rPr>
                    <w:bCs/>
                    <w:color w:val="000000"/>
                    <w:szCs w:val="24"/>
                  </w:rPr>
                  <w:t xml:space="preserve"> </w:t>
                </w:r>
              </w:p>
              <w:p>
                <w:pPr>
                  <w:jc w:val="both"/>
                  <w:rPr>
                    <w:b/>
                    <w:bCs/>
                    <w:color w:val="000000"/>
                    <w:szCs w:val="24"/>
                  </w:rPr>
                </w:pPr>
              </w:p>
              <w:p>
                <w:pPr>
                  <w:jc w:val="both"/>
                  <w:rPr>
                    <w:b/>
                    <w:bCs/>
                    <w:color w:val="000000"/>
                    <w:szCs w:val="24"/>
                  </w:rPr>
                </w:pPr>
                <w:r>
                  <w:rPr>
                    <w:b/>
                    <w:bCs/>
                    <w:color w:val="000000"/>
                    <w:szCs w:val="24"/>
                  </w:rPr>
                  <w:t>KTK</w:t>
                </w:r>
              </w:p>
              <w:p>
                <w:pPr>
                  <w:jc w:val="both"/>
                  <w:rPr>
                    <w:b/>
                    <w:bCs/>
                    <w:color w:val="000000"/>
                    <w:szCs w:val="24"/>
                  </w:rPr>
                </w:pPr>
                <w:r>
                  <w:rPr>
                    <w:b/>
                    <w:bCs/>
                    <w:color w:val="000000"/>
                    <w:szCs w:val="24"/>
                  </w:rPr>
                  <w:t>18 straipsnis. Keleivių vežimas už atlygį autobusais</w:t>
                </w:r>
              </w:p>
              <w:p>
                <w:pPr>
                  <w:jc w:val="both"/>
                  <w:rPr>
                    <w:bCs/>
                    <w:color w:val="000000"/>
                    <w:szCs w:val="24"/>
                  </w:rPr>
                </w:pPr>
                <w:r>
                  <w:rPr>
                    <w:bCs/>
                    <w:color w:val="000000"/>
                    <w:szCs w:val="24"/>
                  </w:rPr>
                  <w:t>&lt;…&gt;</w:t>
                </w:r>
              </w:p>
              <w:p>
                <w:pPr>
                  <w:jc w:val="both"/>
                  <w:rPr>
                    <w:color w:val="000000"/>
                    <w:szCs w:val="24"/>
                  </w:rPr>
                </w:pPr>
                <w:r>
                  <w:rPr>
                    <w:color w:val="000000"/>
                    <w:szCs w:val="24"/>
                  </w:rPr>
                  <w:t>2. Keleiviai vežami reguliariais, specialiais bei užsakomaisiais reisais vietinio (miesto ir priemiestinio), tolimojo ir tarptautinio susisiekimo maršrutais.</w:t>
                </w:r>
              </w:p>
              <w:p>
                <w:pPr>
                  <w:jc w:val="both"/>
                  <w:rPr>
                    <w:bCs/>
                    <w:color w:val="000000"/>
                    <w:szCs w:val="24"/>
                  </w:rPr>
                </w:pPr>
                <w:r>
                  <w:rPr>
                    <w:bCs/>
                    <w:color w:val="000000"/>
                    <w:szCs w:val="24"/>
                  </w:rPr>
                  <w:t>&lt;…&gt;</w:t>
                </w:r>
              </w:p>
              <w:p>
                <w:pPr>
                  <w:jc w:val="both"/>
                  <w:rPr>
                    <w:color w:val="000000"/>
                    <w:szCs w:val="24"/>
                  </w:rPr>
                </w:pPr>
                <w:r>
                  <w:rPr>
                    <w:color w:val="000000"/>
                    <w:szCs w:val="24"/>
                  </w:rPr>
                  <w:t xml:space="preserve">6. </w:t>
                </w:r>
                <w:r>
                  <w:rPr>
                    <w:b/>
                    <w:bCs/>
                    <w:color w:val="000000"/>
                    <w:szCs w:val="24"/>
                  </w:rPr>
                  <w:t>Vietinio (miesto) susisiekimo maršrutas</w:t>
                </w:r>
                <w:r>
                  <w:rPr>
                    <w:color w:val="000000"/>
                    <w:szCs w:val="24"/>
                  </w:rPr>
                  <w:t xml:space="preserve"> – nustatyta gatvių (kelių) trasa, kuria keleiviai vežami miesto teritorijoje.</w:t>
                </w:r>
              </w:p>
              <w:p>
                <w:pPr>
                  <w:jc w:val="both"/>
                  <w:rPr>
                    <w:color w:val="000000"/>
                    <w:szCs w:val="24"/>
                  </w:rPr>
                </w:pPr>
                <w:r>
                  <w:rPr>
                    <w:color w:val="000000"/>
                    <w:szCs w:val="24"/>
                  </w:rPr>
                  <w:t xml:space="preserve">7. </w:t>
                </w:r>
                <w:r>
                  <w:rPr>
                    <w:b/>
                    <w:bCs/>
                    <w:color w:val="000000"/>
                    <w:szCs w:val="24"/>
                  </w:rPr>
                  <w:t>Vietinio (priemiestinio) susisiekimo maršrutas</w:t>
                </w:r>
                <w:r>
                  <w:rPr>
                    <w:color w:val="000000"/>
                    <w:szCs w:val="24"/>
                  </w:rPr>
                  <w:t xml:space="preserve"> – nustatyta gatvių (kelių) trasa, kuria keleiviai vežami vienos savivaldybės (neįskaitant miestų savivaldybių) teritorijoje. Atskirais atvejais, suderinus su Transporto saugos administracija,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p>
              <w:p>
                <w:pPr>
                  <w:jc w:val="both"/>
                  <w:rPr>
                    <w:b/>
                    <w:bCs/>
                    <w:color w:val="000000"/>
                    <w:szCs w:val="24"/>
                  </w:rPr>
                </w:pPr>
              </w:p>
              <w:p>
                <w:pPr>
                  <w:jc w:val="both"/>
                  <w:rPr>
                    <w:i/>
                    <w:iCs/>
                    <w:color w:val="000000"/>
                    <w:szCs w:val="24"/>
                  </w:rPr>
                </w:pPr>
                <w:r>
                  <w:rPr>
                    <w:i/>
                    <w:iCs/>
                    <w:color w:val="000000"/>
                    <w:szCs w:val="24"/>
                  </w:rPr>
                  <w:t>Pastaba. Įgyvendinant Europos Parlamento ir Tarybos direktyvos 2012/34/ES nuostatas, perkelti 3 str. 6 ir 7 p. nuostatų į Lietuvos Respublikos nacionalinę teisę nereikėjo, kadangi dėl santykinai nedidelio Lietuvos Respublikos geležinkelių tinklo yra netikslinga diferencijuoti keleivių vežimo geležinkelių transportu paslaugų į miesto, priemiesčių ir regionų. Taip pat ir perkeliant direktyvos (ES) 2019/882 nuostatas, konkrečiai 2 str. 2 d. c p. ir 4 str. 3 d., nenustatomos išimtys, susijusias su miesto, priemiesčių ir regionų geležinkelių transporto paslaugų teikimu. Visame Lietuvos Respublikos geležinkelių tinkle bus taikomi vienodi gaminių ir paslaugų prieinamumo reikalavimai.</w:t>
                </w:r>
              </w:p>
              <w:p>
                <w:pPr>
                  <w:jc w:val="both"/>
                  <w:rPr>
                    <w:i/>
                    <w:iCs/>
                    <w:color w:val="000000"/>
                    <w:szCs w:val="24"/>
                  </w:rPr>
                </w:pPr>
              </w:p>
              <w:p>
                <w:pPr>
                  <w:jc w:val="both"/>
                  <w:rPr>
                    <w:i/>
                    <w:iCs/>
                    <w:color w:val="000000"/>
                    <w:szCs w:val="24"/>
                  </w:rPr>
                </w:pPr>
                <w:r>
                  <w:rPr>
                    <w:i/>
                    <w:iCs/>
                    <w:color w:val="000000"/>
                    <w:szCs w:val="24"/>
                  </w:rPr>
                  <w:t>Keleivių vežimo troleibusu paslaugos Lietuvoje yra teikiamos tik miestuose, nėra kontaktinio tinklo teikti tokias paslaugas priemiesčiuose ir regionuose. Taigi Direktyvos (ES) 2019/882 3 str. 36 p. laikytinas visiškai perkeltu į nacionalinę teisę – tiek, kiek yra reikalinga, siekiant valstybei narei įvykdyti savo pareigas pagal šią direktyvą.</w:t>
                </w:r>
              </w:p>
            </w:tc>
            <w:tc>
              <w:tcPr>
                <w:tcW w:w="1858" w:type="dxa"/>
                <w:shd w:val="clear" w:color="auto" w:fill="FFFFFF" w:themeFill="background1"/>
              </w:tcPr>
              <w:p>
                <w:pPr>
                  <w:jc w:val="both"/>
                  <w:rPr>
                    <w:b/>
                    <w:bCs/>
                    <w:color w:val="000000"/>
                    <w:szCs w:val="24"/>
                  </w:rPr>
                </w:pPr>
                <w:r>
                  <w:rPr>
                    <w:b/>
                    <w:bCs/>
                    <w:color w:val="000000"/>
                    <w:szCs w:val="24"/>
                  </w:rPr>
                  <w:t>Visiškas</w:t>
                </w:r>
              </w:p>
            </w:tc>
          </w:tr>
          <w:tr>
            <w:trPr>
              <w:trHeight w:val="1975"/>
            </w:trPr>
            <w:tc>
              <w:tcPr>
                <w:tcW w:w="5264" w:type="dxa"/>
                <w:shd w:val="clear" w:color="auto" w:fill="FFFFFF" w:themeFill="background1"/>
              </w:tcPr>
              <w:p>
                <w:pPr>
                  <w:jc w:val="both"/>
                  <w:rPr>
                    <w:color w:val="000000"/>
                    <w:szCs w:val="24"/>
                  </w:rPr>
                </w:pPr>
                <w:r>
                  <w:rPr>
                    <w:color w:val="000000"/>
                    <w:szCs w:val="24"/>
                  </w:rPr>
                  <w:t>36) regioninės transporto paslaugos – regioninės paslaugos, kaip apibrėžta Direktyvos 2012/34/ES 3 straipsnio 7 punkte, tačiau šios direktyvos tikslais tai apima tik šias transporto rūšis: geležinkelių, autobusų ir tolimojo susisiekimo autobusų, metro, tramvajų ir troleibusų transportą;</w:t>
                </w:r>
              </w:p>
              <w:p>
                <w:pPr>
                  <w:jc w:val="both"/>
                  <w:rPr>
                    <w:color w:val="000000"/>
                    <w:szCs w:val="24"/>
                  </w:rPr>
                </w:pPr>
              </w:p>
              <w:p>
                <w:pPr>
                  <w:jc w:val="both"/>
                  <w:rPr>
                    <w:i/>
                    <w:iCs/>
                    <w:color w:val="000000"/>
                    <w:szCs w:val="24"/>
                  </w:rPr>
                </w:pPr>
                <w:r>
                  <w:rPr>
                    <w:i/>
                    <w:iCs/>
                    <w:color w:val="000000"/>
                    <w:szCs w:val="24"/>
                  </w:rPr>
                  <w:t>Direktyvos 2012/34/ES 3 straipsnio 7 punktas:</w:t>
                </w:r>
              </w:p>
              <w:p>
                <w:pPr>
                  <w:jc w:val="both"/>
                  <w:rPr>
                    <w:color w:val="000000"/>
                    <w:szCs w:val="24"/>
                  </w:rPr>
                </w:pPr>
                <w:r>
                  <w:rPr>
                    <w:i/>
                    <w:iCs/>
                    <w:color w:val="000000"/>
                    <w:szCs w:val="24"/>
                  </w:rPr>
                  <w:t>„7)regioninės paslaugos – transporto paslaugos, kurių pagrindinė paskirtis patenkinti regiono transporto poreikius, įskaitant tarpvalstybiniame regione;“</w:t>
                </w:r>
              </w:p>
            </w:tc>
            <w:tc>
              <w:tcPr>
                <w:tcW w:w="7868" w:type="dxa"/>
                <w:shd w:val="clear" w:color="auto" w:fill="FFFFFF" w:themeFill="background1"/>
              </w:tcPr>
              <w:p>
                <w:pPr>
                  <w:jc w:val="both"/>
                  <w:rPr>
                    <w:b/>
                    <w:bCs/>
                    <w:color w:val="000000"/>
                    <w:szCs w:val="24"/>
                  </w:rPr>
                </w:pPr>
                <w:r>
                  <w:rPr>
                    <w:b/>
                    <w:bCs/>
                    <w:color w:val="000000"/>
                    <w:szCs w:val="24"/>
                  </w:rPr>
                  <w:t>TVPĮ</w:t>
                </w:r>
              </w:p>
              <w:p>
                <w:pPr>
                  <w:jc w:val="both"/>
                  <w:rPr>
                    <w:b/>
                    <w:color w:val="000000"/>
                    <w:szCs w:val="24"/>
                  </w:rPr>
                </w:pPr>
                <w:r>
                  <w:rPr>
                    <w:b/>
                    <w:color w:val="000000"/>
                    <w:szCs w:val="24"/>
                  </w:rPr>
                  <w:t>2 straipsnis. Pagrindinės šio Įstatymo sąvokos</w:t>
                </w:r>
              </w:p>
              <w:p>
                <w:pPr>
                  <w:jc w:val="both"/>
                  <w:rPr>
                    <w:bCs/>
                    <w:color w:val="000000"/>
                    <w:szCs w:val="24"/>
                  </w:rPr>
                </w:pPr>
                <w:r>
                  <w:rPr>
                    <w:bCs/>
                    <w:color w:val="000000"/>
                    <w:szCs w:val="24"/>
                  </w:rPr>
                  <w:t>&lt;…&gt;</w:t>
                </w:r>
              </w:p>
              <w:p>
                <w:pPr>
                  <w:jc w:val="both"/>
                  <w:rPr>
                    <w:bCs/>
                    <w:color w:val="000000"/>
                    <w:szCs w:val="24"/>
                  </w:rPr>
                </w:pPr>
                <w:r>
                  <w:rPr>
                    <w:color w:val="000000"/>
                    <w:szCs w:val="24"/>
                  </w:rPr>
                  <w:t xml:space="preserve">17. </w:t>
                </w:r>
                <w:r>
                  <w:rPr>
                    <w:b/>
                    <w:bCs/>
                    <w:color w:val="000000"/>
                    <w:szCs w:val="24"/>
                  </w:rPr>
                  <w:t>Viešasis transportas</w:t>
                </w:r>
                <w:r>
                  <w:rPr>
                    <w:color w:val="000000"/>
                    <w:szCs w:val="24"/>
                  </w:rPr>
                  <w:t xml:space="preserve"> – keleivių, bagažo ir (arba) krovinių vežimo nustatytais maršrutais nustatytu laiku paslauga, teikiama visiems, kurie kreipiasi.</w:t>
                </w:r>
                <w:r>
                  <w:rPr>
                    <w:bCs/>
                    <w:color w:val="000000"/>
                    <w:szCs w:val="24"/>
                  </w:rPr>
                  <w:t xml:space="preserve"> </w:t>
                </w:r>
              </w:p>
              <w:p>
                <w:pPr>
                  <w:jc w:val="both"/>
                  <w:rPr>
                    <w:b/>
                    <w:bCs/>
                    <w:color w:val="000000"/>
                    <w:szCs w:val="24"/>
                  </w:rPr>
                </w:pPr>
              </w:p>
              <w:p>
                <w:pPr>
                  <w:jc w:val="both"/>
                  <w:rPr>
                    <w:b/>
                    <w:bCs/>
                    <w:color w:val="000000"/>
                    <w:szCs w:val="24"/>
                  </w:rPr>
                </w:pPr>
                <w:r>
                  <w:rPr>
                    <w:b/>
                    <w:bCs/>
                    <w:color w:val="000000"/>
                    <w:szCs w:val="24"/>
                  </w:rPr>
                  <w:t>KTK</w:t>
                </w:r>
              </w:p>
              <w:p>
                <w:pPr>
                  <w:jc w:val="both"/>
                  <w:rPr>
                    <w:b/>
                    <w:bCs/>
                    <w:color w:val="000000"/>
                    <w:szCs w:val="24"/>
                  </w:rPr>
                </w:pPr>
                <w:r>
                  <w:rPr>
                    <w:b/>
                    <w:bCs/>
                    <w:color w:val="000000"/>
                    <w:szCs w:val="24"/>
                  </w:rPr>
                  <w:t>18 straipsnis. Keleivių vežimas už atlygį autobusais</w:t>
                </w:r>
              </w:p>
              <w:p>
                <w:pPr>
                  <w:jc w:val="both"/>
                  <w:rPr>
                    <w:bCs/>
                    <w:color w:val="000000"/>
                    <w:szCs w:val="24"/>
                  </w:rPr>
                </w:pPr>
                <w:r>
                  <w:rPr>
                    <w:bCs/>
                    <w:color w:val="000000"/>
                    <w:szCs w:val="24"/>
                  </w:rPr>
                  <w:t>&lt;…&gt;</w:t>
                </w:r>
              </w:p>
              <w:p>
                <w:pPr>
                  <w:jc w:val="both"/>
                  <w:rPr>
                    <w:color w:val="000000"/>
                    <w:szCs w:val="24"/>
                  </w:rPr>
                </w:pPr>
                <w:r>
                  <w:rPr>
                    <w:color w:val="000000"/>
                    <w:szCs w:val="24"/>
                  </w:rPr>
                  <w:t>2. Keleiviai vežami reguliariais, specialiais bei užsakomaisiais reisais vietinio (miesto ir priemiestinio), tolimojo ir tarptautinio susisiekimo maršrutais.</w:t>
                </w:r>
              </w:p>
              <w:p>
                <w:pPr>
                  <w:jc w:val="both"/>
                  <w:rPr>
                    <w:bCs/>
                    <w:color w:val="000000"/>
                    <w:szCs w:val="24"/>
                  </w:rPr>
                </w:pPr>
                <w:r>
                  <w:rPr>
                    <w:bCs/>
                    <w:color w:val="000000"/>
                    <w:szCs w:val="24"/>
                  </w:rPr>
                  <w:t>&lt;…&gt;</w:t>
                </w:r>
              </w:p>
              <w:p>
                <w:pPr>
                  <w:jc w:val="both"/>
                  <w:rPr>
                    <w:bCs/>
                    <w:color w:val="000000"/>
                    <w:szCs w:val="24"/>
                  </w:rPr>
                </w:pPr>
                <w:r>
                  <w:rPr>
                    <w:color w:val="000000"/>
                    <w:szCs w:val="24"/>
                  </w:rPr>
                  <w:t>9.</w:t>
                </w:r>
                <w:r>
                  <w:rPr>
                    <w:b/>
                    <w:bCs/>
                    <w:color w:val="000000"/>
                    <w:szCs w:val="24"/>
                  </w:rPr>
                  <w:t xml:space="preserve"> Tolimojo susisiekimo maršrutas </w:t>
                </w:r>
                <w:r>
                  <w:rPr>
                    <w:color w:val="000000"/>
                    <w:szCs w:val="24"/>
                  </w:rPr>
                  <w:t>– nustatyta gatvių ir kelių trasa Lietuvos Respublikos teritorijoje, ilgesnė kaip 50 km, kuria keleiviai vežami daugiau kaip per dviejų savivaldybių (neįskaitant miestų savivaldybių) teritorijas.</w:t>
                </w:r>
                <w:r>
                  <w:rPr>
                    <w:bCs/>
                    <w:color w:val="000000"/>
                    <w:szCs w:val="24"/>
                  </w:rPr>
                  <w:t xml:space="preserve"> &lt;…&gt;</w:t>
                </w:r>
              </w:p>
              <w:p>
                <w:pPr>
                  <w:jc w:val="both"/>
                  <w:rPr>
                    <w:b/>
                    <w:bCs/>
                    <w:color w:val="000000"/>
                    <w:szCs w:val="24"/>
                  </w:rPr>
                </w:pPr>
              </w:p>
              <w:p>
                <w:pPr>
                  <w:jc w:val="both"/>
                  <w:rPr>
                    <w:i/>
                    <w:iCs/>
                    <w:color w:val="000000"/>
                    <w:szCs w:val="24"/>
                  </w:rPr>
                </w:pPr>
                <w:r>
                  <w:rPr>
                    <w:i/>
                    <w:iCs/>
                    <w:color w:val="000000"/>
                    <w:szCs w:val="24"/>
                  </w:rPr>
                  <w:t>Pastaba. Įgyvendinant Europos Parlamento ir Tarybos direktyvos 2012/34/ES nuostatas, perkelti 3 str. 6 ir 7 p. nuostatų į Lietuvos Respublikos nacionalinę teisę nereikėjo, kadangi dėl santykinai nedidelio Lietuvos Respublikos geležinkelių tinklo yra netikslinga diferencijuoti keleivių vežimo geležinkelių transportu paslaugų į miesto, priemiesčių ir regionų. Taip pat ir perkeliant direktyvos (ES) 2019/882 nuostatas, konkrečiai 2 str. 2 d. c p. ir 4 str. 3 d., nenustatomos išimtys, susijusias su miesto, priemiesčių ir regionų geležinkelių transporto paslaugų teikimu. Visame Lietuvos Respublikos geležinkelių tinkle bus taikomi vienodi gaminių ir paslaugų prieinamumo reikalavimai.</w:t>
                </w:r>
              </w:p>
              <w:p>
                <w:pPr>
                  <w:jc w:val="both"/>
                  <w:rPr>
                    <w:i/>
                    <w:iCs/>
                    <w:color w:val="000000"/>
                    <w:szCs w:val="24"/>
                  </w:rPr>
                </w:pPr>
              </w:p>
              <w:p>
                <w:pPr>
                  <w:jc w:val="both"/>
                  <w:rPr>
                    <w:b/>
                    <w:bCs/>
                    <w:color w:val="000000"/>
                    <w:szCs w:val="24"/>
                  </w:rPr>
                </w:pPr>
                <w:r>
                  <w:rPr>
                    <w:i/>
                    <w:iCs/>
                    <w:color w:val="000000"/>
                    <w:szCs w:val="24"/>
                  </w:rPr>
                  <w:t>Keleivių vežimo troleibusu paslaugos Lietuvoje yra teikiamos tik miestuose, nėra kontaktinio tinklo teikti tokias paslaugas priemiesčiuose ir regionuose. Taigi Direktyvos (ES) 2019/882 3 str. 36 p. laikytinas visiškai perkeltu į nacionalinę teisę – tiek, kiek yra reikalinga, siekiant valstybei narei įvykdyti savo pareigas pagal šią direktyvą.</w:t>
                </w:r>
              </w:p>
            </w:tc>
            <w:tc>
              <w:tcPr>
                <w:tcW w:w="1858" w:type="dxa"/>
                <w:shd w:val="clear" w:color="auto" w:fill="FFFFFF" w:themeFill="background1"/>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37) pagalbinė technologija – daiktas, įrangos dalis, paslauga ar gaminių sistema, įskaitant programinę įrangą, naudojami siekiant padidinti, išlaikyti, pagerinti neįgaliųjų funkcinius gebėjimus ar būti jų pakaitalu, arba palengvinti ir kompensuoti sutrikimus, neįgalumą ar ribotas dalyvavimo galimybes;</w:t>
                </w:r>
              </w:p>
            </w:tc>
            <w:tc>
              <w:tcPr>
                <w:tcW w:w="7868" w:type="dxa"/>
              </w:tcPr>
              <w:p>
                <w:pPr>
                  <w:jc w:val="both"/>
                  <w:rPr>
                    <w:b/>
                    <w:bCs/>
                    <w:szCs w:val="24"/>
                  </w:rPr>
                </w:pPr>
                <w:r>
                  <w:rPr>
                    <w:b/>
                    <w:bCs/>
                    <w:szCs w:val="24"/>
                  </w:rPr>
                  <w:t>NSIĮ</w:t>
                </w:r>
              </w:p>
              <w:p>
                <w:pPr>
                  <w:jc w:val="both"/>
                  <w:rPr>
                    <w:b/>
                    <w:bCs/>
                    <w:color w:val="000000"/>
                    <w:szCs w:val="24"/>
                  </w:rPr>
                </w:pPr>
              </w:p>
              <w:p>
                <w:pPr>
                  <w:jc w:val="both"/>
                  <w:rPr>
                    <w:b/>
                    <w:bCs/>
                    <w:color w:val="000000"/>
                    <w:szCs w:val="24"/>
                  </w:rPr>
                </w:pPr>
                <w:r>
                  <w:rPr>
                    <w:b/>
                    <w:bCs/>
                    <w:color w:val="000000"/>
                    <w:szCs w:val="24"/>
                  </w:rPr>
                  <w:t>2 straipsnis. Pagrindinės šio Įstatymo sąvokos</w:t>
                </w:r>
              </w:p>
              <w:p>
                <w:pPr>
                  <w:jc w:val="both"/>
                  <w:rPr>
                    <w:color w:val="000000"/>
                    <w:szCs w:val="24"/>
                  </w:rPr>
                </w:pPr>
                <w:r>
                  <w:rPr>
                    <w:color w:val="000000"/>
                    <w:szCs w:val="24"/>
                  </w:rPr>
                  <w:t>&lt;...&gt;</w:t>
                </w:r>
              </w:p>
              <w:p>
                <w:pPr>
                  <w:jc w:val="both"/>
                  <w:rPr>
                    <w:color w:val="000000"/>
                    <w:szCs w:val="24"/>
                  </w:rPr>
                </w:pPr>
                <w:r>
                  <w:rPr>
                    <w:color w:val="000000"/>
                    <w:szCs w:val="24"/>
                  </w:rPr>
                  <w:t xml:space="preserve">18. </w:t>
                </w:r>
                <w:r>
                  <w:rPr>
                    <w:b/>
                    <w:bCs/>
                    <w:color w:val="000000"/>
                    <w:szCs w:val="24"/>
                  </w:rPr>
                  <w:t>Techninės pagalbos priemonės</w:t>
                </w:r>
                <w:r>
                  <w:rPr>
                    <w:color w:val="000000"/>
                    <w:szCs w:val="24"/>
                  </w:rPr>
                  <w:t xml:space="preserve"> – 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jc w:val="both"/>
                  <w:rPr>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38) operacinė sistema – programinė įranga, kuria, inter alia, valdoma sąsaja su periferine aparatine įranga, numatomos užduotys, priskiriama atmintinės talpa ir naudotojui pateikiama numatytoji sąsaja, kai nėra paleista jokia taikomoji programa, įskaitant grafinę naudotojo sąsają, nepriklausomai nuo to, ar tokia programinė įranga yra integruota į bendrosios paskirties vartotojų kompiuterių aparatinę įrangą, ar ji yra savarankiška programinė įranga, skirta naudoti bendrosios paskirties vartotojų kompiuterių aparatinėje įrangoje, bet neįskaitant operacinės sistemos paleidyklės, BIOS sistemos ar kitos programinės aparatinės įrangos, reikalingos paleidimo metu arba diegiant operacinę sistemą;</w:t>
                </w: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12. </w:t>
                </w:r>
                <w:r>
                  <w:rPr>
                    <w:b/>
                    <w:color w:val="000000"/>
                    <w:szCs w:val="24"/>
                  </w:rPr>
                  <w:t>Operacinė sistema</w:t>
                </w:r>
                <w:r>
                  <w:rPr>
                    <w:bCs/>
                    <w:color w:val="000000"/>
                    <w:szCs w:val="24"/>
                  </w:rPr>
                  <w:t> – programinė įranga, kuria, be kita ko, valdoma sąsaja su išorine aparatine įranga, numatomos užduotys, priskiriama atmintinės talpa ir vartotojui pateikiama numatytoji sąsaja, kai nėra paleista jokia taikomoji programa, įskaitant grafinę vartotojo sąsają, nepriklausomai nuo to, ar tokia programinė įranga yra integruota į vartotojų bendrosios paskirties kompiuterių aparatinę įrangą, ar ji yra savarankiška programinė įranga, skirta naudoti bendrosios paskirties vartotojų kompiuterių aparatinėje įrangoje, bet neįskaitant operacinės sistemos paleidyklės, BIOS sistemos ar kitos programinės aparatinės įrangos, reikalingos paleidžiant arba diegiant operacinę sistemą.</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39) bendrosios paskirties vartotojų kompiuterių aparatinės įrangos sistema – aparatinės įrangos derinys, kuris sudaro sukomplektuotą kompiuterį, yra įvairios paskirties, yra pajėgus kartu su atitinkama programine įranga atlikti pačias bendriausias kompiuterines užduotis, kurių prašo vartotojas, ir skirtas vartotojams naudoti, įskaitant asmeninius kompiuterius, visų pirma stalinius kompiuterius, knyginius kompiuterius, išmaniuosius telefonus ir planšetinius kompiuterius;</w:t>
                </w: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17. </w:t>
                </w:r>
                <w:r>
                  <w:rPr>
                    <w:b/>
                    <w:color w:val="000000"/>
                    <w:szCs w:val="24"/>
                  </w:rPr>
                  <w:t>Vartotojų bendrosios paskirties kompiuterių aparatinės įrangos sistema</w:t>
                </w:r>
                <w:r>
                  <w:rPr>
                    <w:bCs/>
                    <w:color w:val="000000"/>
                    <w:szCs w:val="24"/>
                  </w:rPr>
                  <w:t xml:space="preserve"> – vartotojams naudoti skirtas įvairios paskirties aparatinės įrangos derinys – sukomplektuotas kompiuteris (įskaitant asmeninius, stalinius, knyginius ir planšetinius kompiuterius bei išmaniuosius telefonus), kuris kartu su atitinkama programine yra pajėgus atlikti bendriausias kompiuterines užduotis.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40) interaktyvūs kompiuteriniai pajėgumai – funkcinės galimybės, kuriomis palaikoma žmogaus ir prietaiso sąveika sudarant galimybes tvarkyti ir perduoti duomenis, balsą ar vaizdo medžiagą arba bet kokią jų kombinaciją;</w:t>
                </w: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8. </w:t>
                </w:r>
                <w:r>
                  <w:rPr>
                    <w:b/>
                    <w:color w:val="000000"/>
                    <w:szCs w:val="24"/>
                  </w:rPr>
                  <w:t>Interaktyvieji kompiuteriniai pajėgumai</w:t>
                </w:r>
                <w:r>
                  <w:rPr>
                    <w:bCs/>
                    <w:color w:val="000000"/>
                    <w:szCs w:val="24"/>
                  </w:rPr>
                  <w:t xml:space="preserve"> – funkcinės galimybės palaikyti žmogaus ir įrenginio sąveika, sudarant galimybes tvarkyti ir perduoti duomenis, balsą ar vaizdo medžiagą arba bet kokią jų derinį.</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41) e. knyga ir speciali programinė įranga – paslauga, kurią sudaro knygos elektroninę versiją perteikiančios skaitmeninės rinkmenos, prie kurių galima prisijungti, kurias galima naršyti, skaityti ir naudoti, ir prieigai prie tų skaitmeninių rinkmenų, jų naršymui, skaitymui ir naudojimui skirtos specialios programinės įrangos, įskaitant nešiojamaisiais prietaisais teikiamas paslaugas, įskaitant, mobiliąsias programas, pateikimas, neįskaitant programinės įrangos, kuri įtraukta į 42 punkte pateiktą apibrėžtį;</w:t>
                </w: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4. </w:t>
                </w:r>
                <w:r>
                  <w:rPr>
                    <w:b/>
                    <w:color w:val="000000"/>
                    <w:szCs w:val="24"/>
                  </w:rPr>
                  <w:t>Elektroninė knyga ir speciali programinė įranga</w:t>
                </w:r>
                <w:r>
                  <w:rPr>
                    <w:bCs/>
                    <w:color w:val="000000"/>
                    <w:szCs w:val="24"/>
                  </w:rPr>
                  <w:t xml:space="preserve"> – paslauga, kurią sudaro knygos elektroninę versiją perteikiančios skaitmeninės rinkmenos, prie kurių galima prisijungti, kurias galima naršyti, skaityti ir naudoti, ir kurių prieigai yra skirta speciali programinė įranga, įskaitant nešiojamaisiais prietaisais teikiamas paslaugas ir mobiliąsias programas, išskyrus elektronines skaitykles.</w:t>
                </w:r>
              </w:p>
              <w:p>
                <w:pPr>
                  <w:jc w:val="both"/>
                  <w:rPr>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42) e. skaityklė – speciali įranga, įskaitant tiek aparatinę, tiek programinę įrangą, naudojama prieigai prie e. knygų rinkmenų, jų naršymui, skaitymui ir naudojimui;</w:t>
                </w: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3 straipsnis. Pagrindinės šio įstatymo sąvokos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5. </w:t>
                </w:r>
                <w:r>
                  <w:rPr>
                    <w:b/>
                    <w:color w:val="000000"/>
                    <w:szCs w:val="24"/>
                  </w:rPr>
                  <w:t>Elektroninė skaityklė</w:t>
                </w:r>
                <w:r>
                  <w:rPr>
                    <w:bCs/>
                    <w:color w:val="000000"/>
                    <w:szCs w:val="24"/>
                  </w:rPr>
                  <w:t xml:space="preserve"> – speciali įranga, įskaitant aparatinę ir programinę įrangą, skirta prieigai prie elektroninių knygų rinkmenų, joms naršyti, skaityti ir kitaip naudoti.</w:t>
                </w:r>
              </w:p>
              <w:p>
                <w:pPr>
                  <w:jc w:val="both"/>
                  <w:rPr>
                    <w:color w:val="000000"/>
                    <w:szCs w:val="24"/>
                  </w:rPr>
                </w:pPr>
              </w:p>
            </w:tc>
            <w:tc>
              <w:tcPr>
                <w:tcW w:w="1858" w:type="dxa"/>
              </w:tcPr>
              <w:p>
                <w:pPr>
                  <w:jc w:val="both"/>
                  <w:rPr>
                    <w:b/>
                    <w:bCs/>
                    <w:color w:val="000000"/>
                    <w:szCs w:val="24"/>
                  </w:rPr>
                </w:pPr>
                <w:r>
                  <w:rPr>
                    <w:b/>
                    <w:bCs/>
                    <w:color w:val="000000"/>
                    <w:szCs w:val="24"/>
                  </w:rPr>
                  <w:t>Visiškas</w:t>
                </w:r>
              </w:p>
            </w:tc>
          </w:tr>
          <w:tr>
            <w:trPr>
              <w:trHeight w:val="1833"/>
            </w:trPr>
            <w:tc>
              <w:tcPr>
                <w:tcW w:w="5264" w:type="dxa"/>
              </w:tcPr>
              <w:p>
                <w:pPr>
                  <w:jc w:val="both"/>
                  <w:rPr>
                    <w:color w:val="000000"/>
                    <w:szCs w:val="24"/>
                  </w:rPr>
                </w:pPr>
                <w:r>
                  <w:rPr>
                    <w:color w:val="000000"/>
                    <w:szCs w:val="24"/>
                  </w:rPr>
                  <w:t>43) elektroniniai bilietai – sistema, kurioje vienkartinių ar daugkartinių kelionės bilietų, kelionės abonementų ar kelionės kredito forma elektroniniu būdu fiziniame transporto biliete ar kitame prietaise, o ne atspausdinant kaip popierinį bilietą, saugomas teisę keliauti suteikiantis dokumentas;</w:t>
                </w:r>
              </w:p>
            </w:tc>
            <w:tc>
              <w:tcPr>
                <w:tcW w:w="7868" w:type="dxa"/>
              </w:tcPr>
              <w:p>
                <w:pPr>
                  <w:jc w:val="both"/>
                  <w:rPr>
                    <w:b/>
                    <w:bCs/>
                    <w:color w:val="000000"/>
                    <w:szCs w:val="24"/>
                  </w:rPr>
                </w:pPr>
                <w:r>
                  <w:rPr>
                    <w:b/>
                    <w:bCs/>
                    <w:color w:val="000000"/>
                    <w:szCs w:val="24"/>
                  </w:rPr>
                  <w:t>TVPĮ</w:t>
                </w:r>
              </w:p>
              <w:p>
                <w:pPr>
                  <w:jc w:val="both"/>
                  <w:rPr>
                    <w:b/>
                    <w:bCs/>
                    <w:color w:val="000000"/>
                    <w:szCs w:val="24"/>
                  </w:rPr>
                </w:pPr>
              </w:p>
              <w:p>
                <w:pPr>
                  <w:jc w:val="both"/>
                  <w:rPr>
                    <w:b/>
                    <w:bCs/>
                    <w:color w:val="000000"/>
                    <w:szCs w:val="24"/>
                  </w:rPr>
                </w:pPr>
                <w:r>
                  <w:rPr>
                    <w:b/>
                    <w:bCs/>
                    <w:color w:val="000000"/>
                    <w:szCs w:val="24"/>
                  </w:rPr>
                  <w:t>2 straipsnis. Pagrindinės šio Įstatymo sąvokos</w:t>
                </w:r>
              </w:p>
              <w:p>
                <w:pPr>
                  <w:jc w:val="both"/>
                  <w:rPr>
                    <w:color w:val="000000"/>
                    <w:szCs w:val="24"/>
                  </w:rPr>
                </w:pPr>
                <w:r>
                  <w:rPr>
                    <w:color w:val="000000"/>
                    <w:szCs w:val="24"/>
                  </w:rPr>
                  <w:t>1. </w:t>
                </w:r>
                <w:r>
                  <w:rPr>
                    <w:b/>
                    <w:bCs/>
                    <w:color w:val="000000"/>
                    <w:szCs w:val="24"/>
                  </w:rPr>
                  <w:t>Elektroninis keleivinio transporto bilietas</w:t>
                </w:r>
                <w:r>
                  <w:rPr>
                    <w:color w:val="000000"/>
                    <w:szCs w:val="24"/>
                  </w:rPr>
                  <w:t> – skaitmeninėje duomenų bazėje saugomas įrašas, patvirtinantis, kad yra sumokėta už vežimo paslaugą.</w:t>
                </w:r>
              </w:p>
            </w:tc>
            <w:tc>
              <w:tcPr>
                <w:tcW w:w="1858" w:type="dxa"/>
              </w:tcPr>
              <w:p>
                <w:pPr>
                  <w:jc w:val="both"/>
                  <w:rPr>
                    <w:b/>
                    <w:bCs/>
                    <w:color w:val="000000"/>
                    <w:szCs w:val="24"/>
                  </w:rPr>
                </w:pPr>
                <w:r>
                  <w:rPr>
                    <w:b/>
                    <w:bCs/>
                    <w:color w:val="000000"/>
                    <w:szCs w:val="24"/>
                  </w:rPr>
                  <w:t>Visiškas</w:t>
                </w:r>
              </w:p>
            </w:tc>
          </w:tr>
          <w:tr>
            <w:trPr>
              <w:trHeight w:val="1975"/>
            </w:trPr>
            <w:tc>
              <w:tcPr>
                <w:tcW w:w="5264" w:type="dxa"/>
                <w:shd w:val="clear" w:color="auto" w:fill="FFFFFF" w:themeFill="background1"/>
              </w:tcPr>
              <w:p>
                <w:pPr>
                  <w:jc w:val="both"/>
                  <w:rPr>
                    <w:color w:val="000000"/>
                    <w:szCs w:val="24"/>
                  </w:rPr>
                </w:pPr>
                <w:r>
                  <w:rPr>
                    <w:color w:val="000000"/>
                    <w:szCs w:val="24"/>
                  </w:rPr>
                  <w:t>44) elektroninių bilietų pardavimo paslaugos – sistema, kurioje perkami keleivinio transporto bilietai, be kita ko, internetu, naudojantis prietaisu su interaktyviais kompiuteriniais pajėgumais, ir pateikiami pirkėjui elektronine forma, kad juos būtų galima atspausdinti popieriuje arba keliaujant parodyti nešiojamojo prietaiso su interaktyviais kompiuterijos pajėgumais ekrane.</w:t>
                </w:r>
              </w:p>
            </w:tc>
            <w:tc>
              <w:tcPr>
                <w:tcW w:w="7868" w:type="dxa"/>
                <w:shd w:val="clear" w:color="auto" w:fill="FFFFFF" w:themeFill="background1"/>
              </w:tcPr>
              <w:p>
                <w:pPr>
                  <w:spacing w:line="231" w:lineRule="atLeast"/>
                  <w:jc w:val="both"/>
                  <w:rPr>
                    <w:b/>
                    <w:bCs/>
                    <w:color w:val="000000"/>
                    <w:szCs w:val="24"/>
                  </w:rPr>
                </w:pPr>
                <w:r>
                  <w:rPr>
                    <w:b/>
                    <w:bCs/>
                    <w:color w:val="000000"/>
                    <w:szCs w:val="24"/>
                  </w:rPr>
                  <w:t>TVPĮ</w:t>
                </w:r>
              </w:p>
              <w:p>
                <w:pPr>
                  <w:spacing w:line="231" w:lineRule="atLeast"/>
                  <w:jc w:val="both"/>
                  <w:rPr>
                    <w:b/>
                    <w:bCs/>
                    <w:color w:val="000000"/>
                    <w:szCs w:val="24"/>
                  </w:rPr>
                </w:pPr>
              </w:p>
              <w:p>
                <w:pPr>
                  <w:jc w:val="both"/>
                  <w:rPr>
                    <w:b/>
                    <w:bCs/>
                    <w:color w:val="000000"/>
                    <w:szCs w:val="24"/>
                  </w:rPr>
                </w:pPr>
                <w:r>
                  <w:rPr>
                    <w:b/>
                    <w:bCs/>
                    <w:color w:val="000000"/>
                    <w:szCs w:val="24"/>
                  </w:rPr>
                  <w:t>2 straipsnis. Pagrindinės šio Įstatymo sąvokos</w:t>
                </w:r>
              </w:p>
              <w:p>
                <w:pPr>
                  <w:jc w:val="both"/>
                  <w:rPr>
                    <w:color w:val="000000"/>
                    <w:szCs w:val="24"/>
                  </w:rPr>
                </w:pPr>
                <w:r>
                  <w:rPr>
                    <w:color w:val="000000"/>
                    <w:szCs w:val="24"/>
                  </w:rPr>
                  <w:t>&lt;...&gt;</w:t>
                </w:r>
              </w:p>
              <w:p>
                <w:pPr>
                  <w:spacing w:line="231" w:lineRule="atLeast"/>
                  <w:jc w:val="both"/>
                  <w:rPr>
                    <w:color w:val="000000"/>
                    <w:szCs w:val="24"/>
                  </w:rPr>
                </w:pPr>
                <w:r>
                  <w:rPr>
                    <w:b/>
                    <w:bCs/>
                    <w:color w:val="000000"/>
                    <w:szCs w:val="24"/>
                  </w:rPr>
                  <w:t xml:space="preserve">2. Intelektinės transporto sistemos – </w:t>
                </w:r>
                <w:r>
                  <w:rPr>
                    <w:color w:val="000000"/>
                    <w:szCs w:val="24"/>
                  </w:rPr>
                  <w:t>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w:t>
                </w:r>
              </w:p>
              <w:p>
                <w:pPr>
                  <w:jc w:val="both"/>
                  <w:rPr>
                    <w:color w:val="000000"/>
                    <w:szCs w:val="24"/>
                  </w:rPr>
                </w:pPr>
                <w:r>
                  <w:rPr>
                    <w:b/>
                    <w:bCs/>
                    <w:color w:val="000000"/>
                    <w:szCs w:val="24"/>
                  </w:rPr>
                  <w:t xml:space="preserve">3. Intelektinių transporto sistemų paslauga – </w:t>
                </w:r>
                <w:r>
                  <w:rPr>
                    <w:color w:val="000000"/>
                    <w:szCs w:val="24"/>
                  </w:rPr>
                  <w:t>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p>
                <w:pPr>
                  <w:spacing w:line="231" w:lineRule="atLeast"/>
                  <w:jc w:val="both"/>
                  <w:rPr>
                    <w:color w:val="000000"/>
                    <w:szCs w:val="24"/>
                  </w:rPr>
                </w:pPr>
              </w:p>
              <w:p>
                <w:pPr>
                  <w:jc w:val="both"/>
                  <w:rPr>
                    <w:b/>
                    <w:bCs/>
                    <w:color w:val="000000"/>
                    <w:szCs w:val="24"/>
                  </w:rPr>
                </w:pPr>
                <w:r>
                  <w:rPr>
                    <w:b/>
                    <w:bCs/>
                    <w:color w:val="000000"/>
                    <w:szCs w:val="24"/>
                  </w:rPr>
                  <w:t>KTK</w:t>
                </w:r>
              </w:p>
              <w:p>
                <w:pPr>
                  <w:spacing w:line="231" w:lineRule="atLeast"/>
                  <w:jc w:val="both"/>
                  <w:rPr>
                    <w:color w:val="000000"/>
                    <w:szCs w:val="24"/>
                  </w:rPr>
                </w:pPr>
                <w:r>
                  <w:rPr>
                    <w:b/>
                    <w:bCs/>
                    <w:color w:val="000000"/>
                    <w:szCs w:val="24"/>
                  </w:rPr>
                  <w:t>20 straipsnis. Keleivio bilietas</w:t>
                </w:r>
              </w:p>
              <w:p>
                <w:pPr>
                  <w:spacing w:line="231" w:lineRule="atLeast"/>
                  <w:jc w:val="both"/>
                  <w:rPr>
                    <w:color w:val="000000"/>
                    <w:szCs w:val="24"/>
                  </w:rPr>
                </w:pPr>
                <w:r>
                  <w:rPr>
                    <w:color w:val="000000"/>
                    <w:szCs w:val="24"/>
                  </w:rPr>
                  <w:t>1. Keleivio bilietas – dokumentas, kuriuo patvirtinama, kad yra sudaryta keleivių vežimo reguliariu reisu sutartis, arba skaitmeninėje duomenų bazėje saugomas įrašas, kuriuo patvirtinama, kad yra sumokėta už vežimo paslaugą.</w:t>
                </w:r>
              </w:p>
              <w:p>
                <w:pPr>
                  <w:spacing w:line="231" w:lineRule="atLeast"/>
                  <w:jc w:val="both"/>
                  <w:rPr>
                    <w:color w:val="000000"/>
                    <w:szCs w:val="24"/>
                  </w:rPr>
                </w:pPr>
              </w:p>
            </w:tc>
            <w:tc>
              <w:tcPr>
                <w:tcW w:w="1858" w:type="dxa"/>
                <w:shd w:val="clear" w:color="auto" w:fill="FFFFFF" w:themeFill="background1"/>
              </w:tcPr>
              <w:p>
                <w:pPr>
                  <w:jc w:val="both"/>
                  <w:rPr>
                    <w:b/>
                    <w:bCs/>
                    <w:color w:val="000000"/>
                    <w:szCs w:val="24"/>
                  </w:rPr>
                </w:pPr>
                <w:r>
                  <w:rPr>
                    <w:b/>
                    <w:bCs/>
                    <w:color w:val="000000"/>
                    <w:szCs w:val="24"/>
                  </w:rPr>
                  <w:t>Visiškas</w:t>
                </w:r>
              </w:p>
            </w:tc>
          </w:tr>
          <w:tr>
            <w:trPr>
              <w:trHeight w:val="1975"/>
            </w:trPr>
            <w:tc>
              <w:tcPr>
                <w:tcW w:w="5264" w:type="dxa"/>
                <w:shd w:val="clear" w:color="auto" w:fill="auto"/>
              </w:tcPr>
              <w:p>
                <w:pPr>
                  <w:jc w:val="both"/>
                  <w:rPr>
                    <w:b/>
                    <w:color w:val="000000"/>
                    <w:szCs w:val="24"/>
                  </w:rPr>
                </w:pPr>
                <w:r>
                  <w:rPr>
                    <w:b/>
                    <w:color w:val="000000"/>
                    <w:szCs w:val="24"/>
                  </w:rPr>
                  <w:t>4 straipsnis</w:t>
                </w:r>
              </w:p>
              <w:p>
                <w:pPr>
                  <w:jc w:val="both"/>
                  <w:rPr>
                    <w:b/>
                    <w:color w:val="000000"/>
                    <w:szCs w:val="24"/>
                  </w:rPr>
                </w:pPr>
                <w:r>
                  <w:rPr>
                    <w:b/>
                    <w:color w:val="000000"/>
                    <w:szCs w:val="24"/>
                  </w:rPr>
                  <w:t>Prieinamumo reikalavimai</w:t>
                </w:r>
              </w:p>
              <w:p>
                <w:pPr>
                  <w:jc w:val="both"/>
                  <w:rPr>
                    <w:color w:val="000000"/>
                    <w:szCs w:val="24"/>
                  </w:rPr>
                </w:pPr>
                <w:r>
                  <w:rPr>
                    <w:color w:val="000000"/>
                    <w:szCs w:val="24"/>
                  </w:rPr>
                  <w:t>1. Pagal šio straipsnio 2, 3 ir 5 dalis ir taikydamos 14 straipsnį valstybės narės užtikrina, kad ekonominės veiklos vykdytojai pateiktų rinkai tik tuos gaminius ir teiktų tik tas paslaugas, kurie atitinka I priede išdėstytus prieinamumo reikalavimus.</w:t>
                </w:r>
              </w:p>
              <w:p>
                <w:pPr>
                  <w:jc w:val="both"/>
                  <w:rPr>
                    <w:color w:val="000000"/>
                    <w:szCs w:val="24"/>
                  </w:rPr>
                </w:pPr>
                <w:r>
                  <w:rPr>
                    <w:color w:val="000000"/>
                    <w:szCs w:val="24"/>
                  </w:rPr>
                  <w:t>2. Visi gaminiai turi atitikti I priedo I skirsnyje išdėstytus prieinamumo reikalavimus.</w:t>
                </w:r>
              </w:p>
              <w:p>
                <w:pPr>
                  <w:jc w:val="both"/>
                  <w:rPr>
                    <w:color w:val="000000"/>
                    <w:szCs w:val="24"/>
                  </w:rPr>
                </w:pPr>
                <w:r>
                  <w:rPr>
                    <w:color w:val="000000"/>
                    <w:szCs w:val="24"/>
                  </w:rPr>
                  <w:t>Visi gaminiai, išskyrus savitarnos terminalus, turi atitikti I priedo II skirsnyje išdėstytus prieinamumo reikalavimus.</w:t>
                </w:r>
              </w:p>
              <w:p>
                <w:pPr>
                  <w:jc w:val="both"/>
                  <w:rPr>
                    <w:color w:val="000000"/>
                    <w:szCs w:val="24"/>
                  </w:rPr>
                </w:pPr>
                <w:r>
                  <w:rPr>
                    <w:color w:val="000000"/>
                    <w:szCs w:val="24"/>
                  </w:rPr>
                  <w:t>3. Nedarant poveikio šio straipsnio 5 daliai, visos paslaugos, išskyrus mieste ir priemiesčiuose teikiamas transporto paslaugas ir regionines transporto paslaugas, turi atitikti I priedo III skirsnyje išdėstytus prieinamumo reikalavimus.</w:t>
                </w:r>
              </w:p>
              <w:p>
                <w:pPr>
                  <w:jc w:val="both"/>
                  <w:rPr>
                    <w:color w:val="000000"/>
                    <w:szCs w:val="24"/>
                  </w:rPr>
                </w:pPr>
                <w:r>
                  <w:rPr>
                    <w:color w:val="000000"/>
                    <w:szCs w:val="24"/>
                  </w:rPr>
                  <w:t>Nedarant poveikio šio straipsnio 5 daliai, visos paslaugos turi atitikti I priedo IV skirsnyje išdėstytus prieinamumo reikalavimus.</w:t>
                </w:r>
              </w:p>
              <w:p>
                <w:pPr>
                  <w:jc w:val="both"/>
                  <w:rPr>
                    <w:color w:val="000000"/>
                    <w:szCs w:val="24"/>
                  </w:rPr>
                </w:pPr>
                <w:r>
                  <w:rPr>
                    <w:color w:val="000000"/>
                    <w:szCs w:val="24"/>
                  </w:rPr>
                  <w:t>4. Valstybės narės atsižvelgdamos į nacionalines sąlygas gali nuspręsti, kad apstatyta aplinka, kuria naudojasi paslaugų, kurioms taikoma ši direktyva, klientai, turi atitikti III priede nustatytus prieinamumo reikalavimus, kad jomis kuo daugiau naudotųsi neįgalieji.</w:t>
                </w:r>
              </w:p>
              <w:p>
                <w:pPr>
                  <w:jc w:val="both"/>
                  <w:rPr>
                    <w:color w:val="000000"/>
                    <w:szCs w:val="24"/>
                  </w:rPr>
                </w:pPr>
                <w:r>
                  <w:rPr>
                    <w:color w:val="000000"/>
                    <w:szCs w:val="24"/>
                  </w:rPr>
                  <w:t>5. Paslaugas teikiančios labai mažos įmonės atleidžiamos nuo šio straipsnio 3 dalyje nurodytų prieinamumo reikalavimų laikymosi ir pareigų, susijusių su tų reikalavimų laikymusi.</w:t>
                </w:r>
              </w:p>
              <w:p>
                <w:pPr>
                  <w:jc w:val="both"/>
                  <w:rPr>
                    <w:color w:val="000000"/>
                    <w:szCs w:val="24"/>
                  </w:rPr>
                </w:pPr>
                <w:r>
                  <w:rPr>
                    <w:color w:val="000000"/>
                    <w:szCs w:val="24"/>
                  </w:rPr>
                  <w:t>6. Valstybės narės labai mažoms įmonėms pateikia gaires ir suteikia joms įrankius, kad joms būtų sudarytos palankesnės sąlygos taikyti nacionalines priemones, kuriomis ši direktyva perkeliama į nacionalinę teisę. Valstybės narės tuos įrankius parengia konsultuodamosi su atitinkamais suinteresuotaisiais subjektais.</w:t>
                </w:r>
              </w:p>
              <w:p>
                <w:pPr>
                  <w:jc w:val="both"/>
                  <w:rPr>
                    <w:color w:val="000000"/>
                    <w:szCs w:val="24"/>
                  </w:rPr>
                </w:pPr>
                <w:r>
                  <w:rPr>
                    <w:color w:val="000000"/>
                    <w:szCs w:val="24"/>
                  </w:rPr>
                  <w:t>7. Valstybės narės ekonominės veiklos vykdytojus gali informuoti apie II priede pateikiamus orientacinius galimų sprendimų, kuriais padedama įvykdyti I priede išdėstytus prieinamumo reikalavimus, pavyzdžius.</w:t>
                </w:r>
              </w:p>
              <w:p>
                <w:pPr>
                  <w:jc w:val="both"/>
                  <w:rPr>
                    <w:color w:val="000000"/>
                    <w:szCs w:val="24"/>
                  </w:rPr>
                </w:pPr>
                <w:r>
                  <w:rPr>
                    <w:color w:val="000000"/>
                    <w:szCs w:val="24"/>
                  </w:rPr>
                  <w:t>8. Valstybės narės užtikrina, kad tinkamiausio BPC vykdomas atsakymas į skubios pagalbos pranešimus, kurie gaunami Europos bendruoju pagalbos telefono numeriu 112, atitiktų I priedo V skirsnyje pateiktus konkrečius prieinamumo reikalavimus tokiu būdu, kuris labiausiai tinkamas nacionaliniam skubios pagalbos sistemų organizavimui.</w:t>
                </w:r>
              </w:p>
              <w:p>
                <w:pPr>
                  <w:jc w:val="both"/>
                  <w:rPr>
                    <w:color w:val="000000"/>
                    <w:szCs w:val="24"/>
                  </w:rPr>
                </w:pPr>
                <w:r>
                  <w:rPr>
                    <w:color w:val="000000"/>
                    <w:szCs w:val="24"/>
                  </w:rPr>
                  <w:t>9. Komisijai pagal 26 straipsnį suteikiami įgaliojimai priimti deleguotuosius aktus, siekiant papildyti I priedą, toliau patikslinant prieinamumo reikalavimus, kurie, atsižvelgiant į jų pobūdį, užtikrins numatytą poveikį tik tuo atveju, jeigu jie bus toliau patikslinti privalomuose Sąjungos teisės aktuose, pavyzdžiui, reikalavimus, susijusius su sąveikumu.</w:t>
                </w: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6 straipsnis. Gaminių ir paslaugų prieinamumo rinkos priežiūra</w:t>
                </w:r>
              </w:p>
              <w:p>
                <w:pPr>
                  <w:jc w:val="both"/>
                  <w:rPr>
                    <w:bCs/>
                    <w:color w:val="000000"/>
                    <w:szCs w:val="24"/>
                  </w:rPr>
                </w:pPr>
                <w:r>
                  <w:rPr>
                    <w:bCs/>
                    <w:color w:val="000000"/>
                    <w:szCs w:val="24"/>
                  </w:rPr>
                  <w:t>&lt;...&gt;</w:t>
                </w:r>
              </w:p>
              <w:p>
                <w:pPr>
                  <w:jc w:val="both"/>
                  <w:rPr>
                    <w:color w:val="000000"/>
                    <w:szCs w:val="24"/>
                  </w:rPr>
                </w:pPr>
                <w:r>
                  <w:rPr>
                    <w:color w:val="000000"/>
                    <w:szCs w:val="24"/>
                  </w:rPr>
                  <w:t xml:space="preserve">2. </w:t>
                </w:r>
                <w:r>
                  <w:rPr>
                    <w:bCs/>
                    <w:szCs w:val="24"/>
                  </w:rPr>
                  <w:t>Rinkos priežiūros institucijos, konsultuojantis su suinteresuotais subjektais ir bendradarbiaudamas su asmenų su negalia nevyriausybinėmis organizacijomis, ekonominės veiklos vykdytojams bei kitiems suinteresuotiems subjektams teikia metodinę pagalbą (rekomendacinio pobūdžio konsultacijas) dėl prieinamumo reikalavimų įgyvendinimo, rengia gaires, rekomendacijas, kitus dokumentus ir įrankius, padedančius įgyvendinti prieinamumo reikalavimus. Jos taip pat užtikrina, kad visuomenė būtų informuojama apie rinkos priežiūros institucijų egzistavimą, jų pavadinimą, atsakomybę, veiklą ir sprendimus.</w:t>
                </w:r>
              </w:p>
              <w:p>
                <w:pPr>
                  <w:jc w:val="both"/>
                  <w:rPr>
                    <w:b/>
                    <w:bCs/>
                    <w:color w:val="000000"/>
                    <w:szCs w:val="24"/>
                  </w:rPr>
                </w:pPr>
              </w:p>
              <w:p>
                <w:pPr>
                  <w:jc w:val="both"/>
                  <w:rPr>
                    <w:b/>
                    <w:bCs/>
                    <w:color w:val="000000"/>
                    <w:szCs w:val="24"/>
                  </w:rPr>
                </w:pPr>
                <w:r>
                  <w:rPr>
                    <w:b/>
                    <w:bCs/>
                    <w:color w:val="000000"/>
                    <w:szCs w:val="24"/>
                  </w:rPr>
                  <w:t>7 straipsnis. Prieinamumo reikalavimai</w:t>
                </w:r>
              </w:p>
              <w:p>
                <w:pPr>
                  <w:jc w:val="both"/>
                  <w:rPr>
                    <w:bCs/>
                    <w:color w:val="000000"/>
                    <w:szCs w:val="24"/>
                  </w:rPr>
                </w:pPr>
                <w:r>
                  <w:rPr>
                    <w:bCs/>
                    <w:color w:val="000000"/>
                    <w:szCs w:val="24"/>
                  </w:rPr>
                  <w:t>1. Ekonominės veiklos vykdytojai privalo užtikrinti, kad į rinką teikiami šio įstatymo 2 straipsnio 2 dalyje nurodyti gaminiai bei šio įstatymo 2 straipsnio 4 dalyje nurodytos teikiamos paslaugos atitiktų šio įstatymo 1 priede nustatytus tiems gaminiams ir paslaugoms taikomus prieinamumo reikalavimus. Paslaugas teikiančios labai mažos įmonės atleidžiamos nuo prieinamumo reikalavimų laikymosi ir pareigų, susijusių su prieinamumo reikalavimų laikymusi.</w:t>
                </w:r>
              </w:p>
              <w:p>
                <w:pPr>
                  <w:jc w:val="both"/>
                  <w:rPr>
                    <w:bCs/>
                    <w:color w:val="000000"/>
                    <w:szCs w:val="24"/>
                  </w:rPr>
                </w:pPr>
                <w:r>
                  <w:rPr>
                    <w:bCs/>
                    <w:color w:val="000000"/>
                    <w:szCs w:val="24"/>
                  </w:rPr>
                  <w:t>2. Prieinamumo reikalavimai taip pat taikomi Bendrojo pagalbos centro atsakymams į skubios pagalbos prašymus, kurie gaunami skubios pagalbos tarnybų ryšio numeriu 112.</w:t>
                </w:r>
              </w:p>
              <w:p>
                <w:pPr>
                  <w:jc w:val="both"/>
                  <w:rPr>
                    <w:bCs/>
                    <w:color w:val="000000"/>
                    <w:szCs w:val="24"/>
                  </w:rPr>
                </w:pPr>
              </w:p>
              <w:p>
                <w:pPr>
                  <w:jc w:val="both"/>
                  <w:rPr>
                    <w:b/>
                    <w:bCs/>
                    <w:color w:val="000000"/>
                    <w:szCs w:val="24"/>
                  </w:rPr>
                </w:pPr>
                <w:r>
                  <w:rPr>
                    <w:b/>
                    <w:bCs/>
                    <w:color w:val="000000"/>
                    <w:szCs w:val="24"/>
                  </w:rPr>
                  <w:t>14 straipsnis. Esminis keitimas ir neproporcinga našta</w:t>
                </w:r>
              </w:p>
              <w:p>
                <w:pPr>
                  <w:jc w:val="both"/>
                  <w:rPr>
                    <w:bCs/>
                    <w:color w:val="000000"/>
                    <w:szCs w:val="24"/>
                  </w:rPr>
                </w:pPr>
                <w:r>
                  <w:rPr>
                    <w:bCs/>
                    <w:color w:val="000000"/>
                    <w:szCs w:val="24"/>
                  </w:rPr>
                  <w:t>&lt;…&gt;</w:t>
                </w:r>
              </w:p>
              <w:p>
                <w:pPr>
                  <w:jc w:val="both"/>
                  <w:rPr>
                    <w:bCs/>
                    <w:i/>
                    <w:iCs/>
                    <w:color w:val="000000"/>
                    <w:szCs w:val="24"/>
                    <w:lang w:val="en-US"/>
                  </w:rPr>
                </w:pPr>
                <w:r>
                  <w:rPr>
                    <w:bCs/>
                    <w:color w:val="000000"/>
                    <w:szCs w:val="24"/>
                  </w:rPr>
                  <w:t>2. Ekonominės veiklos vykdytojai, atsižvelgdami į šio įstatymo 2 priede įtvirtintus kriterijus, atlieka vertinimą, ar dėl taikytinų prieinamumo reikalavimų laikymosi būtų padaryti esminiai gaminio ar paslaugos pagrindinio pobūdžio keitimai, ir, remiantis šio įstatymo 2 priede įtvirtintais kriterijais būtų nustatyta, kad organizacinio ar finansinio pobūdžio našta būtų didesnė, atsižvelgiant į tikėtiną gauti naudą ir sukeltų neproporcingą naštą ekonominės veiklos vykdytojui (toliau – neproporcingos naštos vertinimas).</w:t>
                </w:r>
              </w:p>
            </w:tc>
            <w:tc>
              <w:tcPr>
                <w:tcW w:w="1858" w:type="dxa"/>
                <w:shd w:val="clear" w:color="auto" w:fill="auto"/>
              </w:tcPr>
              <w:p>
                <w:pPr>
                  <w:jc w:val="both"/>
                  <w:rPr>
                    <w:b/>
                    <w:bCs/>
                    <w:i/>
                    <w:iCs/>
                    <w:color w:val="000000"/>
                    <w:szCs w:val="24"/>
                  </w:rPr>
                </w:pPr>
                <w:r>
                  <w:rPr>
                    <w:b/>
                    <w:bCs/>
                    <w:color w:val="000000"/>
                    <w:szCs w:val="24"/>
                  </w:rPr>
                  <w:t>Visiškas</w:t>
                </w:r>
              </w:p>
            </w:tc>
          </w:tr>
          <w:tr>
            <w:trPr>
              <w:trHeight w:val="1115"/>
            </w:trPr>
            <w:tc>
              <w:tcPr>
                <w:tcW w:w="5264" w:type="dxa"/>
                <w:shd w:val="clear" w:color="auto" w:fill="FFFFFF" w:themeFill="background1"/>
              </w:tcPr>
              <w:p>
                <w:pPr>
                  <w:jc w:val="both"/>
                  <w:rPr>
                    <w:b/>
                    <w:color w:val="000000"/>
                    <w:szCs w:val="24"/>
                  </w:rPr>
                </w:pPr>
                <w:r>
                  <w:rPr>
                    <w:b/>
                    <w:color w:val="000000"/>
                    <w:szCs w:val="24"/>
                  </w:rPr>
                  <w:t>5 straipsnis</w:t>
                </w:r>
              </w:p>
              <w:p>
                <w:pPr>
                  <w:jc w:val="both"/>
                  <w:rPr>
                    <w:b/>
                    <w:color w:val="000000"/>
                    <w:szCs w:val="24"/>
                  </w:rPr>
                </w:pPr>
                <w:r>
                  <w:rPr>
                    <w:b/>
                    <w:color w:val="000000"/>
                    <w:szCs w:val="24"/>
                  </w:rPr>
                  <w:t>Keleivinio transporto srityje galiojanti Sąjungos teisė</w:t>
                </w:r>
              </w:p>
              <w:p>
                <w:pPr>
                  <w:jc w:val="both"/>
                  <w:rPr>
                    <w:color w:val="000000"/>
                    <w:szCs w:val="24"/>
                  </w:rPr>
                </w:pPr>
                <w:r>
                  <w:rPr>
                    <w:color w:val="000000"/>
                    <w:szCs w:val="24"/>
                  </w:rPr>
                  <w:t>Paslaugos, kurios atitinka prieinamos informacijos ir informacijos apie prieinamumą teikimo reikalavimus, nustatytus reglamentuose (EB) Nr. 261/2004, (EB) Nr. 1107/2006, (EB) Nr. 1371/2007, (ES) Nr. 1177/2010 ir (ES) Nr. 181/2011 bei atitinkamuose pagal Direktyvą 2008/57/EB priimtuose aktuose, laikomos atitinkančiomis atitinkamus šios direktyvos reikalavimus. Jeigu šioje direktyvoje numatomi reikalavimai, kurie papildo tuose reglamentuose ir tuose aktuose nustatytus reikalavimus, turi būti taikomi visi papildomi reikalavimai.</w:t>
                </w:r>
              </w:p>
            </w:tc>
            <w:tc>
              <w:tcPr>
                <w:tcW w:w="7868" w:type="dxa"/>
                <w:tcBorders>
                  <w:bottom w:val="single" w:sz="4" w:space="0" w:color="auto"/>
                </w:tcBorders>
                <w:shd w:val="clear" w:color="auto" w:fill="FFFFFF" w:themeFill="background1"/>
              </w:tcPr>
              <w:p>
                <w:pPr>
                  <w:jc w:val="both"/>
                  <w:rPr>
                    <w:b/>
                    <w:color w:val="000000"/>
                    <w:szCs w:val="24"/>
                  </w:rPr>
                </w:pPr>
                <w:r>
                  <w:rPr>
                    <w:b/>
                    <w:color w:val="000000"/>
                    <w:szCs w:val="24"/>
                  </w:rPr>
                  <w:t>Projektas</w:t>
                </w:r>
              </w:p>
              <w:p>
                <w:pPr>
                  <w:jc w:val="both"/>
                  <w:rPr>
                    <w:b/>
                    <w:color w:val="000000"/>
                    <w:szCs w:val="24"/>
                  </w:rPr>
                </w:pPr>
              </w:p>
              <w:p>
                <w:pPr>
                  <w:jc w:val="both"/>
                  <w:rPr>
                    <w:b/>
                    <w:color w:val="000000"/>
                    <w:szCs w:val="24"/>
                  </w:rPr>
                </w:pPr>
                <w:r>
                  <w:rPr>
                    <w:b/>
                    <w:color w:val="000000"/>
                    <w:szCs w:val="24"/>
                  </w:rPr>
                  <w:t>2 straipsnis. Įstatymo taikymas</w:t>
                </w:r>
              </w:p>
              <w:p>
                <w:pPr>
                  <w:jc w:val="both"/>
                  <w:rPr>
                    <w:bCs/>
                    <w:color w:val="000000"/>
                    <w:szCs w:val="24"/>
                  </w:rPr>
                </w:pPr>
                <w:r>
                  <w:rPr>
                    <w:bCs/>
                    <w:color w:val="000000"/>
                    <w:szCs w:val="24"/>
                  </w:rPr>
                  <w:t>&lt;…&gt;</w:t>
                </w:r>
              </w:p>
              <w:p>
                <w:pPr>
                  <w:jc w:val="both"/>
                  <w:rPr>
                    <w:bCs/>
                    <w:color w:val="000000"/>
                    <w:szCs w:val="24"/>
                  </w:rPr>
                </w:pPr>
                <w:r>
                  <w:rPr>
                    <w:bCs/>
                    <w:color w:val="000000"/>
                    <w:szCs w:val="24"/>
                  </w:rPr>
                  <w:t>7. Paslaugos, kurios atitinka prieinamos informacijos ir informacijos apie prieinamumą teikimo reikalavimus, nustatytus 2004 m. vasario 11 d. Europos Parlamento ir Tarybos reglamente (EB) Nr. 261/2004, nustatančiame bendras kompensavimo ir pagalbos keleiviams taisykles atsisakymo vežti ir skrydžių atšaukimo arba atidėjimo ilgam laikui atveju, panaikinančiame Reglamentą (EEB) Nr. 295/91, 2006 m. liepos 5 d. Europos Parlamento ir Tarybos reglamente (EB) Nr. 1107/2006 dėl neįgalių asmenų ir ribotos judėsenos asmenų teisių keliaujant oru, 2010 m. lapkričio 24 d. Europos Parlamento ir Tarybos reglamente (ES) Nr. 1177/2010 dėl jūrų ir vidaus vandenų keliais vykstančių keleivių teisių, kuriuo iš dalies keičiamas Reglamentas (EB) Nr. 2006/2004, 2011 m. vasario 16 d. Europos Parlamento ir Tarybos reglamente (ES) Nr. 181/2011 dėl miesto ir tolimojo susisiekimo autobusų transporto keleivių teisių, kuriuo iš dalies keičiamas Reglamentas (EB) Nr. 2006/2004, 2011 m. gegužės 5 d. Komisijos reglamente (ES) Nr. 454/2011 dėl transeuropinės geležinkelių sistemos telematikos priemonių keleivių vežimo paslaugoms posistemio techninės sąveikos specifikacijos su visais pakeitimais, 2014 m. lapkričio 18 d. Komisijos reglamente (ES) Nr. 1300/2014 dėl Sąjungos geležinkelių sistemos prieinamumo neįgaliesiems ir riboto judumo asmenims techninių sąveikos specifikacijų su visais pakeitimais, 2021 m. balandžio 29 d. Europos Parlamento ir Tarybos reglamente (ES) 2021/782 dėl geležinkelių keleivių teisių ir pareigų laikomos atitinkančiomis šio įstatymo reikalavimus. Jeigu šiame įstatyme ir jo įgyvendinamuosiuose teisės aktuose numatomi reikalavimai, kurie papildo šioje dalyje nurodytų teisės aktų nustatytus reikalavimus, turi būti taikomi ir papildomi reikalavimai.</w:t>
                </w:r>
              </w:p>
              <w:p>
                <w:pPr>
                  <w:jc w:val="both"/>
                  <w:rPr>
                    <w:bCs/>
                    <w:color w:val="000000"/>
                    <w:szCs w:val="24"/>
                  </w:rPr>
                </w:pPr>
              </w:p>
            </w:tc>
            <w:tc>
              <w:tcPr>
                <w:tcW w:w="1858" w:type="dxa"/>
                <w:shd w:val="clear" w:color="auto" w:fill="FFFFFF" w:themeFill="background1"/>
              </w:tcPr>
              <w:p>
                <w:pPr>
                  <w:jc w:val="both"/>
                  <w:rPr>
                    <w:rFonts w:eastAsia="Arial"/>
                    <w:b/>
                    <w:bCs/>
                    <w:color w:val="000000"/>
                    <w:szCs w:val="24"/>
                  </w:rPr>
                </w:pPr>
                <w:r>
                  <w:rPr>
                    <w:rFonts w:eastAsia="Arial"/>
                    <w:b/>
                    <w:bCs/>
                    <w:color w:val="000000"/>
                    <w:szCs w:val="24"/>
                  </w:rPr>
                  <w:t>Visiškas</w:t>
                </w:r>
              </w:p>
              <w:p>
                <w:pPr>
                  <w:jc w:val="both"/>
                  <w:rPr>
                    <w:rFonts w:eastAsia="Arial"/>
                    <w:b/>
                    <w:bCs/>
                    <w:color w:val="000000"/>
                    <w:szCs w:val="24"/>
                  </w:rPr>
                </w:pPr>
              </w:p>
              <w:p>
                <w:pPr>
                  <w:ind w:firstLine="62"/>
                  <w:jc w:val="both"/>
                  <w:rPr>
                    <w:rFonts w:eastAsia="Arial"/>
                    <w:b/>
                    <w:bCs/>
                    <w:color w:val="000000"/>
                    <w:szCs w:val="24"/>
                  </w:rPr>
                </w:pPr>
              </w:p>
            </w:tc>
          </w:tr>
          <w:tr>
            <w:trPr>
              <w:trHeight w:val="1975"/>
            </w:trPr>
            <w:tc>
              <w:tcPr>
                <w:tcW w:w="5264" w:type="dxa"/>
              </w:tcPr>
              <w:p>
                <w:pPr>
                  <w:jc w:val="both"/>
                  <w:rPr>
                    <w:b/>
                    <w:color w:val="000000"/>
                    <w:szCs w:val="24"/>
                  </w:rPr>
                </w:pPr>
                <w:r>
                  <w:rPr>
                    <w:b/>
                    <w:color w:val="000000"/>
                    <w:szCs w:val="24"/>
                  </w:rPr>
                  <w:t>6 straipsnis</w:t>
                </w:r>
              </w:p>
              <w:p>
                <w:pPr>
                  <w:jc w:val="both"/>
                  <w:rPr>
                    <w:b/>
                    <w:color w:val="000000"/>
                    <w:szCs w:val="24"/>
                  </w:rPr>
                </w:pPr>
                <w:r>
                  <w:rPr>
                    <w:b/>
                    <w:color w:val="000000"/>
                    <w:szCs w:val="24"/>
                  </w:rPr>
                  <w:t>Laisvas judėjimas</w:t>
                </w:r>
              </w:p>
              <w:p>
                <w:pPr>
                  <w:jc w:val="both"/>
                  <w:rPr>
                    <w:color w:val="000000"/>
                    <w:szCs w:val="24"/>
                  </w:rPr>
                </w:pPr>
                <w:r>
                  <w:rPr>
                    <w:color w:val="000000"/>
                    <w:szCs w:val="24"/>
                  </w:rPr>
                  <w:t>Valstybės narės netrukdo dėl priežasčių, susijusių su prieinamumo reikalavimais, savo teritorijoje tiekti rinkai gaminius arba teikti paslaugas, kurie atitinka šios direktyvos reikalavimus.</w:t>
                </w:r>
              </w:p>
            </w:tc>
            <w:tc>
              <w:tcPr>
                <w:tcW w:w="7868" w:type="dxa"/>
                <w:tcBorders>
                  <w:top w:val="single" w:sz="4" w:space="0" w:color="auto"/>
                </w:tcBorders>
              </w:tcPr>
              <w:p>
                <w:pPr>
                  <w:jc w:val="both"/>
                  <w:rPr>
                    <w:i/>
                    <w:color w:val="000000"/>
                    <w:szCs w:val="24"/>
                  </w:rPr>
                </w:pPr>
                <w:r>
                  <w:rPr>
                    <w:i/>
                    <w:color w:val="000000"/>
                    <w:szCs w:val="24"/>
                  </w:rPr>
                  <w:t>Nuostatos perkelti nereikia, nes ji apibrėžta tiesioginio taikymo teisės akte – Sutarties dėl Europos Sąjungos veikimo 26 ir 28 straipsniuose.</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b/>
                    <w:bCs/>
                    <w:color w:val="000000"/>
                    <w:szCs w:val="24"/>
                  </w:rPr>
                </w:pPr>
                <w:r>
                  <w:rPr>
                    <w:b/>
                    <w:bCs/>
                    <w:color w:val="000000"/>
                    <w:szCs w:val="24"/>
                  </w:rPr>
                  <w:t>7 straipsnis</w:t>
                </w:r>
              </w:p>
              <w:p>
                <w:pPr>
                  <w:jc w:val="both"/>
                  <w:rPr>
                    <w:b/>
                    <w:bCs/>
                    <w:color w:val="000000"/>
                    <w:szCs w:val="24"/>
                  </w:rPr>
                </w:pPr>
                <w:r>
                  <w:rPr>
                    <w:b/>
                    <w:bCs/>
                    <w:color w:val="000000"/>
                    <w:szCs w:val="24"/>
                  </w:rPr>
                  <w:t>Gamintojų pareigos</w:t>
                </w:r>
              </w:p>
              <w:p>
                <w:pPr>
                  <w:jc w:val="both"/>
                  <w:rPr>
                    <w:color w:val="000000"/>
                    <w:szCs w:val="24"/>
                  </w:rPr>
                </w:pPr>
                <w:r>
                  <w:rPr>
                    <w:color w:val="000000"/>
                    <w:szCs w:val="24"/>
                  </w:rPr>
                  <w:t>1.   Pateikdami savo gaminius rinkai gamintojai užtikrina, kad gaminiai būtų suprojektuoti ir pagaminti laikantis taikytinų šios direktyvos prieinamumo reikalavimų.</w:t>
                </w:r>
              </w:p>
              <w:p>
                <w:pPr>
                  <w:jc w:val="both"/>
                  <w:rPr>
                    <w:color w:val="000000"/>
                    <w:szCs w:val="24"/>
                  </w:rPr>
                </w:pPr>
              </w:p>
              <w:p>
                <w:pPr>
                  <w:jc w:val="both"/>
                  <w:rPr>
                    <w:color w:val="000000"/>
                    <w:szCs w:val="24"/>
                  </w:rPr>
                </w:pPr>
              </w:p>
              <w:p>
                <w:pPr>
                  <w:jc w:val="both"/>
                  <w:rPr>
                    <w:color w:val="000000"/>
                    <w:szCs w:val="24"/>
                  </w:rPr>
                </w:pPr>
              </w:p>
              <w:p>
                <w:pPr>
                  <w:jc w:val="both"/>
                  <w:rPr>
                    <w:color w:val="000000"/>
                    <w:szCs w:val="24"/>
                  </w:rPr>
                </w:pPr>
              </w:p>
              <w:p>
                <w:pPr>
                  <w:jc w:val="both"/>
                  <w:rPr>
                    <w:color w:val="000000"/>
                    <w:szCs w:val="24"/>
                  </w:rPr>
                </w:pPr>
              </w:p>
              <w:p>
                <w:pPr>
                  <w:jc w:val="both"/>
                  <w:rPr>
                    <w:color w:val="000000"/>
                    <w:szCs w:val="24"/>
                  </w:rPr>
                </w:pPr>
              </w:p>
              <w:p>
                <w:pPr>
                  <w:jc w:val="both"/>
                  <w:rPr>
                    <w:color w:val="000000"/>
                    <w:szCs w:val="24"/>
                  </w:rPr>
                </w:pPr>
              </w:p>
              <w:p>
                <w:pPr>
                  <w:jc w:val="both"/>
                  <w:rPr>
                    <w:color w:val="000000"/>
                    <w:szCs w:val="24"/>
                  </w:rPr>
                </w:pP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Cs/>
                    <w:color w:val="000000"/>
                    <w:szCs w:val="24"/>
                  </w:rPr>
                </w:pPr>
                <w:r>
                  <w:rPr>
                    <w:bCs/>
                    <w:color w:val="000000"/>
                    <w:szCs w:val="24"/>
                  </w:rPr>
                  <w:t>1. Gamintojai užtikrina, kad į rinką pateikiami gaminiai, nurodyti šio įstatymo 2 straipsnio 2 dalyje, būtų suprojektuoti ir pagaminti laikantis šio įstatymo 1 priede nustatytų prieinamumo reikalavimų.</w:t>
                </w: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color w:val="000000"/>
                    <w:szCs w:val="24"/>
                  </w:rPr>
                </w:pPr>
                <w:r>
                  <w:rPr>
                    <w:color w:val="000000"/>
                    <w:szCs w:val="24"/>
                  </w:rPr>
                  <w:t>2.   Gamintojai parengia techninius dokumentus pagal IV priedą ir atlieka tame priede išdėstytą atitikties vertinimo procedūrą arba paveda ją atlikti.</w:t>
                </w:r>
              </w:p>
              <w:p>
                <w:pPr>
                  <w:jc w:val="both"/>
                  <w:rPr>
                    <w:color w:val="000000"/>
                    <w:szCs w:val="24"/>
                  </w:rPr>
                </w:pPr>
                <w:r>
                  <w:rPr>
                    <w:color w:val="000000"/>
                    <w:szCs w:val="24"/>
                  </w:rPr>
                  <w:t>Jeigu taikant tą procedūrą nustatoma, kad gaminys atitinka taikytinus prieinamumo reikalavimus, gamintojai parengia ES atitikties deklaraciją ir pažymi gaminį CE ženklu.</w:t>
                </w:r>
              </w:p>
              <w:p>
                <w:pPr>
                  <w:jc w:val="both"/>
                  <w:rPr>
                    <w:color w:val="000000"/>
                    <w:szCs w:val="24"/>
                  </w:rPr>
                </w:pP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2. Gamintojai parengia techninius dokumentus, nurodytus šio įstatymo 16 straipsnyje, ir atlieka arba paveda atlikti kitam subjektui gaminių atitikties prieinamumo reikalavimams vertinimo procedūrą. Jeigu atliekant atitikties prieinamumo reikalavimams vertinimo procedūrą nustatoma, kad gaminys atitinka jam taikytinus prieinamumo reikalavimus, gamintojas parengia ES atitikties deklaraciją, nurodytą šio įstatymo 16 straipsnyje, ir gaminį pažymi CE ženklu.</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color w:val="000000"/>
                    <w:szCs w:val="24"/>
                  </w:rPr>
                </w:pPr>
                <w:r>
                  <w:rPr>
                    <w:color w:val="000000"/>
                    <w:szCs w:val="24"/>
                  </w:rPr>
                  <w:t>3.   Techninius dokumentus ir ES atitikties deklaraciją gamintojai saugo penkerius metus nuo gaminio pateikimo rinkai dienos.</w:t>
                </w:r>
              </w:p>
              <w:p>
                <w:pPr>
                  <w:jc w:val="both"/>
                  <w:rPr>
                    <w:color w:val="000000"/>
                    <w:szCs w:val="24"/>
                  </w:rPr>
                </w:pP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3. Techninius dokumentus ir ES atitikties deklaracijas gamintojai saugo penkerius metus nuo gaminio pateikimo rinkai dienos.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color w:val="000000"/>
                    <w:szCs w:val="24"/>
                  </w:rPr>
                </w:pPr>
                <w:r>
                  <w:rPr>
                    <w:color w:val="000000"/>
                    <w:szCs w:val="24"/>
                  </w:rPr>
                  <w:t>4.   Gamintojai užtikrina, kad būtų taikomos procedūros, kuriomis būtų garantuojama nuolatinė serijinės gamybos atitiktis šiai direktyvai. Tinkamai atsižvelgiama į gaminio projekto ar charakteristikų pakeitimus ir į darniųjų standartų ar techninių specifikacijų, kuriais remiantis deklaruojama gaminio atitiktis, pakeitimus.</w:t>
                </w:r>
              </w:p>
              <w:p>
                <w:pPr>
                  <w:jc w:val="both"/>
                  <w:rPr>
                    <w:color w:val="000000"/>
                    <w:szCs w:val="24"/>
                  </w:rPr>
                </w:pP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4. Gamintojai užtikrina, kad būtų taikomos procedūros, kuriomis būtų garantuojama nuolatinė serijinės gaminių gamybos atitiktis prieinamumo reikalavimams. Gamintojai turi atsižvelgti į gaminio projekto ar charakteristikų pakeitimus ir į darniųjų standartų ar techninių specifikacijų, kurių nuorodos paskelbtos ES oficialiajame leidinyje ir kuriais remiantis deklaruojama gaminio atitiktis, pakeitimus.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color w:val="000000"/>
                    <w:szCs w:val="24"/>
                  </w:rPr>
                </w:pPr>
                <w:r>
                  <w:rPr>
                    <w:color w:val="000000"/>
                    <w:szCs w:val="24"/>
                  </w:rPr>
                  <w:t>5.   Gamintojai užtikrina, kad ant jų gaminių būtų nurodytas tipo, partijos ar serijos numeris arba kitas elementas, pagal kurį juos galima identifikuoti, arba, jeigu dėl gaminio dydžio ar pobūdžio to neįmanoma padaryti, užtikrina, kad reikalaujama informacija būtų nurodyta ant pakuotės ar prie gaminio pridėtame dokumente.</w:t>
                </w:r>
              </w:p>
              <w:p>
                <w:pPr>
                  <w:jc w:val="both"/>
                  <w:rPr>
                    <w:color w:val="000000"/>
                    <w:szCs w:val="24"/>
                  </w:rPr>
                </w:pP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5. Gamintojai užtikrina, kad ant jų gaminių būtų nurodytas tipo, partijos ar serijos numeris arba kitas elementas, pagal kurį galima identifikuoti gaminį, arba, jeigu dėl gaminio dydžio ar pobūdžio to neįmanoma padaryti, užtikrina, kad reikalaujama informacija būtų nurodyta ant pakuotės ar prie gaminio pridėtame dokumente.</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color w:val="000000"/>
                    <w:szCs w:val="24"/>
                  </w:rPr>
                </w:pPr>
                <w:r>
                  <w:rPr>
                    <w:color w:val="000000"/>
                    <w:szCs w:val="24"/>
                  </w:rPr>
                  <w:t>6.   Gamintojai nurodo savo pavadinimą (vardą, pavardę), registruotą prekės pavadinimą arba registruotą prekių ženklą ir adresą, kuriuo su jais galima susisiekti, ant gaminio arba, jeigu to neįmanoma padaryti, ant jo pakuotės arba prie gaminio pridėtame dokumente. Turi būti nurodytas vienas adresas, kuriuo galima susisiekti su gamintoju. Kontaktiniai duomenys pateikiami galutiniams naudotojams ir rinkos priežiūros institucijoms lengvai suprantama kalba.</w:t>
                </w:r>
              </w:p>
              <w:p>
                <w:pPr>
                  <w:jc w:val="both"/>
                  <w:rPr>
                    <w:b/>
                    <w:bCs/>
                    <w:color w:val="000000"/>
                    <w:szCs w:val="24"/>
                  </w:rPr>
                </w:pP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6. Gamintojai nurodo savo pavadinimą (gamintojai, kurie yra fiziniai asmenys, nurodo savo vardą ir pavardę), registruotą prekės pavadinimą arba registruotą prekių ženklą ir elektroninio pašto ar veiklos adresą, kuriuo su gamintojais galima susisiekti, ant gaminio arba, jeigu to neįmanoma padaryti, ant jo pakuotės arba prie gaminio pridėtame dokumente. Gamintojas turi nurodyti vieną elektroninio pašto ar veiklos adresą, kuriuo galima su juo susisiekti. Gamintojo kontaktiniai duomenys (elektroninio pašto ar veiklos adresas ir, jei taikoma, telefono ryšio numeris) pateikiami aiškiai ir lengvai suprantamai galutiniams naudotojams ir rinkos priežiūros institucijoms.</w:t>
                </w:r>
              </w:p>
              <w:p>
                <w:pPr>
                  <w:jc w:val="both"/>
                  <w:rPr>
                    <w:b/>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color w:val="000000"/>
                    <w:szCs w:val="24"/>
                  </w:rPr>
                </w:pPr>
                <w:r>
                  <w:rPr>
                    <w:color w:val="000000"/>
                    <w:szCs w:val="24"/>
                  </w:rPr>
                  <w:t>7.   Gamintojai užtikrina, kad prie gaminio būtų pridėtos instrukcijos ir saugos informacija vartotojams ir kitiems galutiniams naudotojams lengvai suprantama kalba, kaip nustatė atitinkama valstybė narė. Tokios instrukcijos ir informacija, taip pat visas ženklinimas, turi būti aiškūs, suprantami ir įskaitomi.</w:t>
                </w:r>
              </w:p>
              <w:p>
                <w:pPr>
                  <w:jc w:val="both"/>
                  <w:rPr>
                    <w:b/>
                    <w:bCs/>
                    <w:color w:val="000000"/>
                    <w:szCs w:val="24"/>
                  </w:rPr>
                </w:pP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7. Gamintojai užtikrina, kad prie gaminio būtų pridėtos instrukcijos ir saugos informacija, kurios turi būti lengvai suprantamos vartotojams ir kitiems galutiniams naudotojams. Tokios instrukcijos ir informacija bei ženklinimas turi būti aiškūs, suprantami ir lengvai įskaitomi</w:t>
                </w:r>
              </w:p>
              <w:p>
                <w:pPr>
                  <w:jc w:val="both"/>
                  <w:rPr>
                    <w:b/>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color w:val="000000"/>
                    <w:szCs w:val="24"/>
                  </w:rPr>
                </w:pPr>
                <w:r>
                  <w:rPr>
                    <w:color w:val="000000"/>
                    <w:szCs w:val="24"/>
                  </w:rPr>
                  <w:t>8.   Gamintojai, manantys arba turintys pagrindo manyti, kad gaminys, kurį jie pateikė rinkai, neatitinka šios direktyvos, nedelsdami imasi būtinų taisomųjų priemonių, kad užtikrintų to gaminio atitiktį, arba, jei tikslinga, pašalintų jį iš rinkos. Be to, jei gaminys neatitinka šios direktyvos prieinamumo reikalavimų, gamintojai nedelsdami apie tai informuoja valstybių narių, kurių rinkai jie tiekė tokį gaminį, kompetentingas nacionalines institucijas, pateikdami duomenis, visų pirma apie neatitiktį ir apie visas taisomąsias priemones, kurių buvo imtasi. Tokiais atvejais gamintojai registruoja gaminius, kurie neatitinka taikytinų prieinamumo reikalavimų, ir susijusius skundus.</w:t>
                </w:r>
              </w:p>
              <w:p>
                <w:pPr>
                  <w:jc w:val="both"/>
                  <w:rPr>
                    <w:b/>
                    <w:bCs/>
                    <w:color w:val="000000"/>
                    <w:szCs w:val="24"/>
                  </w:rPr>
                </w:pP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8. Gamintojai, manantys arba turintys pagrindo manyti, kad gaminys, kurį jie pateikė rinkai, neatitinka prieinamumo reikalavimų, nedelsdami, bet ne vėliau kaip per 3 darbo dienas nuo dienos, kurią sužinojo apie neatitiktį, imasi būtinų priemonių, kad užtikrintų to gaminio atitiktį prieinamumo reikalavimams, arba jį pašalintų iš rinkos. </w:t>
                </w:r>
              </w:p>
              <w:p>
                <w:pPr>
                  <w:jc w:val="both"/>
                  <w:rPr>
                    <w:bCs/>
                    <w:color w:val="000000"/>
                    <w:szCs w:val="24"/>
                  </w:rPr>
                </w:pPr>
                <w:r>
                  <w:rPr>
                    <w:bCs/>
                    <w:color w:val="000000"/>
                    <w:szCs w:val="24"/>
                  </w:rPr>
                  <w:t xml:space="preserve">9. Jei į rinką pateiktas gaminys neatitinka prieinamumo reikalavimų, gamintojai nedelsdami, bet ne vėliau kaip per 3 darbo dienas nuo dienos, kurią sužinojo apie neatitiktį, apie tai informuoja atitinkamą rinkos priežiūros instituciją jos nustatyta tvarka, pateikdami duomenis apie neatitiktį ir apie visas priemones, kurių buvo imtasi. </w:t>
                </w:r>
              </w:p>
              <w:p>
                <w:pPr>
                  <w:jc w:val="both"/>
                  <w:rPr>
                    <w:bCs/>
                    <w:color w:val="000000"/>
                    <w:szCs w:val="24"/>
                  </w:rPr>
                </w:pPr>
                <w:r>
                  <w:rPr>
                    <w:bCs/>
                    <w:color w:val="000000"/>
                    <w:szCs w:val="24"/>
                  </w:rPr>
                  <w:t>10. Šio straipsnio 8 ir 9 dalyse nurodytais atvejais gamintojai registruoja gaminius, kurie neatitinka jiems taikytinų prieinamumo reikalavimų, ir su jais susijusius skundus.</w:t>
                </w:r>
              </w:p>
              <w:p>
                <w:pPr>
                  <w:jc w:val="both"/>
                  <w:rPr>
                    <w:b/>
                    <w:color w:val="000000"/>
                    <w:szCs w:val="24"/>
                  </w:rPr>
                </w:pPr>
              </w:p>
            </w:tc>
            <w:tc>
              <w:tcPr>
                <w:tcW w:w="1858" w:type="dxa"/>
              </w:tcPr>
              <w:p>
                <w:pPr>
                  <w:jc w:val="both"/>
                  <w:rPr>
                    <w:b/>
                    <w:bCs/>
                    <w:color w:val="000000"/>
                    <w:szCs w:val="24"/>
                  </w:rPr>
                </w:pPr>
                <w:r>
                  <w:rPr>
                    <w:b/>
                    <w:bCs/>
                    <w:color w:val="000000"/>
                    <w:szCs w:val="24"/>
                  </w:rPr>
                  <w:t>Visiškas</w:t>
                </w:r>
              </w:p>
            </w:tc>
          </w:tr>
          <w:tr>
            <w:trPr>
              <w:trHeight w:val="983"/>
            </w:trPr>
            <w:tc>
              <w:tcPr>
                <w:tcW w:w="5264" w:type="dxa"/>
              </w:tcPr>
              <w:p>
                <w:pPr>
                  <w:jc w:val="both"/>
                  <w:rPr>
                    <w:b/>
                    <w:bCs/>
                    <w:color w:val="000000"/>
                    <w:szCs w:val="24"/>
                  </w:rPr>
                </w:pPr>
                <w:r>
                  <w:rPr>
                    <w:color w:val="000000"/>
                    <w:szCs w:val="24"/>
                  </w:rPr>
                  <w:t>9.   Gavę motyvuotą kompetentingos nacionalinės institucijos prašymą, gamintojai pateikia jai visą gaminio atitikčiai parodyti būtiną informaciją ir dokumentus tai institucijai lengvai suprantama kalba. Tos institucijos prašymu jie su ja bendradarbiauja dėl visų veiksmų, kurių imamasi siekiant pašalinti gaminių, kuriuos jie pateikė rinkai, neatitiktį taikytiniems prieinamumo reikalavimams, visų pirma užtikrindami tų gaminių atitiktį taikytiniems prieinamumo reikalavimams.</w:t>
                </w:r>
              </w:p>
            </w:tc>
            <w:tc>
              <w:tcPr>
                <w:tcW w:w="7868" w:type="dxa"/>
              </w:tcPr>
              <w:p>
                <w:pPr>
                  <w:jc w:val="both"/>
                  <w:rPr>
                    <w:b/>
                    <w:color w:val="000000"/>
                    <w:szCs w:val="24"/>
                  </w:rPr>
                </w:pPr>
                <w:r>
                  <w:rPr>
                    <w:b/>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11. Gavę motyvuotą rinkos priežiūros institucijos prašymą, gamintojai per jos nurodytą terminą, kuris negali būti trumpesnis kaip 3 darbo dienos, raštu pateikia jai visą gaminio atitikčiai prieinamumo reikalavimams įrodyti būtiną, rinkos priežiūros institucijai lengvai suprantamą informaciją ir dokumentus ar jų kopijas. Gamintojai rinkos priežiūros institucijų prašymu bendradarbiauja su jomis dėl visų veiksmų, kurių imamasi siekiant pašalinti gaminių, kuriuos jie pateikė rinkai, neatitiktį taikytiniems prieinamumo reikalavimams ir užtikrindami tų gaminių atitiktį jiems taikytiniems prieinamumo reikalavimams.</w:t>
                </w:r>
              </w:p>
              <w:p>
                <w:pPr>
                  <w:jc w:val="both"/>
                  <w:rPr>
                    <w:b/>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8 straipsnis</w:t>
                </w:r>
              </w:p>
              <w:p>
                <w:pPr>
                  <w:jc w:val="both"/>
                  <w:rPr>
                    <w:b/>
                    <w:bCs/>
                    <w:color w:val="000000"/>
                    <w:szCs w:val="24"/>
                  </w:rPr>
                </w:pPr>
                <w:r>
                  <w:rPr>
                    <w:b/>
                    <w:bCs/>
                    <w:color w:val="000000"/>
                    <w:szCs w:val="24"/>
                  </w:rPr>
                  <w:t>Įgaliotieji atstovai</w:t>
                </w:r>
              </w:p>
              <w:p>
                <w:pPr>
                  <w:jc w:val="both"/>
                  <w:rPr>
                    <w:color w:val="000000"/>
                    <w:szCs w:val="24"/>
                  </w:rPr>
                </w:pPr>
                <w:r>
                  <w:rPr>
                    <w:color w:val="000000"/>
                    <w:szCs w:val="24"/>
                  </w:rPr>
                  <w:t>1.   Gamintojas rašytiniu įgaliojimu gali paskirti įgaliotąjį atstovą. Įgaliotasis atstovas negali būti įgaliojamas vykdyti 7 straipsnio 1 dalyje nustatytų pareigų ir rengti techninių dokumentų.</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9 straipsnis. Įgaliotieji atstovai</w:t>
                </w:r>
              </w:p>
              <w:p>
                <w:pPr>
                  <w:jc w:val="both"/>
                  <w:rPr>
                    <w:bCs/>
                    <w:color w:val="000000"/>
                    <w:szCs w:val="24"/>
                  </w:rPr>
                </w:pPr>
                <w:r>
                  <w:rPr>
                    <w:bCs/>
                    <w:color w:val="000000"/>
                    <w:szCs w:val="24"/>
                  </w:rPr>
                  <w:t>1. Gamintojas rašytiniu įgaliojimu (nurodomas įgaliojamo juridinio asmens pavadinimas, juridinio asmens kodas, o kai įgaliojami fiziniai asmenys– vardas ir pavardė) gali paskirti įgaliotąjį atstovą. Įgaliotasis atstovas negali būti įgaliojamas vykdyti šio įstatymo 8 straipsnio 1 dalyje nustatytas pareigas ir rengti šio įstatymo 16 straipsnyje nurodytus techninius dokumentus.</w:t>
                </w:r>
              </w:p>
              <w:p>
                <w:pPr>
                  <w:jc w:val="both"/>
                  <w:rPr>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2.   Įgaliotasis atstovas atlieka iš gamintojo gautame įgaliojime nurodytas užduotis. Įgaliojimu įgaliotajam atstovui leidžiama atlikti bent šiuos veiksmus:</w:t>
                </w:r>
              </w:p>
              <w:p>
                <w:pPr>
                  <w:jc w:val="both"/>
                  <w:rPr>
                    <w:color w:val="000000"/>
                    <w:szCs w:val="24"/>
                  </w:rPr>
                </w:pPr>
                <w:r>
                  <w:rPr>
                    <w:color w:val="000000"/>
                    <w:szCs w:val="24"/>
                  </w:rPr>
                  <w:t>a) penkerius metus saugoti ES atitikties deklaraciją ir techninius dokumentus, kad su jais galėtų susipažinti rinkos priežiūros institucijos;</w:t>
                </w:r>
              </w:p>
              <w:p>
                <w:pPr>
                  <w:jc w:val="both"/>
                  <w:rPr>
                    <w:color w:val="000000"/>
                    <w:szCs w:val="24"/>
                  </w:rPr>
                </w:pPr>
                <w:r>
                  <w:rPr>
                    <w:color w:val="000000"/>
                    <w:szCs w:val="24"/>
                  </w:rPr>
                  <w:t>b) gavus motyvuotą kompetentingos nacionalinės institucijos prašymą, pateikti tai institucijai visą gaminio atitikčiai įrodyti būtiną informaciją ir dokumentus;</w:t>
                </w:r>
              </w:p>
              <w:p>
                <w:pPr>
                  <w:jc w:val="both"/>
                  <w:rPr>
                    <w:b/>
                    <w:bCs/>
                    <w:color w:val="000000"/>
                    <w:szCs w:val="24"/>
                  </w:rPr>
                </w:pPr>
                <w:r>
                  <w:rPr>
                    <w:color w:val="000000"/>
                    <w:szCs w:val="24"/>
                  </w:rPr>
                  <w:t>c) kompetentingų nacionalinių institucijų prašymu bendradarbiauti su jomis dėl visų veiksmų, kurių imamasi siekiant pašalinti gaminių, kuriuos apima jo įgaliojimas, neatitiktį taikytiniems prieinamumo reikalavimams.</w:t>
                </w: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9 straipsnis. Įgaliotieji atstovai</w:t>
                </w:r>
              </w:p>
              <w:p>
                <w:pPr>
                  <w:jc w:val="both"/>
                  <w:rPr>
                    <w:bCs/>
                    <w:color w:val="000000"/>
                    <w:szCs w:val="24"/>
                  </w:rPr>
                </w:pPr>
                <w:r>
                  <w:rPr>
                    <w:bCs/>
                    <w:color w:val="000000"/>
                    <w:szCs w:val="24"/>
                  </w:rPr>
                  <w:t>&lt;...&gt;</w:t>
                </w:r>
              </w:p>
              <w:p>
                <w:pPr>
                  <w:jc w:val="both"/>
                  <w:rPr>
                    <w:bCs/>
                    <w:color w:val="000000"/>
                    <w:szCs w:val="24"/>
                  </w:rPr>
                </w:pPr>
                <w:r>
                  <w:rPr>
                    <w:bCs/>
                    <w:color w:val="000000"/>
                    <w:szCs w:val="24"/>
                  </w:rPr>
                  <w:t>2. Įgaliotasis atstovas atlieka iš gamintojo gautame rašytiniame įgaliojime nurodytas užduotis. Gamintojas įgaliotąjį atstovą privalomai įgalioja atlikti šiuos veiksmus:</w:t>
                </w:r>
              </w:p>
              <w:p>
                <w:pPr>
                  <w:jc w:val="both"/>
                  <w:rPr>
                    <w:bCs/>
                    <w:color w:val="000000"/>
                    <w:szCs w:val="24"/>
                  </w:rPr>
                </w:pPr>
                <w:r>
                  <w:rPr>
                    <w:bCs/>
                    <w:color w:val="000000"/>
                    <w:szCs w:val="24"/>
                  </w:rPr>
                  <w:t>1) penkerius metus saugoti ES atitikties deklaraciją ir techninius dokumentus, kad su jais galėtų susipažinti rinkos priežiūros institucijos;</w:t>
                </w:r>
              </w:p>
              <w:p>
                <w:pPr>
                  <w:jc w:val="both"/>
                  <w:rPr>
                    <w:bCs/>
                    <w:color w:val="000000"/>
                    <w:szCs w:val="24"/>
                  </w:rPr>
                </w:pPr>
                <w:r>
                  <w:rPr>
                    <w:bCs/>
                    <w:color w:val="000000"/>
                    <w:szCs w:val="24"/>
                  </w:rPr>
                  <w:t>2) gavęs motyvuotą rinkos priežiūros institucijos prašymą, jai pateikti visą gaminio atitikčiai prieinamumo reikalavimams įrodyti būtiną informaciją ir dokumentus ar jų kopijas;</w:t>
                </w:r>
              </w:p>
              <w:p>
                <w:pPr>
                  <w:jc w:val="both"/>
                  <w:rPr>
                    <w:bCs/>
                    <w:color w:val="000000"/>
                    <w:szCs w:val="24"/>
                  </w:rPr>
                </w:pPr>
                <w:r>
                  <w:rPr>
                    <w:bCs/>
                    <w:color w:val="000000"/>
                    <w:szCs w:val="24"/>
                  </w:rPr>
                  <w:t>3) rinkos priežiūros institucijų prašymu bendradarbiauti su jomis dėl visų veiksmų, kurių imamasi siekiant pašalinti gaminių, nurodytų jo įgaliojime, neatitiktį jiems taikytiniems prieinamumo reikalavimams.</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9 straipsnis</w:t>
                </w:r>
              </w:p>
              <w:p>
                <w:pPr>
                  <w:jc w:val="both"/>
                  <w:rPr>
                    <w:b/>
                    <w:bCs/>
                    <w:color w:val="000000"/>
                    <w:szCs w:val="24"/>
                  </w:rPr>
                </w:pPr>
                <w:r>
                  <w:rPr>
                    <w:b/>
                    <w:bCs/>
                    <w:color w:val="000000"/>
                    <w:szCs w:val="24"/>
                  </w:rPr>
                  <w:t>Importuotojų pareigos</w:t>
                </w:r>
              </w:p>
              <w:p>
                <w:pPr>
                  <w:jc w:val="both"/>
                  <w:rPr>
                    <w:color w:val="000000"/>
                    <w:szCs w:val="24"/>
                  </w:rPr>
                </w:pPr>
                <w:r>
                  <w:rPr>
                    <w:color w:val="000000"/>
                    <w:szCs w:val="24"/>
                  </w:rPr>
                  <w:t>1.   Importuotojai pateikia rinkai tik reikalavimus atitinkančius gaminius.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10 straipsnis. Importuotojų pareigos</w:t>
                </w:r>
              </w:p>
              <w:p>
                <w:pPr>
                  <w:jc w:val="both"/>
                  <w:rPr>
                    <w:bCs/>
                    <w:color w:val="000000"/>
                    <w:szCs w:val="24"/>
                  </w:rPr>
                </w:pPr>
                <w:r>
                  <w:rPr>
                    <w:bCs/>
                    <w:color w:val="000000"/>
                    <w:szCs w:val="24"/>
                  </w:rPr>
                  <w:t>1. Importuotojai pateikia rinkai tik prieinamumo reikalavimus atitinkančius gaminius, nurodytus šio įstatymo 2 straipsnio 2 dalyje.</w:t>
                </w:r>
              </w:p>
              <w:p>
                <w:pPr>
                  <w:jc w:val="both"/>
                  <w:rPr>
                    <w:bCs/>
                    <w:color w:val="000000"/>
                    <w:szCs w:val="24"/>
                  </w:rPr>
                </w:pP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2.   Prieš pateikdami gaminį rinkai, importuotojai užtikrina, kad gamintojas būtų atlikęs IV priede išdėstytą atitikties vertinimo procedūrą. Jie užtikrina, kad gamintojas būtų parengęs techninius dokumentus, kaip reikalaujama tame priede, kad gaminys būtų pažymėtas CE ženklu ir kad prie jo būtų pridėti reikalaujami dokumentai bei kad gamintojas būtų įvykdęs 7 straipsnio 5 ir 6 dalyse išdėstytus reikalavimus.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10 straipsnis. Importuotojų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2. Prieš pateikdami gaminį rinkai, importuotojai užtikrina, kad atlikta šio įstatymo 8 straipsnio 2 dalyje nurodyta gaminio atitikties prieinamumo reikalavimams vertinimo procedūra, taip pat kad gamintojas parengęs techninius dokumentus, kad gaminys pažymėtas CE ženklu, kaip nustatyta šio įstatymo 17 straipsnyje, kad prie jo pridėti reikalaujami dokumentai ir kad gamintojas įvykdęs šio įstatymo 8 straipsnio 5 ir 6 dalyse nustatytus reikalavimus.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   Jeigu importuotojas mano arba turi pagrindo manyti, kad gaminys neatitinka taikytinų šios direktyvos prieinamumo reikalavimų, importuotojas neteikia gaminio rinkai, kol neužtikrinama gaminio atitiktis. Be to, jei gaminys neatitinka taikytinų prieinamumo reikalavimų, importuotojas apie tai informuoja gamintoją ir rinkos priežiūros institucijas.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10 straipsnis. Importuotojų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3. Jeigu importuotojas mano arba turi pagrindo manyti, kad gaminys neatitinka jam taikytinų prieinamumo reikalavimų, jis neteikia gaminio rinkai, kol neužtikrinama gaminio atitiktis prieinamumo reikalavimams. Jei gaminys neatitinka jam taikytinų prieinamumo reikalavimų, importuotojas apie tai raštu nedelsdamas, bet ne vėliau kaip per 3 darbo dienas nuo dienos, kurią sužinojo apie neatitiktį, informuoja gamintoją ir atitinkamą rinkos priežiūros instituciją, nurodydamas savo juridinio asmens pavadinimą ir juridinio asmens kodą arba fizinio asmens vardą ir pavardę bei kontaktinius duomenis (elektroninio pašto adresą ir telefono ryšio numerį).</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4.   Importuotojai nurodo savo pavadinimą (vardą, pavardę), registruotą prekės pavadinimą arba registruotą prekių ženklą, adresą, kuriuo su jais galima susisiekti, ant gaminio arba, jeigu to neįmanoma padaryti, ant jo pakuotės arba prie gamino pridėtame dokumente. Kontaktiniai duomenys pateikiami galutiniams naudotojams ir rinkos priežiūros institucijoms lengvai suprantama kalba.</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10 straipsnis. Importuotojų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4. Importuotojai nurodo savo pavadinimą (importuotojai, kurie yra fiziniai asmenys, nurodo savo vardą ir pavardę), registruotą prekės pavadinimą arba registruotą prekės ženklą, elektroninio pašto adresą ir (ar) veiklos adresą, ir (ar) telefono ryšio numerį, kuriais su jais galima susisiekti, ant gaminio arba, jeigu to neįmanoma padaryti, ant jo pakuotės, arba prie gaminio pridėtame dokumente. Importuotojo kontaktiniai duomenys (elektroninio pašto ir (ar) veiklos adresas ir, jei taikoma, telefono ryšio numeris) pateikiami aiškiai ir lengvai suprantamai galutiniams naudotojams ir rinkos priežiūros institucijoms.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5.   Importuotojai užtikrina, kad prie gaminio būtų pridėtos instrukcijos ir saugos informacija vartotojams ir kitiems galutiniams naudotojams lengvai suprantama kalba, kaip nustatė atitinkama valstybė narė.</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10 straipsnis. Importuotojų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5. Importuotojai užtikrina, kad prie gaminio būtų pridėtos instrukcijos ir saugos informacija, jos turi būti lengvai suprantamos vartotojams ir kitiems galutiniams naudotojams.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6.   Tuo metu, kai atsakomybė už gaminį tenka importuotojams, jie užtikrina, kad dėl sandėliavimo ar transportavimo sąlygų nekiltų pavojus jo atitikčiai taikytiniems prieinamumo reikalavimams.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10 straipsnis. Importuotojų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6. Tuo metu, kai atsakomybė už gaminį tenka importuotojams, jie užtikrina, kad dėl sandėliavimo ar transportavimo sąlygų nekiltų pavojus gaminiui taikytinų prieinamumo reikalavimų atitikčiai.</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7.   Importuotojai penkerius metus saugo ES atitikties deklaracijos kopiją, kad su ja galėtų susipažinti rinkos priežiūros institucijos, ir užtikrina, kad tų institucijų prašymu jos galėtų su susipažinti su techniniais dokumentais.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10 straipsnis. Importuotojų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7. Importuotojai penkerius metus saugo ES atitikties deklaracijos kopiją, kad su ja galėtų susipažinti rinkos priežiūros institucijos, ir užtikrina, kad šios institucijos jų prašymu galėtų susipažinti su techniniais dokumentais.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8.   Importuotojai, manantys arba turintys pagrindo manyti, kad gaminys, kurį jie pateikė rinkai, neatitinka šios direktyvos, nedelsdami imasi būtinų taisomųjų priemonių, kad užtikrintų to gaminio atitiktį, arba, jei tikslinga, jį pašalintų. Be to, jei gaminys neatitinka taikytinų prieinamumo reikalavimų, importuotojai nedelsdami apie tai informuoja valstybių narių, kurių rinkai jie tiekė tokius gaminius, kompetentingas nacionalines institucijas, pateikdami duomenis, visų pirma apie neatitiktį ir apie visas taisomąsias priemones, kurių buvo imtasi. Tokiais atvejais importuotojai registruoja gaminius, kurie neatitinka taikytinų prieinamumo reikalavimų, ir susijusius skundus.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10 straipsnis. Importuotojų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8. Importuotojai, manantys arba turintys pagrindo manyti, kad gaminys, kurį jie pateikė rinkai, neatitinka jam taikytinų prieinamumo reikalavimų, nedelsdami imasi būtinų priemonių, kad užtikrintų to gaminio atitiktį prieinamumo reikalavimams, arba, jei tikslinga, jį pašalintų iš rinkos. Jei gaminys neatitinka jam taikytinų prieinamumo reikalavimų, importuotojai nedelsdami, bet ne vėliau kaip per 3 darbo dienas nuo dienos, kurią sužinojo apie neatitiktį jam taikytiniems prieinamumo reikalavimams, apie tai informuoja atitinkamą rinkos priežiūros instituciją jos nustatyta tvarka, pateikdami duomenis apie neatitiktį ir apie visas priemones, kurių buvo imtasi. Tokiais atvejais importuotojai registruoja gaminius, kurie neatitinka jiems taikytinų prieinamumo reikalavimų, ir su jais susijusius skundus.</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color w:val="000000"/>
                    <w:szCs w:val="24"/>
                  </w:rPr>
                  <w:t>9.   Gavę motyvuotą kompetentingos nacionalinės institucijos prašymą, importuotojai pateikia jai visą gaminio atitikčiai parodyti būtiną informaciją ir dokumentus tai institucijai lengvai suprantama kalba. Tos institucijos prašymu jie su ja bendradarbiauja dėl visų veiksmų, kurių imamasi siekiant pašalinti gaminių, kuriuos jie pateikė rinkai, neatitiktį taikytiniems prieinamumo reikalavimams.</w:t>
                </w: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10 straipsnis. Importuotojų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9. Gavę motyvuotą rinkos priežiūros institucijos prašymą, importuotojai, per jos nurodytą terminą, kuris negali būti trumpesnis nei 3 darbo dienos, raštu pateikia rinkos priežiūros institucijai visą gaminio atitikčiai prieinamumo reikalavimams įrodyti būtiną, rinkos priežiūros institucijai lengvai suprantamą informaciją ir dokumentus ar jų kopijas. Importuotojai rinkos priežiūros institucijų prašymu bendradarbiauja su jomis dėl visų veiksmų, kurių imamasi siekiant pašalinti gaminių, kuriuos jie pateikė rinkai, neatitiktį jiems taikytiniems prieinamumo reikalavimams.</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10 straipsnis</w:t>
                </w:r>
              </w:p>
              <w:p>
                <w:pPr>
                  <w:jc w:val="both"/>
                  <w:rPr>
                    <w:b/>
                    <w:bCs/>
                    <w:color w:val="000000"/>
                    <w:szCs w:val="24"/>
                  </w:rPr>
                </w:pPr>
                <w:r>
                  <w:rPr>
                    <w:b/>
                    <w:bCs/>
                    <w:color w:val="000000"/>
                    <w:szCs w:val="24"/>
                  </w:rPr>
                  <w:t>Platintojų pareigos</w:t>
                </w:r>
              </w:p>
              <w:p>
                <w:pPr>
                  <w:jc w:val="both"/>
                  <w:rPr>
                    <w:color w:val="000000"/>
                    <w:szCs w:val="24"/>
                  </w:rPr>
                </w:pPr>
                <w:r>
                  <w:rPr>
                    <w:color w:val="000000"/>
                    <w:szCs w:val="24"/>
                  </w:rPr>
                  <w:t>1.   Tiekdami gaminius rinkai, platintojai veikia deramai laikydamiesi šioje direktyvoje nustatytų reikalavimų.</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11 straipsnis. Platintojų pareigos</w:t>
                </w:r>
              </w:p>
              <w:p>
                <w:pPr>
                  <w:jc w:val="both"/>
                  <w:rPr>
                    <w:bCs/>
                    <w:color w:val="000000"/>
                    <w:szCs w:val="24"/>
                  </w:rPr>
                </w:pPr>
                <w:r>
                  <w:rPr>
                    <w:bCs/>
                    <w:color w:val="000000"/>
                    <w:szCs w:val="24"/>
                  </w:rPr>
                  <w:t>1. Tiekdami gaminius, nurodytus šio įstatymo 2 straipsnio 2 dalyje, rinkai, platintojai veikia laikydamiesi šiame straipsnyje nustatytų reikalavimų.</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2.   Prieš tiekdami gaminį rinkai, platintojai patikrina, ar gaminys pažymėtas CE ženklu, ar prie jo pridėti reikalaujami dokumentai ir instrukcijos bei saugos informacija vartotojams ir kitiems galutiniams naudotojams valstybėje narėje, kurios rinkai turi būti tiekiamas gaminys, lengvai suprantama kalba, ir ar gamintojas bei importuotojas laikėsi atitinkamai 7 straipsnio 5 ir 6 dalyse ir 9 straipsnio 4 dalyje išdėstytų reikalavimų.</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11 straipsnis. Platintojų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2. Prieš tiekdami gaminį rinkai, platintojai patikrina, ar jis pažymėtas CE ženklu, ar prie jo pridėti reikalaujami dokumentai, instrukcijos bei saugos informacija (šie dokumentai turi būti lengvai suprantami vartotojams ir kitiems galutiniams naudotojams), ir ar gamintojas bei importuotojas laikėsi atitinkamai šio įstatymo 8 straipsnio 5 ir 6 dalyse bei 10 straipsnio 4 dalyje nustatytų reikalavimų.</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   Jeigu platintojas mano ar turi pagrindo manyti, kad gaminys neatitinka šios direktyvos taikytinų prieinamumo reikalavimų, platintojas netiekia gaminio rinkai, kol neužtikrinama jo atitiktis. Be to, jei gaminys neatitinka taikytinų prieinamumo reikalavimų, platintojas apie tai informuoja gamintoją arba importuotoją ir rinkos priežiūros institucijas.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11 straipsnis. Platintojų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3. Jeigu platintojas mano ar turi pagrindo manyti, kad gaminys neatitinka jam taikytinų prieinamumo reikalavimų, jis netiekia gaminio rinkai, kol neužtikrinama jo atitiktis prieinamumo reikalavimams. Jei gaminys neatitinka jam taikytinų prieinamumo reikalavimų, platintojas apie tai raštu nedelsdamas, bet ne vėliau kaip per 3 darbo dienas nuo dienos, kurią sužinojo apie gaminio neatitiktį jam taikytiniems prieinamumo reikalavimams, informuoja gamintoją arba importuotoją ir atitinkamą rinkos priežiūros instituciją.</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4.   Tuo metu, kai atsakomybė už gaminius tenka platintojams, jie užtikrina, kad dėl sandėliavimo ar transportavimo sąlygų nekiltų pavojus jų atitikčiai taikytiniems prieinamumo reikalavimams.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11 straipsnis. Platintojų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4. Tuo metu, kai atsakomybė už gaminius tenka platintojams, jie užtikrina, kad dėl sandėliavimo ar transportavimo sąlygų nekiltų pavojus gaminiui taikytinų prieinamumo reikalavimų atitikčiai.</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5.   Platintojai, manantys arba turintys pagrindo manyti, kad gaminys, kurį jie patiekė rinkai, neatitinka šios direktyvos, užtikrina, kad būtų imtasi būtinų taisomųjų priemonių siekiant užtikrinti to gaminio atitiktį arba, jei tikslinga, jį pašalinti. Be to, jei gaminys neatitinka taikytinų prieinamumo reikalavimų, platintojai nedelsdami apie tai informuoja valstybių narių, kurių rinkai jie tiekė tokius gaminius, kompetentingas nacionalines institucijas, pateikdami duomenis, visų pirma apie neatitiktį ir apie visas taisomąsias priemones, kurių buvo imtasi.</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11 straipsnis. Platintojų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 xml:space="preserve">5. Platintojai, manantys arba turintys pagrindo manyti, kad gaminys, kurį jie patiekė rinkai, neatitinka jam taikytinų prieinamumo reikalavimų, užtikrina, kad būtų imtasi būtinų priemonių, siekiant užtikrinti to gaminio atitiktį prieinamumo reikalavimams arba, jei tikslinga, jį pašalinti iš rinkos. Jei gaminys neatitinka jam taikytinų prieinamumo reikalavimų, platintojai nedelsdami, bet ne vėliau kaip per 3 darbo dienas nuo dienos, kurią sužinojo apie neatitiktį, apie tai informuoja atitinkamą rinkos priežiūros instituciją  jos nustatyta, pateikdami duomenis apie neatitiktį ir visas priemones, kurių buvo imtasi.</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6.   Gavę motyvuotą kompetentingos nacionalinės institucijos prašymą, platintojai pateikia jai visą gaminio atitikčiai parodyti būtiną informaciją ir dokumentus. Tos institucijos prašymu jie su ja bendradarbiauja dėl visų veiksmų, kurių imamasi siekiant pašalinti gaminių, kuriuos jie patiekė rinkai, neatitiktį taikytiniems prieinamumo reikalavimams.</w:t>
                </w:r>
              </w:p>
              <w:p>
                <w:pPr>
                  <w:jc w:val="both"/>
                  <w:rPr>
                    <w:b/>
                    <w:bCs/>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11 straipsnis. Platintojų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6. Gavę motyvuotą rinkos priežiūros institucijos prašymą, platintojai per jos nurodytą terminą, kuris turi būti ne trumpesnis kaip 3 darbo dienos, raštu pateikia jai visą gaminio atitikčiai prieinamumo reikalavimams įrodyti būtiną informaciją ir dokumentus ar jų kopijas. Rinkos priežiūros institucijos prašymu platintojai su ja bendradarbiauja dėl visų veiksmų, kurių imamasi siekiant pašalinti gaminių, kuriuos jie patiekė rinkai, neatitiktį jiems taikytiniems prieinamumo reikalavimams.</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11 straipsnis</w:t>
                </w:r>
              </w:p>
              <w:p>
                <w:pPr>
                  <w:jc w:val="both"/>
                  <w:rPr>
                    <w:b/>
                    <w:bCs/>
                    <w:color w:val="000000"/>
                    <w:szCs w:val="24"/>
                  </w:rPr>
                </w:pPr>
                <w:r>
                  <w:rPr>
                    <w:b/>
                    <w:bCs/>
                    <w:color w:val="000000"/>
                    <w:szCs w:val="24"/>
                  </w:rPr>
                  <w:t>Atvejai, kai importuotojams ir platintojams taikomos gamintojų pareigos</w:t>
                </w:r>
              </w:p>
              <w:p>
                <w:pPr>
                  <w:jc w:val="both"/>
                  <w:rPr>
                    <w:color w:val="000000"/>
                    <w:szCs w:val="24"/>
                  </w:rPr>
                </w:pPr>
                <w:r>
                  <w:rPr>
                    <w:color w:val="000000"/>
                    <w:szCs w:val="24"/>
                  </w:rPr>
                  <w:t>Šioje direktyvoje importuotojas arba platintojas laikomas gamintoju ir jam taikomos 7 straipsnyje nustatytos gamintojo pareigos, jei jis gaminį pateikia rinkai savo vardu ar naudodamas savo prekių ženklą arba taip pakeičia rinkai jau pateiktą gaminį, kad gali būti padarytas poveikis jo atitikčiai šios direktyvos reikalavimams.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8 straipsnis. Gamintojų pareigos</w:t>
                </w:r>
              </w:p>
              <w:p>
                <w:pPr>
                  <w:jc w:val="both"/>
                  <w:rPr>
                    <w:b/>
                    <w:bCs/>
                    <w:color w:val="000000"/>
                    <w:szCs w:val="24"/>
                  </w:rPr>
                </w:pPr>
                <w:r>
                  <w:rPr>
                    <w:b/>
                    <w:bCs/>
                    <w:color w:val="000000"/>
                    <w:szCs w:val="24"/>
                  </w:rPr>
                  <w:t>&lt;</w:t>
                </w:r>
                <w:r>
                  <w:rPr>
                    <w:color w:val="000000"/>
                    <w:szCs w:val="24"/>
                  </w:rPr>
                  <w:t>…</w:t>
                </w:r>
                <w:r>
                  <w:rPr>
                    <w:b/>
                    <w:bCs/>
                    <w:color w:val="000000"/>
                    <w:szCs w:val="24"/>
                  </w:rPr>
                  <w:t>&gt;</w:t>
                </w:r>
              </w:p>
              <w:p>
                <w:pPr>
                  <w:jc w:val="both"/>
                  <w:rPr>
                    <w:b/>
                    <w:bCs/>
                    <w:color w:val="000000"/>
                    <w:szCs w:val="24"/>
                  </w:rPr>
                </w:pPr>
                <w:r>
                  <w:rPr>
                    <w:color w:val="000000"/>
                    <w:szCs w:val="24"/>
                  </w:rPr>
                  <w:t xml:space="preserve">12. </w:t>
                </w:r>
                <w:r>
                  <w:rPr>
                    <w:bCs/>
                    <w:color w:val="000000"/>
                    <w:szCs w:val="24"/>
                  </w:rPr>
                  <w:t>Šiame įstatyme importuotojas arba platintojas laikomas gamintoju ir jam taikomos šiame straipsnyje nustatytos gamintojo pareigos, jei jis gaminį rinkai pateikia savo vardu ar naudodamas savo prekių ženklą arba taip pakeičia rinkai jau pateiktą gaminį, kad gali būti padarytas poveikis jo atitikčiai jam taikytiniems prieinamumo reikalavimams.</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12 straipsnis</w:t>
                </w:r>
              </w:p>
              <w:p>
                <w:pPr>
                  <w:jc w:val="both"/>
                  <w:rPr>
                    <w:b/>
                    <w:bCs/>
                    <w:color w:val="000000"/>
                    <w:szCs w:val="24"/>
                  </w:rPr>
                </w:pPr>
                <w:r>
                  <w:rPr>
                    <w:b/>
                    <w:bCs/>
                    <w:color w:val="000000"/>
                    <w:szCs w:val="24"/>
                  </w:rPr>
                  <w:t>Gaminiais užsiimančių ekonominės veiklos vykdytojų identifikavimas</w:t>
                </w:r>
              </w:p>
              <w:p>
                <w:pPr>
                  <w:jc w:val="both"/>
                  <w:rPr>
                    <w:color w:val="000000"/>
                    <w:szCs w:val="24"/>
                  </w:rPr>
                </w:pPr>
                <w:r>
                  <w:rPr>
                    <w:color w:val="000000"/>
                    <w:szCs w:val="24"/>
                  </w:rPr>
                  <w:t>1.   Rinkos priežiūros institucijų prašymu 7–10 straipsniuose nurodyti ekonominės veiklos vykdytojai turi identifikuoti šiuos subjektus:</w:t>
                </w:r>
              </w:p>
              <w:tbl>
                <w:tblPr>
                  <w:tblW w:w="5000" w:type="pct"/>
                  <w:tblCellMar>
                    <w:left w:w="0" w:type="dxa"/>
                    <w:right w:w="0" w:type="dxa"/>
                  </w:tblCellMar>
                  <w:tblLook w:val="04A0" w:firstRow="1" w:lastRow="0" w:firstColumn="1" w:lastColumn="0" w:noHBand="0" w:noVBand="1"/>
                </w:tblPr>
                <w:tblGrid>
                  <w:gridCol w:w="222"/>
                  <w:gridCol w:w="4826"/>
                </w:tblGrid>
                <w:tr>
                  <w:tc>
                    <w:tcPr>
                      <w:tcW w:w="263" w:type="dxa"/>
                      <w:shd w:val="clear" w:color="auto" w:fill="auto"/>
                      <w:hideMark/>
                    </w:tcPr>
                    <w:p>
                      <w:pPr>
                        <w:jc w:val="both"/>
                        <w:rPr>
                          <w:color w:val="000000"/>
                          <w:szCs w:val="24"/>
                        </w:rPr>
                      </w:pPr>
                      <w:r>
                        <w:rPr>
                          <w:color w:val="000000"/>
                          <w:szCs w:val="24"/>
                        </w:rPr>
                        <w:t>a)</w:t>
                      </w:r>
                    </w:p>
                  </w:tc>
                  <w:tc>
                    <w:tcPr>
                      <w:tcW w:w="9097" w:type="dxa"/>
                      <w:shd w:val="clear" w:color="auto" w:fill="auto"/>
                      <w:hideMark/>
                    </w:tcPr>
                    <w:p>
                      <w:pPr>
                        <w:jc w:val="both"/>
                        <w:rPr>
                          <w:color w:val="000000"/>
                          <w:szCs w:val="24"/>
                        </w:rPr>
                      </w:pPr>
                      <w:r>
                        <w:rPr>
                          <w:color w:val="000000"/>
                          <w:szCs w:val="24"/>
                        </w:rPr>
                        <w:t>visus kitus ekonominės veiklos vykdytojus, kurie jiems patiekė gaminį;</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38"/>
                  <w:gridCol w:w="4810"/>
                </w:tblGrid>
                <w:tr>
                  <w:tc>
                    <w:tcPr>
                      <w:tcW w:w="282" w:type="dxa"/>
                      <w:shd w:val="clear" w:color="auto" w:fill="auto"/>
                      <w:hideMark/>
                    </w:tcPr>
                    <w:p>
                      <w:pPr>
                        <w:jc w:val="both"/>
                        <w:rPr>
                          <w:color w:val="000000"/>
                          <w:szCs w:val="24"/>
                        </w:rPr>
                      </w:pPr>
                      <w:r>
                        <w:rPr>
                          <w:color w:val="000000"/>
                          <w:szCs w:val="24"/>
                        </w:rPr>
                        <w:t>b)</w:t>
                      </w:r>
                    </w:p>
                  </w:tc>
                  <w:tc>
                    <w:tcPr>
                      <w:tcW w:w="9078" w:type="dxa"/>
                      <w:shd w:val="clear" w:color="auto" w:fill="auto"/>
                      <w:hideMark/>
                    </w:tcPr>
                    <w:p>
                      <w:pPr>
                        <w:jc w:val="both"/>
                        <w:rPr>
                          <w:color w:val="000000"/>
                          <w:szCs w:val="24"/>
                        </w:rPr>
                      </w:pPr>
                      <w:r>
                        <w:rPr>
                          <w:color w:val="000000"/>
                          <w:szCs w:val="24"/>
                        </w:rPr>
                        <w:t>visus kitus ekonominės veiklos vykdytojus, kuriems jie patiekė gaminį.</w:t>
                      </w:r>
                    </w:p>
                  </w:tc>
                </w:tr>
              </w:tbl>
              <w:p>
                <w:pPr>
                  <w:jc w:val="both"/>
                  <w:rPr>
                    <w:color w:val="000000"/>
                    <w:szCs w:val="24"/>
                  </w:rPr>
                </w:pPr>
                <w:r>
                  <w:rPr>
                    <w:color w:val="000000"/>
                    <w:szCs w:val="24"/>
                  </w:rPr>
                  <w:t>2.   7–10 straipsniuose nurodyti ekonominės veiklos vykdytojai šio straipsnio 1 dalyje nurodytą informaciją turi galėti pateikti penkerių metų laikotarpį po to, kai gaminys jiems buvo patiektas, ir penkerių metų laikotarpį po to, kai jie patiekė gaminį.</w:t>
                </w:r>
              </w:p>
              <w:p>
                <w:pPr>
                  <w:jc w:val="both"/>
                  <w:rPr>
                    <w:color w:val="000000"/>
                    <w:szCs w:val="24"/>
                  </w:rPr>
                </w:pPr>
                <w:r>
                  <w:rPr>
                    <w:color w:val="000000"/>
                    <w:szCs w:val="24"/>
                  </w:rPr>
                  <w:t>3.   Komisijai pagal 26 straipsnį suteikiami įgaliojimai priimti deleguotuosius aktus, siekiant iš dalies pakeisti šią direktyvą, kad būtų pakeistas šio straipsnio 2 dalyje nurodytas laikotarpis konkrečių gaminių atžvilgiu. Tas iš dalies pakeistas laikotarpis turi būti ilgesnis nei penkeri metai ir turi būti proporcingas atitinkamo gaminio ekonomiškai naudingo gyvavimo laikui.</w:t>
                </w: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12 straipsnis. Ekonominės veiklos vykdytojų atsekamumas</w:t>
                </w:r>
              </w:p>
              <w:p>
                <w:pPr>
                  <w:jc w:val="both"/>
                  <w:rPr>
                    <w:bCs/>
                    <w:color w:val="000000"/>
                    <w:szCs w:val="24"/>
                  </w:rPr>
                </w:pPr>
                <w:r>
                  <w:rPr>
                    <w:color w:val="000000"/>
                    <w:szCs w:val="24"/>
                  </w:rPr>
                  <w:t xml:space="preserve">1. </w:t>
                </w:r>
                <w:r>
                  <w:rPr>
                    <w:bCs/>
                    <w:color w:val="000000"/>
                    <w:szCs w:val="24"/>
                  </w:rPr>
                  <w:t>Rinkos priežiūros institucijų prašymu šio įstatymo 8–11 straipsniuose nurodyti ekonominės veiklos vykdytojai turi pateikti informaciją apie šiuos subjektus (veiklos adresas, elektroninio pašto adresas, telefono ryšio numeris, juridinio asmens pavadinimas ir juridinio asmens kodas, fizinio asmens atveju – vardas ir pavardė):</w:t>
                </w:r>
              </w:p>
              <w:p>
                <w:pPr>
                  <w:jc w:val="both"/>
                  <w:rPr>
                    <w:bCs/>
                    <w:color w:val="000000"/>
                    <w:szCs w:val="24"/>
                  </w:rPr>
                </w:pPr>
                <w:r>
                  <w:rPr>
                    <w:bCs/>
                    <w:color w:val="000000"/>
                    <w:szCs w:val="24"/>
                  </w:rPr>
                  <w:t>1) visus kitus ekonominės veiklos vykdytojus, kurie jiems patiekė gaminį;</w:t>
                </w:r>
              </w:p>
              <w:p>
                <w:pPr>
                  <w:jc w:val="both"/>
                  <w:rPr>
                    <w:bCs/>
                    <w:color w:val="000000"/>
                    <w:szCs w:val="24"/>
                  </w:rPr>
                </w:pPr>
                <w:r>
                  <w:rPr>
                    <w:bCs/>
                    <w:color w:val="000000"/>
                    <w:szCs w:val="24"/>
                  </w:rPr>
                  <w:t>2) visus kitus ekonominės veiklos vykdytojus, kuriems jie patiekė gaminį.</w:t>
                </w:r>
              </w:p>
              <w:p>
                <w:pPr>
                  <w:jc w:val="both"/>
                  <w:rPr>
                    <w:bCs/>
                    <w:color w:val="000000"/>
                    <w:szCs w:val="24"/>
                  </w:rPr>
                </w:pPr>
                <w:r>
                  <w:rPr>
                    <w:bCs/>
                    <w:color w:val="000000"/>
                    <w:szCs w:val="24"/>
                  </w:rPr>
                  <w:t>2. Šio įstatymo 8–11 straipsniuose nurodyti ekonominės veiklos vykdytojai šio straipsnio 1 dalyje nurodytą informaciją turi galėti pateikti penkerius metus po to, kai gaminys jiems buvo patiektas, ir penkerius metus po to, kai jie patiekė gaminį į rinką.</w:t>
                </w:r>
              </w:p>
              <w:p>
                <w:pPr>
                  <w:jc w:val="both"/>
                  <w:rPr>
                    <w:color w:val="000000"/>
                    <w:szCs w:val="24"/>
                  </w:rPr>
                </w:pPr>
              </w:p>
              <w:p>
                <w:pPr>
                  <w:jc w:val="both"/>
                  <w:rPr>
                    <w:color w:val="000000"/>
                    <w:szCs w:val="24"/>
                  </w:rPr>
                </w:pPr>
                <w:r>
                  <w:rPr>
                    <w:i/>
                    <w:color w:val="000000"/>
                    <w:szCs w:val="24"/>
                  </w:rPr>
                  <w:t>Pastaba. Direktyvos straipsnio 3 dalies nuostatų perkelti nereikia, nes jos skirtos Komisijai.</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13 straipsnis</w:t>
                </w:r>
              </w:p>
              <w:p>
                <w:pPr>
                  <w:jc w:val="both"/>
                  <w:rPr>
                    <w:b/>
                    <w:bCs/>
                    <w:color w:val="000000"/>
                    <w:szCs w:val="24"/>
                  </w:rPr>
                </w:pPr>
                <w:r>
                  <w:rPr>
                    <w:b/>
                    <w:bCs/>
                    <w:color w:val="000000"/>
                    <w:szCs w:val="24"/>
                  </w:rPr>
                  <w:t>Paslaugų teikėjų pareigos</w:t>
                </w:r>
              </w:p>
              <w:p>
                <w:pPr>
                  <w:jc w:val="both"/>
                  <w:rPr>
                    <w:color w:val="000000"/>
                    <w:szCs w:val="24"/>
                  </w:rPr>
                </w:pPr>
                <w:r>
                  <w:rPr>
                    <w:color w:val="000000"/>
                    <w:szCs w:val="24"/>
                  </w:rPr>
                  <w:t>1.   Paslaugų teikėjai užtikrina, kad jų paslaugos būtų projektuojamos ir teikiamos pagal šios direktyvos prieinamumo reikalavimus.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13 straipsnis. Paslaugų teikėjų pareigos</w:t>
                </w:r>
              </w:p>
              <w:p>
                <w:pPr>
                  <w:jc w:val="both"/>
                  <w:rPr>
                    <w:bCs/>
                    <w:color w:val="000000"/>
                    <w:szCs w:val="24"/>
                  </w:rPr>
                </w:pPr>
                <w:r>
                  <w:rPr>
                    <w:bCs/>
                    <w:color w:val="000000"/>
                    <w:szCs w:val="24"/>
                  </w:rPr>
                  <w:t>1. Šio įstatymo 2 straipsnio 4 dalyje nurodytų paslaugų teikėjai užtikrina, kad jų paslaugos būtų projektuojamos ir teikiamos pagal joms taikytinus prieinamumo reikalavimus.</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2.   Paslaugų teikėjai parengia būtiną informaciją pagal V priedą ir paaiškina, kaip paslaugos atitinka taikytinus prieinamumo reikalavimus. Informacija skelbiama viešai, raštu ir žodžiu, taip pat ir tokiu būdu, kuris yra prieinamas neįgaliesiems. Paslaugų teikėjai tą informaciją saugo tol, kol paslauga yra teikiama.</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13 straipsnis. Paslaugų teikėjų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2. Paslaugos teikėjas bendrajame paslaugos teikimo sąlygų apraše arba lygiaverčiame dokumente (toliau kartu – bendrasis paslaugos teikimo sąlygų aprašas) turi pateikti informaciją kaip paslauga atitinka jai taikytinus prieinamumo reikalavimus. Bendrajame paslaugos teikimo sąlygų apraše aprašomi taikytini prieinamumo reikalavimai, ir, jeigu tai svarbu atliekant atitikties prieinamumo reikalavimams vertinimą, paslaugos projektas ir veikimas, taip pat paaiškinama, kaip paslauga atitinka taikytinus prieinamumo reikalavimus, kaip paslaugų teikimo procesu ir jo stebėsena užtikrinama paslaugos atitiktis jai taikytiniems prieinamumo reikalavimams. Šioje dalyje nurodyta informacija skelbiama viešai, pateikiama raštu ir žodžiu, taip pat ir asmenims su negalia prieinamu būdu. Paslaugos teikėjas šioje dalyje nurodytą informaciją saugo tol, kol paslauga teikiama. Šioje dalyje nurodyta informacija apima pagal Civilinį kodeksą ir (ar) kitus įstatymus vartotojams teikiamą informaciją ir, jei taikytina, šiuos elementus:</w:t>
                </w:r>
              </w:p>
              <w:p>
                <w:pPr>
                  <w:jc w:val="both"/>
                  <w:rPr>
                    <w:bCs/>
                    <w:color w:val="000000"/>
                    <w:szCs w:val="24"/>
                  </w:rPr>
                </w:pPr>
                <w:r>
                  <w:rPr>
                    <w:bCs/>
                    <w:color w:val="000000"/>
                    <w:szCs w:val="24"/>
                  </w:rPr>
                  <w:t>1) prieinamais formatais pateiktą bendrąjį paslaugos teikimo sąlygų aprašą</w:t>
                </w:r>
              </w:p>
              <w:p>
                <w:pPr>
                  <w:jc w:val="both"/>
                  <w:rPr>
                    <w:bCs/>
                    <w:color w:val="000000"/>
                    <w:szCs w:val="24"/>
                  </w:rPr>
                </w:pPr>
                <w:r>
                  <w:rPr>
                    <w:bCs/>
                    <w:color w:val="000000"/>
                    <w:szCs w:val="24"/>
                  </w:rPr>
                  <w:t>2) paslaugos veikimui suprasti būtinus aprašymus ir paaiškinimus;</w:t>
                </w:r>
              </w:p>
              <w:p>
                <w:pPr>
                  <w:jc w:val="both"/>
                  <w:rPr>
                    <w:bCs/>
                    <w:color w:val="000000"/>
                    <w:szCs w:val="24"/>
                  </w:rPr>
                </w:pPr>
                <w:r>
                  <w:rPr>
                    <w:bCs/>
                    <w:color w:val="000000"/>
                    <w:szCs w:val="24"/>
                  </w:rPr>
                  <w:t>3) aprašymus, kaip paslauga atitinka jai taikytinus prieinamumo reikalavimus.</w:t>
                </w:r>
              </w:p>
              <w:p>
                <w:pPr>
                  <w:jc w:val="both"/>
                  <w:rPr>
                    <w:bCs/>
                    <w:color w:val="000000"/>
                    <w:szCs w:val="24"/>
                  </w:rPr>
                </w:pPr>
                <w:r>
                  <w:rPr>
                    <w:bCs/>
                    <w:color w:val="000000"/>
                    <w:szCs w:val="24"/>
                  </w:rPr>
                  <w:t>3. Siekdami laikytis šio straipsnio 2 dalies reikalavimų, paslaugų teikėjai gali visapusiškai arba iš dalies taikyti darniuosius standartus ir technines specifikacijas, kurių nuorodos paskelbtos ES oficialiajame leidinyje.</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   Nedarant poveikio 32 straipsniui, paslaugų teikėjai užtikrina, kad būtų įdiegtos procedūros, kad paslaugų teikimas ir toliau atitiktų taikytinus prieinamumo reikalavimus. Paslaugų teikėjai tinkamai atsižvelgia į paslaugos teikimo charakteristikų pakeitimus, taikytinų prieinamumo reikalavimų pakeitimus ir darniųjų standartų arba techninių specifikacijų, kuriais remiantis deklaruojama, kad paslauga atitinka prieinamumo reikalavimus, pakeitimus.</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13 straipsnis. Paslaugų teikėjų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4. Paslaugų teikėjai įdiegia procedūras, kuriomis užtikrina, kad paslaugų teikimas visą jų teikimo laikotarpį atitiktų joms taikytinus prieinamumo reikalavimus. Paslaugų teikėjai atsižvelgia į paslaugų teikimo charakteristikų pakeitimus, taikytinų prieinamumo reikalavimų pakeitimus ir darniųjų standartų arba techninių specifikacijų, kuriais remiantis deklaruojama, kad paslauga atitinka prieinamumo reikalavimus, pakeitimus.</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4.   Neatitikties atveju paslaugų teikėjai imasi būtinų taisomųjų priemonių, kad užtikrintų paslaugos atitiktį taikytiniems prieinamumo reikalavimams. Be to, jei paslauga neatitinka taikytinų prieinamumo reikalavimų, paslaugų teikėjai nedelsdami apie tai informuoja valstybių narių, kuriose jie teikia paslaugas, kompetentingas nacionalines institucijas, pateikdami duomenis, visų pirma apie neatitiktį ir apie visas taisomąsias priemones, kurių buvo imtasi.</w:t>
                </w:r>
              </w:p>
              <w:p>
                <w:pPr>
                  <w:jc w:val="both"/>
                  <w:rPr>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13 straipsnis. Paslaugų teikėjų pareigos</w:t>
                </w:r>
              </w:p>
              <w:p>
                <w:pPr>
                  <w:jc w:val="both"/>
                  <w:rPr>
                    <w:bCs/>
                    <w:color w:val="000000"/>
                    <w:szCs w:val="24"/>
                  </w:rPr>
                </w:pPr>
                <w:r>
                  <w:rPr>
                    <w:bCs/>
                    <w:color w:val="000000"/>
                    <w:szCs w:val="24"/>
                  </w:rPr>
                  <w:t>&lt;...&gt;</w:t>
                </w:r>
              </w:p>
              <w:p>
                <w:pPr>
                  <w:jc w:val="both"/>
                  <w:rPr>
                    <w:bCs/>
                    <w:color w:val="000000"/>
                    <w:szCs w:val="24"/>
                  </w:rPr>
                </w:pPr>
                <w:r>
                  <w:rPr>
                    <w:bCs/>
                    <w:color w:val="000000"/>
                    <w:szCs w:val="24"/>
                  </w:rPr>
                  <w:t>5. Neatitikties prieinamumo reikalavimams atveju paslaugų teikėjai imasi būtinų priemonių, kad užtikrintų paslaugos atitiktį jai taikytiniems prieinamumo reikalavimams. Jei paslauga neatitinka jai taikytinų prieinamumo reikalavimų, paslaugų teikėjai nedelsdami, bet ne vėliau kaip per 3 darbo dienas nuo dienos, kurią sužinojo apie neatitiktį, apie tai informuoja atitinkamą rinkos priežiūros instituciją jos nustatyta tvarka, pateikdami duomenis apie neatitiktį ir apie visas priemones, kurių buvo imtasi.</w:t>
                </w:r>
              </w:p>
              <w:p>
                <w:pPr>
                  <w:jc w:val="both"/>
                  <w:rPr>
                    <w:bCs/>
                    <w:color w:val="000000"/>
                    <w:szCs w:val="24"/>
                  </w:rPr>
                </w:pPr>
              </w:p>
            </w:tc>
            <w:tc>
              <w:tcPr>
                <w:tcW w:w="1858" w:type="dxa"/>
              </w:tcPr>
              <w:p>
                <w:pPr>
                  <w:jc w:val="both"/>
                  <w:rPr>
                    <w:b/>
                    <w:bCs/>
                    <w:color w:val="000000"/>
                    <w:szCs w:val="24"/>
                  </w:rPr>
                </w:pPr>
                <w:r>
                  <w:rPr>
                    <w:b/>
                    <w:bCs/>
                    <w:color w:val="000000"/>
                    <w:szCs w:val="24"/>
                  </w:rPr>
                  <w:t>Visiškas</w:t>
                </w:r>
              </w:p>
            </w:tc>
          </w:tr>
          <w:tr>
            <w:trPr>
              <w:trHeight w:val="40"/>
            </w:trPr>
            <w:tc>
              <w:tcPr>
                <w:tcW w:w="5264" w:type="dxa"/>
              </w:tcPr>
              <w:p>
                <w:pPr>
                  <w:jc w:val="both"/>
                  <w:rPr>
                    <w:color w:val="000000"/>
                    <w:szCs w:val="24"/>
                  </w:rPr>
                </w:pPr>
                <w:r>
                  <w:rPr>
                    <w:color w:val="000000"/>
                    <w:szCs w:val="24"/>
                  </w:rPr>
                  <w:t>5.   Gavę motyvuotą kompetentingos nacionalinės institucijos prašymą, paslaugų teikėjai pateikia jai visą paslaugos atitikčiai taikytiniems prieinamumo reikalavimams parodyti būtiną informaciją. Tos institucijos prašymu jie bendradarbiauja su ta institucija dėl visų veiksmų, kurių imamasi siekiant užtikrinti paslaugos atitiktį tiems reikalavimams.</w:t>
                </w:r>
              </w:p>
              <w:p>
                <w:pPr>
                  <w:jc w:val="both"/>
                  <w:rPr>
                    <w:b/>
                    <w:bCs/>
                    <w:color w:val="000000"/>
                    <w:szCs w:val="24"/>
                  </w:rPr>
                </w:pP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13 straipsnis. Paslaugų teikėjų pareigos</w:t>
                </w:r>
              </w:p>
              <w:p>
                <w:pPr>
                  <w:jc w:val="both"/>
                  <w:rPr>
                    <w:bCs/>
                    <w:color w:val="000000"/>
                    <w:szCs w:val="24"/>
                  </w:rPr>
                </w:pPr>
                <w:r>
                  <w:rPr>
                    <w:bCs/>
                    <w:color w:val="000000"/>
                    <w:szCs w:val="24"/>
                  </w:rPr>
                  <w:t>&lt;...&gt;</w:t>
                </w:r>
              </w:p>
              <w:p>
                <w:pPr>
                  <w:jc w:val="both"/>
                  <w:rPr>
                    <w:b/>
                    <w:bCs/>
                    <w:color w:val="000000"/>
                    <w:szCs w:val="24"/>
                  </w:rPr>
                </w:pPr>
                <w:r>
                  <w:rPr>
                    <w:bCs/>
                    <w:color w:val="000000"/>
                    <w:szCs w:val="24"/>
                  </w:rPr>
                  <w:t>6. Gavę motyvuotą rinkos priežiūros institucijos prašymą, paslaugų teikėjai per jos nurodytą terminą, kuris turi būti ne trumpesnis kaip 3 darbo dienos, raštu pateikia jai visą paslaugos atitikčiai jai taikytiniems prieinamumo reikalavimams įrodyti būtiną informaciją ir dokumentus ar jų kopijas. Rinkos priežiūros institucijos prašymu paslaugų teikėjai bendradarbiauja su ja dėl visų veiksmų, kurių imamasi siekiant užtikrinti paslaugos atitiktį jai taikytiniems prieinamumo reikalavimams.</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14 straipsnis</w:t>
                </w:r>
              </w:p>
              <w:p>
                <w:pPr>
                  <w:jc w:val="both"/>
                  <w:rPr>
                    <w:b/>
                    <w:bCs/>
                    <w:color w:val="000000"/>
                    <w:szCs w:val="24"/>
                  </w:rPr>
                </w:pPr>
                <w:r>
                  <w:rPr>
                    <w:b/>
                    <w:bCs/>
                    <w:color w:val="000000"/>
                    <w:szCs w:val="24"/>
                  </w:rPr>
                  <w:t>Esminis keitimas ir neproporcinga našta</w:t>
                </w:r>
              </w:p>
              <w:p>
                <w:pPr>
                  <w:jc w:val="both"/>
                  <w:rPr>
                    <w:color w:val="000000"/>
                    <w:szCs w:val="24"/>
                  </w:rPr>
                </w:pPr>
                <w:r>
                  <w:rPr>
                    <w:color w:val="000000"/>
                    <w:szCs w:val="24"/>
                  </w:rPr>
                  <w:t>1.   4 straipsnyje nurodyti prieinamumo reikalavimai taikomi tik tokiu mastu, kad dėl reikalavimų laikymosi:</w:t>
                </w:r>
              </w:p>
              <w:tbl>
                <w:tblPr>
                  <w:tblW w:w="5000" w:type="pct"/>
                  <w:tblCellMar>
                    <w:left w:w="0" w:type="dxa"/>
                    <w:right w:w="0" w:type="dxa"/>
                  </w:tblCellMar>
                  <w:tblLook w:val="04A0" w:firstRow="1" w:lastRow="0" w:firstColumn="1" w:lastColumn="0" w:noHBand="0" w:noVBand="1"/>
                </w:tblPr>
                <w:tblGrid>
                  <w:gridCol w:w="197"/>
                  <w:gridCol w:w="4851"/>
                </w:tblGrid>
                <w:tr>
                  <w:tc>
                    <w:tcPr>
                      <w:tcW w:w="209" w:type="dxa"/>
                      <w:shd w:val="clear" w:color="auto" w:fill="auto"/>
                      <w:hideMark/>
                    </w:tcPr>
                    <w:p>
                      <w:pPr>
                        <w:jc w:val="both"/>
                        <w:rPr>
                          <w:color w:val="000000"/>
                          <w:szCs w:val="24"/>
                        </w:rPr>
                      </w:pPr>
                      <w:r>
                        <w:rPr>
                          <w:color w:val="000000"/>
                          <w:szCs w:val="24"/>
                        </w:rPr>
                        <w:t>a)</w:t>
                      </w:r>
                    </w:p>
                  </w:tc>
                  <w:tc>
                    <w:tcPr>
                      <w:tcW w:w="9151" w:type="dxa"/>
                      <w:shd w:val="clear" w:color="auto" w:fill="auto"/>
                      <w:hideMark/>
                    </w:tcPr>
                    <w:p>
                      <w:pPr>
                        <w:jc w:val="both"/>
                        <w:rPr>
                          <w:color w:val="000000"/>
                          <w:szCs w:val="24"/>
                        </w:rPr>
                      </w:pPr>
                      <w:r>
                        <w:rPr>
                          <w:color w:val="000000"/>
                          <w:szCs w:val="24"/>
                        </w:rPr>
                        <w:t>nereikėtų ženkliai pakeisti gaminio ar paslaugos, padarant esminį gaminio ar paslaugos pagrindinio pobūdžio keitimą, ir</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15"/>
                  <w:gridCol w:w="4833"/>
                </w:tblGrid>
                <w:tr>
                  <w:tc>
                    <w:tcPr>
                      <w:tcW w:w="234" w:type="dxa"/>
                      <w:shd w:val="clear" w:color="auto" w:fill="auto"/>
                      <w:hideMark/>
                    </w:tcPr>
                    <w:p>
                      <w:pPr>
                        <w:jc w:val="both"/>
                        <w:rPr>
                          <w:color w:val="000000"/>
                          <w:szCs w:val="24"/>
                        </w:rPr>
                      </w:pPr>
                      <w:r>
                        <w:rPr>
                          <w:color w:val="000000"/>
                          <w:szCs w:val="24"/>
                        </w:rPr>
                        <w:t>b)</w:t>
                      </w:r>
                    </w:p>
                  </w:tc>
                  <w:tc>
                    <w:tcPr>
                      <w:tcW w:w="9126" w:type="dxa"/>
                      <w:shd w:val="clear" w:color="auto" w:fill="auto"/>
                      <w:hideMark/>
                    </w:tcPr>
                    <w:p>
                      <w:pPr>
                        <w:jc w:val="both"/>
                        <w:rPr>
                          <w:color w:val="000000"/>
                          <w:szCs w:val="24"/>
                        </w:rPr>
                      </w:pPr>
                      <w:r>
                        <w:rPr>
                          <w:color w:val="000000"/>
                          <w:szCs w:val="24"/>
                        </w:rPr>
                        <w:t>nebūtų sukelta neproporcinga našta atitinkamiems ekonominės veiklos vykdytojams.</w:t>
                      </w:r>
                    </w:p>
                  </w:tc>
                </w:tr>
              </w:tbl>
              <w:p>
                <w:pPr>
                  <w:jc w:val="both"/>
                  <w:rPr>
                    <w:color w:val="000000"/>
                    <w:szCs w:val="24"/>
                  </w:rPr>
                </w:pPr>
              </w:p>
            </w:tc>
            <w:tc>
              <w:tcPr>
                <w:tcW w:w="7868" w:type="dxa"/>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14 straipsnis. Esminis keitimas ir neproporcinga našta</w:t>
                </w:r>
              </w:p>
              <w:p>
                <w:pPr>
                  <w:jc w:val="both"/>
                  <w:rPr>
                    <w:bCs/>
                    <w:color w:val="000000"/>
                    <w:szCs w:val="24"/>
                  </w:rPr>
                </w:pPr>
                <w:r>
                  <w:rPr>
                    <w:bCs/>
                    <w:color w:val="000000"/>
                    <w:szCs w:val="24"/>
                  </w:rPr>
                  <w:t>1. Prieinamumo reikalavimai taikomi tik tokia apimtimi, kad dėl šių reikalavimų laikymosi:</w:t>
                </w:r>
              </w:p>
              <w:p>
                <w:pPr>
                  <w:jc w:val="both"/>
                  <w:rPr>
                    <w:bCs/>
                    <w:color w:val="000000"/>
                    <w:szCs w:val="24"/>
                  </w:rPr>
                </w:pPr>
                <w:r>
                  <w:rPr>
                    <w:bCs/>
                    <w:color w:val="000000"/>
                    <w:szCs w:val="24"/>
                  </w:rPr>
                  <w:t>1) nereikėtų daryti esminio gaminio ar paslaugos pagrindinio pobūdžio pakeitimo, ir</w:t>
                </w:r>
              </w:p>
              <w:p>
                <w:pPr>
                  <w:jc w:val="both"/>
                  <w:rPr>
                    <w:bCs/>
                    <w:color w:val="000000"/>
                    <w:szCs w:val="24"/>
                  </w:rPr>
                </w:pPr>
                <w:r>
                  <w:rPr>
                    <w:bCs/>
                    <w:color w:val="000000"/>
                    <w:szCs w:val="24"/>
                  </w:rPr>
                  <w:t>2) nebūtų sukelta neproporcinga našta atitinkamiems ekonominės veiklos vykdytojams.</w:t>
                </w:r>
              </w:p>
              <w:p>
                <w:pPr>
                  <w:jc w:val="both"/>
                  <w:rPr>
                    <w:b/>
                    <w:bCs/>
                    <w:color w:val="000000"/>
                    <w:szCs w:val="24"/>
                  </w:rPr>
                </w:pPr>
              </w:p>
            </w:tc>
            <w:tc>
              <w:tcPr>
                <w:tcW w:w="1858" w:type="dxa"/>
              </w:tcPr>
              <w:p>
                <w:pPr>
                  <w:jc w:val="both"/>
                  <w:rPr>
                    <w:b/>
                    <w:bCs/>
                    <w:color w:val="000000"/>
                    <w:szCs w:val="24"/>
                  </w:rPr>
                </w:pPr>
                <w:r>
                  <w:rPr>
                    <w:b/>
                    <w:bCs/>
                    <w:color w:val="000000"/>
                    <w:szCs w:val="24"/>
                  </w:rPr>
                  <w:t>Visiškas</w:t>
                </w:r>
              </w:p>
              <w:p>
                <w:pPr>
                  <w:jc w:val="both"/>
                  <w:rPr>
                    <w:b/>
                    <w:bCs/>
                    <w:color w:val="000000"/>
                    <w:szCs w:val="24"/>
                  </w:rPr>
                </w:pPr>
              </w:p>
            </w:tc>
          </w:tr>
          <w:tr>
            <w:trPr>
              <w:trHeight w:val="1975"/>
            </w:trPr>
            <w:tc>
              <w:tcPr>
                <w:tcW w:w="5264" w:type="dxa"/>
              </w:tcPr>
              <w:p>
                <w:pPr>
                  <w:jc w:val="both"/>
                  <w:rPr>
                    <w:color w:val="000000"/>
                    <w:szCs w:val="24"/>
                  </w:rPr>
                </w:pPr>
                <w:r>
                  <w:rPr>
                    <w:color w:val="000000"/>
                    <w:szCs w:val="24"/>
                  </w:rPr>
                  <w:t>2.   Ekonominės veiklos vykdytojai atlieka vertinimą, ar dėl 4 straipsnyje nurodytų prieinamumo reikalavimų laikymosi būtų padaryti esminiai keitimai, ar, remiantis atitinkamais VI priede nustatytais kriterijais, dėl to būtų sukelta neproporcinga našta, kaip nurodyta šio straipsnio 1 dalyje.</w:t>
                </w:r>
              </w:p>
              <w:p>
                <w:pPr>
                  <w:jc w:val="both"/>
                  <w:rPr>
                    <w:color w:val="000000"/>
                    <w:szCs w:val="24"/>
                  </w:rPr>
                </w:pPr>
              </w:p>
            </w:tc>
            <w:tc>
              <w:tcPr>
                <w:tcW w:w="7868" w:type="dxa"/>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14 straipsnis. Esminis keitimas ir neproporcinga našta</w:t>
                </w:r>
              </w:p>
              <w:p>
                <w:pPr>
                  <w:jc w:val="both"/>
                  <w:rPr>
                    <w:color w:val="000000"/>
                    <w:szCs w:val="24"/>
                  </w:rPr>
                </w:pPr>
                <w:r>
                  <w:rPr>
                    <w:color w:val="000000"/>
                    <w:szCs w:val="24"/>
                  </w:rPr>
                  <w:t>&lt;...&gt;</w:t>
                </w:r>
              </w:p>
              <w:p>
                <w:pPr>
                  <w:jc w:val="both"/>
                  <w:rPr>
                    <w:color w:val="000000"/>
                    <w:szCs w:val="24"/>
                  </w:rPr>
                </w:pPr>
                <w:r>
                  <w:rPr>
                    <w:color w:val="000000"/>
                    <w:szCs w:val="24"/>
                  </w:rPr>
                  <w:t xml:space="preserve">2. </w:t>
                </w:r>
                <w:r>
                  <w:rPr>
                    <w:bCs/>
                    <w:color w:val="000000"/>
                    <w:szCs w:val="24"/>
                  </w:rPr>
                  <w:t>Ekonominės veiklos vykdytojai, atsižvelgdami į šio įstatymo 2 priede įtvirtintus kriterijus, atlieka vertinimą, ar dėl taikytinų prieinamumo reikalavimų laikymosi būtų padaryti esminiai gaminio ar paslaugos pagrindinio pobūdžio keitimai, ir, remiantis šio įstatymo 2 priede įtvirtintais kriterijais, būtų nustatyta, kad organizacinio ar finansinio pobūdžio našta būtų didesnė, atsižvelgiant į tikėtiną gauti naudą ir sukeltų neproporcingą naštą ekonominės veiklos vykdytojui (toliau – neproporcingos naštos vertinimas).</w:t>
                </w:r>
              </w:p>
              <w:p>
                <w:pPr>
                  <w:jc w:val="both"/>
                  <w:rPr>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3.   Ekonominės veiklos vykdytojai 2 dalyje nurodytą vertinimą dokumentuoja. Ekonominės veiklos vykdytojai saugo visus atitinkamus rezultatus penkerius metus po to, kai gaminys buvo paskutinį kartą patiektas rinkai, arba atitinkamai po to, kai paslauga buvo paskutinį kartą suteikta. Gavę rinkos priežiūros institucijų arba už paslaugų atitikties tikrinimą atsakingų institucijų prašymą, ekonominės veiklos vykdytojai atitinkamai pateikia institucijoms 2 dalyje nurodyto vertinimo kopiją.</w:t>
                </w:r>
              </w:p>
              <w:p>
                <w:pPr>
                  <w:jc w:val="both"/>
                  <w:rPr>
                    <w:color w:val="000000"/>
                    <w:szCs w:val="24"/>
                  </w:rPr>
                </w:pPr>
              </w:p>
            </w:tc>
            <w:tc>
              <w:tcPr>
                <w:tcW w:w="7868" w:type="dxa"/>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14 straipsnis. Esminis keitimas ir neproporcinga našta</w:t>
                </w:r>
              </w:p>
              <w:p>
                <w:pPr>
                  <w:jc w:val="both"/>
                  <w:rPr>
                    <w:color w:val="000000"/>
                    <w:szCs w:val="24"/>
                  </w:rPr>
                </w:pPr>
                <w:r>
                  <w:rPr>
                    <w:color w:val="000000"/>
                    <w:szCs w:val="24"/>
                  </w:rPr>
                  <w:t>&lt;...&gt;</w:t>
                </w:r>
              </w:p>
              <w:p>
                <w:pPr>
                  <w:jc w:val="both"/>
                  <w:rPr>
                    <w:bCs/>
                    <w:color w:val="000000"/>
                    <w:szCs w:val="24"/>
                  </w:rPr>
                </w:pPr>
                <w:r>
                  <w:rPr>
                    <w:color w:val="000000"/>
                    <w:szCs w:val="24"/>
                  </w:rPr>
                  <w:t xml:space="preserve">3. </w:t>
                </w:r>
                <w:r>
                  <w:rPr>
                    <w:bCs/>
                    <w:color w:val="000000"/>
                    <w:szCs w:val="24"/>
                  </w:rPr>
                  <w:t>Ekonominės veiklos vykdytojai neproporcingos naštos vertinimą dokumentuoja. Neproporcingos naštos vertinimo ataskaitą jie saugo penkerius metus po to, kai gaminys rinkai buvo patiektas paskutinį kartą, arba atitinkamai po to, kai paslauga buvo suteikta paskutinį kartą. Gavę rinkos priežiūros institucijos prašymą, ekonominės veiklos vykdytojai rinkos priežiūros institucijai raštu pateikia neproporcingos naštos vertinimo ataskaitos kopiją per rinkos priežiūros institucijos nurodytą terminą, kuris turi būti ne trumpesnis kaip 3 darbo dienos.</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4.   Nukrypstant nuo 3 dalies, labai mažoms įmonėms, užsiimančioms gaminiais, reikalavimas dokumentuoti jų vertinimą netaikomas. Tačiau rinkos priežiūros institucijai paprašius, labai mažos įmonės, užsiimančios gaminiais, ir kurios nusprendė remtis 1 dalimi, pateikia tai institucijai faktus, susijusius su 2 dalyje nurodytu vertinimu.</w:t>
                </w:r>
              </w:p>
              <w:p>
                <w:pPr>
                  <w:jc w:val="both"/>
                  <w:rPr>
                    <w:color w:val="000000"/>
                    <w:szCs w:val="24"/>
                  </w:rPr>
                </w:pPr>
              </w:p>
            </w:tc>
            <w:tc>
              <w:tcPr>
                <w:tcW w:w="7868" w:type="dxa"/>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14 straipsnis. Esminis keitimas ir neproporcinga našta</w:t>
                </w:r>
              </w:p>
              <w:p>
                <w:pPr>
                  <w:jc w:val="both"/>
                  <w:rPr>
                    <w:color w:val="000000"/>
                    <w:szCs w:val="24"/>
                  </w:rPr>
                </w:pPr>
                <w:r>
                  <w:rPr>
                    <w:color w:val="000000"/>
                    <w:szCs w:val="24"/>
                  </w:rPr>
                  <w:t>&lt;...&gt;</w:t>
                </w:r>
              </w:p>
              <w:p>
                <w:pPr>
                  <w:jc w:val="both"/>
                  <w:rPr>
                    <w:color w:val="000000"/>
                    <w:szCs w:val="24"/>
                  </w:rPr>
                </w:pPr>
                <w:r>
                  <w:rPr>
                    <w:color w:val="000000"/>
                    <w:szCs w:val="24"/>
                  </w:rPr>
                  <w:t xml:space="preserve">4. </w:t>
                </w:r>
                <w:r>
                  <w:rPr>
                    <w:bCs/>
                    <w:color w:val="000000"/>
                    <w:szCs w:val="24"/>
                  </w:rPr>
                  <w:t>Labai mažoms įmonėms, užsiimančioms gamyba, šio straipsnio 3 dalyje įtvirtintas reikalavimas parengti neproporcingos naštos vertinimo ataskaitą netaikomas, tačiau rinkos priežiūros institucijos prašymu tokios įmonės, kurios nusprendė nesilaikyti vieno ar kelių prieinamumo reikalavimų, pagal šio straipsnio 1 dalį, rinkos priežiūros institucijai raštu pateikia faktus, susijusius su neproporcingos naštos vertinimu, per rinkos priežiūros institucijos nurodytą terminą, kuris turi būti ne trumpesnis kaip 3 darbo dienos.</w:t>
                </w:r>
              </w:p>
              <w:p>
                <w:pPr>
                  <w:jc w:val="both"/>
                  <w:rPr>
                    <w:color w:val="000000"/>
                    <w:szCs w:val="24"/>
                  </w:rPr>
                </w:pPr>
              </w:p>
            </w:tc>
            <w:tc>
              <w:tcPr>
                <w:tcW w:w="1858" w:type="dxa"/>
              </w:tcPr>
              <w:p>
                <w:pPr>
                  <w:jc w:val="both"/>
                  <w:rPr>
                    <w:b/>
                    <w:bCs/>
                    <w:color w:val="000000"/>
                    <w:szCs w:val="24"/>
                  </w:rPr>
                </w:pPr>
                <w:r>
                  <w:rPr>
                    <w:b/>
                    <w:bCs/>
                    <w:color w:val="000000"/>
                    <w:szCs w:val="24"/>
                  </w:rPr>
                  <w:t>Visiškas</w:t>
                </w:r>
              </w:p>
            </w:tc>
          </w:tr>
          <w:tr>
            <w:trPr>
              <w:trHeight w:val="45"/>
            </w:trPr>
            <w:tc>
              <w:tcPr>
                <w:tcW w:w="5264" w:type="dxa"/>
              </w:tcPr>
              <w:p>
                <w:pPr>
                  <w:jc w:val="both"/>
                  <w:rPr>
                    <w:color w:val="000000"/>
                    <w:szCs w:val="24"/>
                  </w:rPr>
                </w:pPr>
                <w:r>
                  <w:rPr>
                    <w:color w:val="000000"/>
                    <w:szCs w:val="24"/>
                  </w:rPr>
                  <w:t>5.   Remdamiesi 1 dalies b punktu, paslaugų teikėjai kiekvienos paslaugų kategorijos ar rūšies atveju atnaujina savo neproporcingos naštos vertinimą:</w:t>
                </w:r>
              </w:p>
              <w:tbl>
                <w:tblPr>
                  <w:tblW w:w="5000" w:type="pct"/>
                  <w:tblCellMar>
                    <w:left w:w="0" w:type="dxa"/>
                    <w:right w:w="0" w:type="dxa"/>
                  </w:tblCellMar>
                  <w:tblLook w:val="04A0" w:firstRow="1" w:lastRow="0" w:firstColumn="1" w:lastColumn="0" w:noHBand="0" w:noVBand="1"/>
                </w:tblPr>
                <w:tblGrid>
                  <w:gridCol w:w="317"/>
                  <w:gridCol w:w="4731"/>
                </w:tblGrid>
                <w:tr>
                  <w:tc>
                    <w:tcPr>
                      <w:tcW w:w="464" w:type="dxa"/>
                      <w:shd w:val="clear" w:color="auto" w:fill="auto"/>
                      <w:hideMark/>
                    </w:tcPr>
                    <w:p>
                      <w:pPr>
                        <w:jc w:val="both"/>
                        <w:rPr>
                          <w:color w:val="000000"/>
                          <w:szCs w:val="24"/>
                        </w:rPr>
                      </w:pPr>
                      <w:r>
                        <w:rPr>
                          <w:color w:val="000000"/>
                          <w:szCs w:val="24"/>
                        </w:rPr>
                        <w:t>a)</w:t>
                      </w:r>
                    </w:p>
                  </w:tc>
                  <w:tc>
                    <w:tcPr>
                      <w:tcW w:w="8896" w:type="dxa"/>
                      <w:shd w:val="clear" w:color="auto" w:fill="auto"/>
                      <w:hideMark/>
                    </w:tcPr>
                    <w:p>
                      <w:pPr>
                        <w:jc w:val="both"/>
                        <w:rPr>
                          <w:color w:val="000000"/>
                          <w:szCs w:val="24"/>
                        </w:rPr>
                      </w:pPr>
                      <w:r>
                        <w:rPr>
                          <w:color w:val="000000"/>
                          <w:szCs w:val="24"/>
                        </w:rPr>
                        <w:t>kai siūlomos paslaugos keičiamos, arba</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53"/>
                  <w:gridCol w:w="4795"/>
                </w:tblGrid>
                <w:tr>
                  <w:tc>
                    <w:tcPr>
                      <w:tcW w:w="312" w:type="dxa"/>
                      <w:shd w:val="clear" w:color="auto" w:fill="auto"/>
                      <w:hideMark/>
                    </w:tcPr>
                    <w:p>
                      <w:pPr>
                        <w:jc w:val="both"/>
                        <w:rPr>
                          <w:color w:val="000000"/>
                          <w:szCs w:val="24"/>
                        </w:rPr>
                      </w:pPr>
                      <w:r>
                        <w:rPr>
                          <w:color w:val="000000"/>
                          <w:szCs w:val="24"/>
                        </w:rPr>
                        <w:t>b)</w:t>
                      </w:r>
                    </w:p>
                  </w:tc>
                  <w:tc>
                    <w:tcPr>
                      <w:tcW w:w="9048" w:type="dxa"/>
                      <w:shd w:val="clear" w:color="auto" w:fill="auto"/>
                      <w:hideMark/>
                    </w:tcPr>
                    <w:p>
                      <w:pPr>
                        <w:jc w:val="both"/>
                        <w:rPr>
                          <w:color w:val="000000"/>
                          <w:szCs w:val="24"/>
                        </w:rPr>
                      </w:pPr>
                      <w:r>
                        <w:rPr>
                          <w:color w:val="000000"/>
                          <w:szCs w:val="24"/>
                        </w:rPr>
                        <w:t>už paslaugų atitikties tikrinimą atsakingų institucijų prašymu ir</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85"/>
                  <w:gridCol w:w="4763"/>
                </w:tblGrid>
                <w:tr>
                  <w:tc>
                    <w:tcPr>
                      <w:tcW w:w="392" w:type="dxa"/>
                      <w:shd w:val="clear" w:color="auto" w:fill="auto"/>
                      <w:hideMark/>
                    </w:tcPr>
                    <w:p>
                      <w:pPr>
                        <w:jc w:val="both"/>
                        <w:rPr>
                          <w:color w:val="000000"/>
                          <w:szCs w:val="24"/>
                        </w:rPr>
                      </w:pPr>
                      <w:r>
                        <w:rPr>
                          <w:color w:val="000000"/>
                          <w:szCs w:val="24"/>
                        </w:rPr>
                        <w:t>c)</w:t>
                      </w:r>
                    </w:p>
                  </w:tc>
                  <w:tc>
                    <w:tcPr>
                      <w:tcW w:w="8968" w:type="dxa"/>
                      <w:shd w:val="clear" w:color="auto" w:fill="auto"/>
                      <w:hideMark/>
                    </w:tcPr>
                    <w:p>
                      <w:pPr>
                        <w:jc w:val="both"/>
                        <w:rPr>
                          <w:color w:val="000000"/>
                          <w:szCs w:val="24"/>
                        </w:rPr>
                      </w:pPr>
                      <w:r>
                        <w:rPr>
                          <w:color w:val="000000"/>
                          <w:szCs w:val="24"/>
                        </w:rPr>
                        <w:t>bet kuriuo atveju, bent kas penkerius metus.</w:t>
                      </w:r>
                    </w:p>
                  </w:tc>
                </w:tr>
              </w:tbl>
              <w:p>
                <w:pPr>
                  <w:jc w:val="both"/>
                  <w:rPr>
                    <w:b/>
                    <w:bCs/>
                    <w:color w:val="000000"/>
                    <w:szCs w:val="24"/>
                  </w:rPr>
                </w:pPr>
              </w:p>
            </w:tc>
            <w:tc>
              <w:tcPr>
                <w:tcW w:w="7868" w:type="dxa"/>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14 straipsnis. Esminis keitimas ir neproporcinga našta</w:t>
                </w:r>
              </w:p>
              <w:p>
                <w:pPr>
                  <w:jc w:val="both"/>
                  <w:rPr>
                    <w:color w:val="000000"/>
                    <w:szCs w:val="24"/>
                  </w:rPr>
                </w:pPr>
                <w:r>
                  <w:rPr>
                    <w:color w:val="000000"/>
                    <w:szCs w:val="24"/>
                  </w:rPr>
                  <w:t>&lt;...&gt;</w:t>
                </w:r>
              </w:p>
              <w:p>
                <w:pPr>
                  <w:jc w:val="both"/>
                  <w:rPr>
                    <w:bCs/>
                    <w:color w:val="000000"/>
                    <w:szCs w:val="24"/>
                  </w:rPr>
                </w:pPr>
                <w:r>
                  <w:rPr>
                    <w:color w:val="000000"/>
                    <w:szCs w:val="24"/>
                  </w:rPr>
                  <w:t xml:space="preserve">5. </w:t>
                </w:r>
                <w:r>
                  <w:rPr>
                    <w:bCs/>
                    <w:color w:val="000000"/>
                    <w:szCs w:val="24"/>
                  </w:rPr>
                  <w:t>Paslaugų teikėjai, kurie, atsižvelgdami į šio straipsnio 1 dalies 2 punkte nustatyta išlygą, nesilaiko vieno ar kelių prieinamumo reikalavimų, atnaujina neproporcingos naštos vertinimą kiekvienai paslaugų kategorijai ar rūšiai , esant bet kuriai iš šių sąlygų:</w:t>
                </w:r>
              </w:p>
              <w:p>
                <w:pPr>
                  <w:jc w:val="both"/>
                  <w:rPr>
                    <w:bCs/>
                    <w:color w:val="000000"/>
                    <w:szCs w:val="24"/>
                  </w:rPr>
                </w:pPr>
                <w:r>
                  <w:rPr>
                    <w:bCs/>
                    <w:color w:val="000000"/>
                    <w:szCs w:val="24"/>
                  </w:rPr>
                  <w:t>1) kai siūlomos paslaugos keičiamos;</w:t>
                </w:r>
              </w:p>
              <w:p>
                <w:pPr>
                  <w:jc w:val="both"/>
                  <w:rPr>
                    <w:bCs/>
                    <w:color w:val="000000"/>
                    <w:szCs w:val="24"/>
                  </w:rPr>
                </w:pPr>
                <w:r>
                  <w:rPr>
                    <w:bCs/>
                    <w:color w:val="000000"/>
                    <w:szCs w:val="24"/>
                  </w:rPr>
                  <w:t>2) rinkos priežiūros institucijų prašymu;</w:t>
                </w:r>
              </w:p>
              <w:p>
                <w:pPr>
                  <w:jc w:val="both"/>
                  <w:rPr>
                    <w:bCs/>
                    <w:color w:val="000000"/>
                    <w:szCs w:val="24"/>
                  </w:rPr>
                </w:pPr>
                <w:r>
                  <w:rPr>
                    <w:bCs/>
                    <w:color w:val="000000"/>
                    <w:szCs w:val="24"/>
                  </w:rPr>
                  <w:t>3) arba bent kas penkerius metus.</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6.   Jeigu ekonominės veiklos vykdytojai gauna finansavimą iš kitų šaltinių nei ekonominės veiklos vykdytojo nuosavi ištekliai (viešieji ar privatūs), kuris teikiamas siekiant pagerinti prieinamumą, jie neturi teisės remtis 1 dalies b punktu.</w:t>
                </w:r>
              </w:p>
              <w:p>
                <w:pPr>
                  <w:jc w:val="both"/>
                  <w:rPr>
                    <w:color w:val="000000"/>
                    <w:szCs w:val="24"/>
                  </w:rPr>
                </w:pPr>
                <w:r>
                  <w:rPr>
                    <w:color w:val="000000"/>
                    <w:szCs w:val="24"/>
                  </w:rPr>
                  <w:t>7.   Komisijai pagal 26 straipsnį suteikiami įgaliojimai priimti deleguotuosius aktus, siekiant papildyti VI priedą, toliau patikslinant atitinkamus kriterijus, į kuriuos turi atsižvelgti ekonominės veiklos vykdytojas šio straipsnio 2 dalyje nurodyto vertinimo tikslais. Toliau tikslindama tuos kriterijus, Komisija atsižvelgia ne tik į galimą naudą neįgaliesiems, bet ir į naudą funkcinių sutrikimų turintiems asmenims.</w:t>
                </w:r>
              </w:p>
              <w:p>
                <w:pPr>
                  <w:jc w:val="both"/>
                  <w:rPr>
                    <w:color w:val="000000"/>
                    <w:szCs w:val="24"/>
                  </w:rPr>
                </w:pPr>
                <w:r>
                  <w:rPr>
                    <w:color w:val="000000"/>
                    <w:szCs w:val="24"/>
                  </w:rPr>
                  <w:t>Jei būtina, tokį pirmą deleguotąjį aktą Komisija priima ne vėliau kaip 2020 m. birželio 28 d. Toks aktas pradedamas taikyti ne anksčiau kaip 2025 m. birželio 28 d.</w:t>
                </w:r>
              </w:p>
              <w:p>
                <w:pPr>
                  <w:jc w:val="both"/>
                  <w:rPr>
                    <w:b/>
                    <w:bCs/>
                    <w:color w:val="000000"/>
                    <w:szCs w:val="24"/>
                  </w:rPr>
                </w:pPr>
              </w:p>
            </w:tc>
            <w:tc>
              <w:tcPr>
                <w:tcW w:w="7868" w:type="dxa"/>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14 straipsnis. Esminis keitimas ir neproporcinga našta</w:t>
                </w:r>
              </w:p>
              <w:p>
                <w:pPr>
                  <w:jc w:val="both"/>
                  <w:rPr>
                    <w:color w:val="000000"/>
                    <w:szCs w:val="24"/>
                  </w:rPr>
                </w:pPr>
                <w:r>
                  <w:rPr>
                    <w:color w:val="000000"/>
                    <w:szCs w:val="24"/>
                  </w:rPr>
                  <w:t>&lt;...&gt;</w:t>
                </w:r>
              </w:p>
              <w:p>
                <w:pPr>
                  <w:jc w:val="both"/>
                  <w:rPr>
                    <w:color w:val="000000"/>
                    <w:szCs w:val="24"/>
                  </w:rPr>
                </w:pPr>
                <w:r>
                  <w:rPr>
                    <w:color w:val="000000"/>
                    <w:szCs w:val="24"/>
                  </w:rPr>
                  <w:t xml:space="preserve">6. </w:t>
                </w:r>
                <w:r>
                  <w:rPr>
                    <w:bCs/>
                    <w:color w:val="000000"/>
                    <w:szCs w:val="24"/>
                  </w:rPr>
                  <w:t>Jeigu ekonominės veiklos vykdytojai gauna finansavimą, kuris teikiamas siekiant pagerinti prieinamumą, iš kitų šaltinių (viešų ar privačių), o ne naudoja nuosavus išteklius, ekonominės veiklos vykdytojai pagal šio straipsnio 1 dalies 2 punktą neturi teisės nesilaikyti prieinamumo reikalavimų.</w:t>
                </w:r>
              </w:p>
              <w:p>
                <w:pPr>
                  <w:jc w:val="both"/>
                  <w:rPr>
                    <w:i/>
                    <w:color w:val="000000"/>
                    <w:szCs w:val="24"/>
                  </w:rPr>
                </w:pPr>
              </w:p>
              <w:p>
                <w:pPr>
                  <w:jc w:val="both"/>
                  <w:rPr>
                    <w:i/>
                    <w:color w:val="000000"/>
                    <w:szCs w:val="24"/>
                  </w:rPr>
                </w:pPr>
                <w:r>
                  <w:rPr>
                    <w:i/>
                    <w:color w:val="000000"/>
                    <w:szCs w:val="24"/>
                  </w:rPr>
                  <w:t>Pastaba. Direktyvos straipsnio 7 dalies nuostatų perkelti nereikia, nes jos skirtos Komisijai.</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color w:val="000000"/>
                    <w:szCs w:val="24"/>
                  </w:rPr>
                </w:pPr>
                <w:r>
                  <w:rPr>
                    <w:color w:val="000000"/>
                    <w:szCs w:val="24"/>
                  </w:rPr>
                  <w:t>8.   Jeigu konkretaus gaminio ar paslaugos atveju ekonominės veiklos vykdytojai remiasi 1 dalimi, jie tuo tikslu perduoda informaciją valstybės narės, kurioje konkretus gaminys yra pateiktas rinkai arba teikiama konkreti paslauga, atitinkamai rinkos priežiūros institucijai arba už paslaugų atitikties tikrinimą atsakingai institucijai.</w:t>
                </w:r>
              </w:p>
              <w:p>
                <w:pPr>
                  <w:jc w:val="both"/>
                  <w:rPr>
                    <w:b/>
                    <w:bCs/>
                    <w:color w:val="000000"/>
                    <w:szCs w:val="24"/>
                  </w:rPr>
                </w:pPr>
                <w:r>
                  <w:rPr>
                    <w:color w:val="000000"/>
                    <w:szCs w:val="24"/>
                  </w:rPr>
                  <w:t>Pirma dalis netaikoma labai mažoms įmonėms.</w:t>
                </w:r>
              </w:p>
            </w:tc>
            <w:tc>
              <w:tcPr>
                <w:tcW w:w="7868" w:type="dxa"/>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14 straipsnis. Esminis keitimas ir neproporcinga našta</w:t>
                </w:r>
              </w:p>
              <w:p>
                <w:pPr>
                  <w:jc w:val="both"/>
                  <w:rPr>
                    <w:color w:val="000000"/>
                    <w:szCs w:val="24"/>
                  </w:rPr>
                </w:pPr>
                <w:r>
                  <w:rPr>
                    <w:color w:val="000000"/>
                    <w:szCs w:val="24"/>
                  </w:rPr>
                  <w:t>&lt;...&gt;</w:t>
                </w:r>
              </w:p>
              <w:p>
                <w:pPr>
                  <w:jc w:val="both"/>
                  <w:rPr>
                    <w:color w:val="000000"/>
                    <w:szCs w:val="24"/>
                  </w:rPr>
                </w:pPr>
                <w:r>
                  <w:rPr>
                    <w:color w:val="000000"/>
                    <w:szCs w:val="24"/>
                  </w:rPr>
                  <w:t xml:space="preserve">7. </w:t>
                </w:r>
                <w:r>
                  <w:rPr>
                    <w:bCs/>
                    <w:color w:val="000000"/>
                    <w:szCs w:val="24"/>
                  </w:rPr>
                  <w:t>Jeigu dėl konkretaus gaminio ar paslaugos ekonominės veiklos vykdytojai remiasi šio straipsnio 1 dalimi, jie raštu perduoda informaciją, nurodytą šio straipsnio 3 dalyje, atitinkamai rinkos priežiūros institucijai jos nustatyta tvarka nedelsdami, bet ne vėliau kaip per 3 darbo dienas nuo šio straipsnio 2 dalyje nurodyto neproporcingos naštos vertinimo atlikimo dienos. Ši pareiga netaikoma labai mažoms įmonėms.</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color w:val="000000"/>
                    <w:szCs w:val="24"/>
                  </w:rPr>
                </w:pPr>
                <w:r>
                  <w:rPr>
                    <w:b/>
                    <w:color w:val="000000"/>
                    <w:szCs w:val="24"/>
                  </w:rPr>
                  <w:t>15 straipsnis</w:t>
                </w:r>
              </w:p>
              <w:p>
                <w:pPr>
                  <w:jc w:val="both"/>
                  <w:rPr>
                    <w:b/>
                    <w:color w:val="000000"/>
                    <w:szCs w:val="24"/>
                  </w:rPr>
                </w:pPr>
                <w:r>
                  <w:rPr>
                    <w:b/>
                    <w:color w:val="000000"/>
                    <w:szCs w:val="24"/>
                  </w:rPr>
                  <w:t>Atitikties prielaida</w:t>
                </w:r>
              </w:p>
              <w:p>
                <w:pPr>
                  <w:jc w:val="both"/>
                  <w:rPr>
                    <w:color w:val="000000"/>
                    <w:szCs w:val="24"/>
                  </w:rPr>
                </w:pPr>
                <w:r>
                  <w:rPr>
                    <w:color w:val="000000"/>
                    <w:szCs w:val="24"/>
                  </w:rPr>
                  <w:t>1. Jei gaminiai ir paslaugos atitinka darniuosius standartus arba tam tikras jų dalis, į kuriuos nuorodos buvo paskelbtos Europos Sąjungos oficialiajame leidinyje, daroma prielaida, kad jie atitinka šios direktyvos prieinamumo reikalavimus tiek, kiek tie standartai ar jų dalys apima tuos reikalavimus.</w:t>
                </w:r>
              </w:p>
              <w:p>
                <w:pPr>
                  <w:jc w:val="both"/>
                  <w:rPr>
                    <w:color w:val="000000"/>
                    <w:szCs w:val="24"/>
                  </w:rPr>
                </w:pPr>
                <w:r>
                  <w:rPr>
                    <w:color w:val="000000"/>
                    <w:szCs w:val="24"/>
                  </w:rPr>
                  <w:t>2. Komisija, remdamasi Reglamento (ES) Nr. 1025/2012 10 straipsniu, prašo vienos ar daugiau Europos standartizacijos organizacijų parengti darniųjų standartų, susijusių su I priede nustatytais gaminių prieinamumo reikalavimais, projektą. Pirmą tokį prašymą dėl projekto atitinkamam komitetui Komisija pateikia ne vėliau kaip 2021 m. birželio 28 d.</w:t>
                </w:r>
              </w:p>
              <w:p>
                <w:pPr>
                  <w:jc w:val="both"/>
                  <w:rPr>
                    <w:color w:val="000000"/>
                    <w:szCs w:val="24"/>
                  </w:rPr>
                </w:pPr>
                <w:r>
                  <w:rPr>
                    <w:color w:val="000000"/>
                    <w:szCs w:val="24"/>
                  </w:rPr>
                  <w:t>3. Komisija gali priimti įgyvendinimo aktus, kuriais nustatomos šios direktyvos prieinamumo reikalavimus atitinkančios techninės specifikacijos, jeigu tenkinamos šios sąlygos:</w:t>
                </w:r>
              </w:p>
              <w:p>
                <w:pPr>
                  <w:jc w:val="both"/>
                  <w:rPr>
                    <w:color w:val="000000"/>
                    <w:szCs w:val="24"/>
                  </w:rPr>
                </w:pPr>
                <w:r>
                  <w:rPr>
                    <w:color w:val="000000"/>
                    <w:szCs w:val="24"/>
                  </w:rPr>
                  <w:t>a) nėra paskelbta nuoroda į darniuosius standartus Europos Sąjungos oficialiajame leidinyje pagal Reglamentą (ES) Nr. 1025/2012 ir</w:t>
                </w:r>
              </w:p>
              <w:p>
                <w:pPr>
                  <w:jc w:val="both"/>
                  <w:rPr>
                    <w:color w:val="000000"/>
                    <w:szCs w:val="24"/>
                  </w:rPr>
                </w:pPr>
                <w:r>
                  <w:rPr>
                    <w:color w:val="000000"/>
                    <w:szCs w:val="24"/>
                  </w:rPr>
                  <w:t>b) arba:</w:t>
                </w:r>
              </w:p>
              <w:p>
                <w:pPr>
                  <w:jc w:val="both"/>
                  <w:rPr>
                    <w:color w:val="000000"/>
                    <w:szCs w:val="24"/>
                  </w:rPr>
                </w:pPr>
                <w:r>
                  <w:rPr>
                    <w:color w:val="000000"/>
                    <w:szCs w:val="24"/>
                  </w:rPr>
                  <w:t>i) Komisija paprašė vienos ar daugiau Europos standartizacijos organizacijų parengti darniojo standarto projektą ir standartizacijos procedūra nepagrįstai uždelsta arba prašymo nepriėmė nė viena Europos standartizacijos organizacija, arba</w:t>
                </w:r>
              </w:p>
              <w:p>
                <w:pPr>
                  <w:jc w:val="both"/>
                  <w:rPr>
                    <w:color w:val="000000"/>
                    <w:szCs w:val="24"/>
                  </w:rPr>
                </w:pPr>
                <w:r>
                  <w:rPr>
                    <w:color w:val="000000"/>
                    <w:szCs w:val="24"/>
                  </w:rPr>
                  <w:t>ii) Komisija gali parodyti, kad techninė specifikacija atitinka Reglamento (ES) Nr. 1025/2012 II priede išdėstytus reikalavimus, išskyrus reikalavimą, kad technines specifikacijas turėjo parengti ne pelno organizacija.</w:t>
                </w:r>
              </w:p>
              <w:p>
                <w:pPr>
                  <w:jc w:val="both"/>
                  <w:rPr>
                    <w:color w:val="000000"/>
                    <w:szCs w:val="24"/>
                  </w:rPr>
                </w:pPr>
                <w:r>
                  <w:rPr>
                    <w:color w:val="000000"/>
                    <w:szCs w:val="24"/>
                  </w:rPr>
                  <w:t>Tie įgyvendinimo aktai priimami laikantis 27 straipsnio 2 dalyje nurodytos nagrinėjimo procedūros.</w:t>
                </w:r>
              </w:p>
            </w:tc>
            <w:tc>
              <w:tcPr>
                <w:tcW w:w="7868" w:type="dxa"/>
              </w:tcPr>
              <w:p>
                <w:pPr>
                  <w:jc w:val="both"/>
                  <w:rPr>
                    <w:b/>
                    <w:bCs/>
                    <w:color w:val="000000"/>
                    <w:szCs w:val="24"/>
                  </w:rPr>
                </w:pPr>
                <w:r>
                  <w:rPr>
                    <w:b/>
                    <w:bCs/>
                    <w:color w:val="000000"/>
                    <w:szCs w:val="24"/>
                  </w:rPr>
                  <w:t>Projektas</w:t>
                </w:r>
              </w:p>
              <w:p>
                <w:pPr>
                  <w:jc w:val="both"/>
                  <w:rPr>
                    <w:i/>
                    <w:color w:val="000000"/>
                    <w:szCs w:val="24"/>
                  </w:rPr>
                </w:pPr>
              </w:p>
              <w:p>
                <w:pPr>
                  <w:jc w:val="both"/>
                  <w:rPr>
                    <w:b/>
                    <w:bCs/>
                    <w:color w:val="000000"/>
                    <w:szCs w:val="24"/>
                  </w:rPr>
                </w:pPr>
                <w:r>
                  <w:rPr>
                    <w:b/>
                    <w:bCs/>
                    <w:color w:val="000000"/>
                    <w:szCs w:val="24"/>
                  </w:rPr>
                  <w:t>15 straipsnis. Atitikties prieinamumo reikalavimams prezumpcija</w:t>
                </w:r>
              </w:p>
              <w:p>
                <w:pPr>
                  <w:jc w:val="both"/>
                  <w:rPr>
                    <w:bCs/>
                    <w:color w:val="000000"/>
                    <w:szCs w:val="24"/>
                  </w:rPr>
                </w:pPr>
                <w:r>
                  <w:rPr>
                    <w:bCs/>
                    <w:color w:val="000000"/>
                    <w:szCs w:val="24"/>
                  </w:rPr>
                  <w:t>1. Jei gaminiai ir paslaugos atitinka darniuosius standartus arba tam tikras jų dalis, į kuriuos nuorodos buvo paskelbtos ES oficialiajame leidinyje, preziumuojama, kad jie atitinka taikytinus prieinamumo reikalavimus tiek, kiek tie standartai ar jų dalys tuos reikalavimus apima.</w:t>
                </w:r>
              </w:p>
              <w:p>
                <w:pPr>
                  <w:jc w:val="both"/>
                  <w:rPr>
                    <w:i/>
                    <w:color w:val="000000"/>
                    <w:szCs w:val="24"/>
                  </w:rPr>
                </w:pPr>
              </w:p>
              <w:p>
                <w:pPr>
                  <w:jc w:val="both"/>
                  <w:rPr>
                    <w:color w:val="000000"/>
                    <w:szCs w:val="24"/>
                  </w:rPr>
                </w:pPr>
                <w:r>
                  <w:rPr>
                    <w:i/>
                    <w:color w:val="000000"/>
                    <w:szCs w:val="24"/>
                  </w:rPr>
                  <w:t>Pastaba. Direktyvos straipsnio 2-3 dalies nuostatų perkelti nereikia, nes jos skirtos Komisijai.</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color w:val="000000"/>
                    <w:szCs w:val="24"/>
                  </w:rPr>
                </w:pPr>
                <w:r>
                  <w:rPr>
                    <w:color w:val="000000"/>
                    <w:szCs w:val="24"/>
                  </w:rPr>
                  <w:t>4. Daroma prielaida, kad gaminiai ir paslaugos, kurie atitinka technines specifikacijas ar jų dalis, atitinka šios direktyvos prieinamumo reikalavimus tiek, kiek tos techninės specifikacijos ar jų dalys apima tuos reikalavimus.</w:t>
                </w:r>
              </w:p>
            </w:tc>
            <w:tc>
              <w:tcPr>
                <w:tcW w:w="7868" w:type="dxa"/>
              </w:tcPr>
              <w:p>
                <w:pPr>
                  <w:jc w:val="both"/>
                  <w:rPr>
                    <w:b/>
                    <w:bCs/>
                    <w:color w:val="000000"/>
                    <w:szCs w:val="24"/>
                  </w:rPr>
                </w:pPr>
                <w:r>
                  <w:rPr>
                    <w:b/>
                    <w:bCs/>
                    <w:color w:val="000000"/>
                    <w:szCs w:val="24"/>
                  </w:rPr>
                  <w:t>Projektas</w:t>
                </w:r>
              </w:p>
              <w:p>
                <w:pPr>
                  <w:jc w:val="both"/>
                  <w:rPr>
                    <w:i/>
                    <w:color w:val="000000"/>
                    <w:szCs w:val="24"/>
                  </w:rPr>
                </w:pPr>
              </w:p>
              <w:p>
                <w:pPr>
                  <w:jc w:val="both"/>
                  <w:rPr>
                    <w:b/>
                    <w:bCs/>
                    <w:color w:val="000000"/>
                    <w:szCs w:val="24"/>
                  </w:rPr>
                </w:pPr>
                <w:r>
                  <w:rPr>
                    <w:b/>
                    <w:bCs/>
                    <w:color w:val="000000"/>
                    <w:szCs w:val="24"/>
                  </w:rPr>
                  <w:t>15 straipsnis. Atitikties prieinamumo reikalavimams prezumpcija</w:t>
                </w:r>
              </w:p>
              <w:p>
                <w:pPr>
                  <w:jc w:val="both"/>
                  <w:rPr>
                    <w:bCs/>
                    <w:color w:val="000000"/>
                    <w:szCs w:val="24"/>
                  </w:rPr>
                </w:pPr>
                <w:r>
                  <w:rPr>
                    <w:bCs/>
                    <w:color w:val="000000"/>
                    <w:szCs w:val="24"/>
                  </w:rPr>
                  <w:t>&lt;...&gt;</w:t>
                </w:r>
              </w:p>
              <w:p>
                <w:pPr>
                  <w:jc w:val="both"/>
                  <w:rPr>
                    <w:b/>
                    <w:bCs/>
                    <w:color w:val="000000"/>
                    <w:szCs w:val="24"/>
                  </w:rPr>
                </w:pPr>
                <w:r>
                  <w:rPr>
                    <w:bCs/>
                    <w:color w:val="000000"/>
                    <w:szCs w:val="24"/>
                  </w:rPr>
                  <w:t>2. Preziumuojama, kad gaminiai ir paslaugos, kurie atitinka technines specifikacijas ar jų dalis, atitinka taikytinus prieinamumo reikalavimus tiek, kiek tos techninės specifikacijos ar jų dalys tuos reikalavimus apima.</w:t>
                </w:r>
              </w:p>
            </w:tc>
            <w:tc>
              <w:tcPr>
                <w:tcW w:w="1858" w:type="dxa"/>
              </w:tcPr>
              <w:p>
                <w:pPr>
                  <w:jc w:val="both"/>
                  <w:rPr>
                    <w:b/>
                    <w:bCs/>
                    <w:color w:val="000000"/>
                    <w:szCs w:val="24"/>
                  </w:rPr>
                </w:pPr>
                <w:r>
                  <w:rPr>
                    <w:b/>
                    <w:bCs/>
                    <w:color w:val="000000"/>
                    <w:szCs w:val="24"/>
                  </w:rPr>
                  <w:t>Visiškas</w:t>
                </w:r>
              </w:p>
            </w:tc>
          </w:tr>
          <w:tr>
            <w:trPr>
              <w:trHeight w:val="1692"/>
            </w:trPr>
            <w:tc>
              <w:tcPr>
                <w:tcW w:w="5264" w:type="dxa"/>
                <w:shd w:val="clear" w:color="auto" w:fill="auto"/>
              </w:tcPr>
              <w:p>
                <w:pPr>
                  <w:jc w:val="both"/>
                  <w:rPr>
                    <w:b/>
                    <w:bCs/>
                    <w:color w:val="000000"/>
                    <w:szCs w:val="24"/>
                  </w:rPr>
                </w:pPr>
                <w:r>
                  <w:rPr>
                    <w:b/>
                    <w:bCs/>
                    <w:color w:val="000000"/>
                    <w:szCs w:val="24"/>
                  </w:rPr>
                  <w:t>16 straipsnis</w:t>
                </w:r>
              </w:p>
              <w:p>
                <w:pPr>
                  <w:jc w:val="both"/>
                  <w:rPr>
                    <w:b/>
                    <w:bCs/>
                    <w:color w:val="000000"/>
                    <w:szCs w:val="24"/>
                  </w:rPr>
                </w:pPr>
                <w:r>
                  <w:rPr>
                    <w:b/>
                    <w:bCs/>
                    <w:color w:val="000000"/>
                    <w:szCs w:val="24"/>
                  </w:rPr>
                  <w:t>Gaminių ES atitikties deklaracija</w:t>
                </w:r>
              </w:p>
              <w:p>
                <w:pPr>
                  <w:jc w:val="both"/>
                  <w:rPr>
                    <w:color w:val="000000"/>
                    <w:szCs w:val="24"/>
                  </w:rPr>
                </w:pPr>
                <w:r>
                  <w:rPr>
                    <w:color w:val="000000"/>
                    <w:szCs w:val="24"/>
                  </w:rPr>
                  <w:t>1.   ES atitikties deklaracijoje teigiama, kad yra įrodyta, jog taikytini prieinamumo reikalavimai yra įvykdyti. Jei išimtiniu atveju buvo pasinaudota 14 straipsniu, ES atitikties deklaracijoje nurodoma, kuriems prieinamumo reikalavimams taikoma ta išimtis.</w:t>
                </w:r>
              </w:p>
              <w:p>
                <w:pPr>
                  <w:jc w:val="both"/>
                  <w:rPr>
                    <w:color w:val="000000"/>
                    <w:szCs w:val="24"/>
                  </w:rPr>
                </w:pPr>
              </w:p>
            </w:tc>
            <w:tc>
              <w:tcPr>
                <w:tcW w:w="7868" w:type="dxa"/>
                <w:shd w:val="clear" w:color="auto" w:fill="auto"/>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16 straipsnis. Gaminių ES atitikties deklaracija</w:t>
                </w:r>
                <w:r>
                  <w:rPr>
                    <w:szCs w:val="24"/>
                  </w:rPr>
                  <w:t xml:space="preserve"> </w:t>
                </w:r>
                <w:r>
                  <w:rPr>
                    <w:b/>
                    <w:bCs/>
                    <w:color w:val="000000"/>
                    <w:szCs w:val="24"/>
                  </w:rPr>
                  <w:t>ir techniniai dokumentai</w:t>
                </w:r>
              </w:p>
              <w:p>
                <w:pPr>
                  <w:jc w:val="both"/>
                  <w:rPr>
                    <w:bCs/>
                    <w:color w:val="000000"/>
                    <w:szCs w:val="24"/>
                  </w:rPr>
                </w:pPr>
                <w:r>
                  <w:rPr>
                    <w:bCs/>
                    <w:color w:val="000000"/>
                    <w:szCs w:val="24"/>
                  </w:rPr>
                  <w:t>1. Gaminių, nurodytų šio įstatymo 2 straipsnio 2 dalyje, gamintojo parengtoje ES atitikties deklaracijoje nurodoma, jog taikytini prieinamumo reikalavimai yra įvykdyti. Jei išimtiniu atveju buvo pasinaudota šio įstatymo 14 straipsnio 1 dalyje nurodyta išlyga, ES atitikties deklaracijoje nurodoma, kuriems prieinamumo reikalavimams ši išlyga taikoma.</w:t>
                </w:r>
              </w:p>
              <w:p>
                <w:pPr>
                  <w:jc w:val="both"/>
                  <w:rPr>
                    <w:b/>
                    <w:b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47"/>
            </w:trPr>
            <w:tc>
              <w:tcPr>
                <w:tcW w:w="5264" w:type="dxa"/>
                <w:shd w:val="clear" w:color="auto" w:fill="auto"/>
              </w:tcPr>
              <w:p>
                <w:pPr>
                  <w:jc w:val="both"/>
                  <w:rPr>
                    <w:b/>
                    <w:bCs/>
                    <w:color w:val="000000"/>
                    <w:szCs w:val="24"/>
                  </w:rPr>
                </w:pPr>
                <w:r>
                  <w:rPr>
                    <w:color w:val="000000"/>
                    <w:szCs w:val="24"/>
                  </w:rPr>
                  <w:t>2.   ES atitikties deklaracijos forma atitinka Sprendimo Nr. 768/2008/EB III priede išdėstytą pavyzdį. Joje įrašoma šios direktyvos IV priede nurodyta informacija ir ji nuolat atnaujinama. Reikalavimais dėl techninių dokumentų vengiama užkrauti nepagrįstą naštą labai mažoms įmonėms ir MVĮ. Ji išverčiama į kalbą ar kalbas, nurodytas valstybėje narėje, kurioje gaminys pateikiamas rinkai arba kurioje jis tiekiamas rinkai.</w:t>
                </w:r>
              </w:p>
            </w:tc>
            <w:tc>
              <w:tcPr>
                <w:tcW w:w="7868" w:type="dxa"/>
                <w:shd w:val="clear" w:color="auto" w:fill="auto"/>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16 straipsnis. Gaminių ES atitikties deklaracija</w:t>
                </w:r>
                <w:r>
                  <w:rPr>
                    <w:szCs w:val="24"/>
                  </w:rPr>
                  <w:t xml:space="preserve"> </w:t>
                </w:r>
                <w:r>
                  <w:rPr>
                    <w:b/>
                    <w:bCs/>
                    <w:color w:val="000000"/>
                    <w:szCs w:val="24"/>
                  </w:rPr>
                  <w:t>ir techniniai dokumentai</w:t>
                </w:r>
              </w:p>
              <w:p>
                <w:pPr>
                  <w:jc w:val="both"/>
                  <w:rPr>
                    <w:bCs/>
                    <w:color w:val="000000"/>
                    <w:szCs w:val="24"/>
                  </w:rPr>
                </w:pPr>
                <w:r>
                  <w:rPr>
                    <w:bCs/>
                    <w:color w:val="000000"/>
                    <w:szCs w:val="24"/>
                  </w:rPr>
                  <w:t>&lt;...&gt;</w:t>
                </w:r>
              </w:p>
              <w:p>
                <w:pPr>
                  <w:jc w:val="both"/>
                  <w:rPr>
                    <w:bCs/>
                    <w:color w:val="000000"/>
                    <w:szCs w:val="24"/>
                  </w:rPr>
                </w:pPr>
                <w:r>
                  <w:rPr>
                    <w:bCs/>
                    <w:color w:val="000000"/>
                    <w:szCs w:val="24"/>
                  </w:rPr>
                  <w:t>2. ES atitikties deklaracijos forma atitinka 2008 m. liepos 9 d. Europos Parlamento ir Tarybos sprendimo Nr. 768/2008/EB dėl bendrosios gaminių pardavimo sistemos ir panaikinančio Sprendimą 93/465/EEB III priedo pavyzdinę formą. Reikalavimais dėl techninių dokumentų vengiama užkrauti nepagrįstą naštą labai mažoms, mažoms ir vidutinėms įmonėms. ES atitikties deklaracijoje nurodomas gaminys, kuriam ji buvo parengta. Pakeitus gaminio savybes ir (ar) techninius dokumentus, ES atitikties deklaracija atnaujinama. ES atitikties deklaracija išverčiama į lietuvių kalbą.</w:t>
                </w:r>
              </w:p>
              <w:p>
                <w:pPr>
                  <w:jc w:val="both"/>
                  <w:rPr>
                    <w:b/>
                    <w:b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692"/>
            </w:trPr>
            <w:tc>
              <w:tcPr>
                <w:tcW w:w="5264" w:type="dxa"/>
                <w:shd w:val="clear" w:color="auto" w:fill="auto"/>
              </w:tcPr>
              <w:p>
                <w:pPr>
                  <w:jc w:val="both"/>
                  <w:rPr>
                    <w:color w:val="000000"/>
                    <w:szCs w:val="24"/>
                  </w:rPr>
                </w:pPr>
                <w:r>
                  <w:rPr>
                    <w:color w:val="000000"/>
                    <w:szCs w:val="24"/>
                  </w:rPr>
                  <w:t>3.   Kai gaminiui taikomi keli Sąjungos aktai, pagal kuriuos turi būti parengta ES atitikties deklaracija, parengiama visiems tokiems Sąjungos aktams bendra ES atitikties deklaracija. Toje deklaracijoje nurodomi susiję aktai, įskaitant jų paskelbimo nuorodas.</w:t>
                </w:r>
              </w:p>
              <w:p>
                <w:pPr>
                  <w:jc w:val="both"/>
                  <w:rPr>
                    <w:b/>
                    <w:bCs/>
                    <w:color w:val="000000"/>
                    <w:szCs w:val="24"/>
                  </w:rPr>
                </w:pPr>
              </w:p>
            </w:tc>
            <w:tc>
              <w:tcPr>
                <w:tcW w:w="7868" w:type="dxa"/>
                <w:shd w:val="clear" w:color="auto" w:fill="auto"/>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16 straipsnis. Gaminių ES atitikties deklaracija</w:t>
                </w:r>
                <w:r>
                  <w:rPr>
                    <w:szCs w:val="24"/>
                  </w:rPr>
                  <w:t xml:space="preserve"> </w:t>
                </w:r>
                <w:r>
                  <w:rPr>
                    <w:b/>
                    <w:bCs/>
                    <w:color w:val="000000"/>
                    <w:szCs w:val="24"/>
                  </w:rPr>
                  <w:t>ir techniniai dokumentai</w:t>
                </w:r>
              </w:p>
              <w:p>
                <w:pPr>
                  <w:jc w:val="both"/>
                  <w:rPr>
                    <w:bCs/>
                    <w:color w:val="000000"/>
                    <w:szCs w:val="24"/>
                  </w:rPr>
                </w:pPr>
                <w:r>
                  <w:rPr>
                    <w:bCs/>
                    <w:color w:val="000000"/>
                    <w:szCs w:val="24"/>
                  </w:rPr>
                  <w:t>&lt;...&gt;</w:t>
                </w:r>
              </w:p>
              <w:p>
                <w:pPr>
                  <w:jc w:val="both"/>
                  <w:rPr>
                    <w:bCs/>
                    <w:color w:val="000000"/>
                    <w:szCs w:val="24"/>
                  </w:rPr>
                </w:pPr>
                <w:r>
                  <w:rPr>
                    <w:bCs/>
                    <w:color w:val="000000"/>
                    <w:szCs w:val="24"/>
                  </w:rPr>
                  <w:t>3. Kai gaminiui taikomi keli ES teisės aktai, pagal kuriuos turi būti parengta ES atitikties deklaracija, parengiama bendra visų tokių ES teisės aktų ES atitikties deklaracija. Tokioje deklaracijoje nurodomi taikomi ES teisės aktai, įskaitant jų paskelbimo nuorodas.</w:t>
                </w:r>
              </w:p>
              <w:p>
                <w:pPr>
                  <w:jc w:val="both"/>
                  <w:rPr>
                    <w:b/>
                    <w:b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692"/>
            </w:trPr>
            <w:tc>
              <w:tcPr>
                <w:tcW w:w="5264" w:type="dxa"/>
                <w:shd w:val="clear" w:color="auto" w:fill="auto"/>
              </w:tcPr>
              <w:p>
                <w:pPr>
                  <w:jc w:val="both"/>
                  <w:rPr>
                    <w:b/>
                    <w:bCs/>
                    <w:color w:val="000000"/>
                    <w:szCs w:val="24"/>
                  </w:rPr>
                </w:pPr>
                <w:r>
                  <w:rPr>
                    <w:color w:val="000000"/>
                    <w:szCs w:val="24"/>
                  </w:rPr>
                  <w:t>4.   Parengdamas ES atitikties deklaraciją gamintojas prisiima atsakomybę už gaminio atitiktį šios direktyvos reikalavimams.</w:t>
                </w:r>
              </w:p>
            </w:tc>
            <w:tc>
              <w:tcPr>
                <w:tcW w:w="7868" w:type="dxa"/>
                <w:shd w:val="clear" w:color="auto" w:fill="auto"/>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16 straipsnis. Gaminių ES atitikties deklaracija</w:t>
                </w:r>
                <w:r>
                  <w:rPr>
                    <w:szCs w:val="24"/>
                  </w:rPr>
                  <w:t xml:space="preserve"> </w:t>
                </w:r>
                <w:r>
                  <w:rPr>
                    <w:b/>
                    <w:bCs/>
                    <w:color w:val="000000"/>
                    <w:szCs w:val="24"/>
                  </w:rPr>
                  <w:t>ir techniniai dokumentai</w:t>
                </w:r>
              </w:p>
              <w:p>
                <w:pPr>
                  <w:jc w:val="both"/>
                  <w:rPr>
                    <w:bCs/>
                    <w:color w:val="000000"/>
                    <w:szCs w:val="24"/>
                  </w:rPr>
                </w:pPr>
                <w:r>
                  <w:rPr>
                    <w:bCs/>
                    <w:color w:val="000000"/>
                    <w:szCs w:val="24"/>
                  </w:rPr>
                  <w:t>&lt;...&gt;</w:t>
                </w:r>
              </w:p>
              <w:p>
                <w:pPr>
                  <w:jc w:val="both"/>
                  <w:rPr>
                    <w:bCs/>
                    <w:color w:val="000000"/>
                    <w:szCs w:val="24"/>
                  </w:rPr>
                </w:pPr>
                <w:r>
                  <w:rPr>
                    <w:bCs/>
                    <w:color w:val="000000"/>
                    <w:szCs w:val="24"/>
                  </w:rPr>
                  <w:t>4. Parengdamas ES atitikties deklaraciją gamintojas prisiima atsakomybę už gaminio atitiktį taikytiniems prieinamumo reikalavimams.</w:t>
                </w:r>
              </w:p>
              <w:p>
                <w:pPr>
                  <w:jc w:val="both"/>
                  <w:rPr>
                    <w:b/>
                    <w:b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408"/>
            </w:trPr>
            <w:tc>
              <w:tcPr>
                <w:tcW w:w="5264" w:type="dxa"/>
              </w:tcPr>
              <w:p>
                <w:pPr>
                  <w:jc w:val="both"/>
                  <w:rPr>
                    <w:b/>
                    <w:bCs/>
                    <w:color w:val="000000"/>
                    <w:szCs w:val="24"/>
                  </w:rPr>
                </w:pPr>
                <w:r>
                  <w:rPr>
                    <w:b/>
                    <w:bCs/>
                    <w:color w:val="000000"/>
                    <w:szCs w:val="24"/>
                  </w:rPr>
                  <w:t>17 straipsnis</w:t>
                </w:r>
              </w:p>
              <w:p>
                <w:pPr>
                  <w:jc w:val="both"/>
                  <w:rPr>
                    <w:b/>
                    <w:bCs/>
                    <w:color w:val="000000"/>
                    <w:szCs w:val="24"/>
                  </w:rPr>
                </w:pPr>
                <w:r>
                  <w:rPr>
                    <w:b/>
                    <w:bCs/>
                    <w:color w:val="000000"/>
                    <w:szCs w:val="24"/>
                  </w:rPr>
                  <w:t>Bendrieji gaminių žymėjimo CE ženklu principai</w:t>
                </w:r>
              </w:p>
              <w:p>
                <w:pPr>
                  <w:jc w:val="both"/>
                  <w:rPr>
                    <w:color w:val="000000"/>
                    <w:szCs w:val="24"/>
                  </w:rPr>
                </w:pPr>
                <w:r>
                  <w:rPr>
                    <w:color w:val="000000"/>
                    <w:szCs w:val="24"/>
                  </w:rPr>
                  <w:t>Žymėjimui CE ženklu taikomi bendrieji principai, išdėstyti Reglamento (EB) Nr. 765/2008 30 straipsnyje.</w:t>
                </w:r>
              </w:p>
              <w:p>
                <w:pPr>
                  <w:jc w:val="both"/>
                  <w:rPr>
                    <w:color w:val="000000"/>
                    <w:szCs w:val="24"/>
                  </w:rPr>
                </w:pPr>
              </w:p>
            </w:tc>
            <w:tc>
              <w:tcPr>
                <w:tcW w:w="7868" w:type="dxa"/>
              </w:tcPr>
              <w:p>
                <w:pPr>
                  <w:jc w:val="both"/>
                  <w:rPr>
                    <w:b/>
                    <w:bCs/>
                    <w:color w:val="000000"/>
                    <w:szCs w:val="24"/>
                  </w:rPr>
                </w:pPr>
                <w:r>
                  <w:rPr>
                    <w:i/>
                    <w:color w:val="000000"/>
                    <w:szCs w:val="24"/>
                  </w:rPr>
                  <w:t>Nuostatos perkelti nereikia, nes ji apibrėžta tiesioginio taikymo teisės akte – Europos Parlamento ir Tarybos reglamente (EB) Nr. 765/2008 30 straipsnyje.</w:t>
                </w:r>
              </w:p>
            </w:tc>
            <w:tc>
              <w:tcPr>
                <w:tcW w:w="1858" w:type="dxa"/>
              </w:tcPr>
              <w:p>
                <w:pPr>
                  <w:jc w:val="both"/>
                  <w:rPr>
                    <w:b/>
                    <w:bCs/>
                    <w:color w:val="000000"/>
                    <w:szCs w:val="24"/>
                  </w:rPr>
                </w:pPr>
                <w:r>
                  <w:rPr>
                    <w:b/>
                    <w:bCs/>
                    <w:color w:val="000000"/>
                    <w:szCs w:val="24"/>
                  </w:rPr>
                  <w:t>Visiškas</w:t>
                </w:r>
              </w:p>
            </w:tc>
          </w:tr>
          <w:tr>
            <w:trPr>
              <w:trHeight w:val="1975"/>
            </w:trPr>
            <w:tc>
              <w:tcPr>
                <w:tcW w:w="5264" w:type="dxa"/>
                <w:shd w:val="clear" w:color="auto" w:fill="FFFFFF" w:themeFill="background1"/>
              </w:tcPr>
              <w:p>
                <w:pPr>
                  <w:jc w:val="both"/>
                  <w:rPr>
                    <w:b/>
                    <w:color w:val="000000"/>
                    <w:szCs w:val="24"/>
                  </w:rPr>
                </w:pPr>
                <w:r>
                  <w:rPr>
                    <w:b/>
                    <w:color w:val="000000"/>
                    <w:szCs w:val="24"/>
                  </w:rPr>
                  <w:t>18 straipsnis</w:t>
                </w:r>
              </w:p>
              <w:p>
                <w:pPr>
                  <w:jc w:val="both"/>
                  <w:rPr>
                    <w:b/>
                    <w:color w:val="000000"/>
                    <w:szCs w:val="24"/>
                  </w:rPr>
                </w:pPr>
                <w:r>
                  <w:rPr>
                    <w:b/>
                    <w:color w:val="000000"/>
                    <w:szCs w:val="24"/>
                  </w:rPr>
                  <w:t>Žymėjimo CE ženklu taisyklės ir sąlygos</w:t>
                </w:r>
              </w:p>
              <w:p>
                <w:pPr>
                  <w:jc w:val="both"/>
                  <w:rPr>
                    <w:color w:val="000000"/>
                    <w:szCs w:val="24"/>
                  </w:rPr>
                </w:pPr>
                <w:r>
                  <w:rPr>
                    <w:color w:val="000000"/>
                    <w:szCs w:val="24"/>
                  </w:rPr>
                  <w:t>1. Gaminys arba jo duomenų lentelė CE ženklu pažymimi taip, kad šis ženklas būtų matomas, įskaitomas ir neištrinamas. Kai taip pažymėti neįmanoma arba negalima dėl gaminio pobūdžio, CE ženklu pažymima pakuotė ir prie jo pridėti dokumentai.</w:t>
                </w:r>
              </w:p>
              <w:p>
                <w:pPr>
                  <w:jc w:val="both"/>
                  <w:rPr>
                    <w:color w:val="000000"/>
                    <w:szCs w:val="24"/>
                  </w:rPr>
                </w:pPr>
                <w:r>
                  <w:rPr>
                    <w:color w:val="000000"/>
                    <w:szCs w:val="24"/>
                  </w:rPr>
                  <w:t>2. Gaminys CE ženklu pažymimas prieš jį pateikiant rinkai.</w:t>
                </w:r>
              </w:p>
              <w:p>
                <w:pPr>
                  <w:jc w:val="both"/>
                  <w:rPr>
                    <w:color w:val="000000"/>
                    <w:szCs w:val="24"/>
                  </w:rPr>
                </w:pPr>
                <w:r>
                  <w:rPr>
                    <w:color w:val="000000"/>
                    <w:szCs w:val="24"/>
                  </w:rPr>
                  <w:t>3. Valstybės narės naudojasi esamais mechanizmais, kad užtikrintų teisingą žymėjimo CE ženklu reglamentuojančios tvarkos taikymą, o netinkamo to ženklo naudojimo atveju imamasi tinkamų veiksmų.</w:t>
                </w:r>
              </w:p>
            </w:tc>
            <w:tc>
              <w:tcPr>
                <w:tcW w:w="7868" w:type="dxa"/>
                <w:shd w:val="clear" w:color="auto" w:fill="FFFFFF" w:themeFill="background1"/>
              </w:tcPr>
              <w:p>
                <w:pPr>
                  <w:jc w:val="both"/>
                  <w:rPr>
                    <w:b/>
                    <w:bCs/>
                    <w:color w:val="000000"/>
                    <w:szCs w:val="24"/>
                  </w:rPr>
                </w:pPr>
                <w:r>
                  <w:rPr>
                    <w:b/>
                    <w:bCs/>
                    <w:color w:val="000000"/>
                    <w:szCs w:val="24"/>
                  </w:rPr>
                  <w:t>Projektas</w:t>
                </w:r>
              </w:p>
              <w:p>
                <w:pPr>
                  <w:jc w:val="both"/>
                  <w:rPr>
                    <w:b/>
                    <w:bCs/>
                    <w:color w:val="000000"/>
                    <w:szCs w:val="24"/>
                  </w:rPr>
                </w:pPr>
              </w:p>
              <w:p>
                <w:pPr>
                  <w:jc w:val="both"/>
                  <w:rPr>
                    <w:b/>
                    <w:bCs/>
                    <w:color w:val="000000"/>
                    <w:szCs w:val="24"/>
                  </w:rPr>
                </w:pPr>
                <w:r>
                  <w:rPr>
                    <w:b/>
                    <w:bCs/>
                    <w:color w:val="000000"/>
                    <w:szCs w:val="24"/>
                  </w:rPr>
                  <w:t>17 straipsnis. Žymėjimo CE ženklu taisyklės ir sąlygos</w:t>
                </w:r>
              </w:p>
              <w:p>
                <w:pPr>
                  <w:jc w:val="both"/>
                  <w:rPr>
                    <w:bCs/>
                    <w:color w:val="000000"/>
                    <w:szCs w:val="24"/>
                  </w:rPr>
                </w:pPr>
                <w:r>
                  <w:rPr>
                    <w:bCs/>
                    <w:color w:val="000000"/>
                    <w:szCs w:val="24"/>
                  </w:rPr>
                  <w:t>1. Kiekvieną atskirą gaminį, atitinkantį taikytinus prieinamumo reikalavimus, gamintojas, prieš jį pateikdamas rinkai, pažymi CE ženklu. Gaminys arba jo duomenų lentelė CE ženklu pažymimi taip, kad šis ženklas būtų matomas, lengvai įskaitomas ir neištrinamas. Jei matomai, įskaitomai ir neištrinamai gaminio pažymėti neįmanoma arba negalima dėl gaminio pobūdžio, CE ženklu pažymima pakuotė ir prie jo pridėti dokumentai.</w:t>
                </w:r>
              </w:p>
              <w:p>
                <w:pPr>
                  <w:jc w:val="both"/>
                  <w:rPr>
                    <w:bCs/>
                    <w:color w:val="000000"/>
                    <w:szCs w:val="24"/>
                  </w:rPr>
                </w:pPr>
                <w:r>
                  <w:rPr>
                    <w:bCs/>
                    <w:color w:val="000000"/>
                    <w:szCs w:val="24"/>
                  </w:rPr>
                  <w:t>&lt;…&gt;</w:t>
                </w:r>
              </w:p>
              <w:p>
                <w:pPr>
                  <w:jc w:val="both"/>
                  <w:rPr>
                    <w:bCs/>
                    <w:color w:val="000000"/>
                    <w:szCs w:val="24"/>
                  </w:rPr>
                </w:pPr>
                <w:r>
                  <w:rPr>
                    <w:bCs/>
                    <w:color w:val="000000"/>
                    <w:szCs w:val="24"/>
                  </w:rPr>
                  <w:t>3. Rinkos priežiūros institucijos užtikrina gaminių, nurodytų šio įstatymo 2 straipsnio 2 dalyje, žymėjimo CE ženklu rinkos priežiūrą.</w:t>
                </w:r>
              </w:p>
              <w:p>
                <w:pPr>
                  <w:jc w:val="both"/>
                  <w:rPr>
                    <w:b/>
                    <w:bCs/>
                    <w:color w:val="000000"/>
                    <w:szCs w:val="24"/>
                  </w:rPr>
                </w:pPr>
              </w:p>
            </w:tc>
            <w:tc>
              <w:tcPr>
                <w:tcW w:w="1858" w:type="dxa"/>
                <w:shd w:val="clear" w:color="auto" w:fill="FFFFFF" w:themeFill="background1"/>
              </w:tcPr>
              <w:p>
                <w:pPr>
                  <w:jc w:val="both"/>
                  <w:rPr>
                    <w:b/>
                    <w:bCs/>
                    <w:color w:val="000000"/>
                    <w:szCs w:val="24"/>
                  </w:rPr>
                </w:pPr>
                <w:r>
                  <w:rPr>
                    <w:b/>
                    <w:bCs/>
                    <w:color w:val="000000"/>
                    <w:szCs w:val="24"/>
                  </w:rPr>
                  <w:t>Visiškas</w:t>
                </w:r>
              </w:p>
            </w:tc>
          </w:tr>
          <w:tr>
            <w:trPr>
              <w:trHeight w:val="1975"/>
            </w:trPr>
            <w:tc>
              <w:tcPr>
                <w:tcW w:w="5264" w:type="dxa"/>
                <w:shd w:val="clear" w:color="auto" w:fill="auto"/>
              </w:tcPr>
              <w:p>
                <w:pPr>
                  <w:jc w:val="both"/>
                  <w:rPr>
                    <w:b/>
                    <w:bCs/>
                    <w:color w:val="000000"/>
                    <w:szCs w:val="24"/>
                  </w:rPr>
                </w:pPr>
                <w:r>
                  <w:rPr>
                    <w:b/>
                    <w:bCs/>
                    <w:color w:val="000000"/>
                    <w:szCs w:val="24"/>
                  </w:rPr>
                  <w:t>19 straipsnis</w:t>
                </w:r>
              </w:p>
              <w:p>
                <w:pPr>
                  <w:jc w:val="both"/>
                  <w:rPr>
                    <w:b/>
                    <w:bCs/>
                    <w:color w:val="000000"/>
                    <w:szCs w:val="24"/>
                  </w:rPr>
                </w:pPr>
                <w:r>
                  <w:rPr>
                    <w:b/>
                    <w:bCs/>
                    <w:color w:val="000000"/>
                    <w:szCs w:val="24"/>
                  </w:rPr>
                  <w:t>Gaminiams taikoma rinkos priežiūra</w:t>
                </w:r>
              </w:p>
              <w:p>
                <w:pPr>
                  <w:jc w:val="both"/>
                  <w:rPr>
                    <w:color w:val="000000"/>
                    <w:szCs w:val="24"/>
                  </w:rPr>
                </w:pPr>
                <w:r>
                  <w:rPr>
                    <w:color w:val="000000"/>
                    <w:szCs w:val="24"/>
                  </w:rPr>
                  <w:t>1.   Gaminiams taikomi Reglamento (EB) Nr. 765/2008 15 straipsnio 3 dalis ir 16–19 straipsniai, 21 straipsnis, 23–28 straipsniai ir 29 straipsnio 2 ir 3 dalys.</w:t>
                </w:r>
              </w:p>
              <w:p>
                <w:pPr>
                  <w:jc w:val="both"/>
                  <w:rPr>
                    <w:color w:val="000000"/>
                    <w:szCs w:val="24"/>
                  </w:rPr>
                </w:pPr>
              </w:p>
            </w:tc>
            <w:tc>
              <w:tcPr>
                <w:tcW w:w="7868" w:type="dxa"/>
                <w:shd w:val="clear" w:color="auto" w:fill="auto"/>
              </w:tcPr>
              <w:p>
                <w:pPr>
                  <w:jc w:val="both"/>
                  <w:rPr>
                    <w:b/>
                    <w:bCs/>
                    <w:color w:val="000000"/>
                    <w:szCs w:val="24"/>
                  </w:rPr>
                </w:pPr>
                <w:r>
                  <w:rPr>
                    <w:b/>
                    <w:bCs/>
                    <w:color w:val="000000"/>
                    <w:szCs w:val="24"/>
                  </w:rPr>
                  <w:t>Projektas</w:t>
                </w:r>
              </w:p>
              <w:p>
                <w:pPr>
                  <w:jc w:val="both"/>
                  <w:rPr>
                    <w:b/>
                    <w:bCs/>
                    <w:color w:val="000000"/>
                    <w:szCs w:val="24"/>
                  </w:rPr>
                </w:pPr>
              </w:p>
              <w:p>
                <w:pPr>
                  <w:jc w:val="both"/>
                  <w:rPr>
                    <w:b/>
                    <w:bCs/>
                    <w:szCs w:val="24"/>
                  </w:rPr>
                </w:pPr>
                <w:r>
                  <w:rPr>
                    <w:b/>
                    <w:bCs/>
                    <w:szCs w:val="24"/>
                  </w:rPr>
                  <w:t>18 straipsnis. Gaminiams taikoma rinkos priežiūra</w:t>
                </w:r>
              </w:p>
              <w:p>
                <w:pPr>
                  <w:jc w:val="both"/>
                  <w:rPr>
                    <w:b/>
                    <w:bCs/>
                    <w:i/>
                    <w:iCs/>
                    <w:color w:val="000000"/>
                    <w:szCs w:val="24"/>
                  </w:rPr>
                </w:pPr>
                <w:r>
                  <w:rPr>
                    <w:szCs w:val="24"/>
                  </w:rPr>
                  <w:t>1. Gaminiams taikoma Reglamento (EB) Nr. 765/2008 su visais pakeitimais 15 straipsnio 3 dalis, 16–19 straipsniai, 21 straipsnis, 23–28 straipsniai ir 29 straipsnio 2 ir 3 dalys.</w:t>
                </w:r>
              </w:p>
            </w:tc>
            <w:tc>
              <w:tcPr>
                <w:tcW w:w="1858" w:type="dxa"/>
                <w:shd w:val="clear" w:color="auto" w:fill="auto"/>
              </w:tcPr>
              <w:p>
                <w:pPr>
                  <w:jc w:val="both"/>
                  <w:rPr>
                    <w:b/>
                    <w:bCs/>
                    <w:color w:val="000000"/>
                    <w:szCs w:val="24"/>
                  </w:rPr>
                </w:pPr>
                <w:r>
                  <w:rPr>
                    <w:b/>
                    <w:bCs/>
                    <w:color w:val="000000"/>
                    <w:szCs w:val="24"/>
                  </w:rPr>
                  <w:t>Visiškas</w:t>
                </w:r>
              </w:p>
            </w:tc>
          </w:tr>
          <w:tr>
            <w:trPr>
              <w:trHeight w:val="1975"/>
            </w:trPr>
            <w:tc>
              <w:tcPr>
                <w:tcW w:w="5264" w:type="dxa"/>
                <w:shd w:val="clear" w:color="auto" w:fill="auto"/>
              </w:tcPr>
              <w:p>
                <w:pPr>
                  <w:jc w:val="both"/>
                  <w:rPr>
                    <w:color w:val="000000"/>
                    <w:szCs w:val="24"/>
                  </w:rPr>
                </w:pPr>
                <w:r>
                  <w:rPr>
                    <w:color w:val="000000"/>
                    <w:szCs w:val="24"/>
                  </w:rPr>
                  <w:t>2.   Tais atvejais, kai ekonominės veiklos vykdytojas rėmėsi šios direktyvos 14 straipsniu, vykdydamos gaminių rinkos priežiūrą, atitinkamos rinkos priežiūros institucijos:</w:t>
                </w:r>
              </w:p>
              <w:tbl>
                <w:tblPr>
                  <w:tblW w:w="5000" w:type="pct"/>
                  <w:tblCellMar>
                    <w:left w:w="0" w:type="dxa"/>
                    <w:right w:w="0" w:type="dxa"/>
                  </w:tblCellMar>
                  <w:tblLook w:val="04A0" w:firstRow="1" w:lastRow="0" w:firstColumn="1" w:lastColumn="0" w:noHBand="0" w:noVBand="1"/>
                </w:tblPr>
                <w:tblGrid>
                  <w:gridCol w:w="201"/>
                  <w:gridCol w:w="4847"/>
                </w:tblGrid>
                <w:tr>
                  <w:tc>
                    <w:tcPr>
                      <w:tcW w:w="218" w:type="dxa"/>
                      <w:shd w:val="clear" w:color="auto" w:fill="auto"/>
                      <w:hideMark/>
                    </w:tcPr>
                    <w:p>
                      <w:pPr>
                        <w:jc w:val="both"/>
                        <w:rPr>
                          <w:color w:val="000000"/>
                          <w:szCs w:val="24"/>
                        </w:rPr>
                      </w:pPr>
                      <w:r>
                        <w:rPr>
                          <w:color w:val="000000"/>
                          <w:szCs w:val="24"/>
                        </w:rPr>
                        <w:t>a)</w:t>
                      </w:r>
                    </w:p>
                  </w:tc>
                  <w:tc>
                    <w:tcPr>
                      <w:tcW w:w="9142" w:type="dxa"/>
                      <w:shd w:val="clear" w:color="auto" w:fill="auto"/>
                      <w:hideMark/>
                    </w:tcPr>
                    <w:p>
                      <w:pPr>
                        <w:jc w:val="both"/>
                        <w:rPr>
                          <w:color w:val="000000"/>
                          <w:szCs w:val="24"/>
                        </w:rPr>
                      </w:pPr>
                      <w:r>
                        <w:rPr>
                          <w:color w:val="000000"/>
                          <w:szCs w:val="24"/>
                        </w:rPr>
                        <w:t>patikrina, ar ekonominės veiklos vykdytojas atliko 14 straipsnyje nurodytą vertinimą;</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11"/>
                  <w:gridCol w:w="4837"/>
                </w:tblGrid>
                <w:tr>
                  <w:tc>
                    <w:tcPr>
                      <w:tcW w:w="224" w:type="dxa"/>
                      <w:shd w:val="clear" w:color="auto" w:fill="auto"/>
                      <w:hideMark/>
                    </w:tcPr>
                    <w:p>
                      <w:pPr>
                        <w:jc w:val="both"/>
                        <w:rPr>
                          <w:color w:val="000000"/>
                          <w:szCs w:val="24"/>
                        </w:rPr>
                      </w:pPr>
                      <w:r>
                        <w:rPr>
                          <w:color w:val="000000"/>
                          <w:szCs w:val="24"/>
                        </w:rPr>
                        <w:t>b)</w:t>
                      </w:r>
                    </w:p>
                  </w:tc>
                  <w:tc>
                    <w:tcPr>
                      <w:tcW w:w="9136" w:type="dxa"/>
                      <w:shd w:val="clear" w:color="auto" w:fill="auto"/>
                      <w:hideMark/>
                    </w:tcPr>
                    <w:p>
                      <w:pPr>
                        <w:jc w:val="both"/>
                        <w:rPr>
                          <w:color w:val="000000"/>
                          <w:szCs w:val="24"/>
                        </w:rPr>
                      </w:pPr>
                      <w:r>
                        <w:rPr>
                          <w:color w:val="000000"/>
                          <w:szCs w:val="24"/>
                        </w:rPr>
                        <w:t>peržiūri tą vertinimą ir jo rezultatus, įskaitant tai, ar teisingai naudojami VI priede išdėstyti kriterijai, ir</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44"/>
                  <w:gridCol w:w="4804"/>
                </w:tblGrid>
                <w:tr>
                  <w:tc>
                    <w:tcPr>
                      <w:tcW w:w="312" w:type="dxa"/>
                      <w:shd w:val="clear" w:color="auto" w:fill="auto"/>
                      <w:hideMark/>
                    </w:tcPr>
                    <w:p>
                      <w:pPr>
                        <w:jc w:val="both"/>
                        <w:rPr>
                          <w:color w:val="000000"/>
                          <w:szCs w:val="24"/>
                        </w:rPr>
                      </w:pPr>
                      <w:r>
                        <w:rPr>
                          <w:color w:val="000000"/>
                          <w:szCs w:val="24"/>
                        </w:rPr>
                        <w:t>c)</w:t>
                      </w:r>
                    </w:p>
                  </w:tc>
                  <w:tc>
                    <w:tcPr>
                      <w:tcW w:w="9048" w:type="dxa"/>
                      <w:shd w:val="clear" w:color="auto" w:fill="auto"/>
                      <w:hideMark/>
                    </w:tcPr>
                    <w:p>
                      <w:pPr>
                        <w:jc w:val="both"/>
                        <w:rPr>
                          <w:color w:val="000000"/>
                          <w:szCs w:val="24"/>
                        </w:rPr>
                      </w:pPr>
                      <w:r>
                        <w:rPr>
                          <w:color w:val="000000"/>
                          <w:szCs w:val="24"/>
                        </w:rPr>
                        <w:t>patikrina taikytinų prieinamumo reikalavimų laikymąsi.</w:t>
                      </w:r>
                    </w:p>
                  </w:tc>
                </w:tr>
              </w:tbl>
              <w:p>
                <w:pPr>
                  <w:jc w:val="both"/>
                  <w:rPr>
                    <w:b/>
                    <w:bCs/>
                    <w:color w:val="000000"/>
                    <w:szCs w:val="24"/>
                  </w:rPr>
                </w:pPr>
              </w:p>
            </w:tc>
            <w:tc>
              <w:tcPr>
                <w:tcW w:w="7868" w:type="dxa"/>
                <w:shd w:val="clear" w:color="auto" w:fill="auto"/>
              </w:tcPr>
              <w:p>
                <w:pPr>
                  <w:jc w:val="both"/>
                  <w:rPr>
                    <w:b/>
                    <w:bCs/>
                    <w:color w:val="000000"/>
                    <w:szCs w:val="24"/>
                  </w:rPr>
                </w:pPr>
                <w:r>
                  <w:rPr>
                    <w:b/>
                    <w:bCs/>
                    <w:color w:val="000000"/>
                    <w:szCs w:val="24"/>
                  </w:rPr>
                  <w:t>Projektas</w:t>
                </w:r>
              </w:p>
              <w:p>
                <w:pPr>
                  <w:jc w:val="both"/>
                  <w:rPr>
                    <w:b/>
                    <w:bCs/>
                    <w:color w:val="000000"/>
                    <w:szCs w:val="24"/>
                  </w:rPr>
                </w:pPr>
              </w:p>
              <w:p>
                <w:pPr>
                  <w:jc w:val="both"/>
                  <w:rPr>
                    <w:b/>
                    <w:bCs/>
                    <w:szCs w:val="24"/>
                  </w:rPr>
                </w:pPr>
                <w:r>
                  <w:rPr>
                    <w:b/>
                    <w:bCs/>
                    <w:szCs w:val="24"/>
                  </w:rPr>
                  <w:t>18 straipsnis. Gaminiams taikoma rinkos priežiūra</w:t>
                </w:r>
              </w:p>
              <w:p>
                <w:pPr>
                  <w:jc w:val="both"/>
                  <w:rPr>
                    <w:szCs w:val="24"/>
                  </w:rPr>
                </w:pPr>
                <w:r>
                  <w:rPr>
                    <w:szCs w:val="24"/>
                  </w:rPr>
                  <w:t>&lt;...&gt;</w:t>
                  <w:br/>
                  <w:t>2. Jeigu ekonominės veiklos vykdytojas nesilaiko prieinamumo reikalavimų remdamasis šio įstatymo 14 straipsnio 1 dalimi, atitinkama rinkos priežiūros institucija, vykdydama gaminių rinkos priežiūrą:</w:t>
                </w:r>
              </w:p>
              <w:p>
                <w:pPr>
                  <w:jc w:val="both"/>
                  <w:rPr>
                    <w:szCs w:val="24"/>
                  </w:rPr>
                </w:pPr>
                <w:r>
                  <w:rPr>
                    <w:szCs w:val="24"/>
                  </w:rPr>
                  <w:t>1) patikrina, ar ekonominės veiklos vykdytojas atliko neproporcingos naštos vertinimą ir įvertina šį vertinimą, peržiūrint ar remiantis šio įstatymo 2 priede įtvirtintais kriterijais, dėl to būtų sukelta neproporcinga našta ekonominės veiklos vykdytojui ir būtų padaryti esminiai gaminio ar paslaugos pobūdžio keitimai;</w:t>
                </w:r>
              </w:p>
              <w:p>
                <w:pPr>
                  <w:jc w:val="both"/>
                  <w:rPr>
                    <w:szCs w:val="24"/>
                  </w:rPr>
                </w:pPr>
                <w:r>
                  <w:rPr>
                    <w:szCs w:val="24"/>
                  </w:rPr>
                  <w:t>2) patikrina kaip laikomasi taikytinų prieinamumo reikalavimų.</w:t>
                </w:r>
              </w:p>
              <w:p>
                <w:pPr>
                  <w:jc w:val="both"/>
                  <w:rPr>
                    <w:b/>
                    <w:b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975"/>
            </w:trPr>
            <w:tc>
              <w:tcPr>
                <w:tcW w:w="5264" w:type="dxa"/>
                <w:shd w:val="clear" w:color="auto" w:fill="auto"/>
              </w:tcPr>
              <w:p>
                <w:pPr>
                  <w:jc w:val="both"/>
                  <w:rPr>
                    <w:b/>
                    <w:bCs/>
                    <w:color w:val="000000"/>
                    <w:szCs w:val="24"/>
                  </w:rPr>
                </w:pPr>
                <w:r>
                  <w:rPr>
                    <w:color w:val="000000"/>
                    <w:szCs w:val="24"/>
                  </w:rPr>
                  <w:t>3.   Valstybės narės užtikrina, kad vartotojams paprašius jiems prieinamu formatu būtų pateikiama rinkos priežiūros institucijų turima informacija apie tai, kaip ekonominės veiklos vykdytojai laikosi taikytinų šios direktyvos prieinamumo reikalavimų, ir 14 straipsnyje numatytas vertinimas, išskyrus atvejus, kai ta informacija negali būti pateikta dėl konfidencialumo, kaip numatyta Reglamento (EB) Nr. 765/2008 19 straipsnio 5 dalyje.</w:t>
                </w:r>
              </w:p>
            </w:tc>
            <w:tc>
              <w:tcPr>
                <w:tcW w:w="7868" w:type="dxa"/>
                <w:shd w:val="clear" w:color="auto" w:fill="auto"/>
              </w:tcPr>
              <w:p>
                <w:pPr>
                  <w:jc w:val="both"/>
                  <w:rPr>
                    <w:b/>
                    <w:bCs/>
                    <w:color w:val="000000"/>
                    <w:szCs w:val="24"/>
                  </w:rPr>
                </w:pPr>
                <w:r>
                  <w:rPr>
                    <w:b/>
                    <w:bCs/>
                    <w:color w:val="000000"/>
                    <w:szCs w:val="24"/>
                  </w:rPr>
                  <w:t>Projektas</w:t>
                </w:r>
              </w:p>
              <w:p>
                <w:pPr>
                  <w:jc w:val="both"/>
                  <w:rPr>
                    <w:b/>
                    <w:bCs/>
                    <w:color w:val="000000"/>
                    <w:szCs w:val="24"/>
                  </w:rPr>
                </w:pPr>
              </w:p>
              <w:p>
                <w:pPr>
                  <w:jc w:val="both"/>
                  <w:rPr>
                    <w:b/>
                    <w:bCs/>
                    <w:szCs w:val="24"/>
                  </w:rPr>
                </w:pPr>
                <w:r>
                  <w:rPr>
                    <w:b/>
                    <w:bCs/>
                    <w:szCs w:val="24"/>
                  </w:rPr>
                  <w:t>18 straipsnis. Gaminiams taikoma rinkos priežiūra</w:t>
                </w:r>
              </w:p>
              <w:p>
                <w:pPr>
                  <w:jc w:val="both"/>
                  <w:rPr>
                    <w:szCs w:val="24"/>
                  </w:rPr>
                </w:pPr>
                <w:r>
                  <w:rPr>
                    <w:szCs w:val="24"/>
                  </w:rPr>
                  <w:t>3. Vartotojai turi teisę gauti informaciją iš rinkos priežiūros institucijų prieinamu formatu apie tai, kaip ekonominės veiklos vykdytojai laikosi taikytinų prieinamumo reikalavimų, ir šio įstatymo 14 straipsnyje numatytų reikalavimų, išskyrus atvejus, kai ta informacija negali būti pateikta dėl konfidencialumo, kaip numatyta Reglamento (EB) Nr. 765/2008 su visais pakeitimais 19 straipsnio 5 dalyje.</w:t>
                </w:r>
              </w:p>
              <w:p>
                <w:pPr>
                  <w:jc w:val="both"/>
                  <w:rPr>
                    <w:b/>
                    <w:b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3392"/>
            </w:trPr>
            <w:tc>
              <w:tcPr>
                <w:tcW w:w="5264" w:type="dxa"/>
                <w:shd w:val="clear" w:color="auto" w:fill="auto"/>
              </w:tcPr>
              <w:p>
                <w:pPr>
                  <w:jc w:val="both"/>
                  <w:rPr>
                    <w:b/>
                    <w:bCs/>
                    <w:color w:val="000000"/>
                    <w:szCs w:val="24"/>
                  </w:rPr>
                </w:pPr>
                <w:r>
                  <w:rPr>
                    <w:b/>
                    <w:bCs/>
                    <w:color w:val="000000"/>
                    <w:szCs w:val="24"/>
                  </w:rPr>
                  <w:t>20 straipsnis</w:t>
                </w:r>
              </w:p>
              <w:p>
                <w:pPr>
                  <w:jc w:val="both"/>
                  <w:rPr>
                    <w:b/>
                    <w:bCs/>
                    <w:color w:val="000000"/>
                    <w:szCs w:val="24"/>
                  </w:rPr>
                </w:pPr>
                <w:r>
                  <w:rPr>
                    <w:b/>
                    <w:bCs/>
                    <w:color w:val="000000"/>
                    <w:szCs w:val="24"/>
                  </w:rPr>
                  <w:t>Nacionalinio lygmens procedūra, taikoma užsiimant gaminiais, neatitinkančiais taikytinų prieinamumo reikalavimų</w:t>
                </w:r>
              </w:p>
              <w:p>
                <w:pPr>
                  <w:jc w:val="both"/>
                  <w:rPr>
                    <w:color w:val="000000"/>
                    <w:szCs w:val="24"/>
                  </w:rPr>
                </w:pPr>
                <w:r>
                  <w:rPr>
                    <w:color w:val="000000"/>
                    <w:szCs w:val="24"/>
                  </w:rPr>
                  <w:t>1.   Jeigu vienos valstybės narės rinkos priežiūros institucijos turi pakankamo pagrindo manyti, kad gaminys, kuriam taikoma ši direktyva, neatitinka taikytinų prieinamumo reikalavimų, jos atlieka įvertinimą, susijusį su atitinkamu gaminiu ir apimantį visus šios direktyvos reikalavimus. Tuo tikslu atitinkami ekonominės veiklos vykdytojai visapusiškai bendradarbiauja su rinkos priežiūros institucijomis.</w:t>
                </w:r>
              </w:p>
              <w:p>
                <w:pPr>
                  <w:jc w:val="both"/>
                  <w:rPr>
                    <w:color w:val="000000"/>
                    <w:szCs w:val="24"/>
                  </w:rPr>
                </w:pPr>
                <w:r>
                  <w:rPr>
                    <w:color w:val="000000"/>
                    <w:szCs w:val="24"/>
                  </w:rPr>
                  <w:t>Jeigu atliekant pirmoje pastraipoje nurodytą įvertinimą rinkos priežiūros institucijos nustato, kad gaminys neatitinka šios direktyvos reikalavimų, jos nedelsdamos pareikalauja, kad atitinkamas ekonominės veiklos vykdytojas imtųsi visų reikiamų taisomųjų veiksmų, kuriuos jos gali nurodyti atlikti, siekiant užtikrinti gaminio atitiktį tiems reikalavimams per jų nustatytą pagrįstą neatitikties pobūdį atitinkantį laikotarpį.</w:t>
                </w:r>
              </w:p>
              <w:p>
                <w:pPr>
                  <w:jc w:val="both"/>
                  <w:rPr>
                    <w:color w:val="000000"/>
                    <w:szCs w:val="24"/>
                  </w:rPr>
                </w:pPr>
                <w:r>
                  <w:rPr>
                    <w:color w:val="000000"/>
                    <w:szCs w:val="24"/>
                  </w:rPr>
                  <w:t>Rinkos priežiūros institucijos reikalauja, kad atitinkamas ekonominės veiklos vykdytojas pašalintų gaminį iš rinkos per papildomą pagrįstą laikotarpį tik tuo atveju, jeigu atitinkamas ekonominės veiklos vykdytojas per antroje pastraipoje nurodytą laikotarpį nesiėmė tinkamų taisomųjų veiksmų.</w:t>
                </w:r>
              </w:p>
              <w:p>
                <w:pPr>
                  <w:jc w:val="both"/>
                  <w:rPr>
                    <w:color w:val="000000"/>
                    <w:szCs w:val="24"/>
                  </w:rPr>
                </w:pPr>
                <w:r>
                  <w:rPr>
                    <w:color w:val="000000"/>
                    <w:szCs w:val="24"/>
                  </w:rPr>
                  <w:t>Šios dalies antroje ir trečioje pastraipose nurodytoms priemonėms taikomas Reglamento (EB) Nr. 765/2008 21 straipsnis.</w:t>
                </w: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 xml:space="preserve">1.  Jeigu </w:t>
                </w:r>
                <w:r>
                  <w:rPr>
                    <w:bCs/>
                    <w:szCs w:val="24"/>
                  </w:rPr>
                  <w:t>rinkos priežiūros institucija</w:t>
                </w:r>
                <w:r>
                  <w:rPr>
                    <w:szCs w:val="24"/>
                  </w:rPr>
                  <w:t xml:space="preserve"> turi pagrįstą pagrindą manyti, kad gaminys neatitinka taikytinų prieinamumo reikalavimų, ji atlieka įvertinimą, susijusį su atitinkamu gaminiu ir apimantį visus gaminiui taikytinus prieinamumo reikalavimus. Atlikdami vertinimą, ekonominės veiklos vykdytojai visapusiškai bendradarbiauja su </w:t>
                </w:r>
                <w:r>
                  <w:rPr>
                    <w:bCs/>
                    <w:szCs w:val="24"/>
                  </w:rPr>
                  <w:t>rinkos priežiūros institucija</w:t>
                </w:r>
                <w:r>
                  <w:rPr>
                    <w:szCs w:val="24"/>
                  </w:rPr>
                  <w:t>.</w:t>
                </w:r>
              </w:p>
              <w:p>
                <w:pPr>
                  <w:jc w:val="both"/>
                  <w:rPr>
                    <w:szCs w:val="24"/>
                  </w:rPr>
                </w:pPr>
                <w:r>
                  <w:rPr>
                    <w:szCs w:val="24"/>
                  </w:rPr>
                  <w:t xml:space="preserve">2. Jeigu atlikdama šio straipsnio 1 dalyje nurodytą vertinimą </w:t>
                </w:r>
                <w:r>
                  <w:rPr>
                    <w:bCs/>
                    <w:szCs w:val="24"/>
                  </w:rPr>
                  <w:t>rinkos priežiūros institucija</w:t>
                </w:r>
                <w:r>
                  <w:rPr>
                    <w:szCs w:val="24"/>
                  </w:rPr>
                  <w:t xml:space="preserve"> nustato, kad gaminys neatitinka taikytinų prieinamumo reikalavimų, ji nedelsdama pareikalauja, kad atitinkamas ekonominės veiklos vykdytojas imtųsi taisomųjų veiksmų, siekiant užtikrinti gaminio atitiktį tiems reikalavimams per jos nustatytą pagrįstą neatitikties pobūdį atitinkantį laikotarpį.</w:t>
                </w:r>
              </w:p>
              <w:p>
                <w:pPr>
                  <w:jc w:val="both"/>
                  <w:rPr>
                    <w:szCs w:val="24"/>
                  </w:rPr>
                </w:pPr>
                <w:r>
                  <w:rPr>
                    <w:szCs w:val="24"/>
                  </w:rPr>
                  <w:t xml:space="preserve">3. </w:t>
                </w:r>
                <w:r>
                  <w:rPr>
                    <w:bCs/>
                    <w:szCs w:val="24"/>
                  </w:rPr>
                  <w:t>Rinkos priežiūros institucija</w:t>
                </w:r>
                <w:r>
                  <w:rPr>
                    <w:szCs w:val="24"/>
                  </w:rPr>
                  <w:t xml:space="preserve"> reikalauja, kad atitinkamas ekonominės veiklos vykdytojas pašalintų iš rinkos gaminį per papildomą pagrįstą laikotarpį tik tuo atveju, jeigu atitinkamas ekonominės veiklos vykdytojas per šio straipsnio 2 dalyje nurodytą laikotarpį nesiėmė tinkamų taisomųjų veiksmų, kad būtų užtikrinta gaminio atitiktis taikytiniems prieinamumo reikalavimams.</w:t>
                </w:r>
              </w:p>
              <w:p>
                <w:pPr>
                  <w:jc w:val="both"/>
                  <w:rPr>
                    <w:szCs w:val="24"/>
                  </w:rPr>
                </w:pPr>
                <w:r>
                  <w:rPr>
                    <w:szCs w:val="24"/>
                  </w:rPr>
                  <w:t>4. Šio straipsnio 2 ir 3 dalyse nurodytoms priemonėms taikomas Reglamento (EB) Nr. 765/2008 su visais pakeitimais 21 straipsnis.</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841"/>
            </w:trPr>
            <w:tc>
              <w:tcPr>
                <w:tcW w:w="5264" w:type="dxa"/>
                <w:shd w:val="clear" w:color="auto" w:fill="auto"/>
              </w:tcPr>
              <w:p>
                <w:pPr>
                  <w:jc w:val="both"/>
                  <w:rPr>
                    <w:color w:val="000000"/>
                    <w:szCs w:val="24"/>
                  </w:rPr>
                </w:pPr>
                <w:r>
                  <w:rPr>
                    <w:color w:val="000000"/>
                    <w:szCs w:val="24"/>
                  </w:rPr>
                  <w:t>2.   Jeigu rinkos priežiūros institucijos mano, kad neatitiktis neapsiriboja jų nacionaline teritorija, jos informuoja Komisiją ir kitas valstybes nares apie įvertinimo rezultatus ir apie veiksmus, kurių jų reikalavimu ėmėsi ekonominės veiklos vykdytojas.</w:t>
                </w:r>
              </w:p>
              <w:p>
                <w:pPr>
                  <w:jc w:val="both"/>
                  <w:rPr>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&lt;...&gt;</w:t>
                </w:r>
              </w:p>
              <w:p>
                <w:pPr>
                  <w:jc w:val="both"/>
                  <w:rPr>
                    <w:szCs w:val="24"/>
                  </w:rPr>
                </w:pPr>
                <w:r>
                  <w:rPr>
                    <w:szCs w:val="24"/>
                  </w:rPr>
                  <w:t xml:space="preserve">6. Jeigu </w:t>
                </w:r>
                <w:r>
                  <w:rPr>
                    <w:bCs/>
                    <w:szCs w:val="24"/>
                  </w:rPr>
                  <w:t>Jeigu rinkos priežiūros institucija mano, kad neatitiktis neapsiriboja Lietuvos Respublikos teritorija, ji informuoja Europos Komisiją ir kitas ES valstybes nares apie prieinamumo vertinimo rezultatus ir veiksmus, kurių rinkos priežiūros institucijos reikalavimu ėmėsi ekonominės veiklos vykdytojas.</w:t>
                </w:r>
              </w:p>
              <w:p>
                <w:pPr>
                  <w:jc w:val="both"/>
                  <w:rPr>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841"/>
            </w:trPr>
            <w:tc>
              <w:tcPr>
                <w:tcW w:w="5264" w:type="dxa"/>
                <w:shd w:val="clear" w:color="auto" w:fill="auto"/>
              </w:tcPr>
              <w:p>
                <w:pPr>
                  <w:jc w:val="both"/>
                  <w:rPr>
                    <w:color w:val="000000"/>
                    <w:szCs w:val="24"/>
                  </w:rPr>
                </w:pPr>
                <w:r>
                  <w:rPr>
                    <w:color w:val="000000"/>
                    <w:szCs w:val="24"/>
                  </w:rPr>
                  <w:t>3.   Ekonominės veiklos vykdytojas užtikrina, kad visų tinkamų taisomųjų veiksmų būtų imtasi visų atitinkamų gaminių, kuriuos jis patiekė rinkai visoje Sąjungoje, atžvilgiu.</w:t>
                </w:r>
              </w:p>
              <w:p>
                <w:pPr>
                  <w:jc w:val="both"/>
                  <w:rPr>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&lt;...&gt;</w:t>
                </w:r>
              </w:p>
              <w:p>
                <w:pPr>
                  <w:jc w:val="both"/>
                  <w:rPr>
                    <w:szCs w:val="24"/>
                  </w:rPr>
                </w:pPr>
                <w:r>
                  <w:rPr>
                    <w:szCs w:val="24"/>
                  </w:rPr>
                  <w:t>7. Ekonominės veiklos vykdytojas užtikrina, kad visų tinkamų veiksmų būtų imtasi dėl visų atitinkamų gaminių, kuriuos jis patiekė rinkai visoje ES.</w:t>
                </w:r>
              </w:p>
              <w:p>
                <w:pPr>
                  <w:jc w:val="both"/>
                  <w:rPr>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841"/>
            </w:trPr>
            <w:tc>
              <w:tcPr>
                <w:tcW w:w="5264" w:type="dxa"/>
                <w:shd w:val="clear" w:color="auto" w:fill="auto"/>
              </w:tcPr>
              <w:p>
                <w:pPr>
                  <w:jc w:val="both"/>
                  <w:rPr>
                    <w:color w:val="000000"/>
                    <w:szCs w:val="24"/>
                  </w:rPr>
                </w:pPr>
                <w:r>
                  <w:rPr>
                    <w:color w:val="000000"/>
                    <w:szCs w:val="24"/>
                  </w:rPr>
                  <w:t>4.   Jeigu per 1 dalies trečioje pastraipoje nurodytą laikotarpį atitinkamas ekonominės veiklos vykdytojas nesiima reikiamų taisomųjų veiksmų, rinkos priežiūros institucijos imasi visų tinkamų laikinųjų priemonių, kad būtų uždraustas arba apribotas gaminio tiekimas jų nacionalinei rinkai arba kad gaminys būtų pašalintas iš tos rinkos.</w:t>
                </w:r>
              </w:p>
              <w:p>
                <w:pPr>
                  <w:jc w:val="both"/>
                  <w:rPr>
                    <w:color w:val="000000"/>
                    <w:szCs w:val="24"/>
                  </w:rPr>
                </w:pPr>
                <w:r>
                  <w:rPr>
                    <w:color w:val="000000"/>
                    <w:szCs w:val="24"/>
                  </w:rPr>
                  <w:t>Apie tas priemones rinkos priežiūros institucijos nedelsdamos informuoja Komisiją ir kitas valstybes nares.</w:t>
                </w:r>
              </w:p>
              <w:p>
                <w:pPr>
                  <w:jc w:val="both"/>
                  <w:rPr>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&lt;...&gt;</w:t>
                </w:r>
              </w:p>
              <w:p>
                <w:pPr>
                  <w:jc w:val="both"/>
                  <w:rPr>
                    <w:szCs w:val="24"/>
                  </w:rPr>
                </w:pPr>
                <w:r>
                  <w:rPr>
                    <w:szCs w:val="24"/>
                  </w:rPr>
                  <w:t>8. Jeigu per šio straipsnio 3 dalyje nurodytą laikotarpį atitinkamas ekonominės veiklos vykdytojas nesiima reikiamų veiksmų, rinkos priežiūros institucija imasi priemonių, kad būtų uždraustas arba apribotas gaminio tiekimas rinkai arba kad gaminys būtų pašalintas iš rinkos. Rinkos priežiūros institucijos patirtas išlaidas atlygina prieinamumo reikalavimų neatitinkantį gaminį pateikęs rinkai ekonominės veiklos vykdytojas.</w:t>
                </w:r>
              </w:p>
              <w:p>
                <w:pPr>
                  <w:jc w:val="both"/>
                  <w:rPr>
                    <w:szCs w:val="24"/>
                  </w:rPr>
                </w:pPr>
                <w:r>
                  <w:rPr>
                    <w:szCs w:val="24"/>
                  </w:rPr>
                  <w:t>9. Apie šio straipsnio 8 dalyje numatytais atvejais taikomas priemones rinkos priežiūros institucija informuoja Europos Komisiją ir kitas ES valstybes nares. Teikiama informacija turi apimti visus turimus duomenis, įskaitant duomenis būtinus siekiant nustatyti reikalavimų neatitinkantį gaminį, gaminio kilmę, įtariamą neatitikties jų pobūdį ir prieinamumo reikalavimus, kurių tas gaminys neatitinka, nacionalinių priemonių, kurių buvo imtasi, pobūdį ir trukmę bei atitinkamo ekonominės veiklos vykdytojo pateiktus argumentus. Rinkos priežiūros institucija nurodo, ar neatitikties priežastis yra viena iš šių:</w:t>
                </w:r>
              </w:p>
              <w:p>
                <w:pPr>
                  <w:jc w:val="both"/>
                  <w:rPr>
                    <w:szCs w:val="24"/>
                  </w:rPr>
                </w:pPr>
                <w:r>
                  <w:rPr>
                    <w:szCs w:val="24"/>
                  </w:rPr>
                  <w:t>1) gaminys neatitinka taikytinų prieinamumo reikalavimų;</w:t>
                </w:r>
              </w:p>
              <w:p>
                <w:pPr>
                  <w:jc w:val="both"/>
                  <w:rPr>
                    <w:szCs w:val="24"/>
                  </w:rPr>
                </w:pPr>
                <w:r>
                  <w:rPr>
                    <w:szCs w:val="24"/>
                  </w:rPr>
                  <w:t>2) šio įstatymo 15 straipsnyje nurodyti darnieji standartai arba techninės specifikacijos, kuriais remiantis daryta atitikties prielaida, turi trūkumų.</w:t>
                </w:r>
              </w:p>
              <w:p>
                <w:pPr>
                  <w:jc w:val="both"/>
                  <w:rPr>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124"/>
            </w:trPr>
            <w:tc>
              <w:tcPr>
                <w:tcW w:w="5264" w:type="dxa"/>
                <w:shd w:val="clear" w:color="auto" w:fill="auto"/>
              </w:tcPr>
              <w:p>
                <w:pPr>
                  <w:jc w:val="both"/>
                  <w:rPr>
                    <w:color w:val="000000"/>
                    <w:szCs w:val="24"/>
                  </w:rPr>
                </w:pPr>
                <w:r>
                  <w:rPr>
                    <w:color w:val="000000"/>
                    <w:szCs w:val="24"/>
                  </w:rPr>
                  <w:t>5.   4 dalies antroje pastraipoje nurodyta informacija turi apimti visus turimus duomenis, visų pirma duomenis, būtinus siekiant nustatyti reikalavimų neatitinkantį gaminį, gaminio kilmę, įtariamą neatitikties pobūdį ir prieinamumo reikalavimus, kurių tas gaminys neatitinka, nacionalinių priemonių, kurių buvo imtasi, pobūdį ir trukmę bei atitinkamo ekonominės veiklos vykdytojo pateiktus argumentus. Visų pirma rinkos priežiūros institucijos nurodo, ar neatitikties priežastis yra viena iš šių:</w:t>
                </w:r>
              </w:p>
              <w:tbl>
                <w:tblPr>
                  <w:tblW w:w="5000" w:type="pct"/>
                  <w:tblCellMar>
                    <w:left w:w="0" w:type="dxa"/>
                    <w:right w:w="0" w:type="dxa"/>
                  </w:tblCellMar>
                  <w:tblLook w:val="04A0" w:firstRow="1" w:lastRow="0" w:firstColumn="1" w:lastColumn="0" w:noHBand="0" w:noVBand="1"/>
                </w:tblPr>
                <w:tblGrid>
                  <w:gridCol w:w="241"/>
                  <w:gridCol w:w="4807"/>
                </w:tblGrid>
                <w:tr>
                  <w:tc>
                    <w:tcPr>
                      <w:tcW w:w="306" w:type="dxa"/>
                      <w:shd w:val="clear" w:color="auto" w:fill="auto"/>
                      <w:hideMark/>
                    </w:tcPr>
                    <w:p>
                      <w:pPr>
                        <w:jc w:val="both"/>
                        <w:rPr>
                          <w:color w:val="000000"/>
                          <w:szCs w:val="24"/>
                        </w:rPr>
                      </w:pPr>
                      <w:r>
                        <w:rPr>
                          <w:color w:val="000000"/>
                          <w:szCs w:val="24"/>
                        </w:rPr>
                        <w:t>a)</w:t>
                      </w:r>
                    </w:p>
                  </w:tc>
                  <w:tc>
                    <w:tcPr>
                      <w:tcW w:w="9054" w:type="dxa"/>
                      <w:shd w:val="clear" w:color="auto" w:fill="auto"/>
                      <w:hideMark/>
                    </w:tcPr>
                    <w:p>
                      <w:pPr>
                        <w:jc w:val="both"/>
                        <w:rPr>
                          <w:color w:val="000000"/>
                          <w:szCs w:val="24"/>
                        </w:rPr>
                      </w:pPr>
                      <w:r>
                        <w:rPr>
                          <w:color w:val="000000"/>
                          <w:szCs w:val="24"/>
                        </w:rPr>
                        <w:t>gaminys neatitinka taikytinų prieinamumo reikalavimų arba</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11"/>
                  <w:gridCol w:w="4837"/>
                </w:tblGrid>
                <w:tr>
                  <w:tc>
                    <w:tcPr>
                      <w:tcW w:w="224" w:type="dxa"/>
                      <w:shd w:val="clear" w:color="auto" w:fill="auto"/>
                      <w:hideMark/>
                    </w:tcPr>
                    <w:p>
                      <w:pPr>
                        <w:jc w:val="both"/>
                        <w:rPr>
                          <w:color w:val="000000"/>
                          <w:szCs w:val="24"/>
                        </w:rPr>
                      </w:pPr>
                      <w:r>
                        <w:rPr>
                          <w:color w:val="000000"/>
                          <w:szCs w:val="24"/>
                        </w:rPr>
                        <w:t>b)</w:t>
                      </w:r>
                    </w:p>
                  </w:tc>
                  <w:tc>
                    <w:tcPr>
                      <w:tcW w:w="9136" w:type="dxa"/>
                      <w:shd w:val="clear" w:color="auto" w:fill="auto"/>
                      <w:hideMark/>
                    </w:tcPr>
                    <w:p>
                      <w:pPr>
                        <w:jc w:val="both"/>
                        <w:rPr>
                          <w:color w:val="000000"/>
                          <w:szCs w:val="24"/>
                        </w:rPr>
                      </w:pPr>
                      <w:r>
                        <w:rPr>
                          <w:color w:val="000000"/>
                          <w:szCs w:val="24"/>
                        </w:rPr>
                        <w:t>15 straipsnyje nurodyti darnieji standartai arba techninės specifikacijos, kuriais remiantis daryta atitikties prielaida, turi trūkumų.</w:t>
                      </w:r>
                    </w:p>
                  </w:tc>
                </w:tr>
              </w:tbl>
              <w:p>
                <w:pPr>
                  <w:jc w:val="both"/>
                  <w:rPr>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&lt;...&gt;</w:t>
                </w:r>
              </w:p>
              <w:p>
                <w:pPr>
                  <w:jc w:val="both"/>
                  <w:rPr>
                    <w:szCs w:val="24"/>
                  </w:rPr>
                </w:pPr>
                <w:r>
                  <w:rPr>
                    <w:szCs w:val="24"/>
                  </w:rPr>
                  <w:t xml:space="preserve">9. Apie šio straipsnio 8 dalyje numatytais atvejais taikomas priemones </w:t>
                </w:r>
                <w:r>
                  <w:rPr>
                    <w:bCs/>
                    <w:szCs w:val="24"/>
                  </w:rPr>
                  <w:t>rinkos priežiūros institucija</w:t>
                </w:r>
                <w:r>
                  <w:rPr>
                    <w:szCs w:val="24"/>
                  </w:rPr>
                  <w:t xml:space="preserve"> </w:t>
                </w:r>
                <w:r>
                  <w:rPr>
                    <w:bCs/>
                    <w:szCs w:val="24"/>
                  </w:rPr>
                  <w:t>informuoja</w:t>
                </w:r>
                <w:r>
                  <w:rPr>
                    <w:szCs w:val="24"/>
                  </w:rPr>
                  <w:t xml:space="preserve"> Europos Komisiją ir kitas ES valstybes nares. Teikiama informacija turi apimti visus turimus duomenis, įskaitant duomenis, būtinus siekiant nustatyti reikalavimų neatitinkantį gaminį, gaminio kilmę, įtariamą jų neatitikties pobūdį ir prieinamumo reikalavimus, kurių tas gaminys neatitinka, nacionalinių priemonių, kurių buvo imtasi, pobūdį ir trukmę bei atitinkamo ekonominės veiklos vykdytojo pateiktus argumentus. </w:t>
                </w:r>
                <w:r>
                  <w:rPr>
                    <w:bCs/>
                    <w:szCs w:val="24"/>
                  </w:rPr>
                  <w:t>Rinkos priežiūros institucija</w:t>
                </w:r>
                <w:r>
                  <w:rPr>
                    <w:szCs w:val="24"/>
                  </w:rPr>
                  <w:t xml:space="preserve"> nurodo, ar neatitikties priežastis yra viena iš šių:</w:t>
                </w:r>
              </w:p>
              <w:p>
                <w:pPr>
                  <w:jc w:val="both"/>
                  <w:rPr>
                    <w:szCs w:val="24"/>
                  </w:rPr>
                </w:pPr>
                <w:r>
                  <w:rPr>
                    <w:szCs w:val="24"/>
                  </w:rPr>
                  <w:t>1) gaminys neatitinka taikytinų prieinamumo reikalavimų;</w:t>
                </w:r>
              </w:p>
              <w:p>
                <w:pPr>
                  <w:jc w:val="both"/>
                  <w:rPr>
                    <w:szCs w:val="24"/>
                  </w:rPr>
                </w:pPr>
                <w:r>
                  <w:rPr>
                    <w:szCs w:val="24"/>
                  </w:rPr>
                  <w:t>2) šio įstatymo 15 straipsnyje nurodyti darnieji standartai arba techninės specifikacijos, kuriais remiantis daryta atitikties prielaida, turi trūkumų.</w:t>
                </w:r>
              </w:p>
              <w:p>
                <w:pPr>
                  <w:jc w:val="both"/>
                  <w:rPr>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124"/>
            </w:trPr>
            <w:tc>
              <w:tcPr>
                <w:tcW w:w="5264" w:type="dxa"/>
                <w:shd w:val="clear" w:color="auto" w:fill="auto"/>
              </w:tcPr>
              <w:p>
                <w:pPr>
                  <w:jc w:val="both"/>
                  <w:rPr>
                    <w:color w:val="000000"/>
                    <w:szCs w:val="24"/>
                  </w:rPr>
                </w:pPr>
                <w:r>
                  <w:rPr>
                    <w:color w:val="000000"/>
                    <w:szCs w:val="24"/>
                  </w:rPr>
                  <w:t>6.   Valstybės narės, išskyrus pagal šį straipsnį procedūrą inicijavusią valstybę narę, nedelsdamos informuoja Komisiją ir kitas valstybes nares apie visas priimtas priemones ir pateikia visą jų turimą papildomą informaciją, susijusią su atitinkamo gaminio neatitiktimi, ir informuoja apie savo prieštaravimus, jeigu jos nepritaria nacionalinei priemonei, apie kurią buvo pranešta.</w:t>
                </w:r>
              </w:p>
              <w:p>
                <w:pPr>
                  <w:jc w:val="both"/>
                  <w:rPr>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&lt;...&gt;</w:t>
                </w:r>
              </w:p>
              <w:p>
                <w:pPr>
                  <w:jc w:val="both"/>
                  <w:rPr>
                    <w:szCs w:val="24"/>
                  </w:rPr>
                </w:pPr>
                <w:r>
                  <w:rPr>
                    <w:szCs w:val="24"/>
                  </w:rPr>
                  <w:t xml:space="preserve">10. </w:t>
                </w:r>
                <w:r>
                  <w:rPr>
                    <w:bCs/>
                    <w:szCs w:val="24"/>
                  </w:rPr>
                  <w:t>Rinkos priežiūros institucija,</w:t>
                </w:r>
                <w:r>
                  <w:rPr>
                    <w:szCs w:val="24"/>
                  </w:rPr>
                  <w:t xml:space="preserve"> gavusi pagal šį straipsnį informaciją iš kitų ES valstybių narių arba Europos Komisijos, nedelsdama informuoja Europos Komisiją ir kitas ES valstybes nares (išskyrus procedūrą inicijavusią valstybę narę) apie visas taikytas priemones, pateikia visą turimą papildomą informaciją, susijusią su atitinkamo gaminio neatitiktimi, ir informuoja apie savo prieštaravimus, jeigu nepritaria taikytai priemonei, apie kurią buvo pranešta.</w:t>
                </w:r>
              </w:p>
              <w:p>
                <w:pPr>
                  <w:jc w:val="both"/>
                  <w:rPr>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124"/>
            </w:trPr>
            <w:tc>
              <w:tcPr>
                <w:tcW w:w="5264" w:type="dxa"/>
                <w:shd w:val="clear" w:color="auto" w:fill="auto"/>
              </w:tcPr>
              <w:p>
                <w:pPr>
                  <w:jc w:val="both"/>
                  <w:rPr>
                    <w:color w:val="000000"/>
                    <w:szCs w:val="24"/>
                  </w:rPr>
                </w:pPr>
                <w:r>
                  <w:rPr>
                    <w:color w:val="000000"/>
                    <w:szCs w:val="24"/>
                  </w:rPr>
                  <w:t>7.   Jeigu per tris mėnesius nuo 4 dalies antroje pastraipoje nurodytos informacijos gavimo nei kuri nors valstybė narė, nei Komisija nepareiškia prieštaravimų dėl laikinosios priemonės, kurios ėmėsi valstybė narė, ta priemonė laikoma pagrįsta.</w:t>
                </w:r>
              </w:p>
              <w:p>
                <w:pPr>
                  <w:jc w:val="both"/>
                  <w:rPr>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&lt;...&gt;</w:t>
                </w:r>
              </w:p>
              <w:p>
                <w:pPr>
                  <w:jc w:val="both"/>
                  <w:rPr>
                    <w:szCs w:val="24"/>
                  </w:rPr>
                </w:pPr>
                <w:r>
                  <w:rPr>
                    <w:szCs w:val="24"/>
                  </w:rPr>
                  <w:t xml:space="preserve">11. Jeigu per tris mėnesius nuo šio straipsnio 9 dalyje nurodytos informacijos gavimo dienos nei kuri nors ES valstybė narė, nei Europos Komisija nepareiškia prieštaravimų dėl laikinosios priemonės, kurios ėmėsi Lietuvos Respublika, ta priemonė laikoma pagrįsta. </w:t>
                </w:r>
                <w:r>
                  <w:rPr>
                    <w:bCs/>
                    <w:szCs w:val="24"/>
                  </w:rPr>
                  <w:t>Rinkos priežiūros institucija,</w:t>
                </w:r>
                <w:r>
                  <w:rPr>
                    <w:szCs w:val="24"/>
                  </w:rPr>
                  <w:t xml:space="preserve"> prireikus, dalyvauja konsultacijose dėl priemonių taikymo ES lygmeniu. </w:t>
                </w:r>
                <w:r>
                  <w:rPr>
                    <w:bCs/>
                    <w:szCs w:val="24"/>
                  </w:rPr>
                  <w:t>Rinkos priežiūros institucija</w:t>
                </w:r>
                <w:r>
                  <w:rPr>
                    <w:szCs w:val="24"/>
                  </w:rPr>
                  <w:t xml:space="preserve"> vadovaujasi Europos Komisijos sprendimais ir imasi priemonių, būtinų norint užtikrinti, kad reikalavimų neatitinkantis gaminys būtų pašalintas iš rinkos, apie tai informuojant Europos Komisiją. Jeigu nusprendžiama, kad nacionalinė priemonė laikoma nepagrįsta, </w:t>
                </w:r>
                <w:r>
                  <w:rPr>
                    <w:bCs/>
                    <w:szCs w:val="24"/>
                  </w:rPr>
                  <w:t>rinkos priežiūros institucija</w:t>
                </w:r>
                <w:r>
                  <w:rPr>
                    <w:szCs w:val="24"/>
                  </w:rPr>
                  <w:t xml:space="preserve"> nedelsdama, bet ne vėliau kaip per 3 </w:t>
                </w:r>
                <w:r>
                  <w:rPr>
                    <w:bCs/>
                    <w:szCs w:val="24"/>
                  </w:rPr>
                  <w:t xml:space="preserve">darbo </w:t>
                </w:r>
                <w:r>
                  <w:rPr>
                    <w:szCs w:val="24"/>
                  </w:rPr>
                  <w:t>dienas, priemonę panaikina.</w:t>
                </w:r>
              </w:p>
              <w:p>
                <w:pPr>
                  <w:jc w:val="both"/>
                  <w:rPr>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124"/>
            </w:trPr>
            <w:tc>
              <w:tcPr>
                <w:tcW w:w="5264" w:type="dxa"/>
                <w:shd w:val="clear" w:color="auto" w:fill="auto"/>
              </w:tcPr>
              <w:p>
                <w:pPr>
                  <w:jc w:val="both"/>
                  <w:rPr>
                    <w:color w:val="000000"/>
                    <w:szCs w:val="24"/>
                  </w:rPr>
                </w:pPr>
                <w:r>
                  <w:rPr>
                    <w:color w:val="000000"/>
                    <w:szCs w:val="24"/>
                  </w:rPr>
                  <w:t>8.   Valstybės narės užtikrina, kad atitinkamam gaminiui nedelsiant būtų taikomos tinkamos ribojamosios priemonės, pavyzdžiui, gaminys pašalinamas iš jų rinkos.</w:t>
                </w:r>
              </w:p>
              <w:p>
                <w:pPr>
                  <w:jc w:val="both"/>
                  <w:rPr>
                    <w:b/>
                    <w:bCs/>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&lt;...&gt;</w:t>
                </w:r>
              </w:p>
              <w:p>
                <w:pPr>
                  <w:jc w:val="both"/>
                  <w:rPr>
                    <w:szCs w:val="24"/>
                  </w:rPr>
                </w:pPr>
                <w:r>
                  <w:rPr>
                    <w:szCs w:val="24"/>
                  </w:rPr>
                  <w:t xml:space="preserve">5. Rinkos priežiūros institucijai, vadovaujantis šio straipsnio 3 dalimi, įpareigojus ekonominės veiklos vykdytoją pašalinti iš rinkos gaminį, ekonominės veiklos vykdytojas privalo tai padaryti per rinkos priežiūros institucijos nurodytą terminą, kuris negali būti trumpesnis nei 3 darbo dienos, savo priemonėmis ir lėšomis. Apie gaminio pašalinimą iš rinkos nedelsdamas, bet ne vėliau kaip per 3 </w:t>
                </w:r>
                <w:r>
                  <w:rPr>
                    <w:bCs/>
                    <w:szCs w:val="24"/>
                  </w:rPr>
                  <w:t xml:space="preserve">darbo </w:t>
                </w:r>
                <w:r>
                  <w:rPr>
                    <w:szCs w:val="24"/>
                  </w:rPr>
                  <w:t>dienas nuo šių veiksmų atlikimo dienos, ekonominės veiklos vykdytojas raštu praneša rinkos priežiūros institucijai, nurodydamas savo pavadinimą ar vardą ir pavardę, atliktus veiksmus ir jų atlikimo datą.</w:t>
                </w:r>
              </w:p>
              <w:p>
                <w:pPr>
                  <w:jc w:val="both"/>
                  <w:rPr>
                    <w:szCs w:val="24"/>
                  </w:rPr>
                </w:pPr>
                <w:r>
                  <w:rPr>
                    <w:szCs w:val="24"/>
                  </w:rPr>
                  <w:t>&lt;...&gt;</w:t>
                </w:r>
              </w:p>
              <w:p>
                <w:pPr>
                  <w:jc w:val="both"/>
                  <w:rPr>
                    <w:szCs w:val="24"/>
                  </w:rPr>
                </w:pPr>
                <w:r>
                  <w:rPr>
                    <w:szCs w:val="24"/>
                  </w:rPr>
                  <w:t xml:space="preserve">12. </w:t>
                </w:r>
                <w:r>
                  <w:rPr>
                    <w:bCs/>
                    <w:szCs w:val="24"/>
                  </w:rPr>
                  <w:t>Rinkos priežiūros institucija</w:t>
                </w:r>
                <w:r>
                  <w:rPr>
                    <w:szCs w:val="24"/>
                  </w:rPr>
                  <w:t xml:space="preserve"> reikalauja, kad atitinkamas ekonominės veiklos vykdytojas pašalintų atitinkamą neatitiktį, jeigu:</w:t>
                </w:r>
              </w:p>
              <w:p>
                <w:pPr>
                  <w:jc w:val="both"/>
                  <w:rPr>
                    <w:szCs w:val="24"/>
                  </w:rPr>
                </w:pPr>
                <w:r>
                  <w:rPr>
                    <w:szCs w:val="24"/>
                  </w:rPr>
                  <w:t>1) gaminys CE ženklu pažymėtas pažeidžiant Reglamento (EB) Nr. 765/2008 su visais pakeitimais 30 straipsnį ir (ar) šio įstatymo 17 straipsnį;</w:t>
                </w:r>
              </w:p>
              <w:p>
                <w:pPr>
                  <w:jc w:val="both"/>
                  <w:rPr>
                    <w:szCs w:val="24"/>
                  </w:rPr>
                </w:pPr>
                <w:r>
                  <w:rPr>
                    <w:szCs w:val="24"/>
                  </w:rPr>
                  <w:t>2) gaminys nepažymėtas CE ženklu;</w:t>
                </w:r>
              </w:p>
              <w:p>
                <w:pPr>
                  <w:jc w:val="both"/>
                  <w:rPr>
                    <w:szCs w:val="24"/>
                  </w:rPr>
                </w:pPr>
                <w:r>
                  <w:rPr>
                    <w:szCs w:val="24"/>
                  </w:rPr>
                  <w:t>3) neparengta ES atitikties deklaracija;</w:t>
                </w:r>
              </w:p>
              <w:p>
                <w:pPr>
                  <w:jc w:val="both"/>
                  <w:rPr>
                    <w:szCs w:val="24"/>
                  </w:rPr>
                </w:pPr>
                <w:r>
                  <w:rPr>
                    <w:szCs w:val="24"/>
                  </w:rPr>
                  <w:t>4) ES atitikties deklaracija parengta neteisingai;</w:t>
                </w:r>
              </w:p>
              <w:p>
                <w:pPr>
                  <w:jc w:val="both"/>
                  <w:rPr>
                    <w:szCs w:val="24"/>
                  </w:rPr>
                </w:pPr>
                <w:r>
                  <w:rPr>
                    <w:szCs w:val="24"/>
                  </w:rPr>
                  <w:t>5) nėra techninių dokumentų arba jie yra neišsamūs;</w:t>
                </w:r>
              </w:p>
              <w:p>
                <w:pPr>
                  <w:jc w:val="both"/>
                  <w:rPr>
                    <w:szCs w:val="24"/>
                  </w:rPr>
                </w:pPr>
                <w:r>
                  <w:rPr>
                    <w:szCs w:val="24"/>
                  </w:rPr>
                  <w:t>6) neįvykdytas bet kuris kitas šio įstatymo 8 arba 10 straipsnyje numatytas reikalavimas.</w:t>
                </w:r>
              </w:p>
              <w:p>
                <w:pPr>
                  <w:jc w:val="both"/>
                  <w:rPr>
                    <w:szCs w:val="24"/>
                  </w:rPr>
                </w:pPr>
                <w:r>
                  <w:rPr>
                    <w:szCs w:val="24"/>
                  </w:rPr>
                  <w:t xml:space="preserve">13. Jeigu šio straipsnio 12 dalyje nurodyta neatitiktis nepašalinama, </w:t>
                </w:r>
                <w:r>
                  <w:rPr>
                    <w:bCs/>
                    <w:szCs w:val="24"/>
                  </w:rPr>
                  <w:t>rinkos priežiūros institucija</w:t>
                </w:r>
                <w:r>
                  <w:rPr>
                    <w:szCs w:val="24"/>
                  </w:rPr>
                  <w:t xml:space="preserve"> imasi visų tinkamų priemonių, kad būtų apribotas ar uždraustas gaminio tiekimas rinkai arba užtikrinta, kad jis būtų pašalintas iš rinkos.</w:t>
                </w:r>
              </w:p>
              <w:p>
                <w:pPr>
                  <w:jc w:val="both"/>
                  <w:rPr>
                    <w:szCs w:val="24"/>
                  </w:rPr>
                </w:pPr>
                <w:r>
                  <w:rPr>
                    <w:szCs w:val="24"/>
                  </w:rPr>
                  <w:t>14. Gaminiai, kuriems taikomos tiekimo į rinką draudimo arba ribojimo priemonės, ekonominės veiklos vykdytojo sandėlyje saugomi atskirti nuo gaminių, kuriems tokios priemonės netaikomos.</w:t>
                </w:r>
              </w:p>
              <w:p>
                <w:pPr>
                  <w:jc w:val="both"/>
                  <w:rPr>
                    <w:b/>
                    <w:b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21 straipsnis</w:t>
                </w:r>
              </w:p>
              <w:p>
                <w:pPr>
                  <w:jc w:val="both"/>
                  <w:rPr>
                    <w:b/>
                    <w:bCs/>
                    <w:color w:val="000000"/>
                    <w:szCs w:val="24"/>
                  </w:rPr>
                </w:pPr>
                <w:r>
                  <w:rPr>
                    <w:b/>
                    <w:bCs/>
                    <w:color w:val="000000"/>
                    <w:szCs w:val="24"/>
                  </w:rPr>
                  <w:t>Sąjungos apsaugos procedūra</w:t>
                </w:r>
              </w:p>
              <w:p>
                <w:pPr>
                  <w:jc w:val="both"/>
                  <w:rPr>
                    <w:color w:val="000000"/>
                    <w:szCs w:val="24"/>
                  </w:rPr>
                </w:pPr>
                <w:r>
                  <w:rPr>
                    <w:color w:val="000000"/>
                    <w:szCs w:val="24"/>
                  </w:rPr>
                  <w:t>1.   Jeigu užbaigus 20 straipsnio 3 ir 4 dalyse nustatytą procedūrą dėl priemonės, kurios ėmėsi valstybė narė, yra pareiškiama prieštaravimų arba jeigu Komisija turi pagrįstų įrodymų, kad nacionalinė priemonė prieštarauja Sąjungos teisei, Komisija nedelsdama pradeda konsultacijas su valstybėmis narėmis ir atitinkamu ekonominės veiklos vykdytoju ar vykdytojais ir įvertina nacionalinę priemonę. Remdamasi to vertinimo rezultatais, Komisija nusprendžia, ar nacionalinė priemonė yra pagrįsta, ar ne.</w:t>
                </w:r>
              </w:p>
              <w:p>
                <w:pPr>
                  <w:jc w:val="both"/>
                  <w:rPr>
                    <w:color w:val="000000"/>
                    <w:szCs w:val="24"/>
                  </w:rPr>
                </w:pPr>
                <w:r>
                  <w:rPr>
                    <w:color w:val="000000"/>
                    <w:szCs w:val="24"/>
                  </w:rPr>
                  <w:t>Komisija skiria savo sprendimą visoms valstybėms narėms ir nedelsdama apie jį praneša joms ir atitinkamam ekonominės veiklos vykdytojui arba vykdytojams.</w:t>
                </w:r>
              </w:p>
              <w:p>
                <w:pPr>
                  <w:jc w:val="both"/>
                  <w:rPr>
                    <w:color w:val="000000"/>
                    <w:szCs w:val="24"/>
                  </w:rPr>
                </w:pPr>
                <w:r>
                  <w:rPr>
                    <w:color w:val="000000"/>
                    <w:szCs w:val="24"/>
                  </w:rPr>
                  <w:t>2.   Jeigu 1 dalyje nurodyta nacionalinė priemonė laikoma pagrįsta, visos valstybės narės imasi priemonių, būtinų norint užtikrinti, kad reikalavimų neatitinkantis gaminys būtų pašalintas iš jų rinkos, ir atitinkamai informuoja Komisiją. Jeigu nacionalinė priemonė laikoma nepagrįsta, atitinkama valstybė narė priemonę panaikina.</w:t>
                </w:r>
              </w:p>
              <w:p>
                <w:pPr>
                  <w:jc w:val="both"/>
                  <w:rPr>
                    <w:color w:val="000000"/>
                    <w:szCs w:val="24"/>
                  </w:rPr>
                </w:pPr>
                <w:r>
                  <w:rPr>
                    <w:color w:val="000000"/>
                    <w:szCs w:val="24"/>
                  </w:rPr>
                  <w:t>3.   Jeigu šio straipsnio 1 dalyje nurodyta nacionalinė priemonė laikoma pagrįsta, o gaminio neatitiktis siejama su 20 straipsnio 5 dalies b punkte nurodytais darniųjų standartų trūkumais, Komisija taiko Reglamento (ES) Nr. 1025/2012 11 straipsnyje numatytą procedūrą.</w:t>
                </w:r>
              </w:p>
              <w:p>
                <w:pPr>
                  <w:jc w:val="both"/>
                  <w:rPr>
                    <w:color w:val="000000"/>
                    <w:szCs w:val="24"/>
                  </w:rPr>
                </w:pPr>
                <w:r>
                  <w:rPr>
                    <w:color w:val="000000"/>
                    <w:szCs w:val="24"/>
                  </w:rPr>
                  <w:t>4.   Jeigu šio straipsnio 1 dalyje nurodyta nacionalinė priemonė laikoma pagrįsta, o gaminio neatitiktis siejama su 20 straipsnio 5 dalies b punkte nurodytais techninių specifikacijų trūkumais, Komisija nedelsdama priima įgyvendinimo aktus, kuriais atitinkama techninė specifikacija iš dalies pakeičiama arba panaikinama. Tie įgyvendinimo aktai priimami laikantis 27 straipsnio 2 dalyje nurodytos nagrinėjimo procedūros.</w:t>
                </w:r>
              </w:p>
            </w:tc>
            <w:tc>
              <w:tcPr>
                <w:tcW w:w="7868" w:type="dxa"/>
              </w:tcPr>
              <w:p>
                <w:pPr>
                  <w:jc w:val="both"/>
                  <w:rPr>
                    <w:b/>
                    <w:bCs/>
                    <w:color w:val="000000"/>
                    <w:szCs w:val="24"/>
                  </w:rPr>
                </w:pPr>
                <w:r>
                  <w:rPr>
                    <w:b/>
                    <w:b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&lt;…&gt;</w:t>
                </w:r>
              </w:p>
              <w:p>
                <w:pPr>
                  <w:jc w:val="both"/>
                  <w:rPr>
                    <w:b/>
                    <w:bCs/>
                    <w:color w:val="000000"/>
                    <w:szCs w:val="24"/>
                  </w:rPr>
                </w:pPr>
                <w:r>
                  <w:rPr>
                    <w:szCs w:val="24"/>
                  </w:rPr>
                  <w:t xml:space="preserve">11. Jeigu per tris mėnesius nuo šio straipsnio 9 dalyje nurodytos informacijos gavimo dienos nei kuri nors ES valstybė narė, nei Europos Komisija nepareiškia prieštaravimų dėl laikinosios priemonės, kurios ėmėsi Lietuvos Respublika, ta priemonė laikoma pagrįsta. </w:t>
                </w:r>
                <w:r>
                  <w:rPr>
                    <w:bCs/>
                    <w:szCs w:val="24"/>
                  </w:rPr>
                  <w:t>Rinkos priežiūros institucija,</w:t>
                </w:r>
                <w:r>
                  <w:rPr>
                    <w:szCs w:val="24"/>
                  </w:rPr>
                  <w:t xml:space="preserve"> prireikus, dalyvauja konsultacijose dėl priemonių taikymo ES lygmeniu. </w:t>
                </w:r>
                <w:r>
                  <w:rPr>
                    <w:bCs/>
                    <w:szCs w:val="24"/>
                  </w:rPr>
                  <w:t>Rinkos priežiūros institucija</w:t>
                </w:r>
                <w:r>
                  <w:rPr>
                    <w:szCs w:val="24"/>
                  </w:rPr>
                  <w:t xml:space="preserve"> vadovaujasi Europos Komisijos sprendimais ir imasi priemonių, būtinų norint užtikrinti, kad reikalavimų neatitinkantis gaminys būtų pašalintas iš rinkos, apie tai informuojant Europos Komisiją. Jeigu nusprendžiama, kad nacionalinė priemonė laikoma nepagrįsta, </w:t>
                </w:r>
                <w:r>
                  <w:rPr>
                    <w:bCs/>
                    <w:szCs w:val="24"/>
                  </w:rPr>
                  <w:t>rinkos priežiūros institucija</w:t>
                </w:r>
                <w:r>
                  <w:rPr>
                    <w:szCs w:val="24"/>
                  </w:rPr>
                  <w:t xml:space="preserve"> nedelsdama, bet ne vėliau kaip per 3 </w:t>
                </w:r>
                <w:r>
                  <w:rPr>
                    <w:bCs/>
                    <w:szCs w:val="24"/>
                  </w:rPr>
                  <w:t xml:space="preserve">darbo </w:t>
                </w:r>
                <w:r>
                  <w:rPr>
                    <w:szCs w:val="24"/>
                  </w:rPr>
                  <w:t>dienas, priemonę panaikina.</w:t>
                </w:r>
              </w:p>
            </w:tc>
            <w:tc>
              <w:tcPr>
                <w:tcW w:w="1858" w:type="dxa"/>
              </w:tcPr>
              <w:p>
                <w:pPr>
                  <w:jc w:val="both"/>
                  <w:rPr>
                    <w:b/>
                    <w:bCs/>
                    <w:color w:val="000000"/>
                    <w:szCs w:val="24"/>
                  </w:rPr>
                </w:pPr>
                <w:r>
                  <w:rPr>
                    <w:b/>
                    <w:bCs/>
                    <w:color w:val="000000"/>
                    <w:szCs w:val="24"/>
                  </w:rPr>
                  <w:t>Visiškas</w:t>
                </w:r>
              </w:p>
            </w:tc>
          </w:tr>
          <w:tr>
            <w:trPr>
              <w:trHeight w:val="416"/>
            </w:trPr>
            <w:tc>
              <w:tcPr>
                <w:tcW w:w="5264" w:type="dxa"/>
                <w:shd w:val="clear" w:color="auto" w:fill="auto"/>
              </w:tcPr>
              <w:p>
                <w:pPr>
                  <w:jc w:val="both"/>
                  <w:rPr>
                    <w:b/>
                    <w:bCs/>
                    <w:color w:val="000000"/>
                    <w:szCs w:val="24"/>
                  </w:rPr>
                </w:pPr>
                <w:r>
                  <w:rPr>
                    <w:b/>
                    <w:bCs/>
                    <w:color w:val="000000"/>
                    <w:szCs w:val="24"/>
                  </w:rPr>
                  <w:t>22 straipsnis</w:t>
                </w:r>
              </w:p>
              <w:p>
                <w:pPr>
                  <w:jc w:val="both"/>
                  <w:rPr>
                    <w:b/>
                    <w:bCs/>
                    <w:color w:val="000000"/>
                    <w:szCs w:val="24"/>
                  </w:rPr>
                </w:pPr>
                <w:r>
                  <w:rPr>
                    <w:b/>
                    <w:bCs/>
                    <w:color w:val="000000"/>
                    <w:szCs w:val="24"/>
                  </w:rPr>
                  <w:t>Oficialiai pripažinta neatitiktis</w:t>
                </w:r>
              </w:p>
              <w:p>
                <w:pPr>
                  <w:jc w:val="both"/>
                  <w:rPr>
                    <w:color w:val="000000"/>
                    <w:szCs w:val="24"/>
                  </w:rPr>
                </w:pPr>
                <w:r>
                  <w:rPr>
                    <w:color w:val="000000"/>
                    <w:szCs w:val="24"/>
                  </w:rPr>
                  <w:t>1.   Nedarant poveikio 20 straipsniui, jeigu valstybė narė nustato vieną iš toliau nurodytų faktų, ji reikalauja, kad atitinkamas ekonominės veiklos vykdytojas pašalintų atitinkamą neatitiktį:</w:t>
                </w:r>
              </w:p>
              <w:tbl>
                <w:tblPr>
                  <w:tblW w:w="5000" w:type="pct"/>
                  <w:tblCellMar>
                    <w:left w:w="0" w:type="dxa"/>
                    <w:right w:w="0" w:type="dxa"/>
                  </w:tblCellMar>
                  <w:tblLook w:val="04A0" w:firstRow="1" w:lastRow="0" w:firstColumn="1" w:lastColumn="0" w:noHBand="0" w:noVBand="1"/>
                </w:tblPr>
                <w:tblGrid>
                  <w:gridCol w:w="197"/>
                  <w:gridCol w:w="4851"/>
                </w:tblGrid>
                <w:tr>
                  <w:tc>
                    <w:tcPr>
                      <w:tcW w:w="209" w:type="dxa"/>
                      <w:shd w:val="clear" w:color="auto" w:fill="auto"/>
                      <w:hideMark/>
                    </w:tcPr>
                    <w:p>
                      <w:pPr>
                        <w:jc w:val="both"/>
                        <w:rPr>
                          <w:color w:val="000000"/>
                          <w:szCs w:val="24"/>
                        </w:rPr>
                      </w:pPr>
                      <w:r>
                        <w:rPr>
                          <w:color w:val="000000"/>
                          <w:szCs w:val="24"/>
                        </w:rPr>
                        <w:t>a)</w:t>
                      </w:r>
                    </w:p>
                  </w:tc>
                  <w:tc>
                    <w:tcPr>
                      <w:tcW w:w="9151" w:type="dxa"/>
                      <w:shd w:val="clear" w:color="auto" w:fill="auto"/>
                      <w:hideMark/>
                    </w:tcPr>
                    <w:p>
                      <w:pPr>
                        <w:jc w:val="both"/>
                        <w:rPr>
                          <w:color w:val="000000"/>
                          <w:szCs w:val="24"/>
                        </w:rPr>
                      </w:pPr>
                      <w:r>
                        <w:rPr>
                          <w:color w:val="000000"/>
                          <w:szCs w:val="24"/>
                        </w:rPr>
                        <w:t>gaminys CE ženklu pažymėtas pažeidžiant Reglamento (EB) Nr. 765/2008 30 straipsnį arba šios direktyvos 18 straipsnį;</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373"/>
                  <w:gridCol w:w="4675"/>
                </w:tblGrid>
                <w:tr>
                  <w:tc>
                    <w:tcPr>
                      <w:tcW w:w="580" w:type="dxa"/>
                      <w:shd w:val="clear" w:color="auto" w:fill="auto"/>
                      <w:hideMark/>
                    </w:tcPr>
                    <w:p>
                      <w:pPr>
                        <w:jc w:val="both"/>
                        <w:rPr>
                          <w:color w:val="000000"/>
                          <w:szCs w:val="24"/>
                        </w:rPr>
                      </w:pPr>
                      <w:r>
                        <w:rPr>
                          <w:color w:val="000000"/>
                          <w:szCs w:val="24"/>
                        </w:rPr>
                        <w:t>b)</w:t>
                      </w:r>
                    </w:p>
                  </w:tc>
                  <w:tc>
                    <w:tcPr>
                      <w:tcW w:w="8780" w:type="dxa"/>
                      <w:shd w:val="clear" w:color="auto" w:fill="auto"/>
                      <w:hideMark/>
                    </w:tcPr>
                    <w:p>
                      <w:pPr>
                        <w:jc w:val="both"/>
                        <w:rPr>
                          <w:color w:val="000000"/>
                          <w:szCs w:val="24"/>
                        </w:rPr>
                      </w:pPr>
                      <w:r>
                        <w:rPr>
                          <w:color w:val="000000"/>
                          <w:szCs w:val="24"/>
                        </w:rPr>
                        <w:t>gaminys nepažymėtas CE ženklu;</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322"/>
                  <w:gridCol w:w="4726"/>
                </w:tblGrid>
                <w:tr>
                  <w:tc>
                    <w:tcPr>
                      <w:tcW w:w="477" w:type="dxa"/>
                      <w:shd w:val="clear" w:color="auto" w:fill="auto"/>
                      <w:hideMark/>
                    </w:tcPr>
                    <w:p>
                      <w:pPr>
                        <w:jc w:val="both"/>
                        <w:rPr>
                          <w:color w:val="000000"/>
                          <w:szCs w:val="24"/>
                        </w:rPr>
                      </w:pPr>
                      <w:r>
                        <w:rPr>
                          <w:color w:val="000000"/>
                          <w:szCs w:val="24"/>
                        </w:rPr>
                        <w:t>c)</w:t>
                      </w:r>
                    </w:p>
                  </w:tc>
                  <w:tc>
                    <w:tcPr>
                      <w:tcW w:w="8883" w:type="dxa"/>
                      <w:shd w:val="clear" w:color="auto" w:fill="auto"/>
                      <w:hideMark/>
                    </w:tcPr>
                    <w:p>
                      <w:pPr>
                        <w:jc w:val="both"/>
                        <w:rPr>
                          <w:color w:val="000000"/>
                          <w:szCs w:val="24"/>
                        </w:rPr>
                      </w:pPr>
                      <w:r>
                        <w:rPr>
                          <w:color w:val="000000"/>
                          <w:szCs w:val="24"/>
                        </w:rPr>
                        <w:t>neparengta ES atitikties deklaracija;</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310"/>
                  <w:gridCol w:w="4738"/>
                </w:tblGrid>
                <w:tr>
                  <w:tc>
                    <w:tcPr>
                      <w:tcW w:w="436" w:type="dxa"/>
                      <w:shd w:val="clear" w:color="auto" w:fill="auto"/>
                      <w:hideMark/>
                    </w:tcPr>
                    <w:p>
                      <w:pPr>
                        <w:jc w:val="both"/>
                        <w:rPr>
                          <w:color w:val="000000"/>
                          <w:szCs w:val="24"/>
                        </w:rPr>
                      </w:pPr>
                      <w:r>
                        <w:rPr>
                          <w:color w:val="000000"/>
                          <w:szCs w:val="24"/>
                        </w:rPr>
                        <w:t>d)</w:t>
                      </w:r>
                    </w:p>
                  </w:tc>
                  <w:tc>
                    <w:tcPr>
                      <w:tcW w:w="8924" w:type="dxa"/>
                      <w:shd w:val="clear" w:color="auto" w:fill="auto"/>
                      <w:hideMark/>
                    </w:tcPr>
                    <w:p>
                      <w:pPr>
                        <w:jc w:val="both"/>
                        <w:rPr>
                          <w:color w:val="000000"/>
                          <w:szCs w:val="24"/>
                        </w:rPr>
                      </w:pPr>
                      <w:r>
                        <w:rPr>
                          <w:color w:val="000000"/>
                          <w:szCs w:val="24"/>
                        </w:rPr>
                        <w:t>ES atitikties deklaracija parengta neteisingai;</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71"/>
                  <w:gridCol w:w="4777"/>
                </w:tblGrid>
                <w:tr>
                  <w:tc>
                    <w:tcPr>
                      <w:tcW w:w="366" w:type="dxa"/>
                      <w:shd w:val="clear" w:color="auto" w:fill="auto"/>
                      <w:hideMark/>
                    </w:tcPr>
                    <w:p>
                      <w:pPr>
                        <w:jc w:val="both"/>
                        <w:rPr>
                          <w:color w:val="000000"/>
                          <w:szCs w:val="24"/>
                        </w:rPr>
                      </w:pPr>
                      <w:r>
                        <w:rPr>
                          <w:color w:val="000000"/>
                          <w:szCs w:val="24"/>
                        </w:rPr>
                        <w:t>e)</w:t>
                      </w:r>
                    </w:p>
                  </w:tc>
                  <w:tc>
                    <w:tcPr>
                      <w:tcW w:w="8994" w:type="dxa"/>
                      <w:shd w:val="clear" w:color="auto" w:fill="auto"/>
                      <w:hideMark/>
                    </w:tcPr>
                    <w:p>
                      <w:pPr>
                        <w:jc w:val="both"/>
                        <w:rPr>
                          <w:color w:val="000000"/>
                          <w:szCs w:val="24"/>
                        </w:rPr>
                      </w:pPr>
                      <w:r>
                        <w:rPr>
                          <w:color w:val="000000"/>
                          <w:szCs w:val="24"/>
                        </w:rPr>
                        <w:t>techninių dokumentų nėra arba jie yra neišsamūs;</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162"/>
                  <w:gridCol w:w="4886"/>
                </w:tblGrid>
                <w:tr>
                  <w:tc>
                    <w:tcPr>
                      <w:tcW w:w="165" w:type="dxa"/>
                      <w:shd w:val="clear" w:color="auto" w:fill="auto"/>
                      <w:hideMark/>
                    </w:tcPr>
                    <w:p>
                      <w:pPr>
                        <w:jc w:val="both"/>
                        <w:rPr>
                          <w:color w:val="000000"/>
                          <w:szCs w:val="24"/>
                        </w:rPr>
                      </w:pPr>
                      <w:r>
                        <w:rPr>
                          <w:color w:val="000000"/>
                          <w:szCs w:val="24"/>
                        </w:rPr>
                        <w:t>f)</w:t>
                      </w:r>
                    </w:p>
                  </w:tc>
                  <w:tc>
                    <w:tcPr>
                      <w:tcW w:w="9195" w:type="dxa"/>
                      <w:shd w:val="clear" w:color="auto" w:fill="auto"/>
                      <w:hideMark/>
                    </w:tcPr>
                    <w:p>
                      <w:pPr>
                        <w:jc w:val="both"/>
                        <w:rPr>
                          <w:color w:val="000000"/>
                          <w:szCs w:val="24"/>
                        </w:rPr>
                      </w:pPr>
                      <w:r>
                        <w:rPr>
                          <w:color w:val="000000"/>
                          <w:szCs w:val="24"/>
                        </w:rPr>
                        <w:t>7 straipsnio 6 dalyje arba 9 straipsnio 4 dalyje nurodyta informacija yra nepateikta, neteisinga arba neišsami;</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06"/>
                  <w:gridCol w:w="4842"/>
                </w:tblGrid>
                <w:tr>
                  <w:tc>
                    <w:tcPr>
                      <w:tcW w:w="214" w:type="dxa"/>
                      <w:shd w:val="clear" w:color="auto" w:fill="auto"/>
                      <w:hideMark/>
                    </w:tcPr>
                    <w:p>
                      <w:pPr>
                        <w:jc w:val="both"/>
                        <w:rPr>
                          <w:color w:val="000000"/>
                          <w:szCs w:val="24"/>
                        </w:rPr>
                      </w:pPr>
                      <w:r>
                        <w:rPr>
                          <w:color w:val="000000"/>
                          <w:szCs w:val="24"/>
                        </w:rPr>
                        <w:t>g)</w:t>
                      </w:r>
                    </w:p>
                  </w:tc>
                  <w:tc>
                    <w:tcPr>
                      <w:tcW w:w="9146" w:type="dxa"/>
                      <w:shd w:val="clear" w:color="auto" w:fill="auto"/>
                      <w:hideMark/>
                    </w:tcPr>
                    <w:p>
                      <w:pPr>
                        <w:jc w:val="both"/>
                        <w:rPr>
                          <w:color w:val="000000"/>
                          <w:szCs w:val="24"/>
                        </w:rPr>
                      </w:pPr>
                      <w:r>
                        <w:rPr>
                          <w:color w:val="000000"/>
                          <w:szCs w:val="24"/>
                        </w:rPr>
                        <w:t>neįvykdytas bet kuris kitas 7 arba 9 straipsnyje numatytas administracinis reikalavimas.</w:t>
                      </w:r>
                    </w:p>
                  </w:tc>
                </w:tr>
              </w:tbl>
              <w:p>
                <w:pPr>
                  <w:jc w:val="both"/>
                  <w:rPr>
                    <w:color w:val="000000"/>
                    <w:szCs w:val="24"/>
                  </w:rPr>
                </w:pPr>
                <w:r>
                  <w:rPr>
                    <w:color w:val="000000"/>
                    <w:szCs w:val="24"/>
                  </w:rPr>
                  <w:t>2.   Jeigu 1 dalyje nurodyta neatitiktis nepašalinama, atitinkama valstybė narė imasi visų tinkamų priemonių, kad būtų apribotas ar uždraustas gaminio tiekimas rinkai arba užtikrinta, kad jis būtų pašalintas iš rinkos.</w:t>
                </w: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szCs w:val="24"/>
                  </w:rPr>
                </w:pPr>
                <w:r>
                  <w:rPr>
                    <w:b/>
                    <w:bCs/>
                    <w:szCs w:val="24"/>
                  </w:rPr>
                  <w:t>19 straipsnis. Gaminiai, neatitinkantys prieinamumo reikalavimų</w:t>
                </w:r>
              </w:p>
              <w:p>
                <w:pPr>
                  <w:jc w:val="both"/>
                  <w:rPr>
                    <w:szCs w:val="24"/>
                  </w:rPr>
                </w:pPr>
                <w:r>
                  <w:rPr>
                    <w:szCs w:val="24"/>
                  </w:rPr>
                  <w:t>&lt;…&gt;</w:t>
                </w:r>
              </w:p>
              <w:p>
                <w:pPr>
                  <w:jc w:val="both"/>
                  <w:rPr>
                    <w:szCs w:val="24"/>
                  </w:rPr>
                </w:pPr>
                <w:r>
                  <w:rPr>
                    <w:szCs w:val="24"/>
                  </w:rPr>
                  <w:t xml:space="preserve">11. Jeigu per tris mėnesius nuo šio straipsnio 9 dalyje nurodytos informacijos gavimo dienos nei kuri nors ES valstybė narė, nei Europos Komisija nepareiškia prieštaravimų dėl laikinosios priemonės, kurios ėmėsi Lietuvos Respublika, ta priemonė laikoma pagrįsta. </w:t>
                </w:r>
                <w:r>
                  <w:rPr>
                    <w:bCs/>
                    <w:szCs w:val="24"/>
                  </w:rPr>
                  <w:t>Rinkos priežiūros institucija,</w:t>
                </w:r>
                <w:r>
                  <w:rPr>
                    <w:szCs w:val="24"/>
                  </w:rPr>
                  <w:t xml:space="preserve"> prireikus, dalyvauja konsultacijose dėl priemonių taikymo ES lygmeniu. </w:t>
                </w:r>
                <w:r>
                  <w:rPr>
                    <w:bCs/>
                    <w:szCs w:val="24"/>
                  </w:rPr>
                  <w:t>Rinkos priežiūros institucija</w:t>
                </w:r>
                <w:r>
                  <w:rPr>
                    <w:szCs w:val="24"/>
                  </w:rPr>
                  <w:t xml:space="preserve"> vadovaujasi Europos Komisijos sprendimais ir imasi priemonių, būtinų norint užtikrinti, kad reikalavimų neatitinkantis gaminys būtų pašalintas iš rinkos, apie tai informuojant Europos Komisiją. Jeigu nusprendžiama, kad nacionalinė priemonė laikoma nepagrįsta, </w:t>
                </w:r>
                <w:r>
                  <w:rPr>
                    <w:bCs/>
                    <w:szCs w:val="24"/>
                  </w:rPr>
                  <w:t>rinkos priežiūros institucija</w:t>
                </w:r>
                <w:r>
                  <w:rPr>
                    <w:szCs w:val="24"/>
                  </w:rPr>
                  <w:t xml:space="preserve"> nedelsdama, bet ne vėliau kaip per 3 </w:t>
                </w:r>
                <w:r>
                  <w:rPr>
                    <w:bCs/>
                    <w:szCs w:val="24"/>
                  </w:rPr>
                  <w:t xml:space="preserve">darbo </w:t>
                </w:r>
                <w:r>
                  <w:rPr>
                    <w:szCs w:val="24"/>
                  </w:rPr>
                  <w:t>dienas, priemonę panaikina.</w:t>
                </w:r>
              </w:p>
              <w:p>
                <w:pPr>
                  <w:jc w:val="both"/>
                  <w:rPr>
                    <w:szCs w:val="24"/>
                  </w:rPr>
                </w:pPr>
                <w:r>
                  <w:rPr>
                    <w:szCs w:val="24"/>
                  </w:rPr>
                  <w:t xml:space="preserve">12. </w:t>
                </w:r>
                <w:r>
                  <w:rPr>
                    <w:bCs/>
                    <w:szCs w:val="24"/>
                  </w:rPr>
                  <w:t>Rinkos priežiūros institucija</w:t>
                </w:r>
                <w:r>
                  <w:rPr>
                    <w:szCs w:val="24"/>
                  </w:rPr>
                  <w:t xml:space="preserve"> reikalauja, kad atitinkamas ekonominės veiklos vykdytojas pašalintų atitinkamą neatitiktį, jeigu:</w:t>
                </w:r>
              </w:p>
              <w:p>
                <w:pPr>
                  <w:jc w:val="both"/>
                  <w:rPr>
                    <w:szCs w:val="24"/>
                  </w:rPr>
                </w:pPr>
                <w:r>
                  <w:rPr>
                    <w:szCs w:val="24"/>
                  </w:rPr>
                  <w:t>1) gaminys CE ženklu pažymėtas pažeidžiant Reglamento (EB) Nr. 765/2008 su visais pakeitimais 30 straipsnį ir (ar) šio įstatymo 17 straipsnį;</w:t>
                </w:r>
              </w:p>
              <w:p>
                <w:pPr>
                  <w:jc w:val="both"/>
                  <w:rPr>
                    <w:szCs w:val="24"/>
                  </w:rPr>
                </w:pPr>
                <w:r>
                  <w:rPr>
                    <w:szCs w:val="24"/>
                  </w:rPr>
                  <w:t>2) gaminys nepažymėtas CE ženklu;</w:t>
                </w:r>
              </w:p>
              <w:p>
                <w:pPr>
                  <w:jc w:val="both"/>
                  <w:rPr>
                    <w:szCs w:val="24"/>
                  </w:rPr>
                </w:pPr>
                <w:r>
                  <w:rPr>
                    <w:szCs w:val="24"/>
                  </w:rPr>
                  <w:t>3) neparengta ES atitikties deklaracija;</w:t>
                </w:r>
              </w:p>
              <w:p>
                <w:pPr>
                  <w:jc w:val="both"/>
                  <w:rPr>
                    <w:szCs w:val="24"/>
                  </w:rPr>
                </w:pPr>
                <w:r>
                  <w:rPr>
                    <w:szCs w:val="24"/>
                  </w:rPr>
                  <w:t>4) ES atitikties deklaracija parengta neteisingai;</w:t>
                </w:r>
              </w:p>
              <w:p>
                <w:pPr>
                  <w:jc w:val="both"/>
                  <w:rPr>
                    <w:szCs w:val="24"/>
                  </w:rPr>
                </w:pPr>
                <w:r>
                  <w:rPr>
                    <w:szCs w:val="24"/>
                  </w:rPr>
                  <w:t>5) nėra techninių dokumentų arba jie yra neišsamūs;</w:t>
                </w:r>
              </w:p>
              <w:p>
                <w:pPr>
                  <w:jc w:val="both"/>
                  <w:rPr>
                    <w:szCs w:val="24"/>
                  </w:rPr>
                </w:pPr>
                <w:r>
                  <w:rPr>
                    <w:szCs w:val="24"/>
                  </w:rPr>
                  <w:t>6) neįvykdytas bet kuris kitas šio įstatymo 8 arba 10 straipsnyje numatytas reikalavimas.</w:t>
                </w:r>
              </w:p>
              <w:p>
                <w:pPr>
                  <w:jc w:val="both"/>
                  <w:rPr>
                    <w:szCs w:val="24"/>
                  </w:rPr>
                </w:pPr>
                <w:r>
                  <w:rPr>
                    <w:szCs w:val="24"/>
                  </w:rPr>
                  <w:t xml:space="preserve">13. Jeigu šio straipsnio 12 dalyje nurodyta neatitiktis nepašalinama, </w:t>
                </w:r>
                <w:r>
                  <w:rPr>
                    <w:bCs/>
                    <w:szCs w:val="24"/>
                  </w:rPr>
                  <w:t>rinkos priežiūros institucija</w:t>
                </w:r>
                <w:r>
                  <w:rPr>
                    <w:szCs w:val="24"/>
                  </w:rPr>
                  <w:t xml:space="preserve"> imasi visų tinkamų priemonių, kad būtų apribotas ar uždraustas gaminio tiekimas rinkai arba užtikrinta, kad jis būtų pašalintas iš rinkos.</w:t>
                </w:r>
              </w:p>
              <w:p>
                <w:pPr>
                  <w:jc w:val="both"/>
                  <w:rPr>
                    <w:szCs w:val="24"/>
                  </w:rPr>
                </w:pPr>
                <w:r>
                  <w:rPr>
                    <w:szCs w:val="24"/>
                  </w:rPr>
                  <w:t>14. Gaminiai, kuriems taikomos tiekimo į rinką draudimo arba ribojimo priemonės, ekonominės veiklos vykdytojo sandėlyje saugomi atskirti nuo gaminių, kuriems tokios priemonės netaikomos.</w:t>
                </w:r>
              </w:p>
              <w:p>
                <w:pPr>
                  <w:jc w:val="both"/>
                  <w:rPr>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975"/>
            </w:trPr>
            <w:tc>
              <w:tcPr>
                <w:tcW w:w="5264" w:type="dxa"/>
                <w:shd w:val="clear" w:color="auto" w:fill="auto"/>
              </w:tcPr>
              <w:p>
                <w:pPr>
                  <w:jc w:val="both"/>
                  <w:rPr>
                    <w:b/>
                    <w:bCs/>
                    <w:color w:val="000000"/>
                    <w:szCs w:val="24"/>
                  </w:rPr>
                </w:pPr>
                <w:r>
                  <w:rPr>
                    <w:b/>
                    <w:bCs/>
                    <w:color w:val="000000"/>
                    <w:szCs w:val="24"/>
                  </w:rPr>
                  <w:t>23 straipsnis</w:t>
                </w:r>
              </w:p>
              <w:p>
                <w:pPr>
                  <w:jc w:val="both"/>
                  <w:rPr>
                    <w:b/>
                    <w:bCs/>
                    <w:color w:val="000000"/>
                    <w:szCs w:val="24"/>
                  </w:rPr>
                </w:pPr>
                <w:r>
                  <w:rPr>
                    <w:b/>
                    <w:bCs/>
                    <w:color w:val="000000"/>
                    <w:szCs w:val="24"/>
                  </w:rPr>
                  <w:t>Paslaugų atitiktis</w:t>
                </w:r>
              </w:p>
              <w:p>
                <w:pPr>
                  <w:jc w:val="both"/>
                  <w:rPr>
                    <w:color w:val="000000"/>
                    <w:szCs w:val="24"/>
                  </w:rPr>
                </w:pPr>
                <w:r>
                  <w:rPr>
                    <w:color w:val="000000"/>
                    <w:szCs w:val="24"/>
                  </w:rPr>
                  <w:t>1.   Valstybės narės nustato, įgyvendina ir reguliariai atnaujina atitinkamas procedūras, kurias taikant būtų:</w:t>
                </w:r>
              </w:p>
              <w:tbl>
                <w:tblPr>
                  <w:tblW w:w="5000" w:type="pct"/>
                  <w:tblCellMar>
                    <w:left w:w="0" w:type="dxa"/>
                    <w:right w:w="0" w:type="dxa"/>
                  </w:tblCellMar>
                  <w:tblLook w:val="04A0" w:firstRow="1" w:lastRow="0" w:firstColumn="1" w:lastColumn="0" w:noHBand="0" w:noVBand="1"/>
                </w:tblPr>
                <w:tblGrid>
                  <w:gridCol w:w="196"/>
                  <w:gridCol w:w="4852"/>
                </w:tblGrid>
                <w:tr>
                  <w:tc>
                    <w:tcPr>
                      <w:tcW w:w="209" w:type="dxa"/>
                      <w:shd w:val="clear" w:color="auto" w:fill="auto"/>
                      <w:hideMark/>
                    </w:tcPr>
                    <w:p>
                      <w:pPr>
                        <w:jc w:val="both"/>
                        <w:rPr>
                          <w:color w:val="000000"/>
                          <w:szCs w:val="24"/>
                        </w:rPr>
                      </w:pPr>
                      <w:r>
                        <w:rPr>
                          <w:color w:val="000000"/>
                          <w:szCs w:val="24"/>
                        </w:rPr>
                        <w:t>a)</w:t>
                      </w:r>
                    </w:p>
                  </w:tc>
                  <w:tc>
                    <w:tcPr>
                      <w:tcW w:w="9151" w:type="dxa"/>
                      <w:shd w:val="clear" w:color="auto" w:fill="auto"/>
                      <w:hideMark/>
                    </w:tcPr>
                    <w:p>
                      <w:pPr>
                        <w:jc w:val="both"/>
                        <w:rPr>
                          <w:color w:val="000000"/>
                          <w:szCs w:val="24"/>
                        </w:rPr>
                      </w:pPr>
                      <w:r>
                        <w:rPr>
                          <w:color w:val="000000"/>
                          <w:szCs w:val="24"/>
                        </w:rPr>
                        <w:t>patikrinta paslaugų atitiktis šios direktyvos reikalavimams, įskaitant 14 straipsnyje nurodytą vertinimą, kurio atžvilgiu </w:t>
                      </w:r>
                      <w:r>
                        <w:rPr>
                          <w:i/>
                          <w:iCs/>
                          <w:color w:val="000000"/>
                          <w:szCs w:val="24"/>
                        </w:rPr>
                        <w:t>mutatis mutandis</w:t>
                      </w:r>
                      <w:r>
                        <w:rPr>
                          <w:color w:val="000000"/>
                          <w:szCs w:val="24"/>
                        </w:rPr>
                        <w:t> taikoma 19 straipsnio 2 dalis;</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11"/>
                  <w:gridCol w:w="4837"/>
                </w:tblGrid>
                <w:tr>
                  <w:tc>
                    <w:tcPr>
                      <w:tcW w:w="224" w:type="dxa"/>
                      <w:shd w:val="clear" w:color="auto" w:fill="auto"/>
                      <w:hideMark/>
                    </w:tcPr>
                    <w:p>
                      <w:pPr>
                        <w:jc w:val="both"/>
                        <w:rPr>
                          <w:color w:val="000000"/>
                          <w:szCs w:val="24"/>
                        </w:rPr>
                      </w:pPr>
                      <w:r>
                        <w:rPr>
                          <w:color w:val="000000"/>
                          <w:szCs w:val="24"/>
                        </w:rPr>
                        <w:t>b)</w:t>
                      </w:r>
                    </w:p>
                  </w:tc>
                  <w:tc>
                    <w:tcPr>
                      <w:tcW w:w="9136" w:type="dxa"/>
                      <w:shd w:val="clear" w:color="auto" w:fill="auto"/>
                      <w:hideMark/>
                    </w:tcPr>
                    <w:p>
                      <w:pPr>
                        <w:jc w:val="both"/>
                        <w:rPr>
                          <w:color w:val="000000"/>
                          <w:szCs w:val="24"/>
                        </w:rPr>
                      </w:pPr>
                      <w:r>
                        <w:rPr>
                          <w:color w:val="000000"/>
                          <w:szCs w:val="24"/>
                        </w:rPr>
                        <w:t>imtasi tolesnių veiksmų dėl skundų ar pranešimų dėl klausimų, susijusių su paslaugų neatitiktimi šios direktyvos prieinamumo reikalavimams;</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05"/>
                  <w:gridCol w:w="4843"/>
                </w:tblGrid>
                <w:tr>
                  <w:tc>
                    <w:tcPr>
                      <w:tcW w:w="225" w:type="dxa"/>
                      <w:shd w:val="clear" w:color="auto" w:fill="auto"/>
                      <w:hideMark/>
                    </w:tcPr>
                    <w:p>
                      <w:pPr>
                        <w:jc w:val="both"/>
                        <w:rPr>
                          <w:color w:val="000000"/>
                          <w:szCs w:val="24"/>
                        </w:rPr>
                      </w:pPr>
                      <w:r>
                        <w:rPr>
                          <w:color w:val="000000"/>
                          <w:szCs w:val="24"/>
                        </w:rPr>
                        <w:t>c)</w:t>
                      </w:r>
                    </w:p>
                  </w:tc>
                  <w:tc>
                    <w:tcPr>
                      <w:tcW w:w="9135" w:type="dxa"/>
                      <w:shd w:val="clear" w:color="auto" w:fill="auto"/>
                      <w:hideMark/>
                    </w:tcPr>
                    <w:p>
                      <w:pPr>
                        <w:jc w:val="both"/>
                        <w:rPr>
                          <w:color w:val="000000"/>
                          <w:szCs w:val="24"/>
                        </w:rPr>
                      </w:pPr>
                      <w:r>
                        <w:rPr>
                          <w:color w:val="000000"/>
                          <w:szCs w:val="24"/>
                        </w:rPr>
                        <w:t>patikrinta, ar ekonominės veiklos vykdytojas ėmėsi būtinų taisomųjų veiksmų.</w:t>
                      </w:r>
                    </w:p>
                  </w:tc>
                </w:tr>
              </w:tbl>
              <w:p>
                <w:pPr>
                  <w:jc w:val="both"/>
                  <w:rPr>
                    <w:color w:val="000000"/>
                    <w:szCs w:val="24"/>
                  </w:rPr>
                </w:pPr>
                <w:r>
                  <w:rPr>
                    <w:color w:val="000000"/>
                    <w:szCs w:val="24"/>
                  </w:rPr>
                  <w:t>2.   Valstybės narės paskiria institucijas, atsakingas už 1 dalyje nurodytų procedūrų įgyvendinimą paslaugų atitikties atžvilgiu.</w:t>
                </w:r>
              </w:p>
              <w:p>
                <w:pPr>
                  <w:jc w:val="both"/>
                  <w:rPr>
                    <w:color w:val="000000"/>
                    <w:szCs w:val="24"/>
                  </w:rPr>
                </w:pPr>
                <w:r>
                  <w:rPr>
                    <w:color w:val="000000"/>
                    <w:szCs w:val="24"/>
                  </w:rPr>
                  <w:t>Valstybės narės užtikrina, kad visuomenė būtų informuojama apie pirmoje pastraipoje nurodytų institucijų egzistavimą, atsakomybę, pavadinimą, darbą ir sprendimus. Tos institucijos, gavusios prašymą, teikia tą informaciją prieinamu formatu.</w:t>
                </w:r>
              </w:p>
              <w:p>
                <w:pPr>
                  <w:jc w:val="both"/>
                  <w:rPr>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6 straipsnis. Gaminių ir paslaugų prieinamumo rinkos priežiūra</w:t>
                </w:r>
              </w:p>
              <w:p>
                <w:pPr>
                  <w:jc w:val="both"/>
                  <w:rPr>
                    <w:bCs/>
                    <w:color w:val="000000"/>
                    <w:szCs w:val="24"/>
                  </w:rPr>
                </w:pPr>
                <w:r>
                  <w:rPr>
                    <w:bCs/>
                    <w:color w:val="000000"/>
                    <w:szCs w:val="24"/>
                  </w:rPr>
                  <w:t>&lt;...&gt;</w:t>
                </w:r>
              </w:p>
              <w:p>
                <w:pPr>
                  <w:jc w:val="both"/>
                  <w:rPr>
                    <w:bCs/>
                    <w:color w:val="000000"/>
                    <w:szCs w:val="24"/>
                  </w:rPr>
                </w:pPr>
                <w:r>
                  <w:rPr>
                    <w:bCs/>
                    <w:color w:val="000000"/>
                    <w:szCs w:val="24"/>
                  </w:rPr>
                  <w:t>2. Rinkos priežiūros institucijos, konsultuojantis su suinteresuotais subjektais ir bendradarbiaudamas su asmenų su negalia nevyriausybinėmis organizacijomis, ekonominės veiklos vykdytojams bei kitiems suinteresuotiems subjektams teikia metodinę pagalbą (rekomendacinio pobūdžio konsultacijas) dėl prieinamumo reikalavimų įgyvendinimo, rengia gaires, rekomendacijas, kitus dokumentus ir įrankius, padedančius įgyvendinti prieinamumo reikalavimus. Jos taip pat užtikrina, kad visuomenė būtų informuojama apie rinkos priežiūros institucijų egzistavimą, jų pavadinimą, atsakomybę, veiklą ir sprendimus.</w:t>
                </w:r>
              </w:p>
              <w:p>
                <w:pPr>
                  <w:jc w:val="both"/>
                  <w:rPr>
                    <w:bCs/>
                    <w:color w:val="000000"/>
                    <w:szCs w:val="24"/>
                  </w:rPr>
                </w:pPr>
                <w:r>
                  <w:rPr>
                    <w:bCs/>
                    <w:color w:val="000000"/>
                    <w:szCs w:val="24"/>
                  </w:rPr>
                  <w:t xml:space="preserve">3. Rinkos priežiūros institucijos nagrinėja skundus dėl gaminių ir paslaugų neatitikties prieinamumo reikalavimams bei ekonominės veiklos vykdytojų pareigų pažeidimų. </w:t>
                </w:r>
              </w:p>
              <w:p>
                <w:pPr>
                  <w:jc w:val="both"/>
                  <w:rPr>
                    <w:bCs/>
                    <w:color w:val="000000"/>
                    <w:szCs w:val="24"/>
                  </w:rPr>
                </w:pPr>
                <w:r>
                  <w:rPr>
                    <w:bCs/>
                    <w:color w:val="000000"/>
                    <w:szCs w:val="24"/>
                  </w:rPr>
                  <w:t>4. Valstybinė vartotojų teisių apsaugos tarnyba vykdo rinkos priežiūros funkcijas šio įstatymo:</w:t>
                </w:r>
              </w:p>
              <w:p>
                <w:pPr>
                  <w:jc w:val="both"/>
                  <w:rPr>
                    <w:bCs/>
                    <w:color w:val="000000"/>
                    <w:szCs w:val="24"/>
                  </w:rPr>
                </w:pPr>
                <w:r>
                  <w:rPr>
                    <w:bCs/>
                    <w:color w:val="000000"/>
                    <w:szCs w:val="24"/>
                  </w:rPr>
                  <w:t>&lt;...&gt;</w:t>
                </w:r>
              </w:p>
              <w:p>
                <w:pPr>
                  <w:jc w:val="both"/>
                  <w:rPr>
                    <w:bCs/>
                    <w:szCs w:val="24"/>
                  </w:rPr>
                </w:pPr>
                <w:r>
                  <w:rPr>
                    <w:bCs/>
                    <w:szCs w:val="24"/>
                  </w:rPr>
                  <w:t>2) 2 straipsnio 4 dalies 4–6 punktuose nurodytų paslaugų atžvilgiu.</w:t>
                </w:r>
              </w:p>
              <w:p>
                <w:pPr>
                  <w:jc w:val="both"/>
                  <w:rPr>
                    <w:bCs/>
                    <w:szCs w:val="24"/>
                  </w:rPr>
                </w:pPr>
                <w:r>
                  <w:rPr>
                    <w:bCs/>
                    <w:szCs w:val="24"/>
                  </w:rPr>
                  <w:t>5. Lietuvos transporto saugos administracija:</w:t>
                </w:r>
              </w:p>
              <w:p>
                <w:pPr>
                  <w:jc w:val="both"/>
                  <w:rPr>
                    <w:bCs/>
                    <w:szCs w:val="24"/>
                  </w:rPr>
                </w:pPr>
                <w:r>
                  <w:rPr>
                    <w:bCs/>
                    <w:szCs w:val="24"/>
                  </w:rPr>
                  <w:t>1) vykdo rinkos priežiūros funkcijas šio įstatymo 2 straipsnio 4 dalies 3 punkte nurodytų paslaugų atžvilgiu;</w:t>
                </w:r>
              </w:p>
              <w:p>
                <w:pPr>
                  <w:jc w:val="both"/>
                  <w:rPr>
                    <w:bCs/>
                    <w:szCs w:val="24"/>
                  </w:rPr>
                </w:pPr>
                <w:r>
                  <w:rPr>
                    <w:bCs/>
                    <w:szCs w:val="24"/>
                  </w:rPr>
                  <w:t>&lt;...&gt;</w:t>
                </w:r>
              </w:p>
              <w:p>
                <w:pPr>
                  <w:jc w:val="both"/>
                  <w:rPr>
                    <w:bCs/>
                    <w:szCs w:val="24"/>
                  </w:rPr>
                </w:pPr>
                <w:r>
                  <w:rPr>
                    <w:bCs/>
                    <w:szCs w:val="24"/>
                  </w:rPr>
                  <w:t>6. Lietuvos Respublikos ryšių reguliavimo tarnyba prižiūri, kaip elektroninių ryšių paslaugų teikėjai laikosi šio įstatymo 2 straipsnio 4 dalies 1 punkte nurodytoms paslaugoms taikomų prieinamumo reikalavimų.</w:t>
                </w:r>
              </w:p>
              <w:p>
                <w:pPr>
                  <w:jc w:val="both"/>
                  <w:rPr>
                    <w:bCs/>
                    <w:szCs w:val="24"/>
                  </w:rPr>
                </w:pPr>
                <w:r>
                  <w:rPr>
                    <w:bCs/>
                    <w:szCs w:val="24"/>
                  </w:rPr>
                  <w:t>7. Lietuvos radijo ir televizijos komisija vykdo rinkos priežiūros funkcijas šio įstatymo:</w:t>
                </w:r>
              </w:p>
              <w:p>
                <w:pPr>
                  <w:jc w:val="both"/>
                  <w:rPr>
                    <w:bCs/>
                    <w:szCs w:val="24"/>
                  </w:rPr>
                </w:pPr>
                <w:r>
                  <w:rPr>
                    <w:bCs/>
                    <w:szCs w:val="24"/>
                  </w:rPr>
                  <w:t>&lt;…&gt;</w:t>
                </w:r>
              </w:p>
              <w:p>
                <w:pPr>
                  <w:jc w:val="both"/>
                  <w:rPr>
                    <w:bCs/>
                    <w:szCs w:val="24"/>
                  </w:rPr>
                </w:pPr>
                <w:r>
                  <w:rPr>
                    <w:bCs/>
                    <w:szCs w:val="24"/>
                  </w:rPr>
                  <w:t>2) 2 straipsnio 4 dalies 2 punkte nurodytų paslaugų atžvilgiu.</w:t>
                </w:r>
              </w:p>
              <w:p>
                <w:pPr>
                  <w:jc w:val="both"/>
                  <w:rPr>
                    <w:b/>
                    <w:bCs/>
                    <w:color w:val="000000"/>
                    <w:szCs w:val="24"/>
                  </w:rPr>
                </w:pPr>
              </w:p>
              <w:p>
                <w:pPr>
                  <w:jc w:val="both"/>
                  <w:rPr>
                    <w:b/>
                    <w:bCs/>
                    <w:color w:val="000000"/>
                    <w:szCs w:val="24"/>
                  </w:rPr>
                </w:pPr>
                <w:r>
                  <w:rPr>
                    <w:b/>
                    <w:bCs/>
                    <w:color w:val="000000"/>
                    <w:szCs w:val="24"/>
                  </w:rPr>
                  <w:t>20 straipsnis. Paslaugų atitikties priežiūra</w:t>
                </w:r>
              </w:p>
              <w:p>
                <w:pPr>
                  <w:jc w:val="both"/>
                  <w:rPr>
                    <w:bCs/>
                    <w:color w:val="000000"/>
                    <w:szCs w:val="24"/>
                  </w:rPr>
                </w:pPr>
                <w:r>
                  <w:rPr>
                    <w:bCs/>
                    <w:color w:val="000000"/>
                    <w:szCs w:val="24"/>
                  </w:rPr>
                  <w:t xml:space="preserve">1. Šio įstatymo 6 straipsnyje nurodytos rinkos priežiūros institucijos atsako už prieinamumo reikalavimų, taikytinų paslaugų teikėjams, laikymosi priežiūrą, įskaitant šio įstatymo 14 straipsnyje numatyto vertinimo, kuriam </w:t>
                </w:r>
                <w:r>
                  <w:rPr>
                    <w:bCs/>
                    <w:i/>
                    <w:iCs/>
                    <w:color w:val="000000"/>
                    <w:szCs w:val="24"/>
                  </w:rPr>
                  <w:t xml:space="preserve">mutatis mutandis </w:t>
                </w:r>
                <w:r>
                  <w:rPr>
                    <w:bCs/>
                    <w:color w:val="000000"/>
                    <w:szCs w:val="24"/>
                  </w:rPr>
                  <w:t>taikoma šio įstatymo 18 straipsnio 2 dalis, priežiūrą bei tikrinimą, ar ekonominės veiklos vykdytojas ėmėsi būtinų veiksmų trūkumams pašalinti.</w:t>
                </w:r>
              </w:p>
              <w:p>
                <w:pPr>
                  <w:jc w:val="both"/>
                  <w:rPr>
                    <w:bCs/>
                    <w:color w:val="000000"/>
                    <w:szCs w:val="24"/>
                  </w:rPr>
                </w:pPr>
                <w:r>
                  <w:rPr>
                    <w:bCs/>
                    <w:color w:val="000000"/>
                    <w:szCs w:val="24"/>
                  </w:rPr>
                  <w:t>2. Rinkos priežiūros institucija, nustačiusi, kad paslaugų teikėjas nesilaiko taikytinų prieinamumo reikalavimų, nurodo per jos nustatytą pagrįstą, neatitikties pobūdį atitinkantį, laikotarpį ekonominės veiklos vykdytojui imtis veiksmų, siekiant užtikrinti paslaugos atitiktį tiems reikalavimams. Ekonominės veiklos vykdytojui neįvykdžius ir neužtikrinus atitikties reikalavimų per nustatytą laikotarpį, rinkos priežiūros institucija nurodo nebeteikti paslaugos.</w:t>
                </w:r>
              </w:p>
              <w:p>
                <w:pPr>
                  <w:jc w:val="both"/>
                  <w:rPr>
                    <w:b/>
                    <w:bCs/>
                    <w:color w:val="000000"/>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1975"/>
            </w:trPr>
            <w:tc>
              <w:tcPr>
                <w:tcW w:w="5264" w:type="dxa"/>
                <w:shd w:val="clear" w:color="auto" w:fill="FFFFFF" w:themeFill="background1"/>
              </w:tcPr>
              <w:p>
                <w:pPr>
                  <w:jc w:val="both"/>
                  <w:rPr>
                    <w:b/>
                    <w:bCs/>
                    <w:i/>
                    <w:iCs/>
                    <w:color w:val="000000"/>
                    <w:szCs w:val="24"/>
                  </w:rPr>
                </w:pPr>
                <w:r>
                  <w:rPr>
                    <w:b/>
                    <w:bCs/>
                    <w:color w:val="000000"/>
                    <w:szCs w:val="24"/>
                  </w:rPr>
                  <w:t>24 straipsnis</w:t>
                </w:r>
              </w:p>
              <w:p>
                <w:pPr>
                  <w:jc w:val="both"/>
                  <w:rPr>
                    <w:b/>
                    <w:bCs/>
                    <w:color w:val="000000"/>
                    <w:szCs w:val="24"/>
                  </w:rPr>
                </w:pPr>
                <w:r>
                  <w:rPr>
                    <w:b/>
                    <w:bCs/>
                    <w:color w:val="000000"/>
                    <w:szCs w:val="24"/>
                  </w:rPr>
                  <w:t>Prieinamumas pagal kitus Sąjungos aktus</w:t>
                </w:r>
              </w:p>
              <w:p>
                <w:pPr>
                  <w:jc w:val="both"/>
                  <w:rPr>
                    <w:color w:val="000000"/>
                    <w:szCs w:val="24"/>
                  </w:rPr>
                </w:pPr>
                <w:r>
                  <w:rPr>
                    <w:color w:val="000000"/>
                    <w:szCs w:val="24"/>
                  </w:rPr>
                  <w:t>1.   Šios direktyvos 2 straipsnyje nurodytų gaminių ir paslaugų atžvilgiu I priede išdėstyti prieinamumo reikalavimai yra privalomieji prieinamumo reikalavimai Direktyvos 2014/24/ES 42 straipsnio 1 dalies ir Direktyvos 2014/25/ES 60 straipsnio 1 dalies prasme.</w:t>
                </w:r>
              </w:p>
              <w:p>
                <w:pPr>
                  <w:jc w:val="both"/>
                  <w:rPr>
                    <w:color w:val="000000"/>
                    <w:szCs w:val="24"/>
                  </w:rPr>
                </w:pPr>
                <w:r>
                  <w:rPr>
                    <w:color w:val="000000"/>
                    <w:szCs w:val="24"/>
                  </w:rPr>
                  <w:t>2.   Daroma prielaida, kad visų gaminių ar paslaugų, kurių savybės, elementai arba funkcijos atitinka šios direktyvos I priede išdėstytus prieinamumo reikalavimus pagal jo VI skirsnį, atžvilgiu yra įvykdytos atitinkamos pareigos, išdėstytos kituose Sąjungos aktuose nei ši direktyva, susijusias su tų savybių, elementų ar funkcijų prieinamumu, išskyrus atvejus, kai tuose kituose aktuose būtų nustatyta kitaip.</w:t>
                </w:r>
              </w:p>
            </w:tc>
            <w:tc>
              <w:tcPr>
                <w:tcW w:w="7868" w:type="dxa"/>
                <w:shd w:val="clear" w:color="auto" w:fill="FFFFFF" w:themeFill="background1"/>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15 straipsnis. Atitikties prieinamumo reikalavimams prezumpcija</w:t>
                </w:r>
              </w:p>
              <w:p>
                <w:pPr>
                  <w:jc w:val="both"/>
                  <w:rPr>
                    <w:color w:val="000000"/>
                    <w:szCs w:val="24"/>
                  </w:rPr>
                </w:pPr>
                <w:r>
                  <w:rPr>
                    <w:color w:val="000000"/>
                    <w:szCs w:val="24"/>
                  </w:rPr>
                  <w:t>&lt;…&gt;</w:t>
                </w:r>
              </w:p>
              <w:p>
                <w:pPr>
                  <w:jc w:val="both"/>
                  <w:rPr>
                    <w:bCs/>
                    <w:color w:val="000000"/>
                    <w:szCs w:val="24"/>
                  </w:rPr>
                </w:pPr>
                <w:r>
                  <w:rPr>
                    <w:bCs/>
                    <w:color w:val="000000"/>
                    <w:szCs w:val="24"/>
                  </w:rPr>
                  <w:t>3. Šio įstatymo 2 straipsnyje nurodytų gaminių ir paslaugų prieinamumo reikalavimai yra privalomieji asmenų su negalia kriterijai pagal Lietuvos Respublikos viešųjų pirkimų įstatymo 37 straipsnį bei Lietuvos Respublikos pirkimų, atliekamų vandentvarkos, energetikos, transporto ar pašto paslaugų srities perkančiųjų subjektų, įstatymo 50 straipsnį.</w:t>
                </w:r>
              </w:p>
              <w:p>
                <w:pPr>
                  <w:jc w:val="both"/>
                  <w:rPr>
                    <w:bCs/>
                    <w:color w:val="000000"/>
                    <w:szCs w:val="24"/>
                  </w:rPr>
                </w:pPr>
                <w:r>
                  <w:rPr>
                    <w:bCs/>
                    <w:color w:val="000000"/>
                    <w:szCs w:val="24"/>
                  </w:rPr>
                  <w:t>4. Preziumuojama, kad visų gaminių ar paslaugų, kurių savybės, elementai arba funkcijos atitinka prieinamumo reikalavimus, atžvilgiu yra įvykdytos atitinkamos pareigos, išdėstytos kituose ES teisės aktuose ir juos įgyvendinančiuose Lietuvos Respublikos teisės aktuose, nei nurodyta šio įstatymo 3 priede, susijusios su tų savybių, elementų ar funkcijų prieinamumu, išskyrus atvejus, kai tuose kituose teisės aktuose nustatyta kitaip.</w:t>
                </w:r>
              </w:p>
              <w:p>
                <w:pPr>
                  <w:jc w:val="both"/>
                  <w:rPr>
                    <w:color w:val="000000"/>
                    <w:szCs w:val="24"/>
                  </w:rPr>
                </w:pPr>
              </w:p>
            </w:tc>
            <w:tc>
              <w:tcPr>
                <w:tcW w:w="1858" w:type="dxa"/>
                <w:shd w:val="clear" w:color="auto" w:fill="FFFFFF" w:themeFill="background1"/>
              </w:tcPr>
              <w:p>
                <w:pPr>
                  <w:jc w:val="both"/>
                  <w:rPr>
                    <w:b/>
                    <w:bCs/>
                    <w:color w:val="000000"/>
                    <w:szCs w:val="24"/>
                  </w:rPr>
                </w:pPr>
                <w:r>
                  <w:rPr>
                    <w:b/>
                    <w:bCs/>
                    <w:color w:val="000000"/>
                    <w:szCs w:val="24"/>
                  </w:rPr>
                  <w:t>Visiškas</w:t>
                </w:r>
              </w:p>
            </w:tc>
          </w:tr>
          <w:tr>
            <w:trPr>
              <w:trHeight w:val="557"/>
            </w:trPr>
            <w:tc>
              <w:tcPr>
                <w:tcW w:w="5264" w:type="dxa"/>
              </w:tcPr>
              <w:p>
                <w:pPr>
                  <w:jc w:val="both"/>
                  <w:rPr>
                    <w:b/>
                    <w:bCs/>
                    <w:color w:val="000000"/>
                    <w:szCs w:val="24"/>
                  </w:rPr>
                </w:pPr>
                <w:r>
                  <w:rPr>
                    <w:b/>
                    <w:bCs/>
                    <w:color w:val="000000"/>
                    <w:szCs w:val="24"/>
                  </w:rPr>
                  <w:t>25 straipsnis</w:t>
                </w:r>
              </w:p>
              <w:p>
                <w:pPr>
                  <w:jc w:val="both"/>
                  <w:rPr>
                    <w:b/>
                    <w:bCs/>
                    <w:color w:val="000000"/>
                    <w:szCs w:val="24"/>
                  </w:rPr>
                </w:pPr>
                <w:r>
                  <w:rPr>
                    <w:b/>
                    <w:bCs/>
                    <w:color w:val="000000"/>
                    <w:szCs w:val="24"/>
                  </w:rPr>
                  <w:t>Darnieji standartai ir techninės specifikacijos, skirti kitiems Sąjungos aktams</w:t>
                </w:r>
              </w:p>
              <w:p>
                <w:pPr>
                  <w:jc w:val="both"/>
                  <w:rPr>
                    <w:color w:val="000000"/>
                    <w:szCs w:val="24"/>
                  </w:rPr>
                </w:pPr>
                <w:r>
                  <w:rPr>
                    <w:color w:val="000000"/>
                    <w:szCs w:val="24"/>
                  </w:rPr>
                  <w:t>Remiantis atitiktimi darniesiems standartams ir techninėms specifikacijoms arba jų dalims, kurie yra patvirtinti pagal 15 straipsnį, daroma prielaida, kad užtikrinama atitiktis 24 straipsniui tiek, kiek tie standartai ir techninės specifikacijos ar jų dalys atitinka šios direktyvos prieinamumo reikalavimus.</w:t>
                </w:r>
              </w:p>
            </w:tc>
            <w:tc>
              <w:tcPr>
                <w:tcW w:w="7868" w:type="dxa"/>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15 straipsnis. Atitikties prieinamumo reikalavimams prezumpcija</w:t>
                </w:r>
              </w:p>
              <w:p>
                <w:pPr>
                  <w:jc w:val="both"/>
                  <w:rPr>
                    <w:color w:val="000000"/>
                    <w:szCs w:val="24"/>
                  </w:rPr>
                </w:pPr>
                <w:r>
                  <w:rPr>
                    <w:color w:val="000000"/>
                    <w:szCs w:val="24"/>
                  </w:rPr>
                  <w:t>&lt;…&gt;</w:t>
                </w:r>
              </w:p>
              <w:p>
                <w:pPr>
                  <w:jc w:val="both"/>
                  <w:rPr>
                    <w:bCs/>
                    <w:color w:val="000000"/>
                    <w:szCs w:val="24"/>
                  </w:rPr>
                </w:pPr>
                <w:r>
                  <w:rPr>
                    <w:bCs/>
                    <w:color w:val="000000"/>
                    <w:szCs w:val="24"/>
                  </w:rPr>
                  <w:t>5. Remiantis atitiktimi darniesiems standartams ir techninėms specifikacijoms arba jų dalims, įvardytiems šio straipsnio 1 ir 2 dalyse, preziumuojama, kad atitiktis šio straipsnio 3 ir 4 dalims užtikrinama tiek, kiek tie standartai ir techninės specifikacijos ar jų dalys atitinka taikytinus prieinamumo reikalavimus.</w:t>
                </w:r>
              </w:p>
              <w:p>
                <w:pPr>
                  <w:jc w:val="both"/>
                  <w:rPr>
                    <w:b/>
                    <w:bCs/>
                    <w:color w:val="000000"/>
                    <w:szCs w:val="24"/>
                  </w:rPr>
                </w:pP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26 straipsnis</w:t>
                </w:r>
              </w:p>
              <w:p>
                <w:pPr>
                  <w:jc w:val="both"/>
                  <w:rPr>
                    <w:b/>
                    <w:bCs/>
                    <w:color w:val="000000"/>
                    <w:szCs w:val="24"/>
                  </w:rPr>
                </w:pPr>
                <w:r>
                  <w:rPr>
                    <w:b/>
                    <w:bCs/>
                    <w:color w:val="000000"/>
                    <w:szCs w:val="24"/>
                  </w:rPr>
                  <w:t>Įgaliojimų delegavimas</w:t>
                </w:r>
              </w:p>
              <w:p>
                <w:pPr>
                  <w:jc w:val="both"/>
                  <w:rPr>
                    <w:color w:val="000000"/>
                    <w:szCs w:val="24"/>
                  </w:rPr>
                </w:pPr>
                <w:r>
                  <w:rPr>
                    <w:color w:val="000000"/>
                    <w:szCs w:val="24"/>
                  </w:rPr>
                  <w:t>1.   Įgaliojimai priimti deleguotuosius aktus Komisijai suteikiami šiame straipsnyje nustatytomis sąlygomis.</w:t>
                </w:r>
              </w:p>
              <w:p>
                <w:pPr>
                  <w:jc w:val="both"/>
                  <w:rPr>
                    <w:color w:val="000000"/>
                    <w:szCs w:val="24"/>
                  </w:rPr>
                </w:pPr>
                <w:r>
                  <w:rPr>
                    <w:color w:val="000000"/>
                    <w:szCs w:val="24"/>
                  </w:rPr>
                  <w:t>2.   4 straipsnio 9 dalyje nurodyti įgaliojimai priimti deleguotuosius aktus Komisijai suteikiami neribotam laikotarpiui nuo 2019 m. birželio 27 d.</w:t>
                </w:r>
              </w:p>
              <w:p>
                <w:pPr>
                  <w:jc w:val="both"/>
                  <w:rPr>
                    <w:color w:val="000000"/>
                    <w:szCs w:val="24"/>
                  </w:rPr>
                </w:pPr>
                <w:r>
                  <w:rPr>
                    <w:color w:val="000000"/>
                    <w:szCs w:val="24"/>
                  </w:rPr>
                  <w:t>12 straipsnio 3 dalyje ir 14 straipsnio 7 dalyje nurodyti įgaliojimai priimti deleguotuosius aktus Komisijai suteikiami penkerių metų laikotarpiui nuo 2019 m. birželio 27 d. Likus ne mažiau kaip devyniems mėnesiams iki penkerių metų laikotarpio pabaigos Komisija parengia naudojimosi deleguotaisiais įgaliojimais ataskaitą. Deleguotieji įgaliojimai savaime pratęsiami tokios pačios trukmės laikotarpiams, išskyrus atvejus, kai Europos Parlamentas arba Taryba pareiškia prieštaravimų dėl tokio pratęsimo likus ne mažiau kaip trims mėnesiams iki kiekvieno laikotarpio pabaigos.</w:t>
                </w:r>
              </w:p>
              <w:p>
                <w:pPr>
                  <w:jc w:val="both"/>
                  <w:rPr>
                    <w:color w:val="000000"/>
                    <w:szCs w:val="24"/>
                  </w:rPr>
                </w:pPr>
                <w:r>
                  <w:rPr>
                    <w:color w:val="000000"/>
                    <w:szCs w:val="24"/>
                  </w:rPr>
                  <w:t>3.   Europos Parlamentas arba Taryba gali bet kada atšaukti 4 straipsnio 9 dalyje, 12 straipsnio 3 dalyje ir 14 straipsnio 7 dalyje nurodytus deleguotuosius įgaliojimus. Sprendimu dėl įgaliojimų atšaukimo nutraukiami tame sprendime nurodyti įgaliojimai priimti deleguotuosius aktus. Sprendimas įsigalioja kitą dieną po jo paskelbimo </w:t>
                </w:r>
                <w:r>
                  <w:rPr>
                    <w:i/>
                    <w:iCs/>
                    <w:color w:val="000000"/>
                    <w:szCs w:val="24"/>
                  </w:rPr>
                  <w:t>Europos Sąjungos oficialiajame leidinyje</w:t>
                </w:r>
                <w:r>
                  <w:rPr>
                    <w:color w:val="000000"/>
                    <w:szCs w:val="24"/>
                  </w:rPr>
                  <w:t> arba vėlesnę jame nurodytą dieną. Jis nedaro poveikio jau galiojančių deleguotųjų aktų galiojimui.</w:t>
                </w:r>
              </w:p>
              <w:p>
                <w:pPr>
                  <w:jc w:val="both"/>
                  <w:rPr>
                    <w:color w:val="000000"/>
                    <w:szCs w:val="24"/>
                  </w:rPr>
                </w:pPr>
                <w:r>
                  <w:rPr>
                    <w:color w:val="000000"/>
                    <w:szCs w:val="24"/>
                  </w:rPr>
                  <w:t>4.   Prieš priimdama deleguotąjį aktą Komisija konsultuojasi su kiekvienos valstybės narės paskirtais ekspertais vadovaudamasi 2016 m. balandžio 13 d. Tarpinstituciniame susitarime dėl geresnės teisėkūros nustatytais principais.</w:t>
                </w:r>
              </w:p>
              <w:p>
                <w:pPr>
                  <w:jc w:val="both"/>
                  <w:rPr>
                    <w:color w:val="000000"/>
                    <w:szCs w:val="24"/>
                  </w:rPr>
                </w:pPr>
                <w:r>
                  <w:rPr>
                    <w:color w:val="000000"/>
                    <w:szCs w:val="24"/>
                  </w:rPr>
                  <w:t>5.   Apie priimtą deleguotąjį aktą Komisija nedelsdama vienu metu praneša Europos Parlamentui ir Tarybai.</w:t>
                </w:r>
              </w:p>
              <w:p>
                <w:pPr>
                  <w:jc w:val="both"/>
                  <w:rPr>
                    <w:color w:val="000000"/>
                    <w:szCs w:val="24"/>
                  </w:rPr>
                </w:pPr>
                <w:r>
                  <w:rPr>
                    <w:color w:val="000000"/>
                    <w:szCs w:val="24"/>
                  </w:rPr>
                  <w:t>6.   Pagal 4 straipsnio 9 dalį, 12 straipsnio 3 dalį ir 14 straipsnio 7 dalį priimtas deleguotasis aktas įsigalioja tik tuo atveju, jeigu per du mėnesius nuo pranešimo Europos Parlamentui ir Tarybai apie šį aktą dienos nei Europos Parlamentas, nei Taryba nepareiškia prieštaravimų arba jeigu dar nepasibaigus šiam laikotarpiui ir Europos Parlamentas, ir Taryba praneša Komisijai, kad prieštaravimų nereikš. Europos Parlamento arba Tarybos iniciatyva šis laikotarpis pratęsiamas dviem mėnesiais.</w:t>
                </w:r>
              </w:p>
            </w:tc>
            <w:tc>
              <w:tcPr>
                <w:tcW w:w="7868" w:type="dxa"/>
              </w:tcPr>
              <w:p>
                <w:pPr>
                  <w:jc w:val="both"/>
                  <w:rPr>
                    <w:b/>
                    <w:bCs/>
                    <w:color w:val="000000"/>
                    <w:szCs w:val="24"/>
                  </w:rPr>
                </w:pPr>
                <w:r>
                  <w:rPr>
                    <w:i/>
                    <w:color w:val="000000"/>
                    <w:szCs w:val="24"/>
                  </w:rPr>
                  <w:t>Direktyvos nuostatų perkelti nereikia, nes jos skirtos Komisijai.</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27 straipsnis</w:t>
                </w:r>
              </w:p>
              <w:p>
                <w:pPr>
                  <w:jc w:val="both"/>
                  <w:rPr>
                    <w:b/>
                    <w:bCs/>
                    <w:color w:val="000000"/>
                    <w:szCs w:val="24"/>
                  </w:rPr>
                </w:pPr>
                <w:r>
                  <w:rPr>
                    <w:b/>
                    <w:bCs/>
                    <w:color w:val="000000"/>
                    <w:szCs w:val="24"/>
                  </w:rPr>
                  <w:t>Komiteto procedūra</w:t>
                </w:r>
              </w:p>
              <w:p>
                <w:pPr>
                  <w:jc w:val="both"/>
                  <w:rPr>
                    <w:color w:val="000000"/>
                    <w:szCs w:val="24"/>
                  </w:rPr>
                </w:pPr>
                <w:r>
                  <w:rPr>
                    <w:color w:val="000000"/>
                    <w:szCs w:val="24"/>
                  </w:rPr>
                  <w:t>1.   Komisijai padeda komitetas. Tas komitetas – tai komitetas, kaip nustatyta Reglamente (ES) Nr. 182/2011.</w:t>
                </w:r>
              </w:p>
              <w:p>
                <w:pPr>
                  <w:jc w:val="both"/>
                  <w:rPr>
                    <w:color w:val="000000"/>
                    <w:szCs w:val="24"/>
                  </w:rPr>
                </w:pPr>
                <w:r>
                  <w:rPr>
                    <w:color w:val="000000"/>
                    <w:szCs w:val="24"/>
                  </w:rPr>
                  <w:t>2.   Kai daroma nuoroda į šią dalį, taikomas Reglamento (ES) Nr. 182/2011 5 straipsnis.</w:t>
                </w:r>
              </w:p>
            </w:tc>
            <w:tc>
              <w:tcPr>
                <w:tcW w:w="7868" w:type="dxa"/>
              </w:tcPr>
              <w:p>
                <w:pPr>
                  <w:jc w:val="both"/>
                  <w:rPr>
                    <w:b/>
                    <w:bCs/>
                    <w:color w:val="000000"/>
                    <w:szCs w:val="24"/>
                  </w:rPr>
                </w:pPr>
                <w:r>
                  <w:rPr>
                    <w:i/>
                    <w:color w:val="000000"/>
                    <w:szCs w:val="24"/>
                  </w:rPr>
                  <w:t>Direktyvos nuostatų perkelti nereikia, nes jos skirtos Komisijai.</w:t>
                </w:r>
              </w:p>
            </w:tc>
            <w:tc>
              <w:tcPr>
                <w:tcW w:w="1858" w:type="dxa"/>
              </w:tcPr>
              <w:p>
                <w:pPr>
                  <w:jc w:val="both"/>
                  <w:rPr>
                    <w:b/>
                    <w:bCs/>
                    <w:color w:val="000000"/>
                    <w:szCs w:val="24"/>
                  </w:rPr>
                </w:pPr>
                <w:r>
                  <w:rPr>
                    <w:b/>
                    <w:bCs/>
                    <w:color w:val="000000"/>
                    <w:szCs w:val="24"/>
                  </w:rPr>
                  <w:t>Visiškas</w:t>
                </w:r>
              </w:p>
            </w:tc>
          </w:tr>
          <w:tr>
            <w:trPr>
              <w:trHeight w:val="1975"/>
            </w:trPr>
            <w:tc>
              <w:tcPr>
                <w:tcW w:w="5264" w:type="dxa"/>
              </w:tcPr>
              <w:p>
                <w:pPr>
                  <w:jc w:val="both"/>
                  <w:rPr>
                    <w:b/>
                    <w:bCs/>
                    <w:color w:val="000000"/>
                    <w:szCs w:val="24"/>
                  </w:rPr>
                </w:pPr>
                <w:r>
                  <w:rPr>
                    <w:b/>
                    <w:bCs/>
                    <w:color w:val="000000"/>
                    <w:szCs w:val="24"/>
                  </w:rPr>
                  <w:t>28 straipsnis</w:t>
                </w:r>
              </w:p>
              <w:p>
                <w:pPr>
                  <w:jc w:val="both"/>
                  <w:rPr>
                    <w:b/>
                    <w:bCs/>
                    <w:color w:val="000000"/>
                    <w:szCs w:val="24"/>
                  </w:rPr>
                </w:pPr>
                <w:r>
                  <w:rPr>
                    <w:b/>
                    <w:bCs/>
                    <w:color w:val="000000"/>
                    <w:szCs w:val="24"/>
                  </w:rPr>
                  <w:t>Darbo grupė</w:t>
                </w:r>
              </w:p>
              <w:p>
                <w:pPr>
                  <w:jc w:val="both"/>
                  <w:rPr>
                    <w:color w:val="000000"/>
                    <w:szCs w:val="24"/>
                  </w:rPr>
                </w:pPr>
                <w:r>
                  <w:rPr>
                    <w:color w:val="000000"/>
                    <w:szCs w:val="24"/>
                  </w:rPr>
                  <w:t>Komisija įsteigia darbo grupę, kurią sudaro rinkos priežiūros institucijų, už paslaugų atitikties tikrinimą atsakingų institucijų ir atitinkamų suinteresuotųjų subjektų atstovai, įskaitant neįgaliųjų organizacijų atstovus.</w:t>
                </w:r>
              </w:p>
              <w:p>
                <w:pPr>
                  <w:jc w:val="both"/>
                  <w:rPr>
                    <w:color w:val="000000"/>
                    <w:szCs w:val="24"/>
                  </w:rPr>
                </w:pPr>
                <w:r>
                  <w:rPr>
                    <w:color w:val="000000"/>
                    <w:szCs w:val="24"/>
                  </w:rPr>
                  <w:t>Darbo grupė:</w:t>
                </w:r>
              </w:p>
              <w:tbl>
                <w:tblPr>
                  <w:tblW w:w="5000" w:type="pct"/>
                  <w:shd w:val="clear" w:color="auto" w:fill="FFFFFF"/>
                  <w:tblCellMar>
                    <w:left w:w="0" w:type="dxa"/>
                    <w:right w:w="0" w:type="dxa"/>
                  </w:tblCellMar>
                  <w:tblLook w:val="04A0" w:firstRow="1" w:lastRow="0" w:firstColumn="1" w:lastColumn="0" w:noHBand="0" w:noVBand="1"/>
                </w:tblPr>
                <w:tblGrid>
                  <w:gridCol w:w="196"/>
                  <w:gridCol w:w="4852"/>
                </w:tblGrid>
                <w:tr>
                  <w:tc>
                    <w:tcPr>
                      <w:tcW w:w="209" w:type="dxa"/>
                      <w:shd w:val="clear" w:color="auto" w:fill="FFFFFF"/>
                      <w:hideMark/>
                    </w:tcPr>
                    <w:p>
                      <w:pPr>
                        <w:jc w:val="both"/>
                        <w:rPr>
                          <w:color w:val="000000"/>
                          <w:szCs w:val="24"/>
                        </w:rPr>
                      </w:pPr>
                      <w:r>
                        <w:rPr>
                          <w:color w:val="000000"/>
                          <w:szCs w:val="24"/>
                        </w:rPr>
                        <w:t>a)</w:t>
                      </w:r>
                    </w:p>
                  </w:tc>
                  <w:tc>
                    <w:tcPr>
                      <w:tcW w:w="9151" w:type="dxa"/>
                      <w:shd w:val="clear" w:color="auto" w:fill="FFFFFF"/>
                      <w:hideMark/>
                    </w:tcPr>
                    <w:p>
                      <w:pPr>
                        <w:jc w:val="both"/>
                        <w:rPr>
                          <w:color w:val="000000"/>
                          <w:szCs w:val="24"/>
                        </w:rPr>
                      </w:pPr>
                      <w:r>
                        <w:rPr>
                          <w:color w:val="000000"/>
                          <w:szCs w:val="24"/>
                        </w:rPr>
                        <w:t>sudaro palankesnes sąlygas institucijoms ir atitinkamiems suinteresuotiesiems subjektams keistis informacija ir geriausia praktika;</w:t>
                      </w:r>
                    </w:p>
                  </w:tc>
                </w:tr>
              </w:tbl>
              <w:p>
                <w:pPr>
                  <w:jc w:val="both"/>
                  <w:rPr>
                    <w:vanish/>
                    <w:color w:val="000000"/>
                    <w:szCs w:val="24"/>
                  </w:rPr>
                </w:pPr>
              </w:p>
              <w:tbl>
                <w:tblPr>
                  <w:tblW w:w="5000" w:type="pct"/>
                  <w:shd w:val="clear" w:color="auto" w:fill="FFFFFF"/>
                  <w:tblCellMar>
                    <w:left w:w="0" w:type="dxa"/>
                    <w:right w:w="0" w:type="dxa"/>
                  </w:tblCellMar>
                  <w:tblLook w:val="04A0" w:firstRow="1" w:lastRow="0" w:firstColumn="1" w:lastColumn="0" w:noHBand="0" w:noVBand="1"/>
                </w:tblPr>
                <w:tblGrid>
                  <w:gridCol w:w="210"/>
                  <w:gridCol w:w="4838"/>
                </w:tblGrid>
                <w:tr>
                  <w:tc>
                    <w:tcPr>
                      <w:tcW w:w="224" w:type="dxa"/>
                      <w:shd w:val="clear" w:color="auto" w:fill="FFFFFF"/>
                      <w:hideMark/>
                    </w:tcPr>
                    <w:p>
                      <w:pPr>
                        <w:jc w:val="both"/>
                        <w:rPr>
                          <w:color w:val="000000"/>
                          <w:szCs w:val="24"/>
                        </w:rPr>
                      </w:pPr>
                      <w:r>
                        <w:rPr>
                          <w:color w:val="000000"/>
                          <w:szCs w:val="24"/>
                        </w:rPr>
                        <w:t>b)</w:t>
                      </w:r>
                    </w:p>
                  </w:tc>
                  <w:tc>
                    <w:tcPr>
                      <w:tcW w:w="9136" w:type="dxa"/>
                      <w:shd w:val="clear" w:color="auto" w:fill="FFFFFF"/>
                      <w:hideMark/>
                    </w:tcPr>
                    <w:p>
                      <w:pPr>
                        <w:jc w:val="both"/>
                        <w:rPr>
                          <w:color w:val="000000"/>
                          <w:szCs w:val="24"/>
                        </w:rPr>
                      </w:pPr>
                      <w:r>
                        <w:rPr>
                          <w:color w:val="000000"/>
                          <w:szCs w:val="24"/>
                        </w:rPr>
                        <w:t>skatina institucijų ir atitinkamų suinteresuotųjų subjektų bendradarbiavimą klausimais, susijusiais su šios direktyvos įgyvendinimu, siekiant padidinti šios direktyvos prieinamumo reikalavimų taikymo darnumą ir atidžiai stebėti 14 straipsnio įgyvendinimą, ir</w:t>
                      </w:r>
                    </w:p>
                  </w:tc>
                </w:tr>
              </w:tbl>
              <w:p>
                <w:pPr>
                  <w:jc w:val="both"/>
                  <w:rPr>
                    <w:vanish/>
                    <w:color w:val="000000"/>
                    <w:szCs w:val="24"/>
                  </w:rPr>
                </w:pPr>
              </w:p>
              <w:tbl>
                <w:tblPr>
                  <w:tblW w:w="5000" w:type="pct"/>
                  <w:shd w:val="clear" w:color="auto" w:fill="FFFFFF"/>
                  <w:tblCellMar>
                    <w:left w:w="0" w:type="dxa"/>
                    <w:right w:w="0" w:type="dxa"/>
                  </w:tblCellMar>
                  <w:tblLook w:val="04A0" w:firstRow="1" w:lastRow="0" w:firstColumn="1" w:lastColumn="0" w:noHBand="0" w:noVBand="1"/>
                </w:tblPr>
                <w:tblGrid>
                  <w:gridCol w:w="192"/>
                  <w:gridCol w:w="4856"/>
                </w:tblGrid>
                <w:tr>
                  <w:tc>
                    <w:tcPr>
                      <w:tcW w:w="198" w:type="dxa"/>
                      <w:shd w:val="clear" w:color="auto" w:fill="FFFFFF"/>
                      <w:hideMark/>
                    </w:tcPr>
                    <w:p>
                      <w:pPr>
                        <w:jc w:val="both"/>
                        <w:rPr>
                          <w:color w:val="000000"/>
                          <w:szCs w:val="24"/>
                        </w:rPr>
                      </w:pPr>
                      <w:r>
                        <w:rPr>
                          <w:color w:val="000000"/>
                          <w:szCs w:val="24"/>
                        </w:rPr>
                        <w:t>c)</w:t>
                      </w:r>
                    </w:p>
                  </w:tc>
                  <w:tc>
                    <w:tcPr>
                      <w:tcW w:w="9162" w:type="dxa"/>
                      <w:shd w:val="clear" w:color="auto" w:fill="FFFFFF"/>
                      <w:hideMark/>
                    </w:tcPr>
                    <w:p>
                      <w:pPr>
                        <w:jc w:val="both"/>
                        <w:rPr>
                          <w:color w:val="000000"/>
                          <w:szCs w:val="24"/>
                        </w:rPr>
                      </w:pPr>
                      <w:r>
                        <w:rPr>
                          <w:color w:val="000000"/>
                          <w:szCs w:val="24"/>
                        </w:rPr>
                        <w:t>teikia konsultacijas, visų pirma Komisijai, ypač 4 straipsnio ir 14 straipsnio įgyvendinimo klausimais.</w:t>
                      </w:r>
                    </w:p>
                  </w:tc>
                </w:tr>
              </w:tbl>
              <w:p>
                <w:pPr>
                  <w:jc w:val="both"/>
                  <w:rPr>
                    <w:color w:val="000000"/>
                    <w:szCs w:val="24"/>
                  </w:rPr>
                </w:pPr>
              </w:p>
            </w:tc>
            <w:tc>
              <w:tcPr>
                <w:tcW w:w="7868" w:type="dxa"/>
              </w:tcPr>
              <w:p>
                <w:pPr>
                  <w:jc w:val="both"/>
                  <w:rPr>
                    <w:i/>
                    <w:color w:val="000000"/>
                    <w:szCs w:val="24"/>
                  </w:rPr>
                </w:pPr>
                <w:r>
                  <w:rPr>
                    <w:i/>
                    <w:color w:val="000000"/>
                    <w:szCs w:val="24"/>
                  </w:rPr>
                  <w:t>Direktyvos nuostatų perkelti nereikia, nes jos skirtos Komisijai.</w:t>
                </w:r>
              </w:p>
            </w:tc>
            <w:tc>
              <w:tcPr>
                <w:tcW w:w="1858" w:type="dxa"/>
              </w:tcPr>
              <w:p>
                <w:pPr>
                  <w:jc w:val="both"/>
                  <w:rPr>
                    <w:b/>
                    <w:bCs/>
                    <w:color w:val="000000"/>
                    <w:szCs w:val="24"/>
                  </w:rPr>
                </w:pPr>
                <w:r>
                  <w:rPr>
                    <w:b/>
                    <w:bCs/>
                    <w:color w:val="000000"/>
                    <w:szCs w:val="24"/>
                  </w:rPr>
                  <w:t>Visiškas</w:t>
                </w:r>
              </w:p>
            </w:tc>
          </w:tr>
          <w:tr>
            <w:trPr>
              <w:trHeight w:val="1975"/>
            </w:trPr>
            <w:tc>
              <w:tcPr>
                <w:tcW w:w="5264" w:type="dxa"/>
                <w:shd w:val="clear" w:color="auto" w:fill="auto"/>
              </w:tcPr>
              <w:p>
                <w:pPr>
                  <w:jc w:val="both"/>
                  <w:rPr>
                    <w:b/>
                    <w:bCs/>
                    <w:color w:val="000000"/>
                    <w:szCs w:val="24"/>
                  </w:rPr>
                </w:pPr>
                <w:r>
                  <w:rPr>
                    <w:b/>
                    <w:bCs/>
                    <w:color w:val="000000"/>
                    <w:szCs w:val="24"/>
                  </w:rPr>
                  <w:t>29 straipsnis</w:t>
                </w:r>
              </w:p>
              <w:p>
                <w:pPr>
                  <w:jc w:val="both"/>
                  <w:rPr>
                    <w:b/>
                    <w:bCs/>
                    <w:color w:val="000000"/>
                    <w:szCs w:val="24"/>
                  </w:rPr>
                </w:pPr>
                <w:r>
                  <w:rPr>
                    <w:b/>
                    <w:bCs/>
                    <w:color w:val="000000"/>
                    <w:szCs w:val="24"/>
                  </w:rPr>
                  <w:t>Vykdymo užtikrinimas</w:t>
                </w:r>
              </w:p>
              <w:p>
                <w:pPr>
                  <w:jc w:val="both"/>
                  <w:rPr>
                    <w:color w:val="000000"/>
                    <w:szCs w:val="24"/>
                  </w:rPr>
                </w:pPr>
                <w:r>
                  <w:rPr>
                    <w:color w:val="000000"/>
                    <w:szCs w:val="24"/>
                  </w:rPr>
                  <w:t>1.   Valstybės narės užtikrina, kad būtų imtasi tinkamų ir veiksmingų priemonių užtikrinti, kad būtų vykdomi šios direktyvos reikalavimai.</w:t>
                </w:r>
              </w:p>
              <w:p>
                <w:pPr>
                  <w:jc w:val="both"/>
                  <w:rPr>
                    <w:color w:val="000000"/>
                    <w:szCs w:val="24"/>
                  </w:rPr>
                </w:pPr>
                <w:r>
                  <w:rPr>
                    <w:color w:val="000000"/>
                    <w:szCs w:val="24"/>
                  </w:rPr>
                  <w:t>2.   1 dalyje nurodytas priemones sudaro:</w:t>
                </w:r>
              </w:p>
              <w:tbl>
                <w:tblPr>
                  <w:tblW w:w="5000" w:type="pct"/>
                  <w:tblCellMar>
                    <w:left w:w="0" w:type="dxa"/>
                    <w:right w:w="0" w:type="dxa"/>
                  </w:tblCellMar>
                  <w:tblLook w:val="04A0" w:firstRow="1" w:lastRow="0" w:firstColumn="1" w:lastColumn="0" w:noHBand="0" w:noVBand="1"/>
                </w:tblPr>
                <w:tblGrid>
                  <w:gridCol w:w="197"/>
                  <w:gridCol w:w="4851"/>
                </w:tblGrid>
                <w:tr>
                  <w:tc>
                    <w:tcPr>
                      <w:tcW w:w="209" w:type="dxa"/>
                      <w:shd w:val="clear" w:color="auto" w:fill="auto"/>
                      <w:hideMark/>
                    </w:tcPr>
                    <w:p>
                      <w:pPr>
                        <w:jc w:val="both"/>
                        <w:rPr>
                          <w:color w:val="000000"/>
                          <w:szCs w:val="24"/>
                        </w:rPr>
                      </w:pPr>
                      <w:r>
                        <w:rPr>
                          <w:color w:val="000000"/>
                          <w:szCs w:val="24"/>
                        </w:rPr>
                        <w:t>a)</w:t>
                      </w:r>
                    </w:p>
                  </w:tc>
                  <w:tc>
                    <w:tcPr>
                      <w:tcW w:w="9151" w:type="dxa"/>
                      <w:shd w:val="clear" w:color="auto" w:fill="auto"/>
                      <w:hideMark/>
                    </w:tcPr>
                    <w:p>
                      <w:pPr>
                        <w:jc w:val="both"/>
                        <w:rPr>
                          <w:color w:val="000000"/>
                          <w:szCs w:val="24"/>
                        </w:rPr>
                      </w:pPr>
                      <w:r>
                        <w:rPr>
                          <w:color w:val="000000"/>
                          <w:szCs w:val="24"/>
                        </w:rPr>
                        <w:t>nuostatos, pagal kurias vartotojas gali pagal nacionalinę teisę kreiptis į teismus arba kompetentingas administracines įstaigas, kad būtų užtikrintas nuostatų, kuriomis ši direktyva perkeliama į nacionalinę teisę, laikymasis;</w:t>
                      </w:r>
                    </w:p>
                  </w:tc>
                </w:tr>
              </w:tbl>
              <w:p>
                <w:pPr>
                  <w:jc w:val="both"/>
                  <w:rPr>
                    <w:vanish/>
                    <w:color w:val="000000"/>
                    <w:szCs w:val="24"/>
                  </w:rPr>
                </w:pPr>
              </w:p>
              <w:tbl>
                <w:tblPr>
                  <w:tblW w:w="5000" w:type="pct"/>
                  <w:tblCellMar>
                    <w:left w:w="0" w:type="dxa"/>
                    <w:right w:w="0" w:type="dxa"/>
                  </w:tblCellMar>
                  <w:tblLook w:val="04A0" w:firstRow="1" w:lastRow="0" w:firstColumn="1" w:lastColumn="0" w:noHBand="0" w:noVBand="1"/>
                </w:tblPr>
                <w:tblGrid>
                  <w:gridCol w:w="210"/>
                  <w:gridCol w:w="4838"/>
                </w:tblGrid>
                <w:tr>
                  <w:tc>
                    <w:tcPr>
                      <w:tcW w:w="224" w:type="dxa"/>
                      <w:shd w:val="clear" w:color="auto" w:fill="auto"/>
                      <w:hideMark/>
                    </w:tcPr>
                    <w:p>
                      <w:pPr>
                        <w:jc w:val="both"/>
                        <w:rPr>
                          <w:color w:val="000000"/>
                          <w:szCs w:val="24"/>
                        </w:rPr>
                      </w:pPr>
                      <w:r>
                        <w:rPr>
                          <w:color w:val="000000"/>
                          <w:szCs w:val="24"/>
                        </w:rPr>
                        <w:t>b)</w:t>
                      </w:r>
                    </w:p>
                  </w:tc>
                  <w:tc>
                    <w:tcPr>
                      <w:tcW w:w="9136" w:type="dxa"/>
                      <w:shd w:val="clear" w:color="auto" w:fill="auto"/>
                      <w:hideMark/>
                    </w:tcPr>
                    <w:p>
                      <w:pPr>
                        <w:jc w:val="both"/>
                        <w:rPr>
                          <w:color w:val="000000"/>
                          <w:szCs w:val="24"/>
                        </w:rPr>
                      </w:pPr>
                      <w:r>
                        <w:rPr>
                          <w:color w:val="000000"/>
                          <w:szCs w:val="24"/>
                        </w:rPr>
                        <w:t>nuostatos, pagal kurias viešojo sektoriaus įstaigos ar privačios asociacijos, organizacijos arba kiti juridiniai subjektai, kurie yra teisėtai suinteresuoti, kad būtų užtikrintas šios direktyvos laikymasis, pagal nacionalinę teisę skundo pateikėjo vardu arba, jam sutikus, jį remdami gali dalyvauti teismuose arba kompetentingose administracinėse įstaigose vykstančiame bet kokiame teismo procese arba administracinėje procedūroje, numatytuose siekiant užtikrinti šioje direktyvoje nustatytų pareigų vykdymą.</w:t>
                      </w:r>
                    </w:p>
                  </w:tc>
                </w:tr>
              </w:tbl>
              <w:p>
                <w:pPr>
                  <w:jc w:val="both"/>
                  <w:rPr>
                    <w:color w:val="000000"/>
                    <w:szCs w:val="24"/>
                  </w:rPr>
                </w:pPr>
                <w:r>
                  <w:rPr>
                    <w:color w:val="000000"/>
                    <w:szCs w:val="24"/>
                  </w:rPr>
                  <w:t>3.   Šis straipsnis netaikomas viešųjų pirkimų procedūroms, kurioms taikoma Direktyva 2014/24/ES arba Direktyva 2014/25/ES.</w:t>
                </w:r>
              </w:p>
              <w:p>
                <w:pPr>
                  <w:jc w:val="both"/>
                  <w:rPr>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iCs/>
                    <w:color w:val="000000"/>
                    <w:szCs w:val="24"/>
                  </w:rPr>
                </w:pPr>
              </w:p>
              <w:p>
                <w:pPr>
                  <w:jc w:val="both"/>
                  <w:rPr>
                    <w:b/>
                    <w:bCs/>
                    <w:szCs w:val="24"/>
                  </w:rPr>
                </w:pPr>
                <w:r>
                  <w:rPr>
                    <w:b/>
                    <w:bCs/>
                    <w:szCs w:val="24"/>
                  </w:rPr>
                  <w:t>26 straipsnis. Šio įstatymo pažeidimų nagrinėjimo tvarka</w:t>
                </w:r>
              </w:p>
              <w:p>
                <w:pPr>
                  <w:jc w:val="both"/>
                  <w:rPr>
                    <w:szCs w:val="24"/>
                  </w:rPr>
                </w:pPr>
                <w:r>
                  <w:rPr>
                    <w:szCs w:val="24"/>
                  </w:rPr>
                  <w:t>1. Rinkos priežiūros institucija nagrinėja šio įstatymo pažeidimus ir skiria šiame įstatyme nustatytas baudas ar įspėjimus. Šio įstatymo pažeidimų nagrinėjimo ir atsakomybės taikymo taisykles tvirtina atitinkamos rinkos priežiūros institucijos.</w:t>
                </w:r>
              </w:p>
              <w:p>
                <w:pPr>
                  <w:jc w:val="both"/>
                  <w:rPr>
                    <w:szCs w:val="24"/>
                  </w:rPr>
                </w:pPr>
                <w:r>
                  <w:rPr>
                    <w:szCs w:val="24"/>
                  </w:rPr>
                  <w:t>2. Šio straipsnio 1 dalyje nurodyta pažeidimo nagrinėjimo procedūra pradedama:</w:t>
                </w:r>
              </w:p>
              <w:p>
                <w:pPr>
                  <w:jc w:val="both"/>
                  <w:rPr>
                    <w:szCs w:val="24"/>
                  </w:rPr>
                </w:pPr>
                <w:r>
                  <w:rPr>
                    <w:szCs w:val="24"/>
                  </w:rPr>
                  <w:t>1) gavus vartotojo, galutinio naudotojo, valstybės ar savivaldybių institucijos ar įstaigos, vartotojų asociacijos ar kito suinteresuoto asmens skundą;</w:t>
                </w:r>
              </w:p>
              <w:p>
                <w:pPr>
                  <w:jc w:val="both"/>
                  <w:rPr>
                    <w:szCs w:val="24"/>
                  </w:rPr>
                </w:pPr>
                <w:r>
                  <w:rPr>
                    <w:szCs w:val="24"/>
                  </w:rPr>
                  <w:t>2) rinkos priežiūros institucijos iniciatyva priėmus sprendimą, jeigu ji nustato pakankamai duomenų apie galimą vartotojų teisių pažeidimą.</w:t>
                </w:r>
              </w:p>
              <w:p>
                <w:pPr>
                  <w:jc w:val="both"/>
                  <w:rPr>
                    <w:iCs/>
                    <w:color w:val="000000"/>
                    <w:szCs w:val="24"/>
                  </w:rPr>
                </w:pPr>
              </w:p>
              <w:p>
                <w:pPr>
                  <w:jc w:val="both"/>
                  <w:rPr>
                    <w:b/>
                    <w:bCs/>
                    <w:iCs/>
                    <w:color w:val="000000"/>
                    <w:szCs w:val="24"/>
                  </w:rPr>
                </w:pPr>
                <w:r>
                  <w:rPr>
                    <w:b/>
                    <w:bCs/>
                    <w:iCs/>
                    <w:color w:val="000000"/>
                    <w:szCs w:val="24"/>
                  </w:rPr>
                  <w:t>CPK</w:t>
                </w:r>
              </w:p>
              <w:p>
                <w:pPr>
                  <w:jc w:val="both"/>
                  <w:rPr>
                    <w:iCs/>
                    <w:color w:val="000000"/>
                    <w:szCs w:val="24"/>
                  </w:rPr>
                </w:pPr>
              </w:p>
              <w:p>
                <w:pPr>
                  <w:jc w:val="both"/>
                  <w:rPr>
                    <w:iCs/>
                    <w:color w:val="000000"/>
                    <w:szCs w:val="24"/>
                  </w:rPr>
                </w:pPr>
                <w:r>
                  <w:rPr>
                    <w:b/>
                    <w:bCs/>
                    <w:iCs/>
                    <w:color w:val="000000"/>
                    <w:szCs w:val="24"/>
                  </w:rPr>
                  <w:t>5 straipsnis. Teisė kreiptis į teismą teisminės gynybos</w:t>
                </w:r>
              </w:p>
              <w:p>
                <w:pPr>
                  <w:jc w:val="both"/>
                  <w:rPr>
                    <w:iCs/>
                    <w:color w:val="000000"/>
                    <w:szCs w:val="24"/>
                  </w:rPr>
                </w:pPr>
                <w:r>
                  <w:rPr>
                    <w:iCs/>
                    <w:color w:val="000000"/>
                    <w:szCs w:val="24"/>
                  </w:rPr>
                  <w:t>1. Kiekvienas suinteresuotas asmuo turi teisę įstatymų nustatyta tvarka kreiptis į teismą, kad būtų apginta pažeista ar ginčijama jo teisė arba įstatymų saugomas interesas.</w:t>
                </w:r>
              </w:p>
            </w:tc>
            <w:tc>
              <w:tcPr>
                <w:tcW w:w="1858" w:type="dxa"/>
                <w:shd w:val="clear" w:color="auto" w:fill="auto"/>
              </w:tcPr>
              <w:p>
                <w:pPr>
                  <w:jc w:val="both"/>
                  <w:rPr>
                    <w:b/>
                    <w:bCs/>
                    <w:color w:val="000000"/>
                    <w:szCs w:val="24"/>
                  </w:rPr>
                </w:pPr>
                <w:r>
                  <w:rPr>
                    <w:b/>
                    <w:bCs/>
                    <w:color w:val="000000"/>
                    <w:szCs w:val="24"/>
                  </w:rPr>
                  <w:t>Visiškas</w:t>
                </w:r>
              </w:p>
            </w:tc>
          </w:tr>
          <w:tr>
            <w:trPr>
              <w:trHeight w:val="1124"/>
            </w:trPr>
            <w:tc>
              <w:tcPr>
                <w:tcW w:w="5264" w:type="dxa"/>
                <w:shd w:val="clear" w:color="auto" w:fill="auto"/>
              </w:tcPr>
              <w:p>
                <w:pPr>
                  <w:jc w:val="both"/>
                  <w:rPr>
                    <w:i/>
                    <w:iCs/>
                    <w:color w:val="000000"/>
                    <w:szCs w:val="24"/>
                  </w:rPr>
                </w:pPr>
                <w:r>
                  <w:rPr>
                    <w:i/>
                    <w:iCs/>
                    <w:color w:val="000000"/>
                    <w:szCs w:val="24"/>
                  </w:rPr>
                  <w:t>30 straipsnis</w:t>
                </w:r>
              </w:p>
              <w:p>
                <w:pPr>
                  <w:jc w:val="both"/>
                  <w:rPr>
                    <w:b/>
                    <w:bCs/>
                    <w:color w:val="000000"/>
                    <w:szCs w:val="24"/>
                  </w:rPr>
                </w:pPr>
                <w:r>
                  <w:rPr>
                    <w:b/>
                    <w:bCs/>
                    <w:color w:val="000000"/>
                    <w:szCs w:val="24"/>
                  </w:rPr>
                  <w:t>Sankcijos</w:t>
                </w:r>
              </w:p>
              <w:p>
                <w:pPr>
                  <w:jc w:val="both"/>
                  <w:rPr>
                    <w:color w:val="000000"/>
                    <w:szCs w:val="24"/>
                  </w:rPr>
                </w:pPr>
                <w:r>
                  <w:rPr>
                    <w:color w:val="000000"/>
                    <w:szCs w:val="24"/>
                  </w:rPr>
                  <w:t>1.   Valstybės narės nustato taisykles dėl sankcijų, taikomų pažeidus pagal šią direktyvą priimtas nacionalines nuostatas ir imasi visų būtinų priemonių užtikrinti, kad tos sankcijos būtų įgyvendinamos.</w:t>
                </w:r>
              </w:p>
              <w:p>
                <w:pPr>
                  <w:jc w:val="both"/>
                  <w:rPr>
                    <w:color w:val="000000"/>
                    <w:szCs w:val="24"/>
                  </w:rPr>
                </w:pPr>
                <w:r>
                  <w:rPr>
                    <w:color w:val="000000"/>
                    <w:szCs w:val="24"/>
                  </w:rPr>
                  <w:t>2.   Numatytos sankcijos turi būti veiksmingos, proporcingos ir atgrasomos. Tuo atveju, kai ekonominės veiklos vykdytojas nesilaiko reikalavimų, tas sankcijas taip pat turėtų papildyti veiksmingi taisomieji veiksmai.</w:t>
                </w:r>
              </w:p>
              <w:p>
                <w:pPr>
                  <w:jc w:val="both"/>
                  <w:rPr>
                    <w:color w:val="000000"/>
                    <w:szCs w:val="24"/>
                  </w:rPr>
                </w:pPr>
                <w:r>
                  <w:rPr>
                    <w:color w:val="000000"/>
                    <w:szCs w:val="24"/>
                  </w:rPr>
                  <w:t>3.   Valstybės narės nedelsdamos praneša apie tas taisykles ir tas priemones Komisijai ir nedelsdamos jai praneša apie visus vėlesnius joms įtakos turinčius pakeitimus.</w:t>
                </w:r>
              </w:p>
              <w:p>
                <w:pPr>
                  <w:jc w:val="both"/>
                  <w:rPr>
                    <w:color w:val="000000"/>
                    <w:szCs w:val="24"/>
                  </w:rPr>
                </w:pPr>
                <w:r>
                  <w:rPr>
                    <w:color w:val="000000"/>
                    <w:szCs w:val="24"/>
                  </w:rPr>
                  <w:t>4.   Skiriant sankcijas atsižvelgiama į reikalavimų nesilaikymo mastą, įskaitant jo rimtumą, ir į reikalavimų neatitinkančių atitinkamų gaminių arba paslaugų vienetų skaičių, taip pat į poveikį patiriančių asmenų skaičių.</w:t>
                </w:r>
              </w:p>
              <w:p>
                <w:pPr>
                  <w:jc w:val="both"/>
                  <w:rPr>
                    <w:color w:val="000000"/>
                    <w:szCs w:val="24"/>
                  </w:rPr>
                </w:pPr>
                <w:r>
                  <w:rPr>
                    <w:color w:val="000000"/>
                    <w:szCs w:val="24"/>
                  </w:rPr>
                  <w:t>5.   Šis straipsnis netaikomas viešųjų pirkimų procedūroms, kurioms taikoma Direktyva 2014/24/ES arba Direktyva 2014/25/ES.</w:t>
                </w:r>
              </w:p>
              <w:p>
                <w:pPr>
                  <w:jc w:val="both"/>
                  <w:rPr>
                    <w:color w:val="000000"/>
                    <w:szCs w:val="24"/>
                  </w:rPr>
                </w:pPr>
              </w:p>
            </w:tc>
            <w:tc>
              <w:tcPr>
                <w:tcW w:w="7868" w:type="dxa"/>
                <w:shd w:val="clear" w:color="auto" w:fill="auto"/>
              </w:tcPr>
              <w:p>
                <w:pPr>
                  <w:jc w:val="both"/>
                  <w:rPr>
                    <w:b/>
                    <w:bCs/>
                    <w:iCs/>
                    <w:color w:val="000000"/>
                    <w:szCs w:val="24"/>
                  </w:rPr>
                </w:pPr>
                <w:r>
                  <w:rPr>
                    <w:b/>
                    <w:bCs/>
                    <w:iCs/>
                    <w:color w:val="000000"/>
                    <w:szCs w:val="24"/>
                  </w:rPr>
                  <w:t>Projektas</w:t>
                </w:r>
              </w:p>
              <w:p>
                <w:pPr>
                  <w:jc w:val="both"/>
                  <w:rPr>
                    <w:i/>
                    <w:color w:val="000000"/>
                    <w:szCs w:val="24"/>
                  </w:rPr>
                </w:pPr>
              </w:p>
              <w:p>
                <w:pPr>
                  <w:jc w:val="both"/>
                  <w:rPr>
                    <w:b/>
                    <w:bCs/>
                    <w:szCs w:val="24"/>
                  </w:rPr>
                </w:pPr>
                <w:r>
                  <w:rPr>
                    <w:b/>
                    <w:bCs/>
                    <w:szCs w:val="24"/>
                  </w:rPr>
                  <w:t>22 straipsnis. Atsakomybė už šio įstatymo pažeidimus</w:t>
                </w:r>
              </w:p>
              <w:p>
                <w:pPr>
                  <w:jc w:val="both"/>
                  <w:rPr>
                    <w:szCs w:val="24"/>
                  </w:rPr>
                </w:pPr>
                <w:r>
                  <w:rPr>
                    <w:szCs w:val="24"/>
                  </w:rPr>
                  <w:t>Ekonominės veiklos vykdytojai, pažeidę šio įstatymo reikalavimus, atsako šio įstatymo nustatyta tvarka.</w:t>
                </w:r>
              </w:p>
              <w:p>
                <w:pPr>
                  <w:jc w:val="both"/>
                  <w:rPr>
                    <w:iCs/>
                    <w:color w:val="000000"/>
                    <w:szCs w:val="24"/>
                  </w:rPr>
                </w:pPr>
              </w:p>
              <w:p>
                <w:pPr>
                  <w:jc w:val="both"/>
                  <w:rPr>
                    <w:b/>
                    <w:bCs/>
                    <w:szCs w:val="24"/>
                  </w:rPr>
                </w:pPr>
                <w:r>
                  <w:rPr>
                    <w:b/>
                    <w:bCs/>
                    <w:szCs w:val="24"/>
                  </w:rPr>
                  <w:t>23 straipsnis. Baudos ir įspėjimas už šio įstatymo pažeidimus</w:t>
                </w:r>
              </w:p>
              <w:p>
                <w:pPr>
                  <w:jc w:val="both"/>
                  <w:rPr>
                    <w:szCs w:val="24"/>
                  </w:rPr>
                </w:pPr>
                <w:r>
                  <w:rPr>
                    <w:szCs w:val="24"/>
                  </w:rPr>
                  <w:t>1. Ekonominės veiklos vykdytojui, pateikusiam rinkai prieinamumo reikalavimų neatitinkantį gaminį, suteikusiam ar teikiančiam prieinamumo reikalavimų neatitinkančią paslaugą skiriama nuo 500 iki 2 500 eurų bauda.</w:t>
                </w:r>
              </w:p>
              <w:p>
                <w:pPr>
                  <w:jc w:val="both"/>
                  <w:rPr>
                    <w:szCs w:val="24"/>
                  </w:rPr>
                </w:pPr>
                <w:r>
                  <w:rPr>
                    <w:szCs w:val="24"/>
                  </w:rPr>
                  <w:t>2. Ekonominės veiklos vykdytojui, nepaisančiam rinkos priežiūros institucijos draudimo pateikti ir tiekti rinkai prieinamumo reikalavimų neatitinkančius gaminius, jei rinkos priežiūros institucija uždraudė prieinamumo reikalavimų neatitinkančių gaminių pateikimą ir tiekimą rinkai, ar reikalavimo prieinamumo reikalavimų neatitinkantį gaminį pašalinti iš rinkos, susigrąžinti prieinamumo reikalavimų neatitinkantį gaminį iš vartotojų ir (ar) galutinių naudotojų ir (arba) jį sunaikinti, jei rinkos priežiūros institucija nurodė prieinamumo reikalavimų neatitinkantį gaminį iš vartotojų ir (ar) galutinių naudotojų susigrąžinti ir (arba) jį sunaikinti, arba toliau teikiančiam prieinamumo reikalavimų neatitinkančią paslaugą, jei rinkos priežiūros institucija nurodė nebeteikti paslaugos, skiriama nuo 1 000 iki 6 500 eurų bauda.</w:t>
                </w:r>
              </w:p>
              <w:p>
                <w:pPr>
                  <w:jc w:val="both"/>
                  <w:rPr>
                    <w:szCs w:val="24"/>
                  </w:rPr>
                </w:pPr>
                <w:r>
                  <w:rPr>
                    <w:szCs w:val="24"/>
                  </w:rPr>
                  <w:t>3. Jeigu prieinamumo reikalavimų neatitinkantys gaminiai ar paslaugos padarė žalos vartotojo ir (ar) galutinio naudotojo sveikatai, juos rinkai teikusiems, pateikusiems ir tiekusiems ekonominės veiklos vykdytojams skiriama nuo 2 500 iki 15 000 eurų bauda.</w:t>
                </w:r>
              </w:p>
              <w:p>
                <w:pPr>
                  <w:jc w:val="both"/>
                  <w:rPr>
                    <w:szCs w:val="24"/>
                  </w:rPr>
                </w:pPr>
                <w:r>
                  <w:rPr>
                    <w:szCs w:val="24"/>
                  </w:rPr>
                  <w:t>4. Skiriamos baudos dydis nustatomas pagal mažiausios ir didžiausios baudos vidurkį. Skiriant konkrečią baudą, atsižvelgiama į šio įstatymo 24 straipsnyje nurodytas atsakomybę lengvinančias ar sunkinančias aplinkybes, pažeidimo pobūdį, trukmę ir mastą. Jei yra atsakomybę lengvinančių aplinkybių, bauda mažinama nuo jos vidurkio iki minimalaus dydžio, jei yra atsakomybę sunkinančių aplinkybių – didinama nuo jos vidurkio iki maksimalaus dydžio. Jei yra ir atsakomybę lengvinančių, ir sunkinančių aplinkybių, bauda skiriama atsižvelgiant į jų kiekį ir reikšmingumą. Baudos dydžio mažinimas ar didinimas turi būti motyvuojamas rinkos priežiūros institucijos nutarime.</w:t>
                </w:r>
              </w:p>
              <w:p>
                <w:pPr>
                  <w:jc w:val="both"/>
                  <w:rPr>
                    <w:szCs w:val="24"/>
                  </w:rPr>
                </w:pPr>
                <w:r>
                  <w:rPr>
                    <w:szCs w:val="24"/>
                  </w:rPr>
                  <w:t>5. Baudos skyrimas neatleidžia ekonominės veiklos vykdytojo nuo pareigos atlyginti vartotojams ir (ar) galutiniams naudotojams padarytą turtinę ar neturtinę žalą ir (ar) prieinamumo reikalavimų neatitinkančius gaminius pašalinti iš rinkos, ir (ar) nebeteikti prieinamumo reikalavimų neatitinkančių paslaugų, kol bus užtikrinta, kad šie gaminiai ir (ar) paslaugos atitinka taikomus prieinamumo reikalavimus.</w:t>
                </w:r>
              </w:p>
              <w:p>
                <w:pPr>
                  <w:jc w:val="both"/>
                  <w:rPr>
                    <w:szCs w:val="24"/>
                  </w:rPr>
                </w:pPr>
                <w:r>
                  <w:rPr>
                    <w:szCs w:val="24"/>
                  </w:rPr>
                  <w:t>6. Jeigu rinkai pateiktas ir tiekiamas prieinamumo reikalavimų neatitinkantis gaminys nebuvo perduotas vartotojams ir (ar) galutiniams naudotojams ir šį gaminį iš rinkos savanoriškai pašalina pats jį pateikęs ir (arba) tiekęs ekonominės veiklos vykdytojas, už šio straipsnio 1 dalyje nurodytą pažeidimą jam gali būti skiriamas įspėjimas.</w:t>
                </w:r>
              </w:p>
              <w:p>
                <w:pPr>
                  <w:jc w:val="both"/>
                  <w:rPr>
                    <w:szCs w:val="24"/>
                  </w:rPr>
                </w:pPr>
              </w:p>
              <w:p>
                <w:pPr>
                  <w:jc w:val="both"/>
                  <w:rPr>
                    <w:b/>
                    <w:bCs/>
                    <w:szCs w:val="24"/>
                  </w:rPr>
                </w:pPr>
                <w:r>
                  <w:rPr>
                    <w:b/>
                    <w:bCs/>
                    <w:szCs w:val="24"/>
                  </w:rPr>
                  <w:t>24 straipsnis. Atsakomybę lengvinančios ir sunkinančios aplinkybės</w:t>
                </w:r>
              </w:p>
              <w:p>
                <w:pPr>
                  <w:jc w:val="both"/>
                  <w:rPr>
                    <w:szCs w:val="24"/>
                  </w:rPr>
                </w:pPr>
                <w:r>
                  <w:rPr>
                    <w:szCs w:val="24"/>
                  </w:rPr>
                  <w:t>1. Skiriant baudą atsakomybę lengvinančios aplinkybės yra šios:</w:t>
                </w:r>
              </w:p>
              <w:p>
                <w:pPr>
                  <w:jc w:val="both"/>
                  <w:rPr>
                    <w:szCs w:val="24"/>
                  </w:rPr>
                </w:pPr>
                <w:r>
                  <w:rPr>
                    <w:szCs w:val="24"/>
                  </w:rPr>
                  <w:t>1) pažeidėjas savo noru užkirto kelią žalingoms pažeidimo pasekmėms;</w:t>
                </w:r>
              </w:p>
              <w:p>
                <w:pPr>
                  <w:jc w:val="both"/>
                  <w:rPr>
                    <w:szCs w:val="24"/>
                  </w:rPr>
                </w:pPr>
                <w:r>
                  <w:rPr>
                    <w:szCs w:val="24"/>
                  </w:rPr>
                  <w:t>2) pažeidėjas savo noru atlygino vartotojams ir (ar) galutiniams naudotojams padarytus nuostolius ir (ar) pašalino padarytą žalą.</w:t>
                </w:r>
              </w:p>
              <w:p>
                <w:pPr>
                  <w:jc w:val="both"/>
                  <w:rPr>
                    <w:szCs w:val="24"/>
                  </w:rPr>
                </w:pPr>
                <w:r>
                  <w:rPr>
                    <w:szCs w:val="24"/>
                  </w:rPr>
                  <w:t>2. Skiriant baudą atsakomybę sunkinančios aplinkybės yra šios:</w:t>
                </w:r>
              </w:p>
              <w:p>
                <w:pPr>
                  <w:jc w:val="both"/>
                  <w:rPr>
                    <w:szCs w:val="24"/>
                  </w:rPr>
                </w:pPr>
                <w:r>
                  <w:rPr>
                    <w:szCs w:val="24"/>
                  </w:rPr>
                  <w:t>1) toks pat šio įstatymo ir jo įgyvendinamųjų teisės aktų pažeidimas padarytas pakartotinai nepraėjus vieniems metams nuo rinkos priežiūros institucijos nutarimo dėl ankstesnio šio įstatymo pažeidimo įsigaliojimo dienos;</w:t>
                </w:r>
              </w:p>
              <w:p>
                <w:pPr>
                  <w:jc w:val="both"/>
                  <w:rPr>
                    <w:szCs w:val="24"/>
                  </w:rPr>
                </w:pPr>
                <w:r>
                  <w:rPr>
                    <w:szCs w:val="24"/>
                  </w:rPr>
                  <w:t>2) pažeidėjas trukdo atlikti tyrimą ar slepia padarytą pažeidimą.</w:t>
                </w:r>
              </w:p>
              <w:p>
                <w:pPr>
                  <w:jc w:val="both"/>
                  <w:rPr>
                    <w:szCs w:val="24"/>
                  </w:rPr>
                </w:pPr>
              </w:p>
            </w:tc>
            <w:tc>
              <w:tcPr>
                <w:tcW w:w="1858" w:type="dxa"/>
                <w:shd w:val="clear" w:color="auto" w:fill="auto"/>
              </w:tcPr>
              <w:p>
                <w:pPr>
                  <w:jc w:val="both"/>
                  <w:rPr>
                    <w:b/>
                    <w:bCs/>
                    <w:color w:val="000000"/>
                    <w:szCs w:val="24"/>
                  </w:rPr>
                </w:pPr>
                <w:r>
                  <w:rPr>
                    <w:b/>
                    <w:bCs/>
                    <w:color w:val="000000"/>
                    <w:szCs w:val="24"/>
                  </w:rPr>
                  <w:t>Visiškas</w:t>
                </w:r>
              </w:p>
            </w:tc>
          </w:tr>
          <w:tr>
            <w:trPr>
              <w:trHeight w:val="558"/>
            </w:trPr>
            <w:tc>
              <w:tcPr>
                <w:tcW w:w="5264" w:type="dxa"/>
              </w:tcPr>
              <w:p>
                <w:pPr>
                  <w:jc w:val="both"/>
                  <w:rPr>
                    <w:b/>
                    <w:bCs/>
                    <w:color w:val="000000"/>
                    <w:szCs w:val="24"/>
                  </w:rPr>
                </w:pPr>
                <w:r>
                  <w:rPr>
                    <w:b/>
                    <w:bCs/>
                    <w:color w:val="000000"/>
                    <w:szCs w:val="24"/>
                  </w:rPr>
                  <w:t>31 straipsnis</w:t>
                </w:r>
              </w:p>
              <w:p>
                <w:pPr>
                  <w:jc w:val="both"/>
                  <w:rPr>
                    <w:b/>
                    <w:bCs/>
                    <w:color w:val="000000"/>
                    <w:szCs w:val="24"/>
                  </w:rPr>
                </w:pPr>
                <w:r>
                  <w:rPr>
                    <w:b/>
                    <w:bCs/>
                    <w:color w:val="000000"/>
                    <w:szCs w:val="24"/>
                  </w:rPr>
                  <w:t>Perkėlimas į nacionalinę teisę</w:t>
                </w:r>
              </w:p>
              <w:p>
                <w:pPr>
                  <w:jc w:val="both"/>
                  <w:rPr>
                    <w:color w:val="000000"/>
                    <w:szCs w:val="24"/>
                  </w:rPr>
                </w:pPr>
                <w:r>
                  <w:rPr>
                    <w:color w:val="000000"/>
                    <w:szCs w:val="24"/>
                  </w:rPr>
                  <w:t>1.   Valstybės narės ne vėliau kaip 2022 m. birželio 28 d. priima ir paskelbia įstatymus ir kitus teisės aktus, būtinus, kad būtų laikomasi šios direktyvos. Jos nedelsdamos pateikia Komisijai tų teisės aktų nuostatų tekstą.</w:t>
                </w:r>
              </w:p>
              <w:p>
                <w:pPr>
                  <w:jc w:val="both"/>
                  <w:rPr>
                    <w:color w:val="000000"/>
                    <w:szCs w:val="24"/>
                  </w:rPr>
                </w:pPr>
                <w:r>
                  <w:rPr>
                    <w:color w:val="000000"/>
                    <w:szCs w:val="24"/>
                  </w:rPr>
                  <w:t>2.   Tas nuostatas jos taiko nuo 2025 m. birželio 28 d.</w:t>
                </w:r>
              </w:p>
              <w:p>
                <w:pPr>
                  <w:jc w:val="both"/>
                  <w:rPr>
                    <w:color w:val="000000"/>
                    <w:szCs w:val="24"/>
                  </w:rPr>
                </w:pPr>
                <w:r>
                  <w:rPr>
                    <w:color w:val="000000"/>
                    <w:szCs w:val="24"/>
                  </w:rPr>
                  <w:t>3.   Nukrypstant nuo šio straipsnio 2 dalies, valstybės narės gali nuspręsti nuostatas dėl 4 straipsnio 8 dalyje išdėstytų pareigų taikyti ne vėliau kaip nuo 2027 m. birželio 28 d.</w:t>
                </w:r>
              </w:p>
              <w:p>
                <w:pPr>
                  <w:jc w:val="both"/>
                  <w:rPr>
                    <w:color w:val="000000"/>
                    <w:szCs w:val="24"/>
                  </w:rPr>
                </w:pPr>
                <w:r>
                  <w:rPr>
                    <w:color w:val="000000"/>
                    <w:szCs w:val="24"/>
                  </w:rPr>
                  <w:t>4.   Valstybės narės, priimdamos tas nuostatas, daro jose nuorodą į šią direktyvą arba tokia nuoroda daroma jas oficialiai skelbiant. Nuorodos darymo tvarką nustato valstybės narės.</w:t>
                </w:r>
              </w:p>
              <w:p>
                <w:pPr>
                  <w:jc w:val="both"/>
                  <w:rPr>
                    <w:color w:val="000000"/>
                    <w:szCs w:val="24"/>
                  </w:rPr>
                </w:pPr>
                <w:r>
                  <w:rPr>
                    <w:color w:val="000000"/>
                    <w:szCs w:val="24"/>
                  </w:rPr>
                  <w:t>5.   Valstybės narės pateikia Komisijai šios direktyvos taikymo srityje priimtų nacionalinės teisės aktų pagrindinių nuostatų tekstus.</w:t>
                </w:r>
              </w:p>
              <w:p>
                <w:pPr>
                  <w:jc w:val="both"/>
                  <w:rPr>
                    <w:color w:val="000000"/>
                    <w:szCs w:val="24"/>
                  </w:rPr>
                </w:pPr>
                <w:r>
                  <w:rPr>
                    <w:color w:val="000000"/>
                    <w:szCs w:val="24"/>
                  </w:rPr>
                  <w:t>6.   Valstybės narės, kurios naudojasi 4 straipsnio 4 dalyje numatyta galimybe, pateikia Komisijai pagrindinių nacionalinės teisės nuostatų, kurias jos tuo tikslu priima, tekstą ir pateikia Komisijai ataskaitą apie jas įgyvendinant padarytą pažangą.</w:t>
                </w:r>
              </w:p>
            </w:tc>
            <w:tc>
              <w:tcPr>
                <w:tcW w:w="7868" w:type="dxa"/>
              </w:tcPr>
              <w:p>
                <w:pPr>
                  <w:jc w:val="both"/>
                  <w:rPr>
                    <w:b/>
                    <w:bCs/>
                    <w:iCs/>
                    <w:color w:val="000000"/>
                    <w:szCs w:val="24"/>
                  </w:rPr>
                </w:pPr>
                <w:r>
                  <w:rPr>
                    <w:b/>
                    <w:bCs/>
                    <w:iCs/>
                    <w:color w:val="000000"/>
                    <w:szCs w:val="24"/>
                  </w:rPr>
                  <w:t>Projektas</w:t>
                </w:r>
              </w:p>
              <w:p>
                <w:pPr>
                  <w:jc w:val="both"/>
                  <w:rPr>
                    <w:i/>
                    <w:color w:val="000000"/>
                    <w:szCs w:val="24"/>
                  </w:rPr>
                </w:pPr>
              </w:p>
              <w:p>
                <w:pPr>
                  <w:widowControl w:val="0"/>
                  <w:jc w:val="both"/>
                  <w:rPr>
                    <w:b/>
                    <w:szCs w:val="24"/>
                  </w:rPr>
                </w:pPr>
                <w:r>
                  <w:rPr>
                    <w:b/>
                    <w:szCs w:val="24"/>
                  </w:rPr>
                  <w:t>30 straipsnis. Įstatymo įsigaliojimas ir įgyvendinimas</w:t>
                </w:r>
              </w:p>
              <w:p>
                <w:pPr>
                  <w:widowControl w:val="0"/>
                  <w:jc w:val="both"/>
                  <w:rPr>
                    <w:szCs w:val="24"/>
                  </w:rPr>
                </w:pPr>
                <w:r>
                  <w:rPr>
                    <w:szCs w:val="24"/>
                  </w:rPr>
                  <w:t>1. Šis įstatymas, išskyrus šio straipsnio 2 dalį, įsigalioja 2025 m. birželio 28 d.</w:t>
                </w:r>
              </w:p>
              <w:p>
                <w:pPr>
                  <w:widowControl w:val="0"/>
                  <w:jc w:val="both"/>
                  <w:rPr>
                    <w:szCs w:val="24"/>
                  </w:rPr>
                </w:pPr>
                <w:r>
                  <w:rPr>
                    <w:szCs w:val="24"/>
                  </w:rPr>
                  <w:t>&lt;...&gt;</w:t>
                </w:r>
              </w:p>
              <w:p>
                <w:pPr>
                  <w:widowControl w:val="0"/>
                  <w:jc w:val="both"/>
                  <w:rPr>
                    <w:szCs w:val="24"/>
                  </w:rPr>
                </w:pPr>
                <w:r>
                  <w:rPr>
                    <w:szCs w:val="24"/>
                  </w:rPr>
                  <w:t>3. Vyriausybė, jos įgaliotos institucijos, rinkos priežiūros institucijos, socialinės apsaugos ir darbo ministro įgaliota institucija iki 2022 m. gruodžio 31 d. priima šio įstatymo įgyvendinamuosius teisės aktus</w:t>
                </w:r>
                <w:r>
                  <w:rPr>
                    <w:bCs/>
                    <w:iCs/>
                    <w:szCs w:val="24"/>
                  </w:rPr>
                  <w:t>.</w:t>
                </w:r>
              </w:p>
              <w:p>
                <w:pPr>
                  <w:jc w:val="both"/>
                  <w:rPr>
                    <w:i/>
                    <w:color w:val="000000"/>
                    <w:szCs w:val="24"/>
                  </w:rPr>
                </w:pPr>
              </w:p>
              <w:p>
                <w:pPr>
                  <w:jc w:val="right"/>
                  <w:rPr>
                    <w:bCs/>
                    <w:iCs/>
                    <w:color w:val="000000"/>
                    <w:szCs w:val="24"/>
                  </w:rPr>
                </w:pPr>
                <w:r>
                  <w:rPr>
                    <w:bCs/>
                    <w:iCs/>
                    <w:color w:val="000000"/>
                    <w:szCs w:val="24"/>
                  </w:rPr>
                  <w:t>Lietuvos Respublikos</w:t>
                </w:r>
              </w:p>
              <w:p>
                <w:pPr>
                  <w:jc w:val="right"/>
                  <w:rPr>
                    <w:bCs/>
                    <w:iCs/>
                    <w:color w:val="000000"/>
                    <w:szCs w:val="24"/>
                  </w:rPr>
                </w:pPr>
                <w:r>
                  <w:rPr>
                    <w:bCs/>
                    <w:iCs/>
                    <w:color w:val="000000"/>
                    <w:szCs w:val="24"/>
                  </w:rPr>
                  <w:t>gaminių ir paslaugų prieinamumo reikalavimų įstatymo</w:t>
                </w:r>
              </w:p>
              <w:p>
                <w:pPr>
                  <w:jc w:val="right"/>
                  <w:rPr>
                    <w:bCs/>
                    <w:iCs/>
                    <w:color w:val="000000"/>
                    <w:szCs w:val="24"/>
                  </w:rPr>
                </w:pPr>
                <w:r>
                  <w:rPr>
                    <w:bCs/>
                    <w:iCs/>
                    <w:color w:val="000000"/>
                    <w:szCs w:val="24"/>
                  </w:rPr>
                  <w:t>3 priedas</w:t>
                </w:r>
              </w:p>
              <w:p>
                <w:pPr>
                  <w:jc w:val="both"/>
                  <w:rPr>
                    <w:b/>
                    <w:bCs/>
                    <w:i/>
                    <w:color w:val="000000"/>
                    <w:szCs w:val="24"/>
                  </w:rPr>
                </w:pPr>
              </w:p>
              <w:p>
                <w:pPr>
                  <w:jc w:val="center"/>
                  <w:rPr>
                    <w:b/>
                    <w:iCs/>
                    <w:color w:val="000000"/>
                    <w:szCs w:val="24"/>
                  </w:rPr>
                </w:pPr>
                <w:r>
                  <w:rPr>
                    <w:b/>
                    <w:bCs/>
                    <w:iCs/>
                    <w:color w:val="000000"/>
                    <w:szCs w:val="24"/>
                  </w:rPr>
                  <w:t>ĮGYVENDINAMAS EUROPOS SĄJUNGOS TEISĖS AKTAS</w:t>
                </w:r>
              </w:p>
              <w:p>
                <w:pPr>
                  <w:jc w:val="both"/>
                  <w:rPr>
                    <w:i/>
                    <w:color w:val="000000"/>
                    <w:szCs w:val="24"/>
                  </w:rPr>
                </w:pPr>
              </w:p>
              <w:p>
                <w:pPr>
                  <w:jc w:val="both"/>
                  <w:rPr>
                    <w:iCs/>
                    <w:color w:val="000000"/>
                    <w:szCs w:val="24"/>
                  </w:rPr>
                </w:pPr>
                <w:r>
                  <w:rPr>
                    <w:iCs/>
                    <w:color w:val="000000"/>
                    <w:szCs w:val="24"/>
                  </w:rPr>
                  <w:t>2019 m. balandžio 17 d. Europos Parlamento ir Tarybos direktyva (ES) 2019/882 dėl gaminių ir paslaugų prieinamumo reikalavimų.</w:t>
                </w:r>
              </w:p>
              <w:p>
                <w:pPr>
                  <w:ind w:firstLine="720"/>
                  <w:jc w:val="both"/>
                  <w:rPr>
                    <w:i/>
                    <w:color w:val="000000"/>
                    <w:szCs w:val="24"/>
                  </w:rPr>
                </w:pPr>
              </w:p>
              <w:p>
                <w:pPr>
                  <w:jc w:val="both"/>
                  <w:rPr>
                    <w:i/>
                    <w:color w:val="000000"/>
                    <w:szCs w:val="24"/>
                  </w:rPr>
                </w:pPr>
              </w:p>
            </w:tc>
            <w:tc>
              <w:tcPr>
                <w:tcW w:w="1858" w:type="dxa"/>
              </w:tcPr>
              <w:p>
                <w:pPr>
                  <w:jc w:val="both"/>
                  <w:rPr>
                    <w:b/>
                    <w:bCs/>
                    <w:color w:val="000000"/>
                    <w:szCs w:val="24"/>
                  </w:rPr>
                </w:pPr>
                <w:r>
                  <w:rPr>
                    <w:b/>
                    <w:bCs/>
                    <w:color w:val="000000"/>
                    <w:szCs w:val="24"/>
                  </w:rPr>
                  <w:t>Visiškas</w:t>
                </w:r>
              </w:p>
            </w:tc>
          </w:tr>
          <w:tr>
            <w:trPr>
              <w:trHeight w:val="5376"/>
            </w:trPr>
            <w:tc>
              <w:tcPr>
                <w:tcW w:w="5264" w:type="dxa"/>
              </w:tcPr>
              <w:p>
                <w:pPr>
                  <w:jc w:val="both"/>
                  <w:rPr>
                    <w:b/>
                    <w:bCs/>
                    <w:color w:val="000000"/>
                    <w:szCs w:val="24"/>
                  </w:rPr>
                </w:pPr>
                <w:r>
                  <w:rPr>
                    <w:b/>
                    <w:bCs/>
                    <w:color w:val="000000"/>
                    <w:szCs w:val="24"/>
                  </w:rPr>
                  <w:t>32 straipsnis</w:t>
                </w:r>
              </w:p>
              <w:p>
                <w:pPr>
                  <w:jc w:val="both"/>
                  <w:rPr>
                    <w:b/>
                    <w:bCs/>
                    <w:color w:val="000000"/>
                    <w:szCs w:val="24"/>
                  </w:rPr>
                </w:pPr>
                <w:r>
                  <w:rPr>
                    <w:b/>
                    <w:bCs/>
                    <w:color w:val="000000"/>
                    <w:szCs w:val="24"/>
                  </w:rPr>
                  <w:t>Pereinamojo laikotarpio nuostatos</w:t>
                </w:r>
              </w:p>
              <w:p>
                <w:pPr>
                  <w:jc w:val="both"/>
                  <w:rPr>
                    <w:color w:val="000000"/>
                    <w:szCs w:val="24"/>
                  </w:rPr>
                </w:pPr>
                <w:r>
                  <w:rPr>
                    <w:color w:val="000000"/>
                    <w:szCs w:val="24"/>
                  </w:rPr>
                  <w:t>1.   Nedarant poveikio šio straipsnio 2 daliai, valstybės narės nustato pereinamąjį laikotarpį, kuris baigiasi 2030 m. birželio 28 d., per kurį paslaugų teikėjai gali toliau teikti savo paslaugas naudodami gaminius, kuriuos jie iki tos datos teisėtai naudojo teikdami panašias paslaugas.</w:t>
                </w:r>
              </w:p>
              <w:p>
                <w:pPr>
                  <w:jc w:val="both"/>
                  <w:rPr>
                    <w:color w:val="000000"/>
                    <w:szCs w:val="24"/>
                  </w:rPr>
                </w:pPr>
                <w:r>
                  <w:rPr>
                    <w:color w:val="000000"/>
                    <w:szCs w:val="24"/>
                  </w:rPr>
                  <w:t>Paslaugų sutartys, sudarytos anksčiau nei 2025 m. birželio 28 d., gali likti galioti be pakeitimų iki jų galiojimo pabaigos, tačiau ne ilgiau kaip penkerius metus nuo tos datos.</w:t>
                </w:r>
              </w:p>
              <w:p>
                <w:pPr>
                  <w:jc w:val="both"/>
                  <w:rPr>
                    <w:color w:val="000000"/>
                    <w:szCs w:val="24"/>
                  </w:rPr>
                </w:pPr>
                <w:r>
                  <w:rPr>
                    <w:color w:val="000000"/>
                    <w:szCs w:val="24"/>
                  </w:rPr>
                  <w:t>2.   Valstybės narės gali numatyti, kad savitarnos terminalai, kuriuos paslaugų teikėjai teisėtai naudojo paslaugų teikimui anksčiau nei 2025 m. birželio 28 d., gali būti toliau naudojami teikiant panašias paslaugas iki jų ekonomiškai naudingo gyvavimo laiko pabaigos, tačiau ne ilgiau kaip 20 metų nuo jų naudojimo pradžios.</w:t>
                </w:r>
              </w:p>
            </w:tc>
            <w:tc>
              <w:tcPr>
                <w:tcW w:w="7868" w:type="dxa"/>
              </w:tcPr>
              <w:p>
                <w:pPr>
                  <w:jc w:val="both"/>
                  <w:rPr>
                    <w:b/>
                    <w:bCs/>
                    <w:iCs/>
                    <w:color w:val="000000"/>
                    <w:szCs w:val="24"/>
                  </w:rPr>
                </w:pPr>
                <w:r>
                  <w:rPr>
                    <w:b/>
                    <w:bCs/>
                    <w:iCs/>
                    <w:color w:val="000000"/>
                    <w:szCs w:val="24"/>
                  </w:rPr>
                  <w:t>Projektas</w:t>
                </w:r>
              </w:p>
              <w:p>
                <w:pPr>
                  <w:jc w:val="both"/>
                  <w:rPr>
                    <w:b/>
                    <w:bCs/>
                    <w:color w:val="000000"/>
                    <w:szCs w:val="24"/>
                  </w:rPr>
                </w:pPr>
              </w:p>
              <w:p>
                <w:pPr>
                  <w:widowControl w:val="0"/>
                  <w:jc w:val="both"/>
                  <w:rPr>
                    <w:b/>
                    <w:szCs w:val="24"/>
                  </w:rPr>
                </w:pPr>
                <w:r>
                  <w:rPr>
                    <w:b/>
                    <w:szCs w:val="24"/>
                  </w:rPr>
                  <w:t>30 straipsnis. Įstatymo įsigaliojimas ir įgyvendinimas</w:t>
                </w:r>
              </w:p>
              <w:p>
                <w:pPr>
                  <w:jc w:val="both"/>
                  <w:rPr>
                    <w:bCs/>
                    <w:iCs/>
                    <w:szCs w:val="24"/>
                  </w:rPr>
                </w:pPr>
                <w:r>
                  <w:rPr>
                    <w:bCs/>
                    <w:iCs/>
                    <w:szCs w:val="24"/>
                  </w:rPr>
                  <w:t>&lt;...&gt;</w:t>
                </w:r>
              </w:p>
              <w:p>
                <w:pPr>
                  <w:jc w:val="both"/>
                  <w:rPr>
                    <w:bCs/>
                    <w:iCs/>
                    <w:szCs w:val="24"/>
                  </w:rPr>
                </w:pPr>
                <w:r>
                  <w:rPr>
                    <w:bCs/>
                    <w:iCs/>
                    <w:szCs w:val="24"/>
                  </w:rPr>
                  <w:t>3. Paslaugų teikėjai iki 2030 m. birželio 28 d. turi teisę toliau teikti paslaugas, naudodami gaminius, kuriuos jie teisėtai naudojo iki šio įstatymo įsigaliojimo, teikdami panašaus pobūdžiu paslaugas. Paslaugų teikimo sutartys, sudarytos iki 2025 m. birželio 28 d., galioja be pakeitimų iki jų galiojimo pabaigos, tačiau ne ilgiau kaip iki 2030 m. birželio 28 d.</w:t>
                </w:r>
              </w:p>
              <w:p>
                <w:pPr>
                  <w:widowControl w:val="0"/>
                  <w:spacing w:line="360" w:lineRule="auto"/>
                  <w:ind w:firstLine="720"/>
                  <w:jc w:val="both"/>
                  <w:rPr>
                    <w:b/>
                    <w:szCs w:val="24"/>
                  </w:rPr>
                </w:pPr>
              </w:p>
            </w:tc>
            <w:tc>
              <w:tcPr>
                <w:tcW w:w="1858" w:type="dxa"/>
              </w:tcPr>
              <w:p>
                <w:pPr>
                  <w:jc w:val="both"/>
                  <w:rPr>
                    <w:b/>
                    <w:bCs/>
                    <w:color w:val="000000"/>
                    <w:szCs w:val="24"/>
                  </w:rPr>
                </w:pPr>
                <w:r>
                  <w:rPr>
                    <w:b/>
                    <w:bCs/>
                    <w:color w:val="000000"/>
                    <w:szCs w:val="24"/>
                  </w:rPr>
                  <w:t>Visiškas</w:t>
                </w:r>
              </w:p>
            </w:tc>
          </w:tr>
          <w:tr>
            <w:trPr>
              <w:trHeight w:val="561"/>
            </w:trPr>
            <w:tc>
              <w:tcPr>
                <w:tcW w:w="5264" w:type="dxa"/>
              </w:tcPr>
              <w:p>
                <w:pPr>
                  <w:jc w:val="both"/>
                  <w:rPr>
                    <w:b/>
                    <w:bCs/>
                    <w:color w:val="000000"/>
                    <w:szCs w:val="24"/>
                  </w:rPr>
                </w:pPr>
                <w:r>
                  <w:rPr>
                    <w:b/>
                    <w:bCs/>
                    <w:color w:val="000000"/>
                    <w:szCs w:val="24"/>
                  </w:rPr>
                  <w:t>I PRIEDAS</w:t>
                </w:r>
              </w:p>
              <w:p>
                <w:pPr>
                  <w:jc w:val="both"/>
                  <w:rPr>
                    <w:b/>
                    <w:bCs/>
                    <w:color w:val="000000"/>
                    <w:szCs w:val="24"/>
                    <w:lang w:val="en-US"/>
                  </w:rPr>
                </w:pPr>
                <w:r>
                  <w:rPr>
                    <w:b/>
                    <w:bCs/>
                    <w:color w:val="000000"/>
                    <w:szCs w:val="24"/>
                    <w:lang w:val="en-US"/>
                  </w:rPr>
                  <w:t>GAMINIŲ IR PASLAUGŲ PRIEINAMUMO REIKALAVIMAI</w:t>
                </w:r>
              </w:p>
              <w:p>
                <w:pPr>
                  <w:jc w:val="both"/>
                  <w:rPr>
                    <w:b/>
                    <w:bCs/>
                    <w:color w:val="000000"/>
                    <w:szCs w:val="24"/>
                    <w:lang w:val="en-US"/>
                  </w:rPr>
                </w:pPr>
                <w:r>
                  <w:rPr>
                    <w:b/>
                    <w:bCs/>
                    <w:color w:val="000000"/>
                    <w:szCs w:val="24"/>
                    <w:lang w:val="en-US"/>
                  </w:rPr>
                  <w:t>I skirsnis</w:t>
                </w:r>
              </w:p>
              <w:p>
                <w:pPr>
                  <w:jc w:val="both"/>
                  <w:rPr>
                    <w:b/>
                    <w:bCs/>
                    <w:color w:val="000000"/>
                    <w:szCs w:val="24"/>
                    <w:lang w:val="en-US"/>
                  </w:rPr>
                </w:pPr>
                <w:r>
                  <w:rPr>
                    <w:b/>
                    <w:bCs/>
                    <w:color w:val="000000"/>
                    <w:szCs w:val="24"/>
                    <w:lang w:val="en-US"/>
                  </w:rPr>
                  <w:t>Su visais gaminiais, kuriems taikoma ši direktyva pagal 2 straipsnio 1 dalį, susiję bendri prieinamumo reikalavimai</w:t>
                </w:r>
              </w:p>
              <w:p>
                <w:pPr>
                  <w:jc w:val="both"/>
                  <w:rPr>
                    <w:color w:val="000000"/>
                    <w:szCs w:val="24"/>
                    <w:lang w:val="en-US"/>
                  </w:rPr>
                </w:pPr>
                <w:r>
                  <w:rPr>
                    <w:color w:val="000000"/>
                    <w:szCs w:val="24"/>
                    <w:lang w:val="en-US"/>
                  </w:rPr>
                  <w:t>Gaminiai turi būti projektuojami ir gaminami tokiu būdu, kad jais pagal numatytą paskirtį galėtų kuo daugiau naudotis neįgalieji, ir kartu su jais, kai įmanoma, gaminyje arba ant jo turi būti pateikiama prieinama informacija apie jų veikimą ir jų prieinamumo savybes.</w:t>
                </w:r>
              </w:p>
              <w:p>
                <w:pPr>
                  <w:jc w:val="both"/>
                  <w:rPr>
                    <w:color w:val="000000"/>
                    <w:szCs w:val="24"/>
                    <w:lang w:val="en-US"/>
                  </w:rPr>
                </w:pPr>
                <w:r>
                  <w:rPr>
                    <w:color w:val="000000"/>
                    <w:szCs w:val="24"/>
                    <w:lang w:val="en-US"/>
                  </w:rPr>
                  <w:t>1.Informacijos teikimo reikalavimai:</w:t>
                </w:r>
              </w:p>
              <w:p>
                <w:pPr>
                  <w:jc w:val="both"/>
                  <w:rPr>
                    <w:color w:val="000000"/>
                    <w:szCs w:val="24"/>
                    <w:lang w:val="en-US"/>
                  </w:rPr>
                </w:pPr>
                <w:r>
                  <w:rPr>
                    <w:color w:val="000000"/>
                    <w:szCs w:val="24"/>
                    <w:lang w:val="en-US"/>
                  </w:rPr>
                  <w:t>a) informacija apie gaminio naudojimą, pateikiama ant paties gaminio (etiketė, instrukcijos ir įspėjimas), turi būti:</w:t>
                </w:r>
              </w:p>
              <w:p>
                <w:pPr>
                  <w:jc w:val="both"/>
                  <w:rPr>
                    <w:color w:val="000000"/>
                    <w:szCs w:val="24"/>
                    <w:lang w:val="en-US"/>
                  </w:rPr>
                </w:pPr>
                <w:r>
                  <w:rPr>
                    <w:color w:val="000000"/>
                    <w:szCs w:val="24"/>
                    <w:lang w:val="en-US"/>
                  </w:rPr>
                  <w:t>i) pateikiama daugiau nei viena jusle atpažįstamu būdu;</w:t>
                </w:r>
              </w:p>
              <w:p>
                <w:pPr>
                  <w:jc w:val="both"/>
                  <w:rPr>
                    <w:color w:val="000000"/>
                    <w:szCs w:val="24"/>
                    <w:lang w:val="en-US"/>
                  </w:rPr>
                </w:pPr>
                <w:r>
                  <w:rPr>
                    <w:color w:val="000000"/>
                    <w:szCs w:val="24"/>
                    <w:lang w:val="en-US"/>
                  </w:rPr>
                  <w:t>ii) pateikiama suprantamai;</w:t>
                </w:r>
              </w:p>
              <w:p>
                <w:pPr>
                  <w:jc w:val="both"/>
                  <w:rPr>
                    <w:color w:val="000000"/>
                    <w:szCs w:val="24"/>
                    <w:lang w:val="en-US"/>
                  </w:rPr>
                </w:pPr>
                <w:r>
                  <w:rPr>
                    <w:color w:val="000000"/>
                    <w:szCs w:val="24"/>
                    <w:lang w:val="en-US"/>
                  </w:rPr>
                  <w:t>iii) pateikiama naudotojams taip, kad jie galėtų ją suvokti;</w:t>
                </w:r>
              </w:p>
              <w:p>
                <w:pPr>
                  <w:jc w:val="both"/>
                  <w:rPr>
                    <w:color w:val="000000"/>
                    <w:szCs w:val="24"/>
                    <w:lang w:val="en-US"/>
                  </w:rPr>
                </w:pPr>
                <w:r>
                  <w:rPr>
                    <w:color w:val="000000"/>
                    <w:szCs w:val="24"/>
                    <w:lang w:val="en-US"/>
                  </w:rPr>
                  <w:t>iv) pateikiama tinkamo dydžio ir tipo šriftu atsižvelgiant į numatomas naudojimo sąlygas ir užtikrinant pakankamą kontrastą, taip pat pritaikant tarpus tarp raidžių, eilučių ir pastraipų;</w:t>
                </w:r>
              </w:p>
              <w:p>
                <w:pPr>
                  <w:jc w:val="both"/>
                  <w:rPr>
                    <w:color w:val="000000"/>
                    <w:szCs w:val="24"/>
                    <w:lang w:val="en-US"/>
                  </w:rPr>
                </w:pPr>
                <w:r>
                  <w:rPr>
                    <w:color w:val="000000"/>
                    <w:szCs w:val="24"/>
                    <w:lang w:val="en-US"/>
                  </w:rPr>
                  <w:t>b) gaminio naudojimo instrukcijos, kai jos pateikiamos ne ant paties gaminio, bet naudojant gaminį arba kitomis priemonėmis, pavyzdžiui, interneto svetainę, įskaitant gaminio prieinamumo funkcijas, jų aktyvavimą ir jų sąveikumą su pagalbiniais sprendimais, turi būti prieinamos viešai, kai gaminys pateikiamas rinkai, ir turi būti:</w:t>
                </w:r>
              </w:p>
              <w:p>
                <w:pPr>
                  <w:jc w:val="both"/>
                  <w:rPr>
                    <w:color w:val="000000"/>
                    <w:szCs w:val="24"/>
                    <w:lang w:val="en-US"/>
                  </w:rPr>
                </w:pPr>
                <w:r>
                  <w:rPr>
                    <w:color w:val="000000"/>
                    <w:szCs w:val="24"/>
                    <w:lang w:val="en-US"/>
                  </w:rPr>
                  <w:t>i) pateikiamos daugiau nei viena jusle atpažįstamu būdu;</w:t>
                </w:r>
              </w:p>
              <w:p>
                <w:pPr>
                  <w:jc w:val="both"/>
                  <w:rPr>
                    <w:color w:val="000000"/>
                    <w:szCs w:val="24"/>
                    <w:lang w:val="en-US"/>
                  </w:rPr>
                </w:pPr>
                <w:r>
                  <w:rPr>
                    <w:color w:val="000000"/>
                    <w:szCs w:val="24"/>
                    <w:lang w:val="en-US"/>
                  </w:rPr>
                  <w:t>ii) pateikiamos suprantamai;</w:t>
                </w:r>
              </w:p>
              <w:p>
                <w:pPr>
                  <w:jc w:val="both"/>
                  <w:rPr>
                    <w:color w:val="000000"/>
                    <w:szCs w:val="24"/>
                    <w:lang w:val="en-US"/>
                  </w:rPr>
                </w:pPr>
                <w:r>
                  <w:rPr>
                    <w:color w:val="000000"/>
                    <w:szCs w:val="24"/>
                    <w:lang w:val="en-US"/>
                  </w:rPr>
                  <w:t>iii) pateikiamos naudotojams taip, kad jie galėtų jas suvokti;</w:t>
                </w:r>
              </w:p>
              <w:p>
                <w:pPr>
                  <w:jc w:val="both"/>
                  <w:rPr>
                    <w:color w:val="000000"/>
                    <w:szCs w:val="24"/>
                    <w:lang w:val="en-US"/>
                  </w:rPr>
                </w:pPr>
                <w:r>
                  <w:rPr>
                    <w:color w:val="000000"/>
                    <w:szCs w:val="24"/>
                    <w:lang w:val="en-US"/>
                  </w:rPr>
                  <w:t>iv) pateikiamos tinkamo dydžio ir tipo šriftu atsižvelgiant į numatomas naudojimo sąlygas ir užtikrinant pakankamą kontrastą, taip pat pritaikant tarpus tarp raidžių, eilučių ir pastraipų;</w:t>
                </w:r>
              </w:p>
              <w:p>
                <w:pPr>
                  <w:jc w:val="both"/>
                  <w:rPr>
                    <w:color w:val="000000"/>
                    <w:szCs w:val="24"/>
                    <w:lang w:val="en-US"/>
                  </w:rPr>
                </w:pPr>
                <w:r>
                  <w:rPr>
                    <w:color w:val="000000"/>
                    <w:szCs w:val="24"/>
                    <w:lang w:val="en-US"/>
                  </w:rPr>
                  <w:t>v) instrukcijų turinys pateikiamas teksto formatais, kuriuos naudojant galima generuoti alternatyvius pagalbinius formatus, kurie gali būti pateikiami įvairiai ir daugiau nei viena jusle atpažįstamu būdu;</w:t>
                </w:r>
              </w:p>
              <w:p>
                <w:pPr>
                  <w:jc w:val="both"/>
                  <w:rPr>
                    <w:color w:val="000000"/>
                    <w:szCs w:val="24"/>
                    <w:lang w:val="en-US"/>
                  </w:rPr>
                </w:pPr>
                <w:r>
                  <w:rPr>
                    <w:color w:val="000000"/>
                    <w:szCs w:val="24"/>
                    <w:lang w:val="en-US"/>
                  </w:rPr>
                  <w:t>vi) prie jų pridedamas alternatyviai išdėstytas bet koks netekstinis turinys;</w:t>
                </w:r>
              </w:p>
              <w:p>
                <w:pPr>
                  <w:jc w:val="both"/>
                  <w:rPr>
                    <w:color w:val="000000"/>
                    <w:szCs w:val="24"/>
                    <w:lang w:val="en-US"/>
                  </w:rPr>
                </w:pPr>
                <w:r>
                  <w:rPr>
                    <w:color w:val="000000"/>
                    <w:szCs w:val="24"/>
                    <w:lang w:val="en-US"/>
                  </w:rPr>
                  <w:t>vii) pateikiamos įtraukiant gaminio naudotojo sąsajos aprašymą (tvarkymas, valdymas ir grįžtamoji informacija, įvestis ir išvestis), kaip nustatyta pagal 2 punktą; aprašyme kiekvieno 2 punkto atveju nurodoma, ar gaminys turi tas savybes;</w:t>
                </w:r>
              </w:p>
              <w:p>
                <w:pPr>
                  <w:jc w:val="both"/>
                  <w:rPr>
                    <w:color w:val="000000"/>
                    <w:szCs w:val="24"/>
                    <w:lang w:val="en-US"/>
                  </w:rPr>
                </w:pPr>
                <w:r>
                  <w:rPr>
                    <w:color w:val="000000"/>
                    <w:szCs w:val="24"/>
                    <w:lang w:val="en-US"/>
                  </w:rPr>
                  <w:t>viii) pateikiamos įtraukiant gaminio funkcionalumo, užtikrinamo funkcijomis, kurių tikslas – atsižvelgti į neįgaliųjų poreikius pagal 2 punktą, aprašymą; aprašyme kiekvieno 2 punkto atveju nurodoma, ar gaminys turi tas savybes;</w:t>
                </w:r>
              </w:p>
              <w:p>
                <w:pPr>
                  <w:jc w:val="both"/>
                  <w:rPr>
                    <w:color w:val="000000"/>
                    <w:szCs w:val="24"/>
                    <w:lang w:val="en-US"/>
                  </w:rPr>
                </w:pPr>
                <w:r>
                  <w:rPr>
                    <w:color w:val="000000"/>
                    <w:szCs w:val="24"/>
                    <w:lang w:val="en-US"/>
                  </w:rPr>
                  <w:t>ix) pateikiamos įtraukiant programinės ir aparatinės gaminio sąsajos su pagalbiniais prietaisais aprašymą; aprašyme pateikiamas tų pagalbinių prietaisų, kurie buvo išbandyti kartu su gaminiu, sąrašas.</w:t>
                </w:r>
              </w:p>
              <w:p>
                <w:pPr>
                  <w:jc w:val="both"/>
                  <w:rPr>
                    <w:b/>
                    <w:bCs/>
                    <w:color w:val="000000"/>
                    <w:szCs w:val="24"/>
                  </w:rPr>
                </w:pP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1 priedas</w:t>
                </w:r>
              </w:p>
              <w:p>
                <w:pPr>
                  <w:widowControl w:val="0"/>
                  <w:spacing w:line="360" w:lineRule="auto"/>
                  <w:ind w:firstLine="720"/>
                  <w:jc w:val="center"/>
                  <w:rPr>
                    <w:b/>
                    <w:bCs/>
                    <w:szCs w:val="24"/>
                    <w:lang w:val="en-US"/>
                  </w:rPr>
                </w:pPr>
              </w:p>
              <w:p>
                <w:pPr>
                  <w:jc w:val="center"/>
                  <w:rPr>
                    <w:b/>
                    <w:bCs/>
                    <w:szCs w:val="24"/>
                  </w:rPr>
                </w:pPr>
                <w:r>
                  <w:rPr>
                    <w:b/>
                    <w:bCs/>
                    <w:szCs w:val="24"/>
                  </w:rPr>
                  <w:t>GAMINIŲ IR PASLAUGŲ PRIEINAMUMO REIKALAVIMAI</w:t>
                </w:r>
              </w:p>
              <w:p>
                <w:pPr>
                  <w:jc w:val="center"/>
                  <w:rPr>
                    <w:b/>
                    <w:bCs/>
                    <w:szCs w:val="24"/>
                  </w:rPr>
                </w:pPr>
              </w:p>
              <w:p>
                <w:pPr>
                  <w:jc w:val="center"/>
                  <w:rPr>
                    <w:b/>
                    <w:bCs/>
                    <w:szCs w:val="24"/>
                  </w:rPr>
                </w:pPr>
                <w:r>
                  <w:rPr>
                    <w:b/>
                    <w:bCs/>
                    <w:szCs w:val="24"/>
                  </w:rPr>
                  <w:t>PIRMAS SKYRIUS</w:t>
                </w:r>
              </w:p>
              <w:p>
                <w:pPr>
                  <w:jc w:val="center"/>
                  <w:rPr>
                    <w:b/>
                    <w:bCs/>
                    <w:szCs w:val="24"/>
                  </w:rPr>
                </w:pPr>
                <w:r>
                  <w:rPr>
                    <w:b/>
                    <w:bCs/>
                    <w:szCs w:val="24"/>
                  </w:rPr>
                  <w:t>VISIEMS GAMINIAMS, KURIEMS TAIKOMAS LIETUVOS RESPUBLIKOS GAMINIŲ IR PASLAUGŲ PRIEINAMUMO REIKALAVIMŲ ĮSTATYMAS, TAIKYTINI PRIEINAMUMO REIKALAVIMAI</w:t>
                </w:r>
              </w:p>
              <w:p>
                <w:pPr>
                  <w:ind w:firstLine="720"/>
                  <w:jc w:val="both"/>
                  <w:rPr>
                    <w:szCs w:val="24"/>
                    <w:lang w:val="en-US"/>
                  </w:rPr>
                </w:pPr>
              </w:p>
              <w:p>
                <w:pPr>
                  <w:jc w:val="both"/>
                  <w:rPr>
                    <w:szCs w:val="24"/>
                  </w:rPr>
                </w:pPr>
                <w:r>
                  <w:rPr>
                    <w:szCs w:val="24"/>
                  </w:rPr>
                  <w:t>1. Gaminiai, kuriems taikomas Lietuvos Respublikos gaminių ir paslaugų prieinamumo reikalavimų įstatymas, turi būti projektuojami ir gaminami taip, kad jais pagal numatytą paskirtį galėtų kuo daugiau naudotis asmenys su negalia, ir kad su jais (jei įmanoma, juose arba ant jų) būtų pateikta prieinama informacija apie jų veikimą, prieinamumo savybes.</w:t>
                </w:r>
              </w:p>
              <w:p>
                <w:pPr>
                  <w:jc w:val="both"/>
                  <w:rPr>
                    <w:szCs w:val="24"/>
                  </w:rPr>
                </w:pPr>
                <w:r>
                  <w:rPr>
                    <w:szCs w:val="24"/>
                  </w:rPr>
                  <w:t>2. Informacijos pateikimo reikalavimai:</w:t>
                </w:r>
              </w:p>
              <w:p>
                <w:pPr>
                  <w:jc w:val="both"/>
                  <w:rPr>
                    <w:szCs w:val="24"/>
                  </w:rPr>
                </w:pPr>
                <w:r>
                  <w:rPr>
                    <w:szCs w:val="24"/>
                  </w:rPr>
                  <w:t>2.1. informacija apie gaminio naudojimą ant paties gaminio (etiketė, instrukcijos ir įspėjimas) turi būti pateikiama:</w:t>
                </w:r>
              </w:p>
              <w:p>
                <w:pPr>
                  <w:jc w:val="both"/>
                  <w:rPr>
                    <w:szCs w:val="24"/>
                  </w:rPr>
                </w:pPr>
                <w:r>
                  <w:rPr>
                    <w:szCs w:val="24"/>
                  </w:rPr>
                  <w:t>2.1.1. daugiau nei viena jusle atpažįstamu būdu;</w:t>
                </w:r>
              </w:p>
              <w:p>
                <w:pPr>
                  <w:jc w:val="both"/>
                  <w:rPr>
                    <w:szCs w:val="24"/>
                  </w:rPr>
                </w:pPr>
                <w:r>
                  <w:rPr>
                    <w:szCs w:val="24"/>
                  </w:rPr>
                  <w:t>2.1.2. suprantamai;</w:t>
                </w:r>
              </w:p>
              <w:p>
                <w:pPr>
                  <w:jc w:val="both"/>
                  <w:rPr>
                    <w:szCs w:val="24"/>
                  </w:rPr>
                </w:pPr>
                <w:r>
                  <w:rPr>
                    <w:szCs w:val="24"/>
                  </w:rPr>
                  <w:t>2.1.3. naudotojams taip, kad jie galėtų ją suvokti;</w:t>
                </w:r>
              </w:p>
              <w:p>
                <w:pPr>
                  <w:jc w:val="both"/>
                  <w:rPr>
                    <w:szCs w:val="24"/>
                  </w:rPr>
                </w:pPr>
                <w:r>
                  <w:rPr>
                    <w:szCs w:val="24"/>
                  </w:rPr>
                  <w:t>2.1.4. tinkamo dydžio ir tipo šriftu atsižvelgiant į numatomas gaminio naudojimo sąlygas ir užtikrinant pakankamą kontrastą, taip pat pritaikant tarpus tarp raidžių, eilučių ir pastraipų;</w:t>
                </w:r>
              </w:p>
              <w:p>
                <w:pPr>
                  <w:jc w:val="both"/>
                  <w:rPr>
                    <w:szCs w:val="24"/>
                  </w:rPr>
                </w:pPr>
                <w:r>
                  <w:rPr>
                    <w:szCs w:val="24"/>
                  </w:rPr>
                  <w:t>2.2. jei gaminio naudojimo instrukcijos pateikiamos ne ant paties gaminio, bet naudojant gaminį arba kitomis priemonėmis, pavyzdžiui, interneto svetainę, įskaitant gaminio prieinamumo funkcijas, jų aktyvavimą ir jų sąveikumą su pagalbiniais sprendimais, turi būti prieinamos viešai, gaminį pateikus rinkai, ir turi būti:</w:t>
                </w:r>
              </w:p>
              <w:p>
                <w:pPr>
                  <w:jc w:val="both"/>
                  <w:rPr>
                    <w:szCs w:val="24"/>
                    <w:lang w:val="en-US"/>
                  </w:rPr>
                </w:pPr>
                <w:r>
                  <w:rPr>
                    <w:szCs w:val="24"/>
                    <w:lang w:val="en-US"/>
                  </w:rPr>
                  <w:t>2.2.1. pateikiamos daugiau nei viena jusle atpažįstamu būdu;</w:t>
                </w:r>
              </w:p>
              <w:p>
                <w:pPr>
                  <w:jc w:val="both"/>
                  <w:rPr>
                    <w:szCs w:val="24"/>
                    <w:lang w:val="en-US"/>
                  </w:rPr>
                </w:pPr>
                <w:r>
                  <w:rPr>
                    <w:szCs w:val="24"/>
                    <w:lang w:val="en-US"/>
                  </w:rPr>
                  <w:t>2.2.2. pateikiamos suprantamai;</w:t>
                </w:r>
              </w:p>
              <w:p>
                <w:pPr>
                  <w:jc w:val="both"/>
                  <w:rPr>
                    <w:szCs w:val="24"/>
                    <w:lang w:val="en-US"/>
                  </w:rPr>
                </w:pPr>
                <w:r>
                  <w:rPr>
                    <w:szCs w:val="24"/>
                    <w:lang w:val="en-US"/>
                  </w:rPr>
                  <w:t>2.2.3. pateikiamos naudotojams taip, kad jie galėtų jas suvokti;</w:t>
                </w:r>
              </w:p>
              <w:p>
                <w:pPr>
                  <w:jc w:val="both"/>
                  <w:rPr>
                    <w:szCs w:val="24"/>
                    <w:lang w:val="en-US"/>
                  </w:rPr>
                </w:pPr>
                <w:r>
                  <w:rPr>
                    <w:szCs w:val="24"/>
                    <w:lang w:val="en-US"/>
                  </w:rPr>
                  <w:t xml:space="preserve">2.2.4. </w:t>
                </w:r>
                <w:r>
                  <w:rPr>
                    <w:szCs w:val="24"/>
                  </w:rPr>
                  <w:t>pateikiamos tinkamo dydžio ir tipo šriftu atsižvelgiant į numatomas gaminio naudojimo sąlygas ir užtikrinant pakankamą kontrastą, taip pat pritaikant tarpus tarp raidžių, eilučių ir pastraipų;</w:t>
                </w:r>
              </w:p>
              <w:p>
                <w:pPr>
                  <w:jc w:val="both"/>
                  <w:rPr>
                    <w:szCs w:val="24"/>
                    <w:lang w:val="en-US"/>
                  </w:rPr>
                </w:pPr>
                <w:r>
                  <w:rPr>
                    <w:szCs w:val="24"/>
                    <w:lang w:val="en-US"/>
                  </w:rPr>
                  <w:t>2.2.5. instrukcijų turinys pateikiamas teksto formatais, kuriuos naudojant galima generuoti alternatyvius pagalbinius formatus, kurie gali būti pateikiami įvairiai ir daugiau nei viena jusle atpažįstamu būdu;</w:t>
                </w:r>
              </w:p>
              <w:p>
                <w:pPr>
                  <w:jc w:val="both"/>
                  <w:rPr>
                    <w:szCs w:val="24"/>
                    <w:lang w:val="en-US"/>
                  </w:rPr>
                </w:pPr>
                <w:r>
                  <w:rPr>
                    <w:szCs w:val="24"/>
                    <w:lang w:val="en-US"/>
                  </w:rPr>
                  <w:t>2.2.6. prie jų pridedamas alternatyviai išdėstytas bet koks netekstinis turinys;</w:t>
                </w:r>
              </w:p>
              <w:p>
                <w:pPr>
                  <w:jc w:val="both"/>
                  <w:rPr>
                    <w:szCs w:val="24"/>
                  </w:rPr>
                </w:pPr>
                <w:r>
                  <w:rPr>
                    <w:szCs w:val="24"/>
                  </w:rPr>
                  <w:t>2.2.7. pateikiamos įtraukiant gaminio naudotojo sąsajos aprašymą (tvarkymas, valdymas ir grįžtamoji informacija, įvestis ir išvestis), kaip nustatyta šio priedo 3 punkte; gaminio naudotojo sąsajos aprašyme kiekvienu iš šio priedo 3 punkte nurodytų atvejų turi būti nurodyta, ar gaminys turi atitinkamų savybių;</w:t>
                </w:r>
              </w:p>
              <w:p>
                <w:pPr>
                  <w:jc w:val="both"/>
                  <w:rPr>
                    <w:szCs w:val="24"/>
                  </w:rPr>
                </w:pPr>
                <w:r>
                  <w:rPr>
                    <w:szCs w:val="24"/>
                  </w:rPr>
                  <w:t>2.2.8. pateikiamos įtraukiant gaminio funkcionalumo, užtikrinamo funkcijomis, siekiant atsižvelgti į asmenų su negalia poreikius pagal šio priedo 3 punktą, aprašymą, kuriame kiekvieno iš šio priedo 2 punkte nurodytų atveju nurodoma, ar gaminys turi atitinkamų savybių;</w:t>
                </w:r>
              </w:p>
              <w:p>
                <w:pPr>
                  <w:jc w:val="both"/>
                  <w:rPr>
                    <w:szCs w:val="24"/>
                  </w:rPr>
                </w:pPr>
                <w:r>
                  <w:rPr>
                    <w:szCs w:val="24"/>
                  </w:rPr>
                  <w:t>2.2.9. pateikiamos įtraukiant programinės ir aparatinės gaminio sąsajos su pagalbiniais prietaisais aprašymą, kuriame pateikiamas pagalbinių prietaisų, kurie buvo išbandyti kartu su gaminiu, sąrašas.</w:t>
                </w:r>
              </w:p>
              <w:p>
                <w:pPr>
                  <w:jc w:val="both"/>
                  <w:rPr>
                    <w:i/>
                    <w:color w:val="000000"/>
                    <w:szCs w:val="24"/>
                  </w:rPr>
                </w:pPr>
              </w:p>
            </w:tc>
            <w:tc>
              <w:tcPr>
                <w:tcW w:w="1858" w:type="dxa"/>
              </w:tcPr>
              <w:p>
                <w:pPr>
                  <w:jc w:val="both"/>
                  <w:rPr>
                    <w:b/>
                    <w:bCs/>
                    <w:color w:val="000000"/>
                    <w:szCs w:val="24"/>
                  </w:rPr>
                </w:pPr>
                <w:r>
                  <w:rPr>
                    <w:b/>
                    <w:bCs/>
                    <w:color w:val="000000"/>
                    <w:szCs w:val="24"/>
                  </w:rPr>
                  <w:t>Visiškas</w:t>
                </w:r>
              </w:p>
            </w:tc>
          </w:tr>
          <w:tr>
            <w:trPr>
              <w:trHeight w:val="263"/>
            </w:trPr>
            <w:tc>
              <w:tcPr>
                <w:tcW w:w="5264" w:type="dxa"/>
              </w:tcPr>
              <w:p>
                <w:pPr>
                  <w:jc w:val="both"/>
                  <w:rPr>
                    <w:color w:val="000000"/>
                    <w:szCs w:val="24"/>
                  </w:rPr>
                </w:pPr>
                <w:r>
                  <w:rPr>
                    <w:color w:val="000000"/>
                    <w:szCs w:val="24"/>
                  </w:rPr>
                  <w:t>2.Naudotojo sąsaja ir funkcionalumo projektavimas:</w:t>
                </w:r>
              </w:p>
              <w:p>
                <w:pPr>
                  <w:jc w:val="both"/>
                  <w:rPr>
                    <w:color w:val="000000"/>
                    <w:szCs w:val="24"/>
                  </w:rPr>
                </w:pPr>
                <w:r>
                  <w:rPr>
                    <w:color w:val="000000"/>
                    <w:szCs w:val="24"/>
                  </w:rPr>
                  <w:t>Gaminys, įskaitant jo naudotojo sąsają, turi turėti savybių, elementų ir funkcijų, kuriomis sudaromos sąlygos neįgaliųjų prieigai prie gaminio, jo suvokimui, naudojimui, supratimui ir valdymui užtikrinant, kad:</w:t>
                </w:r>
              </w:p>
              <w:p>
                <w:pPr>
                  <w:jc w:val="both"/>
                  <w:rPr>
                    <w:color w:val="000000"/>
                    <w:szCs w:val="24"/>
                  </w:rPr>
                </w:pPr>
                <w:r>
                  <w:rPr>
                    <w:color w:val="000000"/>
                    <w:szCs w:val="24"/>
                  </w:rPr>
                  <w:t>a) jei numatyta, kad gaminiu bus palaikomas ryšys, įskaitant asmenų tarpusavio ryšį, naudojimą, informavimą, valdymą ir orientavimą, tai būtų galima daryti daugiau nei viena jusle atpažįstamu būdu; tai apima regos, klausos, kalbos ir jutiklinių elementų alternatyvų pateikimą;</w:t>
                </w:r>
              </w:p>
              <w:p>
                <w:pPr>
                  <w:jc w:val="both"/>
                  <w:rPr>
                    <w:color w:val="000000"/>
                    <w:szCs w:val="24"/>
                  </w:rPr>
                </w:pPr>
                <w:r>
                  <w:rPr>
                    <w:color w:val="000000"/>
                    <w:szCs w:val="24"/>
                  </w:rPr>
                  <w:t>b) jei gaminyje naudojama kalbinė funkcija, jame ryšio palaikymui, naudojimui, valdymui ir orientavimui būtų numatytos kalbos ir balsinės įvesties alternatyvos;</w:t>
                </w:r>
              </w:p>
              <w:p>
                <w:pPr>
                  <w:jc w:val="both"/>
                  <w:rPr>
                    <w:color w:val="000000"/>
                    <w:szCs w:val="24"/>
                  </w:rPr>
                </w:pPr>
                <w:r>
                  <w:rPr>
                    <w:color w:val="000000"/>
                    <w:szCs w:val="24"/>
                  </w:rPr>
                  <w:t>c) jei gaminyje naudojami vaizdiniai elementai, jame būtų numatyta galimybė ryšių palaikymo, informavimo ir naudojimo tikslais lanksčiai padidinti dydį, ryškumą ir kontrastą, taip pat užtikrinti sąveikumą su naršyti sąsajoje padedančiomis programomis ir pagalbiniais prietaisais;</w:t>
                </w:r>
              </w:p>
              <w:p>
                <w:pPr>
                  <w:jc w:val="both"/>
                  <w:rPr>
                    <w:color w:val="000000"/>
                    <w:szCs w:val="24"/>
                  </w:rPr>
                </w:pPr>
                <w:r>
                  <w:rPr>
                    <w:color w:val="000000"/>
                    <w:szCs w:val="24"/>
                  </w:rPr>
                  <w:t>d) jei gaminyje informacijai pateikti naudojamos spalvos, nurodomas veiksmas, prašoma reaguoti ar nustatyti elementus, jame būtų numatyta alternatyva spalvoms;</w:t>
                </w:r>
              </w:p>
              <w:p>
                <w:pPr>
                  <w:jc w:val="both"/>
                  <w:rPr>
                    <w:color w:val="000000"/>
                    <w:szCs w:val="24"/>
                  </w:rPr>
                </w:pPr>
                <w:r>
                  <w:rPr>
                    <w:color w:val="000000"/>
                    <w:szCs w:val="24"/>
                  </w:rPr>
                  <w:t>e) jei gaminyje informacijai pateikti naudojami garsiniai signalai, nurodomas veiksmas, prašoma reaguoti ar nustatyti elementus, jame būtų numatyta alternatyva garsiniams signalams;</w:t>
                </w:r>
              </w:p>
              <w:p>
                <w:pPr>
                  <w:jc w:val="both"/>
                  <w:rPr>
                    <w:color w:val="000000"/>
                    <w:szCs w:val="24"/>
                  </w:rPr>
                </w:pPr>
                <w:r>
                  <w:rPr>
                    <w:color w:val="000000"/>
                    <w:szCs w:val="24"/>
                  </w:rPr>
                  <w:t>f) jei gaminyje naudojami vaizdiniai elementai, jame būtų numatyta galimybė lanksčiai pagerinti vaizdo aiškumą;</w:t>
                </w:r>
              </w:p>
              <w:p>
                <w:pPr>
                  <w:jc w:val="both"/>
                  <w:rPr>
                    <w:color w:val="000000"/>
                    <w:szCs w:val="24"/>
                  </w:rPr>
                </w:pPr>
                <w:r>
                  <w:rPr>
                    <w:color w:val="000000"/>
                    <w:szCs w:val="24"/>
                  </w:rPr>
                  <w:t>g) jei gaminyje naudojamas garsas, jame būtų numatyta galimybė naudotojui valdyti garso stiprumą bei greitį ir numatytos geresnės garsinės savybės, įskaitant aplinkinių gaminių skleidžiamų trukdančių garso signalų sumažinimą ir garso aiškumą;</w:t>
                </w:r>
              </w:p>
              <w:p>
                <w:pPr>
                  <w:jc w:val="both"/>
                  <w:rPr>
                    <w:color w:val="000000"/>
                    <w:szCs w:val="24"/>
                  </w:rPr>
                </w:pPr>
                <w:r>
                  <w:rPr>
                    <w:color w:val="000000"/>
                    <w:szCs w:val="24"/>
                  </w:rPr>
                  <w:t>h) jei gaminį reikia naudoti ir valdyti rankiniu būdu, jame būtų numatyta nuosekliojo valdymo funkcija ir valdymo naudojant smulkiąją motoriką alternatyvos, išvengiant poreikio valdymui naudoti kelis veiksmus vienu metu, ir būtų galima naudoti jutikliniu būdu atskiriamas dalis;</w:t>
                </w:r>
              </w:p>
              <w:p>
                <w:pPr>
                  <w:jc w:val="both"/>
                  <w:rPr>
                    <w:color w:val="000000"/>
                    <w:szCs w:val="24"/>
                  </w:rPr>
                </w:pPr>
                <w:r>
                  <w:rPr>
                    <w:color w:val="000000"/>
                    <w:szCs w:val="24"/>
                  </w:rPr>
                  <w:t>i) būtų vengiama gaminyje įdiegti veikimo režimus, kuriuos naudojant reikėtų pernelyg toli ištiesti ranką ar naudoti didelę jėgą;</w:t>
                </w:r>
              </w:p>
              <w:p>
                <w:pPr>
                  <w:jc w:val="both"/>
                  <w:rPr>
                    <w:color w:val="000000"/>
                    <w:szCs w:val="24"/>
                  </w:rPr>
                </w:pPr>
                <w:r>
                  <w:rPr>
                    <w:color w:val="000000"/>
                    <w:szCs w:val="24"/>
                  </w:rPr>
                  <w:t>j) būtų vengiama gaminiu sukelti traukulius dėl jautrumo šviesai;</w:t>
                </w:r>
              </w:p>
              <w:p>
                <w:pPr>
                  <w:jc w:val="both"/>
                  <w:rPr>
                    <w:color w:val="000000"/>
                    <w:szCs w:val="24"/>
                  </w:rPr>
                </w:pPr>
                <w:r>
                  <w:rPr>
                    <w:color w:val="000000"/>
                    <w:szCs w:val="24"/>
                  </w:rPr>
                  <w:t>k) gaminiu būtų saugomas naudotojo privatumas, kai jis naudojasi prieinamumo savybėmis;</w:t>
                </w:r>
              </w:p>
              <w:p>
                <w:pPr>
                  <w:jc w:val="both"/>
                  <w:rPr>
                    <w:color w:val="000000"/>
                    <w:szCs w:val="24"/>
                  </w:rPr>
                </w:pPr>
                <w:r>
                  <w:rPr>
                    <w:color w:val="000000"/>
                    <w:szCs w:val="24"/>
                  </w:rPr>
                  <w:t>l) gaminyje būtų numatoma alternatyva biometriniam tapatybės nustatymui ir valdymui;</w:t>
                </w:r>
              </w:p>
              <w:p>
                <w:pPr>
                  <w:jc w:val="both"/>
                  <w:rPr>
                    <w:color w:val="000000"/>
                    <w:szCs w:val="24"/>
                  </w:rPr>
                </w:pPr>
                <w:r>
                  <w:rPr>
                    <w:color w:val="000000"/>
                    <w:szCs w:val="24"/>
                  </w:rPr>
                  <w:t>m) gaminyje būtų užtikrintas funkcijų nuoseklumas ir suteikta pakankama ir lanksti laiko trukmė sąveikai;</w:t>
                </w:r>
              </w:p>
              <w:p>
                <w:pPr>
                  <w:jc w:val="both"/>
                  <w:rPr>
                    <w:color w:val="000000"/>
                    <w:szCs w:val="24"/>
                  </w:rPr>
                </w:pPr>
                <w:r>
                  <w:rPr>
                    <w:color w:val="000000"/>
                    <w:szCs w:val="24"/>
                  </w:rPr>
                  <w:t>n) gaminyje būtų įdiegta programinė ir aparatinė įranga, skirta sąsajai su pagalbinėmis technologijomis užtikrinti;</w:t>
                </w:r>
              </w:p>
              <w:p>
                <w:pPr>
                  <w:jc w:val="both"/>
                  <w:rPr>
                    <w:color w:val="000000"/>
                    <w:szCs w:val="24"/>
                  </w:rPr>
                </w:pPr>
                <w:r>
                  <w:rPr>
                    <w:color w:val="000000"/>
                    <w:szCs w:val="24"/>
                  </w:rPr>
                  <w:t>o) gaminys atitiktų toliau nurodytus konkrečiam sektoriui taikytinus reikalavimus:</w:t>
                </w:r>
              </w:p>
              <w:p>
                <w:pPr>
                  <w:jc w:val="both"/>
                  <w:rPr>
                    <w:color w:val="000000"/>
                    <w:szCs w:val="24"/>
                  </w:rPr>
                </w:pPr>
                <w:r>
                  <w:rPr>
                    <w:color w:val="000000"/>
                    <w:szCs w:val="24"/>
                  </w:rPr>
                  <w:t>i) savitarnos terminalai:</w:t>
                </w:r>
              </w:p>
              <w:p>
                <w:pPr>
                  <w:jc w:val="both"/>
                  <w:rPr>
                    <w:color w:val="000000"/>
                    <w:szCs w:val="24"/>
                  </w:rPr>
                </w:pPr>
                <w:r>
                  <w:rPr>
                    <w:color w:val="000000"/>
                    <w:szCs w:val="24"/>
                  </w:rPr>
                  <w:t>— numatyta rašytinės kalbos pavertimo sakytine kalba technologija,</w:t>
                </w:r>
              </w:p>
              <w:p>
                <w:pPr>
                  <w:jc w:val="both"/>
                  <w:rPr>
                    <w:color w:val="000000"/>
                    <w:szCs w:val="24"/>
                  </w:rPr>
                </w:pPr>
                <w:r>
                  <w:rPr>
                    <w:color w:val="000000"/>
                    <w:szCs w:val="24"/>
                  </w:rPr>
                  <w:t>— suteikiama galimybė naudoti asmenines ausines,</w:t>
                </w:r>
              </w:p>
              <w:p>
                <w:pPr>
                  <w:jc w:val="both"/>
                  <w:rPr>
                    <w:color w:val="000000"/>
                    <w:szCs w:val="24"/>
                  </w:rPr>
                </w:pPr>
                <w:r>
                  <w:rPr>
                    <w:color w:val="000000"/>
                    <w:szCs w:val="24"/>
                  </w:rPr>
                  <w:t>— kai reagavimo laikas yra ribotas, naudotojas turi būti įspėjamas daugiau nei viena jusle atpažįstamu būdu,</w:t>
                </w:r>
              </w:p>
              <w:p>
                <w:pPr>
                  <w:jc w:val="both"/>
                  <w:rPr>
                    <w:color w:val="000000"/>
                    <w:szCs w:val="24"/>
                  </w:rPr>
                </w:pPr>
                <w:r>
                  <w:rPr>
                    <w:color w:val="000000"/>
                    <w:szCs w:val="24"/>
                  </w:rPr>
                  <w:t>— suteikiama galimybė pratęsti suteiktą laiką,</w:t>
                </w:r>
              </w:p>
              <w:p>
                <w:pPr>
                  <w:jc w:val="both"/>
                  <w:rPr>
                    <w:color w:val="000000"/>
                    <w:szCs w:val="24"/>
                  </w:rPr>
                </w:pPr>
                <w:r>
                  <w:rPr>
                    <w:color w:val="000000"/>
                    <w:szCs w:val="24"/>
                  </w:rPr>
                  <w:t>— nustatomas tinkamas kontrastas ir įdiegiami jutikliniu būdu identifikuojami klavišai ir valdymo mygtukai, jei jie yra,</w:t>
                </w:r>
              </w:p>
              <w:p>
                <w:pPr>
                  <w:jc w:val="both"/>
                  <w:rPr>
                    <w:color w:val="000000"/>
                    <w:szCs w:val="24"/>
                  </w:rPr>
                </w:pPr>
                <w:r>
                  <w:rPr>
                    <w:color w:val="000000"/>
                    <w:szCs w:val="24"/>
                  </w:rPr>
                  <w:t>— nereikalaujama, kad prieinamumo savybė būtų aktyvuota tam, kad naudotojas, kuriam ta savybė reikalinga, galėtų ją aktyvuoti,</w:t>
                </w:r>
              </w:p>
              <w:p>
                <w:pPr>
                  <w:jc w:val="both"/>
                  <w:rPr>
                    <w:color w:val="000000"/>
                    <w:szCs w:val="24"/>
                  </w:rPr>
                </w:pPr>
                <w:r>
                  <w:rPr>
                    <w:color w:val="000000"/>
                    <w:szCs w:val="24"/>
                  </w:rPr>
                  <w:t>— jei gaminyje naudojamas garsas ar garsiniai signalai, jie turi būti suderinami su Sąjungos lygmeniu turimais pagalbiniais prietaisais ir technologijomis, įskaitant klausos techniką, pavyzdžiui, klausos aparatus, telerites, kochlearinius implantus ir pagalbinius klausos prietaisus;</w:t>
                </w:r>
              </w:p>
              <w:p>
                <w:pPr>
                  <w:jc w:val="both"/>
                  <w:rPr>
                    <w:color w:val="000000"/>
                    <w:szCs w:val="24"/>
                  </w:rPr>
                </w:pPr>
                <w:r>
                  <w:rPr>
                    <w:color w:val="000000"/>
                    <w:szCs w:val="24"/>
                  </w:rPr>
                  <w:t>ii) e. skaityklėse numatyta rašytinės kalbos pavertimo sakytine kalba technologija;</w:t>
                </w:r>
              </w:p>
              <w:p>
                <w:pPr>
                  <w:jc w:val="both"/>
                  <w:rPr>
                    <w:color w:val="000000"/>
                    <w:szCs w:val="24"/>
                  </w:rPr>
                </w:pPr>
                <w:r>
                  <w:rPr>
                    <w:color w:val="000000"/>
                    <w:szCs w:val="24"/>
                  </w:rPr>
                  <w:t>iii) vartotojų galiniai įrenginiai su interaktyviais kompiuteriniais pajėgumais, naudojami elektroninių ryšių paslaugoms teikti:</w:t>
                </w:r>
              </w:p>
              <w:p>
                <w:pPr>
                  <w:jc w:val="both"/>
                  <w:rPr>
                    <w:color w:val="000000"/>
                    <w:szCs w:val="24"/>
                  </w:rPr>
                </w:pPr>
                <w:r>
                  <w:rPr>
                    <w:color w:val="000000"/>
                    <w:szCs w:val="24"/>
                  </w:rPr>
                  <w:t>— jei tokie gaminiai turi ne tik balso, bet ir teksto funkcijas, turi būti numatyta galimybė tvarkyti realiuoju laiku perduodamą tekstą ir palaikyti tiksliąją garso atkurtį,</w:t>
                </w:r>
              </w:p>
              <w:p>
                <w:pPr>
                  <w:jc w:val="both"/>
                  <w:rPr>
                    <w:color w:val="000000"/>
                    <w:szCs w:val="24"/>
                  </w:rPr>
                </w:pPr>
                <w:r>
                  <w:rPr>
                    <w:color w:val="000000"/>
                    <w:szCs w:val="24"/>
                  </w:rPr>
                  <w:t>— jei tokie gaminiai be teksto ir balso funkcijų arba derinant su jomis turi vaizdo funkcijas, turi būti numatyta galimybė valdyti įvairiapusį ryšį, įskaitant sinchronizuotą balsą, realiuoju laiku perduodamą tekstą ir vaizdo medžiagą tokia geba, kuri leistų komunikuoti gestų kalba,</w:t>
                </w:r>
              </w:p>
              <w:p>
                <w:pPr>
                  <w:jc w:val="both"/>
                  <w:rPr>
                    <w:color w:val="000000"/>
                    <w:szCs w:val="24"/>
                  </w:rPr>
                </w:pPr>
                <w:r>
                  <w:rPr>
                    <w:color w:val="000000"/>
                    <w:szCs w:val="24"/>
                  </w:rPr>
                  <w:t>— turi būti užtikrintas veiksmingas belaidis prisijungimas prie klausos technologijų,</w:t>
                </w:r>
              </w:p>
              <w:p>
                <w:pPr>
                  <w:jc w:val="both"/>
                  <w:rPr>
                    <w:color w:val="000000"/>
                    <w:szCs w:val="24"/>
                    <w:lang w:val="en-US"/>
                  </w:rPr>
                </w:pPr>
                <w:r>
                  <w:rPr>
                    <w:color w:val="000000"/>
                    <w:szCs w:val="24"/>
                  </w:rPr>
                  <w:t>—</w:t>
                </w:r>
                <w:r>
                  <w:rPr>
                    <w:color w:val="000000"/>
                    <w:szCs w:val="24"/>
                    <w:lang w:val="en-US"/>
                  </w:rPr>
                  <w:t xml:space="preserve"> turi būti vengiama trukdžių pagalbiniams prietaisams;</w:t>
                </w:r>
              </w:p>
              <w:p>
                <w:pPr>
                  <w:jc w:val="both"/>
                  <w:rPr>
                    <w:color w:val="000000"/>
                    <w:szCs w:val="24"/>
                  </w:rPr>
                </w:pPr>
                <w:r>
                  <w:rPr>
                    <w:color w:val="000000"/>
                    <w:szCs w:val="24"/>
                  </w:rPr>
                  <w:t>iv) vartotojų galiniuose įrenginiuose su interaktyviais kompiuteriniais pajėgumais, naudojamuose prieigai prie audiovizualinės žiniasklaidos paslaugų, neįgaliesiems turi būti sudaryta galimybė naudotis prieinamumo komponentais, kuriuos teikia audiovizualinės žiniasklaidos paslaugų teikėjas, susijusiais su naudotojo prieiga, pasirinkimu, valdymu ir personalizavimu bei perdavimu į pagalbinius prietaisus.</w:t>
                </w: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1 priedas</w:t>
                </w:r>
              </w:p>
              <w:p>
                <w:pPr>
                  <w:widowControl w:val="0"/>
                  <w:spacing w:line="360" w:lineRule="auto"/>
                  <w:ind w:firstLine="720"/>
                  <w:jc w:val="center"/>
                  <w:rPr>
                    <w:b/>
                    <w:bCs/>
                    <w:szCs w:val="24"/>
                    <w:lang w:val="en-US"/>
                  </w:rPr>
                </w:pPr>
              </w:p>
              <w:p>
                <w:pPr>
                  <w:jc w:val="center"/>
                  <w:rPr>
                    <w:b/>
                    <w:bCs/>
                    <w:szCs w:val="24"/>
                  </w:rPr>
                </w:pPr>
                <w:r>
                  <w:rPr>
                    <w:b/>
                    <w:bCs/>
                    <w:szCs w:val="24"/>
                  </w:rPr>
                  <w:t>GAMINIŲ IR PASLAUGŲ PRIEINAMUMO REIKALAVIMAI</w:t>
                </w:r>
              </w:p>
              <w:p>
                <w:pPr>
                  <w:jc w:val="both"/>
                  <w:rPr>
                    <w:iCs/>
                    <w:color w:val="000000"/>
                    <w:szCs w:val="24"/>
                  </w:rPr>
                </w:pPr>
              </w:p>
              <w:p>
                <w:pPr>
                  <w:jc w:val="both"/>
                  <w:rPr>
                    <w:iCs/>
                    <w:color w:val="000000"/>
                    <w:szCs w:val="24"/>
                  </w:rPr>
                </w:pPr>
                <w:r>
                  <w:rPr>
                    <w:iCs/>
                    <w:color w:val="000000"/>
                    <w:szCs w:val="24"/>
                  </w:rPr>
                  <w:t>3. Gaminys, įskaitant jo naudotojo sąsają, turi turėti savybių, elementų ir funkcijų, kurie sudaro sąlygas asmenų su negalia prieigai prie gaminio, jo suvokimui, naudojimui, supratimui ir valdymui užtikrinant, kad (naudotojo sąsajos ir funkcionalumo projektavimo reikalavimai):</w:t>
                </w:r>
              </w:p>
              <w:p>
                <w:pPr>
                  <w:jc w:val="both"/>
                  <w:rPr>
                    <w:iCs/>
                    <w:color w:val="000000"/>
                    <w:szCs w:val="24"/>
                  </w:rPr>
                </w:pPr>
                <w:r>
                  <w:rPr>
                    <w:iCs/>
                    <w:color w:val="000000"/>
                    <w:szCs w:val="24"/>
                  </w:rPr>
                  <w:t>3.1. jei numatyta, kad gaminiu bus palaikomas ryšys, įskaitant asmenų tarpusavio ryšį, naudojimą, informavimą, valdymą ir orientavimą, tai būtų galima daryti daugiau nei viena jusle atpažįstamu būdu (tai apima regos, klausos, kalbos ir jutiklinių elementų alternatyvų pateikimą);</w:t>
                </w:r>
              </w:p>
              <w:p>
                <w:pPr>
                  <w:jc w:val="both"/>
                  <w:rPr>
                    <w:iCs/>
                    <w:color w:val="000000"/>
                    <w:szCs w:val="24"/>
                  </w:rPr>
                </w:pPr>
                <w:r>
                  <w:rPr>
                    <w:iCs/>
                    <w:color w:val="000000"/>
                    <w:szCs w:val="24"/>
                  </w:rPr>
                  <w:t>3.2. jei gaminyje naudojama kalbinė funkcija, jame ryšio palaikymui, naudojimui, valdymui ir orientavimui būtų numatytos kalbos ir balsinės įvesties alternatyvos;</w:t>
                </w:r>
              </w:p>
              <w:p>
                <w:pPr>
                  <w:jc w:val="both"/>
                  <w:rPr>
                    <w:iCs/>
                    <w:color w:val="000000"/>
                    <w:szCs w:val="24"/>
                  </w:rPr>
                </w:pPr>
                <w:r>
                  <w:rPr>
                    <w:iCs/>
                    <w:color w:val="000000"/>
                    <w:szCs w:val="24"/>
                  </w:rPr>
                  <w:t>3.3. jei gaminyje naudojami vaizdiniai elementai, jame turi būti numatyta galimybė ryšių palaikymo, informavimo ir naudojimo tikslais lanksčiai padidinti dydį, ryškumą ir kontrastą, taip pat užtikrinti sąveikumą su naršyti sąsajoje padedančiomis programomis ir pagalbiniais prietaisais;</w:t>
                </w:r>
              </w:p>
              <w:p>
                <w:pPr>
                  <w:jc w:val="both"/>
                  <w:rPr>
                    <w:iCs/>
                    <w:color w:val="000000"/>
                    <w:szCs w:val="24"/>
                  </w:rPr>
                </w:pPr>
                <w:r>
                  <w:rPr>
                    <w:iCs/>
                    <w:color w:val="000000"/>
                    <w:szCs w:val="24"/>
                  </w:rPr>
                  <w:t>3.4. jei gaminyje informacijai pateikti naudojamos spalvos, nurodomas veiksmas, prašoma reaguoti ar nustatyti elementus, gaminyje būtų numatyta alternatyva spalvoms;</w:t>
                </w:r>
              </w:p>
              <w:p>
                <w:pPr>
                  <w:jc w:val="both"/>
                  <w:rPr>
                    <w:iCs/>
                    <w:color w:val="000000"/>
                    <w:szCs w:val="24"/>
                  </w:rPr>
                </w:pPr>
                <w:r>
                  <w:rPr>
                    <w:iCs/>
                    <w:color w:val="000000"/>
                    <w:szCs w:val="24"/>
                  </w:rPr>
                  <w:t>3.5. jei gaminyje informacijai pateikti naudojami garso signalai, nurodomas veiksmas, prašoma reaguoti ar nustatyti elementus, gaminyje būtų numatyta alternatyva garso signalams;</w:t>
                </w:r>
              </w:p>
              <w:p>
                <w:pPr>
                  <w:jc w:val="both"/>
                  <w:rPr>
                    <w:iCs/>
                    <w:color w:val="000000"/>
                    <w:szCs w:val="24"/>
                  </w:rPr>
                </w:pPr>
                <w:r>
                  <w:rPr>
                    <w:iCs/>
                    <w:color w:val="000000"/>
                    <w:szCs w:val="24"/>
                  </w:rPr>
                  <w:t>3.6. jei gaminyje naudojami vaizdiniai elementai, jame būtų numatyta galimybė lanksčiai pagerinti vaizdo aiškumą;</w:t>
                </w:r>
              </w:p>
              <w:p>
                <w:pPr>
                  <w:jc w:val="both"/>
                  <w:rPr>
                    <w:iCs/>
                    <w:color w:val="000000"/>
                    <w:szCs w:val="24"/>
                  </w:rPr>
                </w:pPr>
                <w:r>
                  <w:rPr>
                    <w:iCs/>
                    <w:color w:val="000000"/>
                    <w:szCs w:val="24"/>
                  </w:rPr>
                  <w:t>3.7. jei gaminyje naudojamas garsas, jame būtų numatyta galimybė naudotojui valdyti garso stiprumą bei greitį ir numatytos geresnės garsinės savybės, įskaitant aplinkinių gaminių skleidžiamų trukdančių garso signalų sumažinimą ir garso aiškumą;</w:t>
                </w:r>
              </w:p>
              <w:p>
                <w:pPr>
                  <w:jc w:val="both"/>
                  <w:rPr>
                    <w:iCs/>
                    <w:color w:val="000000"/>
                    <w:szCs w:val="24"/>
                  </w:rPr>
                </w:pPr>
                <w:r>
                  <w:rPr>
                    <w:iCs/>
                    <w:color w:val="000000"/>
                    <w:szCs w:val="24"/>
                  </w:rPr>
                  <w:t>3.8. jei gaminį reikia naudoti ir valdyti rankiniu būdu, jame būtų numatyta nuosekliojo valdymo funkcija ir valdymo naudojant smulkiąją motoriką alternatyvos, kad valdymui nereikėtų naudoti kelių veiksmų vienu metu ir kad būtų galima naudoti jutikliniu būdu atskiriamas dalis;</w:t>
                </w:r>
              </w:p>
              <w:p>
                <w:pPr>
                  <w:jc w:val="both"/>
                  <w:rPr>
                    <w:iCs/>
                    <w:color w:val="000000"/>
                    <w:szCs w:val="24"/>
                  </w:rPr>
                </w:pPr>
                <w:r>
                  <w:rPr>
                    <w:iCs/>
                    <w:color w:val="000000"/>
                    <w:szCs w:val="24"/>
                  </w:rPr>
                  <w:t>3.9. būtų vengiama gaminyje įdiegti veikimo režimus, kuriuos naudojant reikėtų pernelyg toli ištiesti ranką ar naudoti didelę jėgą;</w:t>
                </w:r>
              </w:p>
              <w:p>
                <w:pPr>
                  <w:jc w:val="both"/>
                  <w:rPr>
                    <w:iCs/>
                    <w:color w:val="000000"/>
                    <w:szCs w:val="24"/>
                  </w:rPr>
                </w:pPr>
                <w:r>
                  <w:rPr>
                    <w:iCs/>
                    <w:color w:val="000000"/>
                    <w:szCs w:val="24"/>
                  </w:rPr>
                  <w:t>3.10. būtų vengiama gaminiu sukelti traukulius dėl jautrumo šviesai;</w:t>
                </w:r>
              </w:p>
              <w:p>
                <w:pPr>
                  <w:jc w:val="both"/>
                  <w:rPr>
                    <w:iCs/>
                    <w:color w:val="000000"/>
                    <w:szCs w:val="24"/>
                  </w:rPr>
                </w:pPr>
                <w:r>
                  <w:rPr>
                    <w:iCs/>
                    <w:color w:val="000000"/>
                    <w:szCs w:val="24"/>
                  </w:rPr>
                  <w:t>3.11. gaminiu būtų saugomas gaminio naudotojo privatumas, kai jis naudojasi gaminio prieinamumo savybėmis;</w:t>
                </w:r>
              </w:p>
              <w:p>
                <w:pPr>
                  <w:jc w:val="both"/>
                  <w:rPr>
                    <w:iCs/>
                    <w:color w:val="000000"/>
                    <w:szCs w:val="24"/>
                  </w:rPr>
                </w:pPr>
                <w:r>
                  <w:rPr>
                    <w:iCs/>
                    <w:color w:val="000000"/>
                    <w:szCs w:val="24"/>
                  </w:rPr>
                  <w:t>3.12. gaminyje būtų numatoma biometrinio tapatybės nustatymo ir valdymo alternatyva;</w:t>
                </w:r>
              </w:p>
              <w:p>
                <w:pPr>
                  <w:jc w:val="both"/>
                  <w:rPr>
                    <w:iCs/>
                    <w:color w:val="000000"/>
                    <w:szCs w:val="24"/>
                  </w:rPr>
                </w:pPr>
                <w:r>
                  <w:rPr>
                    <w:iCs/>
                    <w:color w:val="000000"/>
                    <w:szCs w:val="24"/>
                  </w:rPr>
                  <w:t>3.13. gaminyje būtų užtikrintas funkcijų nuoseklumas ir suteikta pakankama ir lanksti laiko trukmė sąveikai;</w:t>
                </w:r>
              </w:p>
              <w:p>
                <w:pPr>
                  <w:jc w:val="both"/>
                  <w:rPr>
                    <w:iCs/>
                    <w:color w:val="000000"/>
                    <w:szCs w:val="24"/>
                  </w:rPr>
                </w:pPr>
                <w:r>
                  <w:rPr>
                    <w:iCs/>
                    <w:color w:val="000000"/>
                    <w:szCs w:val="24"/>
                  </w:rPr>
                  <w:t>3.14. gaminyje būtų įdiegta programinė ir aparatinė įranga, skirta sąsajai su pagalbinėmis technologijomis užtikrinti.</w:t>
                </w:r>
              </w:p>
              <w:p>
                <w:pPr>
                  <w:jc w:val="both"/>
                  <w:rPr>
                    <w:iCs/>
                    <w:color w:val="000000"/>
                    <w:szCs w:val="24"/>
                  </w:rPr>
                </w:pPr>
              </w:p>
            </w:tc>
            <w:tc>
              <w:tcPr>
                <w:tcW w:w="1858" w:type="dxa"/>
              </w:tcPr>
              <w:p>
                <w:pPr>
                  <w:jc w:val="both"/>
                  <w:rPr>
                    <w:b/>
                    <w:bCs/>
                    <w:color w:val="000000"/>
                    <w:szCs w:val="24"/>
                  </w:rPr>
                </w:pPr>
                <w:r>
                  <w:rPr>
                    <w:b/>
                    <w:bCs/>
                    <w:color w:val="000000"/>
                    <w:szCs w:val="24"/>
                  </w:rPr>
                  <w:t>Visiškas</w:t>
                </w:r>
              </w:p>
            </w:tc>
          </w:tr>
          <w:tr>
            <w:trPr>
              <w:trHeight w:val="263"/>
            </w:trPr>
            <w:tc>
              <w:tcPr>
                <w:tcW w:w="5264" w:type="dxa"/>
              </w:tcPr>
              <w:p>
                <w:pPr>
                  <w:jc w:val="both"/>
                  <w:rPr>
                    <w:color w:val="000000"/>
                    <w:szCs w:val="24"/>
                  </w:rPr>
                </w:pPr>
                <w:r>
                  <w:rPr>
                    <w:color w:val="000000"/>
                    <w:szCs w:val="24"/>
                  </w:rPr>
                  <w:t>3. Paramos tarnybos:</w:t>
                </w:r>
              </w:p>
              <w:p>
                <w:pPr>
                  <w:jc w:val="both"/>
                  <w:rPr>
                    <w:color w:val="000000"/>
                    <w:szCs w:val="24"/>
                  </w:rPr>
                </w:pPr>
                <w:r>
                  <w:rPr>
                    <w:color w:val="000000"/>
                    <w:szCs w:val="24"/>
                  </w:rPr>
                  <w:t>Kai įmanoma, paramos tarnybos (pagalbos tarnybos, skambučių centrai, techninės paramos tarnybos, perdavimo paslaugų tarnybos ir mokymo tarnybos) prieinamais komunikacijos būdais suteikia informaciją apie gaminio prieinamumą ir jo suderinamumą su pagalbinėmis technologijomis.</w:t>
                </w: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1 priedas</w:t>
                </w:r>
              </w:p>
              <w:p>
                <w:pPr>
                  <w:widowControl w:val="0"/>
                  <w:spacing w:line="360" w:lineRule="auto"/>
                  <w:ind w:firstLine="720"/>
                  <w:jc w:val="center"/>
                  <w:rPr>
                    <w:b/>
                    <w:bCs/>
                    <w:szCs w:val="24"/>
                    <w:lang w:val="en-US"/>
                  </w:rPr>
                </w:pPr>
              </w:p>
              <w:p>
                <w:pPr>
                  <w:jc w:val="center"/>
                  <w:rPr>
                    <w:b/>
                    <w:bCs/>
                    <w:szCs w:val="24"/>
                  </w:rPr>
                </w:pPr>
                <w:r>
                  <w:rPr>
                    <w:b/>
                    <w:bCs/>
                    <w:szCs w:val="24"/>
                  </w:rPr>
                  <w:t>GAMINIŲ IR PASLAUGŲ PRIEINAMUMO REIKALAVIMAI</w:t>
                </w:r>
              </w:p>
              <w:p>
                <w:pPr>
                  <w:jc w:val="center"/>
                  <w:rPr>
                    <w:b/>
                    <w:bCs/>
                    <w:szCs w:val="24"/>
                    <w:lang w:val="en-US"/>
                  </w:rPr>
                </w:pPr>
              </w:p>
              <w:p>
                <w:pPr>
                  <w:jc w:val="both"/>
                  <w:rPr>
                    <w:szCs w:val="24"/>
                  </w:rPr>
                </w:pPr>
                <w:r>
                  <w:rPr>
                    <w:szCs w:val="24"/>
                  </w:rPr>
                  <w:t>5. Kai įmanoma, paramos tarnybos (pagalbos tarnybos, skambučių centrai, techninės paramos tarnybos, perdavimo paslaugų tarnybos ir mokymo tarnybos) prieinamais komunikacijos būdais suteikia informaciją apie gaminio prieinamumą ir jo suderinamumą su pagalbinėmis technologijomis.</w:t>
                </w:r>
              </w:p>
              <w:p>
                <w:pPr>
                  <w:jc w:val="both"/>
                  <w:rPr>
                    <w:i/>
                    <w:color w:val="000000"/>
                    <w:szCs w:val="24"/>
                  </w:rPr>
                </w:pPr>
              </w:p>
            </w:tc>
            <w:tc>
              <w:tcPr>
                <w:tcW w:w="1858" w:type="dxa"/>
              </w:tcPr>
              <w:p>
                <w:pPr>
                  <w:jc w:val="both"/>
                  <w:rPr>
                    <w:b/>
                    <w:bCs/>
                    <w:color w:val="000000"/>
                    <w:szCs w:val="24"/>
                  </w:rPr>
                </w:pPr>
                <w:r>
                  <w:rPr>
                    <w:b/>
                    <w:bCs/>
                    <w:color w:val="000000"/>
                    <w:szCs w:val="24"/>
                  </w:rPr>
                  <w:t>Visiškas</w:t>
                </w:r>
              </w:p>
            </w:tc>
          </w:tr>
          <w:tr>
            <w:trPr>
              <w:trHeight w:val="263"/>
            </w:trPr>
            <w:tc>
              <w:tcPr>
                <w:tcW w:w="5264" w:type="dxa"/>
              </w:tcPr>
              <w:p>
                <w:pPr>
                  <w:jc w:val="both"/>
                  <w:rPr>
                    <w:b/>
                    <w:bCs/>
                    <w:color w:val="000000"/>
                    <w:szCs w:val="24"/>
                  </w:rPr>
                </w:pPr>
                <w:r>
                  <w:rPr>
                    <w:b/>
                    <w:bCs/>
                    <w:color w:val="000000"/>
                    <w:szCs w:val="24"/>
                  </w:rPr>
                  <w:t>II skirsnis</w:t>
                </w:r>
              </w:p>
              <w:p>
                <w:pPr>
                  <w:jc w:val="both"/>
                  <w:rPr>
                    <w:b/>
                    <w:bCs/>
                    <w:color w:val="000000"/>
                    <w:szCs w:val="24"/>
                  </w:rPr>
                </w:pPr>
                <w:r>
                  <w:rPr>
                    <w:b/>
                    <w:bCs/>
                    <w:color w:val="000000"/>
                    <w:szCs w:val="24"/>
                  </w:rPr>
                  <w:t>Prieinamumo reikalavimai, susiję su 2 straipsnio 1 dalies gaminiais, išskyrus savitarnos terminalus, nurodytus 2 straipsnio 1 dalies b punkte</w:t>
                </w:r>
              </w:p>
              <w:p>
                <w:pPr>
                  <w:jc w:val="both"/>
                  <w:rPr>
                    <w:color w:val="000000"/>
                    <w:szCs w:val="24"/>
                  </w:rPr>
                </w:pPr>
              </w:p>
              <w:p>
                <w:pPr>
                  <w:jc w:val="both"/>
                  <w:rPr>
                    <w:color w:val="000000"/>
                    <w:szCs w:val="24"/>
                  </w:rPr>
                </w:pPr>
                <w:r>
                  <w:rPr>
                    <w:color w:val="000000"/>
                    <w:szCs w:val="24"/>
                  </w:rPr>
                  <w:t>Be I skirsnio reikalavimų, siekiant užtikrinti, kad gaminiais, kuriems taikomas šis skirsnis, pagal numatytą jų paskirtį galėtų kuo daugiau naudotis neįgalieji, šių gaminių pakuotės ir instrukcijos turi būti prieinamos. Tai reiškia, kad:</w:t>
                </w:r>
              </w:p>
              <w:p>
                <w:pPr>
                  <w:jc w:val="both"/>
                  <w:rPr>
                    <w:color w:val="000000"/>
                    <w:szCs w:val="24"/>
                  </w:rPr>
                </w:pPr>
                <w:r>
                  <w:rPr>
                    <w:color w:val="000000"/>
                    <w:szCs w:val="24"/>
                  </w:rPr>
                  <w:t>a) gaminio pakuotė, įskaitant joje pateikiamą informaciją (pvz., apie atidarymą, uždarymą, naudojimą, šalinimą), įskaitant, kai numatyta, informaciją apie gaminio prieinamumo charakteristikas, turi būti prieinama; ir, kai įmanoma, ta prieinama informacija turi būti pateikta ant pakuotės;</w:t>
                </w:r>
              </w:p>
              <w:p>
                <w:pPr>
                  <w:jc w:val="both"/>
                  <w:rPr>
                    <w:color w:val="000000"/>
                    <w:szCs w:val="24"/>
                  </w:rPr>
                </w:pPr>
                <w:r>
                  <w:rPr>
                    <w:color w:val="000000"/>
                    <w:szCs w:val="24"/>
                  </w:rPr>
                  <w:t>b) montavimo ir priežiūros, saugojimo ir šalinimo instrukcijos, pateikiamos ne ant paties gaminio, bet per kitas priemones, pavyzdžiui, interneto svetainę, turi būti viešai prieinamos, kai gaminys pateikiamas rinkai, ir turi atitikti šiuos reikalavimus:</w:t>
                </w:r>
              </w:p>
              <w:p>
                <w:pPr>
                  <w:jc w:val="both"/>
                  <w:rPr>
                    <w:color w:val="000000"/>
                    <w:szCs w:val="24"/>
                  </w:rPr>
                </w:pPr>
                <w:r>
                  <w:rPr>
                    <w:color w:val="000000"/>
                    <w:szCs w:val="24"/>
                  </w:rPr>
                  <w:t>i) turi būti pateikiamos daugiau nei viena jusle atpažįstamu būdu;</w:t>
                </w:r>
              </w:p>
              <w:p>
                <w:pPr>
                  <w:jc w:val="both"/>
                  <w:rPr>
                    <w:color w:val="000000"/>
                    <w:szCs w:val="24"/>
                  </w:rPr>
                </w:pPr>
                <w:r>
                  <w:rPr>
                    <w:color w:val="000000"/>
                    <w:szCs w:val="24"/>
                  </w:rPr>
                  <w:t>ii) pateikiamos suprantamai;</w:t>
                </w:r>
              </w:p>
              <w:p>
                <w:pPr>
                  <w:jc w:val="both"/>
                  <w:rPr>
                    <w:color w:val="000000"/>
                    <w:szCs w:val="24"/>
                  </w:rPr>
                </w:pPr>
                <w:r>
                  <w:rPr>
                    <w:color w:val="000000"/>
                    <w:szCs w:val="24"/>
                  </w:rPr>
                  <w:t>iii) naudotojams pateikiamos taip, kad jie galėtų jas suvokti;</w:t>
                </w:r>
              </w:p>
              <w:p>
                <w:pPr>
                  <w:jc w:val="both"/>
                  <w:rPr>
                    <w:color w:val="000000"/>
                    <w:szCs w:val="24"/>
                  </w:rPr>
                </w:pPr>
                <w:r>
                  <w:rPr>
                    <w:color w:val="000000"/>
                    <w:szCs w:val="24"/>
                  </w:rPr>
                  <w:t>iv) pateikiamos tinkamo dydžio ir tipo šriftu atsižvelgiant į numatomas naudojimo sąlygas ir užtikrinant pakankamą kontrastą, taip pat pritaikant tarpus tarp raidžių, eilučių ir pastraipų;</w:t>
                </w:r>
              </w:p>
              <w:p>
                <w:pPr>
                  <w:jc w:val="both"/>
                  <w:rPr>
                    <w:color w:val="000000"/>
                    <w:szCs w:val="24"/>
                  </w:rPr>
                </w:pPr>
                <w:r>
                  <w:rPr>
                    <w:color w:val="000000"/>
                    <w:szCs w:val="24"/>
                  </w:rPr>
                  <w:t>v) instrukcijų turinys turi būti pateikiamas teksto formatais, kuriuos naudojant galima generuoti alternatyvius pagalbinius formatus, kurie gali būti pateikiami įvairiai ir daugiau nei viena jusle atpažįstamu būdu, ir</w:t>
                </w:r>
              </w:p>
              <w:p>
                <w:pPr>
                  <w:jc w:val="both"/>
                  <w:rPr>
                    <w:color w:val="000000"/>
                    <w:szCs w:val="24"/>
                  </w:rPr>
                </w:pPr>
                <w:r>
                  <w:rPr>
                    <w:color w:val="000000"/>
                    <w:szCs w:val="24"/>
                  </w:rPr>
                  <w:t>vi) prie instrukcijų, kuriose esama bet kokių netekstinių turinio elementų, tas turinys turi būti pridedamas alternatyviai išdėstytas.</w:t>
                </w: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1 priedas</w:t>
                </w:r>
              </w:p>
              <w:p>
                <w:pPr>
                  <w:widowControl w:val="0"/>
                  <w:spacing w:line="360" w:lineRule="auto"/>
                  <w:ind w:firstLine="720"/>
                  <w:jc w:val="center"/>
                  <w:rPr>
                    <w:b/>
                    <w:bCs/>
                    <w:szCs w:val="24"/>
                    <w:lang w:val="en-US"/>
                  </w:rPr>
                </w:pPr>
              </w:p>
              <w:p>
                <w:pPr>
                  <w:jc w:val="center"/>
                  <w:rPr>
                    <w:b/>
                    <w:bCs/>
                    <w:szCs w:val="24"/>
                  </w:rPr>
                </w:pPr>
                <w:r>
                  <w:rPr>
                    <w:b/>
                    <w:bCs/>
                    <w:szCs w:val="24"/>
                  </w:rPr>
                  <w:t>GAMINIŲ IR PASLAUGŲ PRIEINAMUMO REIKALAVIMAI</w:t>
                </w:r>
              </w:p>
              <w:p>
                <w:pPr>
                  <w:jc w:val="both"/>
                  <w:rPr>
                    <w:iCs/>
                    <w:color w:val="000000"/>
                    <w:szCs w:val="24"/>
                  </w:rPr>
                </w:pPr>
              </w:p>
              <w:p>
                <w:pPr>
                  <w:jc w:val="both"/>
                  <w:rPr>
                    <w:iCs/>
                    <w:color w:val="000000"/>
                    <w:szCs w:val="24"/>
                  </w:rPr>
                </w:pPr>
                <w:r>
                  <w:rPr>
                    <w:iCs/>
                    <w:color w:val="000000"/>
                    <w:szCs w:val="24"/>
                  </w:rPr>
                  <w:t>4. Siekiant, kad gaminiais pagal numatytą jų paskirtį galėtų naudotis kuo daugiau asmenų su negalia, turi būti užtikrintas gaminių, kuriems taikomas Gaminių ir paslaugų prieinamumo reikalavimų įstatymas (išskyrus savitarnos terminalus), , pakuočių ir instrukcijų prieinamumas:</w:t>
                </w:r>
              </w:p>
              <w:p>
                <w:pPr>
                  <w:jc w:val="both"/>
                  <w:rPr>
                    <w:iCs/>
                    <w:color w:val="000000"/>
                    <w:szCs w:val="24"/>
                  </w:rPr>
                </w:pPr>
                <w:r>
                  <w:rPr>
                    <w:iCs/>
                    <w:color w:val="000000"/>
                    <w:szCs w:val="24"/>
                  </w:rPr>
                  <w:t>4.1. gaminių pakuotės, įskaitant jose pateikiamą informaciją (pvz., informaciją apie atidarymą, uždarymą, naudojimą, šalinimą), įskaitant, kai numatyta, informaciją apie gaminių prieinamumo charakteristikas, turi būti prieinama; ir, kai įmanoma, ta prieinama informacija turi būti pateikta ant pakuotės;</w:t>
                </w:r>
              </w:p>
              <w:p>
                <w:pPr>
                  <w:jc w:val="both"/>
                  <w:rPr>
                    <w:iCs/>
                    <w:color w:val="000000"/>
                    <w:szCs w:val="24"/>
                  </w:rPr>
                </w:pPr>
                <w:r>
                  <w:rPr>
                    <w:iCs/>
                    <w:color w:val="000000"/>
                    <w:szCs w:val="24"/>
                  </w:rPr>
                  <w:t>4.2. gaminių montavimo ir priežiūros, saugojimo ir šalinimo instrukcijos, turi būti pateiktos ne ant pačių gaminių, bet per kitas priemones (pvz., per interneto svetainę), šios instrukcijos turi būti viešai prieinamos, kai gaminys pateikiamas rinkai, ir turi atitikti šiuos reikalavimus:</w:t>
                </w:r>
              </w:p>
              <w:p>
                <w:pPr>
                  <w:jc w:val="both"/>
                  <w:rPr>
                    <w:iCs/>
                    <w:color w:val="000000"/>
                    <w:szCs w:val="24"/>
                  </w:rPr>
                </w:pPr>
                <w:r>
                  <w:rPr>
                    <w:iCs/>
                    <w:color w:val="000000"/>
                    <w:szCs w:val="24"/>
                  </w:rPr>
                  <w:t>4.2.1. turi būti pateikiamos daugiau nei viena jusle atpažįstamu būdu;</w:t>
                </w:r>
              </w:p>
              <w:p>
                <w:pPr>
                  <w:jc w:val="both"/>
                  <w:rPr>
                    <w:iCs/>
                    <w:color w:val="000000"/>
                    <w:szCs w:val="24"/>
                  </w:rPr>
                </w:pPr>
                <w:r>
                  <w:rPr>
                    <w:iCs/>
                    <w:color w:val="000000"/>
                    <w:szCs w:val="24"/>
                  </w:rPr>
                  <w:t>4.2.2. pateikiamos suprantamai;</w:t>
                </w:r>
              </w:p>
              <w:p>
                <w:pPr>
                  <w:jc w:val="both"/>
                  <w:rPr>
                    <w:iCs/>
                    <w:color w:val="000000"/>
                    <w:szCs w:val="24"/>
                  </w:rPr>
                </w:pPr>
                <w:r>
                  <w:rPr>
                    <w:iCs/>
                    <w:color w:val="000000"/>
                    <w:szCs w:val="24"/>
                  </w:rPr>
                  <w:t>4.2.3. naudotojams pateikiamos taip, kad jie galėtų jas suvokti;</w:t>
                </w:r>
              </w:p>
              <w:p>
                <w:pPr>
                  <w:jc w:val="both"/>
                  <w:rPr>
                    <w:iCs/>
                    <w:color w:val="000000"/>
                    <w:szCs w:val="24"/>
                  </w:rPr>
                </w:pPr>
                <w:r>
                  <w:rPr>
                    <w:iCs/>
                    <w:color w:val="000000"/>
                    <w:szCs w:val="24"/>
                  </w:rPr>
                  <w:t>4.2.4. pateikiamos tinkamo dydžio ir tipo šriftu atsižvelgiant į numatomas naudojimo sąlygas ir užtikrinant pakankamą kontrastą, taip pat pritaikant tarpus tarp raidžių, eilučių ir pastraipų;</w:t>
                </w:r>
              </w:p>
              <w:p>
                <w:pPr>
                  <w:jc w:val="both"/>
                  <w:rPr>
                    <w:iCs/>
                    <w:color w:val="000000"/>
                    <w:szCs w:val="24"/>
                  </w:rPr>
                </w:pPr>
                <w:r>
                  <w:rPr>
                    <w:iCs/>
                    <w:color w:val="000000"/>
                    <w:szCs w:val="24"/>
                  </w:rPr>
                  <w:t>4.2.5. instrukcijų turinys turi būti pateikiamas teksto formatais, kuriuos naudojant galima generuoti alternatyvius pagalbinius formatus, kurie gali būti pateikiami įvairiai ir daugiau nei viena jusle atpažįstamu būdu;</w:t>
                </w:r>
              </w:p>
              <w:p>
                <w:pPr>
                  <w:jc w:val="both"/>
                  <w:rPr>
                    <w:iCs/>
                    <w:color w:val="000000"/>
                    <w:szCs w:val="24"/>
                  </w:rPr>
                </w:pPr>
                <w:r>
                  <w:rPr>
                    <w:iCs/>
                    <w:color w:val="000000"/>
                    <w:szCs w:val="24"/>
                  </w:rPr>
                  <w:t>4.2.6. prie instrukcijų, kuriose yra bet kokių netekstinių turinio elementų, tas netekstinis turinys turi būti pridedamas alternatyviai išdėstytas.</w:t>
                </w:r>
              </w:p>
              <w:p>
                <w:pPr>
                  <w:jc w:val="both"/>
                  <w:rPr>
                    <w:iCs/>
                    <w:color w:val="000000"/>
                    <w:szCs w:val="24"/>
                  </w:rPr>
                </w:pPr>
              </w:p>
            </w:tc>
            <w:tc>
              <w:tcPr>
                <w:tcW w:w="1858" w:type="dxa"/>
              </w:tcPr>
              <w:p>
                <w:pPr>
                  <w:jc w:val="both"/>
                  <w:rPr>
                    <w:b/>
                    <w:bCs/>
                    <w:color w:val="000000"/>
                    <w:szCs w:val="24"/>
                  </w:rPr>
                </w:pPr>
                <w:r>
                  <w:rPr>
                    <w:b/>
                    <w:bCs/>
                    <w:color w:val="000000"/>
                    <w:szCs w:val="24"/>
                  </w:rPr>
                  <w:t>Visiškas</w:t>
                </w:r>
              </w:p>
            </w:tc>
          </w:tr>
          <w:tr>
            <w:trPr>
              <w:trHeight w:val="263"/>
            </w:trPr>
            <w:tc>
              <w:tcPr>
                <w:tcW w:w="5264" w:type="dxa"/>
              </w:tcPr>
              <w:p>
                <w:pPr>
                  <w:jc w:val="both"/>
                  <w:rPr>
                    <w:b/>
                    <w:bCs/>
                    <w:color w:val="000000"/>
                    <w:szCs w:val="24"/>
                  </w:rPr>
                </w:pPr>
                <w:r>
                  <w:rPr>
                    <w:b/>
                    <w:bCs/>
                    <w:color w:val="000000"/>
                    <w:szCs w:val="24"/>
                  </w:rPr>
                  <w:t>III skirsnis</w:t>
                </w:r>
              </w:p>
              <w:p>
                <w:pPr>
                  <w:jc w:val="both"/>
                  <w:rPr>
                    <w:b/>
                    <w:bCs/>
                    <w:color w:val="000000"/>
                    <w:szCs w:val="24"/>
                  </w:rPr>
                </w:pPr>
                <w:r>
                  <w:rPr>
                    <w:b/>
                    <w:bCs/>
                    <w:color w:val="000000"/>
                    <w:szCs w:val="24"/>
                  </w:rPr>
                  <w:t>Bendri su visomis paslaugomis, kurioms taikoma ši direktyva pagal 2 straipsnio 2 dalį, susiję prieinamumo reikalavimai</w:t>
                </w:r>
              </w:p>
              <w:p>
                <w:pPr>
                  <w:jc w:val="both"/>
                  <w:rPr>
                    <w:color w:val="000000"/>
                    <w:szCs w:val="24"/>
                  </w:rPr>
                </w:pPr>
              </w:p>
              <w:p>
                <w:pPr>
                  <w:jc w:val="both"/>
                  <w:rPr>
                    <w:color w:val="000000"/>
                    <w:szCs w:val="24"/>
                  </w:rPr>
                </w:pPr>
                <w:r>
                  <w:rPr>
                    <w:color w:val="000000"/>
                    <w:szCs w:val="24"/>
                  </w:rPr>
                  <w:t>Siekiant užtikrinti, kad paslaugomis pagal numatytą jų paskirtį galėtų kuo daugiau naudotis neįgalieji, jos teikiamos:</w:t>
                </w:r>
              </w:p>
              <w:p>
                <w:pPr>
                  <w:jc w:val="both"/>
                  <w:rPr>
                    <w:color w:val="000000"/>
                    <w:szCs w:val="24"/>
                  </w:rPr>
                </w:pPr>
                <w:r>
                  <w:rPr>
                    <w:color w:val="000000"/>
                    <w:szCs w:val="24"/>
                  </w:rPr>
                  <w:t>a) užtikrinant teikiant paslaugą naudojamų gaminių prieinamumą pagal šio priedo I skirsnį ir, kai taikytina – jo II skirsnį;</w:t>
                </w:r>
              </w:p>
              <w:p>
                <w:pPr>
                  <w:jc w:val="both"/>
                  <w:rPr>
                    <w:color w:val="000000"/>
                    <w:szCs w:val="24"/>
                  </w:rPr>
                </w:pPr>
                <w:r>
                  <w:rPr>
                    <w:color w:val="000000"/>
                    <w:szCs w:val="24"/>
                  </w:rPr>
                  <w:t>b) teikiant informaciją apie paslaugos veikimą ir, kai teikiant paslaugas naudojami gaminiai, jų sąsają su šiais gaminiais, taip pat informaciją apie jų prieinamumo charakteristikas ir sąveikumą su pagalbiniais prietaisais ir priemonėmis:</w:t>
                </w:r>
              </w:p>
              <w:p>
                <w:pPr>
                  <w:jc w:val="both"/>
                  <w:rPr>
                    <w:color w:val="000000"/>
                    <w:szCs w:val="24"/>
                  </w:rPr>
                </w:pPr>
                <w:r>
                  <w:rPr>
                    <w:color w:val="000000"/>
                    <w:szCs w:val="24"/>
                  </w:rPr>
                  <w:t>i) pateikiant informaciją daugiau nei viena jusle atpažįstamu būdu;</w:t>
                </w:r>
              </w:p>
              <w:p>
                <w:pPr>
                  <w:jc w:val="both"/>
                  <w:rPr>
                    <w:color w:val="000000"/>
                    <w:szCs w:val="24"/>
                  </w:rPr>
                </w:pPr>
                <w:r>
                  <w:rPr>
                    <w:color w:val="000000"/>
                    <w:szCs w:val="24"/>
                  </w:rPr>
                  <w:t>ii) pateikiant informaciją suprantamai;</w:t>
                </w:r>
              </w:p>
              <w:p>
                <w:pPr>
                  <w:jc w:val="both"/>
                  <w:rPr>
                    <w:color w:val="000000"/>
                    <w:szCs w:val="24"/>
                  </w:rPr>
                </w:pPr>
                <w:r>
                  <w:rPr>
                    <w:color w:val="000000"/>
                    <w:szCs w:val="24"/>
                  </w:rPr>
                  <w:t>iii) pateikiant informaciją naudotojams taip, kad jie galėtų ją suvokti;</w:t>
                </w:r>
              </w:p>
              <w:p>
                <w:pPr>
                  <w:jc w:val="both"/>
                  <w:rPr>
                    <w:color w:val="000000"/>
                    <w:szCs w:val="24"/>
                  </w:rPr>
                </w:pPr>
                <w:r>
                  <w:rPr>
                    <w:color w:val="000000"/>
                    <w:szCs w:val="24"/>
                  </w:rPr>
                  <w:t>iv) pateikiant informacijos turinį teksto formatais, kuriuos naudojant galima generuoti alternatyvius pagalbinius formatus, kurie naudotojams gali būti pateikiami įvairiai ir daugiau nei viena jusle atpažįstamu būdu;</w:t>
                </w:r>
              </w:p>
              <w:p>
                <w:pPr>
                  <w:jc w:val="both"/>
                  <w:rPr>
                    <w:color w:val="000000"/>
                    <w:szCs w:val="24"/>
                  </w:rPr>
                </w:pPr>
                <w:r>
                  <w:rPr>
                    <w:color w:val="000000"/>
                    <w:szCs w:val="24"/>
                  </w:rPr>
                  <w:t>v) pateikiami tinkamo dydžio ir tipo šriftu atsižvelgiant į numatomas naudojimo sąlygas ir užtikrinant pakankamą kontrastą, taip pat pritaikant tarpus tarp raidžių, eilučių ir pastraipų;</w:t>
                </w:r>
              </w:p>
              <w:p>
                <w:pPr>
                  <w:jc w:val="both"/>
                  <w:rPr>
                    <w:color w:val="000000"/>
                    <w:szCs w:val="24"/>
                  </w:rPr>
                </w:pPr>
                <w:r>
                  <w:rPr>
                    <w:color w:val="000000"/>
                    <w:szCs w:val="24"/>
                  </w:rPr>
                  <w:t>vi) papildant bet kokį netekstinį turinį alternatyviu to turinio išdėstymu ir</w:t>
                </w:r>
              </w:p>
              <w:p>
                <w:pPr>
                  <w:jc w:val="both"/>
                  <w:rPr>
                    <w:color w:val="000000"/>
                    <w:szCs w:val="24"/>
                  </w:rPr>
                </w:pPr>
                <w:r>
                  <w:rPr>
                    <w:color w:val="000000"/>
                    <w:szCs w:val="24"/>
                  </w:rPr>
                  <w:t>vii) elektroninę informaciją, reikalingą atitinkamai paslaugai teikti, pateikiant nuosekliai ir tinkamai, kad ji būtų suvokiama, ją būtų galima naudoti, ji būtų suprantama ir tvari;</w:t>
                </w:r>
              </w:p>
              <w:p>
                <w:pPr>
                  <w:jc w:val="both"/>
                  <w:rPr>
                    <w:color w:val="000000"/>
                    <w:szCs w:val="24"/>
                  </w:rPr>
                </w:pPr>
                <w:r>
                  <w:rPr>
                    <w:color w:val="000000"/>
                    <w:szCs w:val="24"/>
                  </w:rPr>
                  <w:t>c) užtikrinant, kad interneto svetainės, be kita ko, susijusios internetinės taikomosios programos, ir nešiojamaisiais prietaisais teikiamos paslaugos, įskaitant mobiliąsias programas, būtų nuosekliai ir tinkamai prieinamos, kad jos būtų suvokiamos, jas būtų galima naudoti, jos būtų suprantamos ir tvarios;</w:t>
                </w:r>
              </w:p>
              <w:p>
                <w:pPr>
                  <w:jc w:val="both"/>
                  <w:rPr>
                    <w:color w:val="000000"/>
                    <w:szCs w:val="24"/>
                  </w:rPr>
                </w:pPr>
                <w:r>
                  <w:rPr>
                    <w:color w:val="000000"/>
                    <w:szCs w:val="24"/>
                  </w:rPr>
                  <w:t>d) kai įmanoma, paramos tarnyboms (pagalbos tarnyboms, skambučių centrams, techninės paramos tarnyboms, perdavimo paslaugų tarnyboms ir mokymo tarnyboms) prieinamais komunikacijos būdais teikiant informaciją apie paslaugų prieinamumą ir jų suderinamumą su pagalbinėmis technologijomis.</w:t>
                </w: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1 priedas</w:t>
                </w:r>
              </w:p>
              <w:p>
                <w:pPr>
                  <w:widowControl w:val="0"/>
                  <w:spacing w:line="360" w:lineRule="auto"/>
                  <w:ind w:firstLine="720"/>
                  <w:jc w:val="center"/>
                  <w:rPr>
                    <w:b/>
                    <w:bCs/>
                    <w:szCs w:val="24"/>
                    <w:lang w:val="en-US"/>
                  </w:rPr>
                </w:pPr>
              </w:p>
              <w:p>
                <w:pPr>
                  <w:jc w:val="center"/>
                  <w:rPr>
                    <w:b/>
                    <w:bCs/>
                    <w:szCs w:val="24"/>
                  </w:rPr>
                </w:pPr>
                <w:r>
                  <w:rPr>
                    <w:b/>
                    <w:bCs/>
                    <w:szCs w:val="24"/>
                  </w:rPr>
                  <w:t>GAMINIŲ IR PASLAUGŲ PRIEINAMUMO REIKALAVIMAI</w:t>
                </w:r>
              </w:p>
              <w:p>
                <w:pPr>
                  <w:jc w:val="center"/>
                  <w:rPr>
                    <w:b/>
                    <w:bCs/>
                    <w:iCs/>
                    <w:color w:val="000000"/>
                    <w:szCs w:val="24"/>
                  </w:rPr>
                </w:pPr>
              </w:p>
              <w:p>
                <w:pPr>
                  <w:jc w:val="center"/>
                  <w:rPr>
                    <w:color w:val="000000"/>
                    <w:szCs w:val="24"/>
                    <w:lang w:val="en-US"/>
                  </w:rPr>
                </w:pPr>
                <w:r>
                  <w:rPr>
                    <w:b/>
                    <w:bCs/>
                    <w:color w:val="000000"/>
                    <w:szCs w:val="24"/>
                    <w:lang w:val="en-US"/>
                  </w:rPr>
                  <w:t>TREČIAS SKYRIUS</w:t>
                </w:r>
              </w:p>
              <w:p>
                <w:pPr>
                  <w:jc w:val="center"/>
                  <w:rPr>
                    <w:color w:val="000000"/>
                    <w:szCs w:val="24"/>
                    <w:lang w:val="en-US"/>
                  </w:rPr>
                </w:pPr>
                <w:r>
                  <w:rPr>
                    <w:b/>
                    <w:bCs/>
                    <w:color w:val="000000"/>
                    <w:szCs w:val="24"/>
                    <w:lang w:val="en-US"/>
                  </w:rPr>
                  <w:t>VISOMS PASLAUGOMS, PAGAL GAMINIŲ IR PASLAUGŲ PRIEINAMUMO REIKALAVIMŲ ĮSTATYMĄ, TAIKYTINI PRIEINAMUMO REIKALAVIMAI</w:t>
                </w:r>
              </w:p>
              <w:p>
                <w:pPr>
                  <w:jc w:val="both"/>
                  <w:rPr>
                    <w:iCs/>
                    <w:color w:val="000000"/>
                    <w:szCs w:val="24"/>
                  </w:rPr>
                </w:pPr>
              </w:p>
              <w:p>
                <w:pPr>
                  <w:jc w:val="both"/>
                  <w:rPr>
                    <w:iCs/>
                    <w:color w:val="000000"/>
                    <w:szCs w:val="24"/>
                  </w:rPr>
                </w:pPr>
                <w:r>
                  <w:rPr>
                    <w:iCs/>
                    <w:color w:val="000000"/>
                    <w:szCs w:val="24"/>
                  </w:rPr>
                  <w:t>10. Siekiant užtikrinti, kad paslaugomis pagal numatytą jų paskirtį galėtų kuo daugiau naudotis asmenys su negalia, jos teikiamos:</w:t>
                </w:r>
              </w:p>
              <w:p>
                <w:pPr>
                  <w:jc w:val="both"/>
                  <w:rPr>
                    <w:iCs/>
                    <w:color w:val="000000"/>
                    <w:szCs w:val="24"/>
                  </w:rPr>
                </w:pPr>
                <w:r>
                  <w:rPr>
                    <w:iCs/>
                    <w:color w:val="000000"/>
                    <w:szCs w:val="24"/>
                  </w:rPr>
                  <w:t>10.1. užtikrinant teikiant paslaugą naudojamų gaminių prieinamumą pagal šio priedo 2, 3 ir 5–9 punktus, kai taikytina – ir pagal šio priedo 4 punktą;</w:t>
                </w:r>
              </w:p>
              <w:p>
                <w:pPr>
                  <w:jc w:val="both"/>
                  <w:rPr>
                    <w:iCs/>
                    <w:color w:val="000000"/>
                    <w:szCs w:val="24"/>
                  </w:rPr>
                </w:pPr>
                <w:r>
                  <w:rPr>
                    <w:iCs/>
                    <w:color w:val="000000"/>
                    <w:szCs w:val="24"/>
                  </w:rPr>
                  <w:t>10.2. teikiant informaciją apie paslaugos veikimą ir, kai teikiant paslaugas naudojami gaminiai, jų sąsają su šiais gaminiais, taip pat informaciją apie jų prieinamumo charakteristikas ir sąveikumą su pagalbiniais prietaisais bei priemonėmis:</w:t>
                </w:r>
              </w:p>
              <w:p>
                <w:pPr>
                  <w:jc w:val="both"/>
                  <w:rPr>
                    <w:iCs/>
                    <w:color w:val="000000"/>
                    <w:szCs w:val="24"/>
                  </w:rPr>
                </w:pPr>
                <w:r>
                  <w:rPr>
                    <w:iCs/>
                    <w:color w:val="000000"/>
                    <w:szCs w:val="24"/>
                  </w:rPr>
                  <w:t>10.2.1. pateikiant informaciją daugiau nei viena jusle atpažįstamu būdu;</w:t>
                </w:r>
              </w:p>
              <w:p>
                <w:pPr>
                  <w:jc w:val="both"/>
                  <w:rPr>
                    <w:iCs/>
                    <w:color w:val="000000"/>
                    <w:szCs w:val="24"/>
                  </w:rPr>
                </w:pPr>
                <w:r>
                  <w:rPr>
                    <w:iCs/>
                    <w:color w:val="000000"/>
                    <w:szCs w:val="24"/>
                  </w:rPr>
                  <w:t>10.2.2. pateikiant informaciją suprantamai;</w:t>
                </w:r>
              </w:p>
              <w:p>
                <w:pPr>
                  <w:jc w:val="both"/>
                  <w:rPr>
                    <w:iCs/>
                    <w:color w:val="000000"/>
                    <w:szCs w:val="24"/>
                  </w:rPr>
                </w:pPr>
                <w:r>
                  <w:rPr>
                    <w:iCs/>
                    <w:color w:val="000000"/>
                    <w:szCs w:val="24"/>
                  </w:rPr>
                  <w:t>10.2.3. pateikiant informaciją naudotojams taip, kad jie galėtų ją suvokti;</w:t>
                </w:r>
              </w:p>
              <w:p>
                <w:pPr>
                  <w:jc w:val="both"/>
                  <w:rPr>
                    <w:iCs/>
                    <w:color w:val="000000"/>
                    <w:szCs w:val="24"/>
                  </w:rPr>
                </w:pPr>
                <w:r>
                  <w:rPr>
                    <w:iCs/>
                    <w:color w:val="000000"/>
                    <w:szCs w:val="24"/>
                  </w:rPr>
                  <w:t>10.2.4. pateikiant informacijos turinį teksto formatais, kuriuos naudojant galima generuoti alternatyvius pagalbinius formatus, kurie naudotojams gali būti pateikiami įvairiai ir daugiau nei viena jusle atpažįstamu būdu;</w:t>
                </w:r>
              </w:p>
              <w:p>
                <w:pPr>
                  <w:jc w:val="both"/>
                  <w:rPr>
                    <w:iCs/>
                    <w:color w:val="000000"/>
                    <w:szCs w:val="24"/>
                  </w:rPr>
                </w:pPr>
                <w:r>
                  <w:rPr>
                    <w:iCs/>
                    <w:color w:val="000000"/>
                    <w:szCs w:val="24"/>
                  </w:rPr>
                  <w:t>10.2.5. pateikiami tinkamo dydžio ir tipo šriftu atsižvelgiant į numatomas naudojimo sąlygas ir užtikrinant pakankamą kontrastą, taip pat pritaikant tarpus tarp raidžių, eilučių ir pastraipų;</w:t>
                </w:r>
              </w:p>
              <w:p>
                <w:pPr>
                  <w:jc w:val="both"/>
                  <w:rPr>
                    <w:iCs/>
                    <w:color w:val="000000"/>
                    <w:szCs w:val="24"/>
                  </w:rPr>
                </w:pPr>
                <w:r>
                  <w:rPr>
                    <w:iCs/>
                    <w:color w:val="000000"/>
                    <w:szCs w:val="24"/>
                  </w:rPr>
                  <w:t>10.2.6. papildant bet kokį netekstinį turinį alternatyviu to turinio išdėstymu;</w:t>
                </w:r>
              </w:p>
              <w:p>
                <w:pPr>
                  <w:jc w:val="both"/>
                  <w:rPr>
                    <w:iCs/>
                    <w:color w:val="000000"/>
                    <w:szCs w:val="24"/>
                  </w:rPr>
                </w:pPr>
                <w:r>
                  <w:rPr>
                    <w:iCs/>
                    <w:color w:val="000000"/>
                    <w:szCs w:val="24"/>
                  </w:rPr>
                  <w:t>10.2.7. elektroninę informaciją, reikalingą atitinkamai paslaugai teikti, pateikiant nuosekliai ir tinkamai, kad ji būtų suvokiama, ją būtų galima naudoti, ji būtų suprantama ir tvari;</w:t>
                </w:r>
              </w:p>
              <w:p>
                <w:pPr>
                  <w:jc w:val="both"/>
                  <w:rPr>
                    <w:iCs/>
                    <w:color w:val="000000"/>
                    <w:szCs w:val="24"/>
                  </w:rPr>
                </w:pPr>
                <w:r>
                  <w:rPr>
                    <w:iCs/>
                    <w:color w:val="000000"/>
                    <w:szCs w:val="24"/>
                  </w:rPr>
                  <w:t>10.3. užtikrinant, kad interneto svetainės, be kita ko, susijusios internetinės taikomosios programos, ir nešiojamaisiais prietaisais teikiamos paslaugos, įskaitant mobiliąsias programas, būtų nuosekliai ir tinkamai prieinamos, kad jos būtų suvokiamos, jas būtų galima naudoti, jos būtų suprantamos ir tvarios;</w:t>
                </w:r>
              </w:p>
              <w:p>
                <w:pPr>
                  <w:jc w:val="both"/>
                  <w:rPr>
                    <w:iCs/>
                    <w:color w:val="000000"/>
                    <w:szCs w:val="24"/>
                  </w:rPr>
                </w:pPr>
                <w:r>
                  <w:rPr>
                    <w:iCs/>
                    <w:color w:val="000000"/>
                    <w:szCs w:val="24"/>
                  </w:rPr>
                  <w:t>10.4. kai įmanoma, paramos tarnyboms (pagalbos tarnyboms, skambučių centrams, techninės paramos tarnyboms, perdavimo paslaugų tarnyboms ir mokymo tarnyboms) prieinamais komunikacijos būdais teikiant informaciją apie paslaugų prieinamumą ir jų suderinamumą su pagalbinėmis technologijomis.</w:t>
                </w:r>
              </w:p>
              <w:p>
                <w:pPr>
                  <w:jc w:val="both"/>
                  <w:rPr>
                    <w:iCs/>
                    <w:color w:val="000000"/>
                    <w:szCs w:val="24"/>
                  </w:rPr>
                </w:pPr>
              </w:p>
            </w:tc>
            <w:tc>
              <w:tcPr>
                <w:tcW w:w="1858" w:type="dxa"/>
              </w:tcPr>
              <w:p>
                <w:pPr>
                  <w:jc w:val="both"/>
                  <w:rPr>
                    <w:b/>
                    <w:bCs/>
                    <w:color w:val="000000"/>
                    <w:szCs w:val="24"/>
                  </w:rPr>
                </w:pPr>
                <w:r>
                  <w:rPr>
                    <w:b/>
                    <w:bCs/>
                    <w:color w:val="000000"/>
                    <w:szCs w:val="24"/>
                  </w:rPr>
                  <w:t>Visiškas</w:t>
                </w:r>
              </w:p>
            </w:tc>
          </w:tr>
          <w:tr>
            <w:trPr>
              <w:trHeight w:val="263"/>
            </w:trPr>
            <w:tc>
              <w:tcPr>
                <w:tcW w:w="5264" w:type="dxa"/>
              </w:tcPr>
              <w:p>
                <w:pPr>
                  <w:jc w:val="both"/>
                  <w:rPr>
                    <w:b/>
                    <w:bCs/>
                    <w:color w:val="000000"/>
                    <w:szCs w:val="24"/>
                  </w:rPr>
                </w:pPr>
                <w:r>
                  <w:rPr>
                    <w:b/>
                    <w:bCs/>
                    <w:color w:val="000000"/>
                    <w:szCs w:val="24"/>
                  </w:rPr>
                  <w:t>IV skirsnis</w:t>
                </w:r>
              </w:p>
              <w:p>
                <w:pPr>
                  <w:jc w:val="both"/>
                  <w:rPr>
                    <w:b/>
                    <w:bCs/>
                    <w:color w:val="000000"/>
                    <w:szCs w:val="24"/>
                  </w:rPr>
                </w:pPr>
                <w:r>
                  <w:rPr>
                    <w:b/>
                    <w:bCs/>
                    <w:color w:val="000000"/>
                    <w:szCs w:val="24"/>
                  </w:rPr>
                  <w:t>Papildomi prieinamumo reikalavimai, susiję su konkrečiomis paslaugomis</w:t>
                </w:r>
              </w:p>
              <w:p>
                <w:pPr>
                  <w:jc w:val="both"/>
                  <w:rPr>
                    <w:color w:val="000000"/>
                    <w:szCs w:val="24"/>
                  </w:rPr>
                </w:pPr>
              </w:p>
              <w:p>
                <w:pPr>
                  <w:jc w:val="both"/>
                  <w:rPr>
                    <w:color w:val="000000"/>
                    <w:szCs w:val="24"/>
                  </w:rPr>
                </w:pPr>
                <w:r>
                  <w:rPr>
                    <w:color w:val="000000"/>
                    <w:szCs w:val="24"/>
                  </w:rPr>
                  <w:t>Siekiant užtikrinti, kad paslaugomis pagal numatytą jų paskirtį galėtų kuo daugiau naudotis neįgalieji, jos teikiamos užtikrinant funkcijas, praktiką, politiką ir procedūras bei paslaugos teikimo pakeitimus, kad būtų atsižvelgiama į neįgaliųjų poreikius ir užtikrinamas sąveikumas su pagalbinėmis technologijomis:</w:t>
                </w:r>
              </w:p>
              <w:p>
                <w:pPr>
                  <w:jc w:val="both"/>
                  <w:rPr>
                    <w:color w:val="000000"/>
                    <w:szCs w:val="24"/>
                  </w:rPr>
                </w:pPr>
                <w:r>
                  <w:rPr>
                    <w:color w:val="000000"/>
                    <w:szCs w:val="24"/>
                  </w:rPr>
                  <w:t>a) elektroninių ryšių paslaugos, įskaitant skubios pagalbos ryšius, nurodytus Direktyvos (ES) 2018/1972 109 straipsnio 2 dalyje:</w:t>
                </w:r>
              </w:p>
              <w:p>
                <w:pPr>
                  <w:jc w:val="both"/>
                  <w:rPr>
                    <w:color w:val="000000"/>
                    <w:szCs w:val="24"/>
                  </w:rPr>
                </w:pPr>
                <w:r>
                  <w:rPr>
                    <w:color w:val="000000"/>
                    <w:szCs w:val="24"/>
                  </w:rPr>
                  <w:t>i) pateikiamas realiuoju laiku perduodamas tekstas, kuriuo papildomas balso ryšys;</w:t>
                </w:r>
              </w:p>
              <w:p>
                <w:pPr>
                  <w:jc w:val="both"/>
                  <w:rPr>
                    <w:color w:val="000000"/>
                    <w:szCs w:val="24"/>
                  </w:rPr>
                </w:pPr>
                <w:r>
                  <w:rPr>
                    <w:color w:val="000000"/>
                    <w:szCs w:val="24"/>
                  </w:rPr>
                  <w:t>ii) pateikiamas įvairiapusis ryšys, kai balso ryšys papildomas vaizdo medžiaga;</w:t>
                </w:r>
              </w:p>
              <w:p>
                <w:pPr>
                  <w:jc w:val="both"/>
                  <w:rPr>
                    <w:color w:val="000000"/>
                    <w:szCs w:val="24"/>
                  </w:rPr>
                </w:pPr>
                <w:r>
                  <w:rPr>
                    <w:color w:val="000000"/>
                    <w:szCs w:val="24"/>
                  </w:rPr>
                  <w:t>iii) užtikrinama, kad skubios pagalbos ryšys naudojant balsą, tekstą (įskaitant realiuoju laiku perduodamą tekstą) būtų sinchronizuojamas, o kai teikiama vaizdo medžiaga, perduodant irgi būtų sinchronizuojamas kaip įvairiapusis ryšys, ir elektroninių ryšių paslaugų teikėjų būtų perduodamas tinkamiausiam BPC;</w:t>
                </w:r>
              </w:p>
              <w:p>
                <w:pPr>
                  <w:jc w:val="both"/>
                  <w:rPr>
                    <w:color w:val="000000"/>
                    <w:szCs w:val="24"/>
                  </w:rPr>
                </w:pPr>
                <w:r>
                  <w:rPr>
                    <w:color w:val="000000"/>
                    <w:szCs w:val="24"/>
                  </w:rPr>
                  <w:t>b) paslaugos, kuriomis suteikiama prieiga prie audiovizualinės žiniasklaidos paslaugų:</w:t>
                </w:r>
              </w:p>
              <w:p>
                <w:pPr>
                  <w:jc w:val="both"/>
                  <w:rPr>
                    <w:color w:val="000000"/>
                    <w:szCs w:val="24"/>
                  </w:rPr>
                </w:pPr>
                <w:r>
                  <w:rPr>
                    <w:color w:val="000000"/>
                    <w:szCs w:val="24"/>
                  </w:rPr>
                  <w:t>i) pateikiami elektroniniai programų vadovai (EPV), kurie yra suvokiami, juos galima naudoti, jie yra suprantami ir tvarūs, ir jais teikiama informacija apie prieinamumo galimybes;</w:t>
                </w:r>
              </w:p>
              <w:p>
                <w:pPr>
                  <w:jc w:val="both"/>
                  <w:rPr>
                    <w:color w:val="000000"/>
                    <w:szCs w:val="24"/>
                  </w:rPr>
                </w:pPr>
                <w:r>
                  <w:rPr>
                    <w:color w:val="000000"/>
                    <w:szCs w:val="24"/>
                  </w:rPr>
                  <w:t>ii) užtikrinama, kad audiovizualinės žiniasklaidos paslaugų prieinamumo komponentai (prieigos paslaugos), kaip antai, subtitrai kurtiesiems ir klausos sutrikimų turintiems asmenims, garso komentarai, įgarsinti subtitrai ir vertimas į gestų kalbą, būtų visapusiškai perduodami užtikrinant tinkamą tikslaus perteikimo kokybę ir sinchronizuojami su garsu ir vaizdo medžiaga, naudotojams sudarant sąlygas valdyti jų perteikimą ir naudojimą;</w:t>
                </w:r>
              </w:p>
              <w:p>
                <w:pPr>
                  <w:jc w:val="both"/>
                  <w:rPr>
                    <w:color w:val="000000"/>
                    <w:szCs w:val="24"/>
                  </w:rPr>
                </w:pPr>
                <w:r>
                  <w:rPr>
                    <w:color w:val="000000"/>
                    <w:szCs w:val="24"/>
                  </w:rPr>
                  <w:t>c) keleivinio oro, autobusų, geležinkelių ir vandens transporto paslaugos, išskyrus mieste ir priemiesčiuose teikiamas transporto paslaugas ir regionines transporto paslaugas:</w:t>
                </w:r>
              </w:p>
              <w:p>
                <w:pPr>
                  <w:jc w:val="both"/>
                  <w:rPr>
                    <w:color w:val="000000"/>
                    <w:szCs w:val="24"/>
                  </w:rPr>
                </w:pPr>
                <w:r>
                  <w:rPr>
                    <w:color w:val="000000"/>
                    <w:szCs w:val="24"/>
                  </w:rPr>
                  <w:t>i) užtikrinama, kad būtų teikiama informacija apie transporto priemonių, aplinkinės infrastruktūros ir apstatytos aplinkos prieinamumą ir pagalbą neįgaliesiems;</w:t>
                </w:r>
              </w:p>
              <w:p>
                <w:pPr>
                  <w:jc w:val="both"/>
                  <w:rPr>
                    <w:color w:val="000000"/>
                    <w:szCs w:val="24"/>
                  </w:rPr>
                </w:pPr>
                <w:r>
                  <w:rPr>
                    <w:color w:val="000000"/>
                    <w:szCs w:val="24"/>
                  </w:rPr>
                  <w:t>ii) užtikrinama, kad būtų teikiama informacija apie pažangų bilietų pardavimą (elektroninė rezervacija, bilietų užsakymas ir kt.), informacija keleiviams realiuoju laiku (tvarkaraščiai, informacija apie transporto eismo sutrikimus, jungiamuosius maršrutus, tolesnę kelionę kitų rūšių transporto priemonėmis ir kt.) ir papildoma informacija apie paslaugas (pvz., stočių darbuotojus, sugedusius liftus ar paslaugas, kurios laikinai neteikiamos);</w:t>
                </w:r>
              </w:p>
              <w:p>
                <w:pPr>
                  <w:jc w:val="both"/>
                  <w:rPr>
                    <w:color w:val="000000"/>
                    <w:szCs w:val="24"/>
                  </w:rPr>
                </w:pPr>
                <w:r>
                  <w:rPr>
                    <w:color w:val="000000"/>
                    <w:szCs w:val="24"/>
                  </w:rPr>
                  <w:t>d) mieste ir priemiesčiuose teikiamos transporto paslaugos ir regioninės transporto paslaugos: užtikrinama prieiga prie savitarnos terminalų, naudojamų teikiant paslaugą, pagal šio priedo I skirsnį;</w:t>
                </w:r>
              </w:p>
              <w:p>
                <w:pPr>
                  <w:jc w:val="both"/>
                  <w:rPr>
                    <w:color w:val="000000"/>
                    <w:szCs w:val="24"/>
                  </w:rPr>
                </w:pPr>
                <w:r>
                  <w:rPr>
                    <w:color w:val="000000"/>
                    <w:szCs w:val="24"/>
                  </w:rPr>
                  <w:t>e) banko paslaugos vartotojams:</w:t>
                </w:r>
              </w:p>
              <w:p>
                <w:pPr>
                  <w:jc w:val="both"/>
                  <w:rPr>
                    <w:color w:val="000000"/>
                    <w:szCs w:val="24"/>
                  </w:rPr>
                </w:pPr>
                <w:r>
                  <w:rPr>
                    <w:color w:val="000000"/>
                    <w:szCs w:val="24"/>
                  </w:rPr>
                  <w:t>i) numatomi tapatybės nustatymo metodai, elektroniniai parašai, saugumas ir mokėjimo paslaugos, kurie būtų suvokiami, tinkami naudoti, suprantami ir tvarūs;</w:t>
                </w:r>
              </w:p>
              <w:p>
                <w:pPr>
                  <w:jc w:val="both"/>
                  <w:rPr>
                    <w:color w:val="000000"/>
                    <w:szCs w:val="24"/>
                  </w:rPr>
                </w:pPr>
                <w:r>
                  <w:rPr>
                    <w:color w:val="000000"/>
                    <w:szCs w:val="24"/>
                  </w:rPr>
                  <w:t>ii) užtikrinama, kad informacija būtų suprantama, pateikta B2 (savarankiškas vartotojas) sudėtingumo lygio pagal Europos Tarybos bendrą Europos kalbų mokėjimo orientacine sistemą neviršijančia kalba;</w:t>
                </w:r>
              </w:p>
              <w:p>
                <w:pPr>
                  <w:jc w:val="both"/>
                  <w:rPr>
                    <w:color w:val="000000"/>
                    <w:szCs w:val="24"/>
                  </w:rPr>
                </w:pPr>
                <w:r>
                  <w:rPr>
                    <w:color w:val="000000"/>
                    <w:szCs w:val="24"/>
                  </w:rPr>
                  <w:t>f) e. knygos:</w:t>
                </w:r>
              </w:p>
              <w:p>
                <w:pPr>
                  <w:jc w:val="both"/>
                  <w:rPr>
                    <w:color w:val="000000"/>
                    <w:szCs w:val="24"/>
                  </w:rPr>
                </w:pPr>
                <w:r>
                  <w:rPr>
                    <w:color w:val="000000"/>
                    <w:szCs w:val="24"/>
                  </w:rPr>
                  <w:t>i) kai e. knygoje esama ne tik teksto, bet ir garsinio turinio, užtikrinama, kad būtų numatytas teksto ir garsinio turinio sinchronizavimas;</w:t>
                </w:r>
              </w:p>
              <w:p>
                <w:pPr>
                  <w:jc w:val="both"/>
                  <w:rPr>
                    <w:color w:val="000000"/>
                    <w:szCs w:val="24"/>
                  </w:rPr>
                </w:pPr>
                <w:r>
                  <w:rPr>
                    <w:color w:val="000000"/>
                    <w:szCs w:val="24"/>
                  </w:rPr>
                  <w:t>ii) užtikrinama, kad e. knygų skaitmeninės rinkmenos nekliudytų pagalbinei technologijai tinkamai veikti;</w:t>
                </w:r>
              </w:p>
              <w:p>
                <w:pPr>
                  <w:jc w:val="both"/>
                  <w:rPr>
                    <w:color w:val="000000"/>
                    <w:szCs w:val="24"/>
                  </w:rPr>
                </w:pPr>
                <w:r>
                  <w:rPr>
                    <w:color w:val="000000"/>
                    <w:szCs w:val="24"/>
                  </w:rPr>
                  <w:t>iii) užtikrinama prieiga prie turinio, rinkmenos turinio naršymo ir formato, įskaitant dinamišką formatą, struktūros suteikimą, lankstumą ir turinio pateikimo pasirinkimo galimybę;</w:t>
                </w:r>
              </w:p>
              <w:p>
                <w:pPr>
                  <w:jc w:val="both"/>
                  <w:rPr>
                    <w:color w:val="000000"/>
                    <w:szCs w:val="24"/>
                  </w:rPr>
                </w:pPr>
                <w:r>
                  <w:rPr>
                    <w:color w:val="000000"/>
                    <w:szCs w:val="24"/>
                  </w:rPr>
                  <w:t>iv) sudaromos galimybės alternatyviam turinio perdavimui ir jo sąveikumui su įvairiomis pagalbinėmis technologijomis suvokiamu, suprantamu, tinkamu naudoti ir tvariu būdu;</w:t>
                </w:r>
              </w:p>
              <w:p>
                <w:pPr>
                  <w:jc w:val="both"/>
                  <w:rPr>
                    <w:color w:val="000000"/>
                    <w:szCs w:val="24"/>
                  </w:rPr>
                </w:pPr>
                <w:r>
                  <w:rPr>
                    <w:color w:val="000000"/>
                    <w:szCs w:val="24"/>
                  </w:rPr>
                  <w:t>v) užtikrinama, kad jas būtų galima rasti, per metaduomenis pateikiant informaciją apie jų prieinamumo savybes;</w:t>
                </w:r>
              </w:p>
              <w:p>
                <w:pPr>
                  <w:tabs>
                    <w:tab w:val="left" w:pos="823"/>
                  </w:tabs>
                  <w:jc w:val="both"/>
                  <w:rPr>
                    <w:color w:val="000000"/>
                    <w:szCs w:val="24"/>
                  </w:rPr>
                </w:pPr>
                <w:r>
                  <w:rPr>
                    <w:color w:val="000000"/>
                    <w:szCs w:val="24"/>
                  </w:rPr>
                  <w:t>vi) užtikrinama, kad skaitmeninių teisių valdymo priemonės neblokuotų prieinamumo savybių;</w:t>
                </w:r>
              </w:p>
              <w:p>
                <w:pPr>
                  <w:jc w:val="both"/>
                  <w:rPr>
                    <w:color w:val="000000"/>
                    <w:szCs w:val="24"/>
                  </w:rPr>
                </w:pPr>
                <w:r>
                  <w:rPr>
                    <w:color w:val="000000"/>
                    <w:szCs w:val="24"/>
                  </w:rPr>
                  <w:t>g) e. prekybos paslaugos:</w:t>
                </w:r>
              </w:p>
              <w:p>
                <w:pPr>
                  <w:jc w:val="both"/>
                  <w:rPr>
                    <w:color w:val="000000"/>
                    <w:szCs w:val="24"/>
                  </w:rPr>
                </w:pPr>
                <w:r>
                  <w:rPr>
                    <w:color w:val="000000"/>
                    <w:szCs w:val="24"/>
                  </w:rPr>
                  <w:t>i) teikiama informacija apie parduodamų gaminių ir paslaugų prieinamumą, kai šią informaciją teikia atsakingas ekonominės veiklos vykdytojas;</w:t>
                </w:r>
              </w:p>
              <w:p>
                <w:pPr>
                  <w:jc w:val="both"/>
                  <w:rPr>
                    <w:color w:val="000000"/>
                    <w:szCs w:val="24"/>
                  </w:rPr>
                </w:pPr>
                <w:r>
                  <w:rPr>
                    <w:color w:val="000000"/>
                    <w:szCs w:val="24"/>
                  </w:rPr>
                  <w:t>ii) užtikrinamas tapatybės nustatymo, saugumo ir mokėjimo funkcijų prieinamumas, kai jos teikiamos kaip paslaugos, o ne gaminio dalis, užtikrinant, kad jos būtų suvokiamos, jas būtų galima naudoti, jos būtų suprantamos ir tvarios;</w:t>
                </w:r>
              </w:p>
              <w:p>
                <w:pPr>
                  <w:jc w:val="both"/>
                  <w:rPr>
                    <w:color w:val="000000"/>
                    <w:szCs w:val="24"/>
                  </w:rPr>
                </w:pPr>
                <w:r>
                  <w:rPr>
                    <w:color w:val="000000"/>
                    <w:szCs w:val="24"/>
                  </w:rPr>
                  <w:t>iii) numatomi tapatybės nustatymo metodai, elektroniniai parašai ir mokėjimo paslaugos, kurie būtų suvokiami, tinkami naudoti, suprantami ir tvarūs;</w:t>
                </w: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1 priedas</w:t>
                </w:r>
              </w:p>
              <w:p>
                <w:pPr>
                  <w:widowControl w:val="0"/>
                  <w:spacing w:line="360" w:lineRule="auto"/>
                  <w:ind w:firstLine="720"/>
                  <w:jc w:val="center"/>
                  <w:rPr>
                    <w:b/>
                    <w:bCs/>
                    <w:szCs w:val="24"/>
                    <w:lang w:val="en-US"/>
                  </w:rPr>
                </w:pPr>
              </w:p>
              <w:p>
                <w:pPr>
                  <w:jc w:val="center"/>
                  <w:rPr>
                    <w:b/>
                    <w:bCs/>
                    <w:szCs w:val="24"/>
                  </w:rPr>
                </w:pPr>
                <w:r>
                  <w:rPr>
                    <w:b/>
                    <w:bCs/>
                    <w:szCs w:val="24"/>
                  </w:rPr>
                  <w:t>GAMINIŲ IR PASLAUGŲ PRIEINAMUMO REIKALAVIMAI</w:t>
                </w:r>
              </w:p>
              <w:p>
                <w:pPr>
                  <w:jc w:val="both"/>
                  <w:rPr>
                    <w:iCs/>
                    <w:color w:val="000000"/>
                    <w:szCs w:val="24"/>
                  </w:rPr>
                </w:pPr>
              </w:p>
              <w:p>
                <w:pPr>
                  <w:jc w:val="center"/>
                  <w:rPr>
                    <w:b/>
                    <w:bCs/>
                    <w:iCs/>
                    <w:color w:val="000000"/>
                    <w:szCs w:val="24"/>
                  </w:rPr>
                </w:pPr>
                <w:r>
                  <w:rPr>
                    <w:b/>
                    <w:bCs/>
                    <w:iCs/>
                    <w:color w:val="000000"/>
                    <w:szCs w:val="24"/>
                  </w:rPr>
                  <w:t>KETVIRTAS SKYRIUS</w:t>
                </w:r>
              </w:p>
              <w:p>
                <w:pPr>
                  <w:jc w:val="center"/>
                  <w:rPr>
                    <w:b/>
                    <w:bCs/>
                    <w:iCs/>
                    <w:color w:val="000000"/>
                    <w:szCs w:val="24"/>
                  </w:rPr>
                </w:pPr>
                <w:r>
                  <w:rPr>
                    <w:b/>
                    <w:bCs/>
                    <w:iCs/>
                    <w:color w:val="000000"/>
                    <w:szCs w:val="24"/>
                  </w:rPr>
                  <w:t>KONKREČIOMS PASLAUGOMS TAIKYTINI PRIEINAMUMO REIKALAVIMAI</w:t>
                </w:r>
              </w:p>
              <w:p>
                <w:pPr>
                  <w:jc w:val="both"/>
                  <w:rPr>
                    <w:iCs/>
                    <w:color w:val="000000"/>
                    <w:szCs w:val="24"/>
                  </w:rPr>
                </w:pPr>
              </w:p>
              <w:p>
                <w:pPr>
                  <w:jc w:val="both"/>
                  <w:rPr>
                    <w:iCs/>
                    <w:color w:val="000000"/>
                    <w:szCs w:val="24"/>
                  </w:rPr>
                </w:pPr>
                <w:r>
                  <w:rPr>
                    <w:iCs/>
                    <w:color w:val="000000"/>
                    <w:szCs w:val="24"/>
                  </w:rPr>
                  <w:t>11. Siekiant užtikrinti, kad paslaugomis pagal numatytą jų paskirtį galėtų kuo daugiau naudotis asmenys su negalia, jos teikiamos užtikrinant funkcijas, praktiką, politiką ir procedūras bei paslaugos teikimo pakeitimus, kad būtų atsižvelgiama į asmenų su negalia poreikius ir užtikrinamas sąveikumas su pagalbinėmis technologijomis:</w:t>
                </w:r>
              </w:p>
              <w:p>
                <w:pPr>
                  <w:jc w:val="both"/>
                  <w:rPr>
                    <w:iCs/>
                    <w:color w:val="000000"/>
                    <w:szCs w:val="24"/>
                  </w:rPr>
                </w:pPr>
                <w:r>
                  <w:rPr>
                    <w:iCs/>
                    <w:color w:val="000000"/>
                    <w:szCs w:val="24"/>
                  </w:rPr>
                  <w:t>11.1. elektroninių ryšių paslaugos, įskaitant skubios pagalbos ryšius, nurodytus Lietuvos Respublikos elektroninių ryšių įstatymo 40 straipsnio 8 dalyje:</w:t>
                </w:r>
              </w:p>
              <w:p>
                <w:pPr>
                  <w:jc w:val="both"/>
                  <w:rPr>
                    <w:iCs/>
                    <w:color w:val="000000"/>
                    <w:szCs w:val="24"/>
                  </w:rPr>
                </w:pPr>
                <w:r>
                  <w:rPr>
                    <w:iCs/>
                    <w:color w:val="000000"/>
                    <w:szCs w:val="24"/>
                  </w:rPr>
                  <w:t>11.1.1. pateikiamas realiuoju laiku perduodamas tekstas, kuriuo papildomas balso ryšys;</w:t>
                </w:r>
              </w:p>
              <w:p>
                <w:pPr>
                  <w:jc w:val="both"/>
                  <w:rPr>
                    <w:iCs/>
                    <w:color w:val="000000"/>
                    <w:szCs w:val="24"/>
                  </w:rPr>
                </w:pPr>
                <w:r>
                  <w:rPr>
                    <w:iCs/>
                    <w:color w:val="000000"/>
                    <w:szCs w:val="24"/>
                  </w:rPr>
                  <w:t>11.1.2. pateikiamas įvairiapusis ryšys, kai balso ryšys papildomas vaizdo medžiaga;</w:t>
                </w:r>
              </w:p>
              <w:p>
                <w:pPr>
                  <w:jc w:val="both"/>
                  <w:rPr>
                    <w:iCs/>
                    <w:color w:val="000000"/>
                    <w:szCs w:val="24"/>
                  </w:rPr>
                </w:pPr>
                <w:r>
                  <w:rPr>
                    <w:iCs/>
                    <w:color w:val="000000"/>
                    <w:szCs w:val="24"/>
                  </w:rPr>
                  <w:t>11.1.3. užtikrinama, kad skubios pagalbos ryšys naudojant balsą, tekstą (įskaitant realiuoju laiku perduodamą tekstą) būtų sinchronizuojamas, o kai teikiama vaizdo medžiaga, perduodant irgi būtų sinchronizuojamas kaip įvairiapusis ryšys, ir elektroninių ryšių paslaugų teikėjų būtų perduodamas Bendrajam pagalbos centrui;</w:t>
                </w:r>
              </w:p>
              <w:p>
                <w:pPr>
                  <w:jc w:val="both"/>
                  <w:rPr>
                    <w:iCs/>
                    <w:color w:val="000000"/>
                    <w:szCs w:val="24"/>
                  </w:rPr>
                </w:pPr>
                <w:r>
                  <w:rPr>
                    <w:iCs/>
                    <w:color w:val="000000"/>
                    <w:szCs w:val="24"/>
                  </w:rPr>
                  <w:t>11.2. audiovizualinės žiniasklaidos paslaugų prieigos paslaugos:</w:t>
                </w:r>
              </w:p>
              <w:p>
                <w:pPr>
                  <w:jc w:val="both"/>
                  <w:rPr>
                    <w:iCs/>
                    <w:color w:val="000000"/>
                    <w:szCs w:val="24"/>
                  </w:rPr>
                </w:pPr>
                <w:r>
                  <w:rPr>
                    <w:iCs/>
                    <w:color w:val="000000"/>
                    <w:szCs w:val="24"/>
                  </w:rPr>
                  <w:t>11.2.1. pateikiami elektroniniai programų vadovai, kurie yra suvokiami, juos galima naudoti, jie yra suprantami ir tvarūs, ir jais teikiama informacija apie prieinamumo galimybes;</w:t>
                </w:r>
              </w:p>
              <w:p>
                <w:pPr>
                  <w:jc w:val="both"/>
                  <w:rPr>
                    <w:iCs/>
                    <w:color w:val="000000"/>
                    <w:szCs w:val="24"/>
                  </w:rPr>
                </w:pPr>
                <w:r>
                  <w:rPr>
                    <w:iCs/>
                    <w:color w:val="000000"/>
                    <w:szCs w:val="24"/>
                  </w:rPr>
                  <w:t>11.2.2. užtikrinama, kad audiovizualinės žiniasklaidos paslaugų prieinamumo komponentai (prieigos paslaugos), kaip antai, subtitrai kurtiesiems ir klausos sutrikimų turintiems asmenims, garsinis vaizdavimas, įgarsinti subtitrai ir vertimas į gestų kalbą, būtų visapusiškai perduodami užtikrinant tinkamą tikslaus perteikimo kokybę ir sinchronizuojami su garsu ir vaizdo medžiaga, naudotojams sudarant sąlygas valdyti jų perteikimą ir naudojimą;</w:t>
                </w:r>
              </w:p>
              <w:p>
                <w:pPr>
                  <w:jc w:val="both"/>
                  <w:rPr>
                    <w:iCs/>
                    <w:color w:val="000000"/>
                    <w:szCs w:val="24"/>
                  </w:rPr>
                </w:pPr>
                <w:r>
                  <w:rPr>
                    <w:iCs/>
                    <w:color w:val="000000"/>
                    <w:szCs w:val="24"/>
                  </w:rPr>
                  <w:t>11.3. keleivinio oro, autobusų, geležinkelių ir vandens transporto paslaugos, išskyrus mieste ir priemiesčiuose teikiamas transporto paslaugas ir regionines transporto paslaugas:</w:t>
                </w:r>
              </w:p>
              <w:p>
                <w:pPr>
                  <w:jc w:val="both"/>
                  <w:rPr>
                    <w:iCs/>
                    <w:color w:val="000000"/>
                    <w:szCs w:val="24"/>
                  </w:rPr>
                </w:pPr>
                <w:r>
                  <w:rPr>
                    <w:iCs/>
                    <w:color w:val="000000"/>
                    <w:szCs w:val="24"/>
                  </w:rPr>
                  <w:t>11.3.1. užtikrinama, kad būtų teikiama informacija apie transporto priemonių, aplinkinės infrastruktūros ir apstatytos aplinkos prieinamumą ir pagalbą asmenims su negalia;</w:t>
                </w:r>
              </w:p>
              <w:p>
                <w:pPr>
                  <w:jc w:val="both"/>
                  <w:rPr>
                    <w:iCs/>
                    <w:color w:val="000000"/>
                    <w:szCs w:val="24"/>
                  </w:rPr>
                </w:pPr>
                <w:r>
                  <w:rPr>
                    <w:iCs/>
                    <w:color w:val="000000"/>
                    <w:szCs w:val="24"/>
                  </w:rPr>
                  <w:t>11.3.2. užtikrinama, kad būtų teikiama informacija apie pažangų bilietų pardavimą (elektroninė rezervacija, bilietų užsakymas ir kt.), informacija keleiviams realiuoju laiku (tvarkaraščiai, informacija apie transporto eismo sutrikimus, jungiamuosius maršrutus, tolesnę kelionę kitų rūšių transporto priemonėmis ir kt.) ir papildoma informacija apie paslaugas (pvz., stočių darbuotojus, sugedusius liftus ar paslaugas, kurios laikinai neteikiamos);</w:t>
                </w:r>
              </w:p>
              <w:p>
                <w:pPr>
                  <w:jc w:val="both"/>
                  <w:rPr>
                    <w:iCs/>
                    <w:color w:val="000000"/>
                    <w:szCs w:val="24"/>
                  </w:rPr>
                </w:pPr>
                <w:r>
                  <w:rPr>
                    <w:iCs/>
                    <w:color w:val="000000"/>
                    <w:szCs w:val="24"/>
                  </w:rPr>
                  <w:t>11.4. mieste ir priemiesčiuose teikiamos transporto paslaugos ir regioninės transporto paslaugos: užtikrinama prieiga prie savitarnos terminalų, naudojamų teikiant paslaugą, pagal šio priedo 2, 3 ir 5–9 punktus;</w:t>
                </w:r>
              </w:p>
              <w:p>
                <w:pPr>
                  <w:jc w:val="both"/>
                  <w:rPr>
                    <w:iCs/>
                    <w:color w:val="000000"/>
                    <w:szCs w:val="24"/>
                  </w:rPr>
                </w:pPr>
                <w:r>
                  <w:rPr>
                    <w:iCs/>
                    <w:color w:val="000000"/>
                    <w:szCs w:val="24"/>
                  </w:rPr>
                  <w:t>11.5. banko paslaugos vartotojams:</w:t>
                </w:r>
              </w:p>
              <w:p>
                <w:pPr>
                  <w:jc w:val="both"/>
                  <w:rPr>
                    <w:iCs/>
                    <w:color w:val="000000"/>
                    <w:szCs w:val="24"/>
                  </w:rPr>
                </w:pPr>
                <w:r>
                  <w:rPr>
                    <w:iCs/>
                    <w:color w:val="000000"/>
                    <w:szCs w:val="24"/>
                  </w:rPr>
                  <w:t>11.5.1. numatomi tapatybės nustatymo metodai, elektroniniai parašai, saugumas ir mokėjimo paslaugos, kurie būtų suvokiami, tinkami naudoti, suprantami ir tvarūs;</w:t>
                </w:r>
              </w:p>
              <w:p>
                <w:pPr>
                  <w:jc w:val="both"/>
                  <w:rPr>
                    <w:iCs/>
                    <w:color w:val="000000"/>
                    <w:szCs w:val="24"/>
                  </w:rPr>
                </w:pPr>
                <w:r>
                  <w:rPr>
                    <w:iCs/>
                    <w:color w:val="000000"/>
                    <w:szCs w:val="24"/>
                  </w:rPr>
                  <w:t>11.5.2. užtikrinama, kad informacija būtų suprantama, pateikta ne aukštesnio kaip B2 (savarankiškas vartotojas) sudėtingumo lygio pagal Europos Tarybos Bendrą Europos kalbų mokėjimo orientacinę sistemą kalba;</w:t>
                </w:r>
              </w:p>
              <w:p>
                <w:pPr>
                  <w:jc w:val="both"/>
                  <w:rPr>
                    <w:iCs/>
                    <w:color w:val="000000"/>
                    <w:szCs w:val="24"/>
                  </w:rPr>
                </w:pPr>
                <w:r>
                  <w:rPr>
                    <w:iCs/>
                    <w:color w:val="000000"/>
                    <w:szCs w:val="24"/>
                  </w:rPr>
                  <w:t>11.6. elektroninės knygos:</w:t>
                </w:r>
              </w:p>
              <w:p>
                <w:pPr>
                  <w:jc w:val="both"/>
                  <w:rPr>
                    <w:iCs/>
                    <w:color w:val="000000"/>
                    <w:szCs w:val="24"/>
                  </w:rPr>
                </w:pPr>
                <w:r>
                  <w:rPr>
                    <w:iCs/>
                    <w:color w:val="000000"/>
                    <w:szCs w:val="24"/>
                  </w:rPr>
                  <w:t>11.6.1. kai elektroninėje knygoje yra ne tik teksto, bet ir garsinio turinio, užtikrinama, kad būtų numatytas teksto ir garsinio turinio sinchronizavimas;</w:t>
                </w:r>
              </w:p>
              <w:p>
                <w:pPr>
                  <w:jc w:val="both"/>
                  <w:rPr>
                    <w:iCs/>
                    <w:color w:val="000000"/>
                    <w:szCs w:val="24"/>
                  </w:rPr>
                </w:pPr>
                <w:r>
                  <w:rPr>
                    <w:iCs/>
                    <w:color w:val="000000"/>
                    <w:szCs w:val="24"/>
                  </w:rPr>
                  <w:t>11.6.2. užtikrinama, kad skaitmeninės elektroninių knygų rinkmenos netrukdytų pagalbinei technologijai tinkamai veikti;</w:t>
                </w:r>
              </w:p>
              <w:p>
                <w:pPr>
                  <w:jc w:val="both"/>
                  <w:rPr>
                    <w:iCs/>
                    <w:color w:val="000000"/>
                    <w:szCs w:val="24"/>
                  </w:rPr>
                </w:pPr>
                <w:r>
                  <w:rPr>
                    <w:iCs/>
                    <w:color w:val="000000"/>
                    <w:szCs w:val="24"/>
                  </w:rPr>
                  <w:t>11.6.3. užtikrinama prieiga prie turinio, rinkmenos turinio naršymo ir formato, įskaitant dinamišką formatą, struktūros suteikimą, lankstumą ir turinio pateikimo pasirinkimo galimybę;</w:t>
                </w:r>
              </w:p>
              <w:p>
                <w:pPr>
                  <w:jc w:val="both"/>
                  <w:rPr>
                    <w:iCs/>
                    <w:color w:val="000000"/>
                    <w:szCs w:val="24"/>
                  </w:rPr>
                </w:pPr>
                <w:r>
                  <w:rPr>
                    <w:iCs/>
                    <w:color w:val="000000"/>
                    <w:szCs w:val="24"/>
                  </w:rPr>
                  <w:t>11.6.4. sudaromos galimybės alternatyviam turinio perdavimui ir jo sąveikumui su įvairiomis pagalbinėmis technologijomis suvokiamu, suprantamu, tinkamu naudoti ir tvariu būdu;</w:t>
                </w:r>
              </w:p>
              <w:p>
                <w:pPr>
                  <w:jc w:val="both"/>
                  <w:rPr>
                    <w:iCs/>
                    <w:color w:val="000000"/>
                    <w:szCs w:val="24"/>
                  </w:rPr>
                </w:pPr>
                <w:r>
                  <w:rPr>
                    <w:iCs/>
                    <w:color w:val="000000"/>
                    <w:szCs w:val="24"/>
                  </w:rPr>
                  <w:t>11.6.5. užtikrinama, kad jas būtų galima rasti, per metaduomenis pateikiant informaciją apie jų prieinamumo savybes;</w:t>
                </w:r>
              </w:p>
              <w:p>
                <w:pPr>
                  <w:jc w:val="both"/>
                  <w:rPr>
                    <w:iCs/>
                    <w:color w:val="000000"/>
                    <w:szCs w:val="24"/>
                  </w:rPr>
                </w:pPr>
                <w:r>
                  <w:rPr>
                    <w:iCs/>
                    <w:color w:val="000000"/>
                    <w:szCs w:val="24"/>
                  </w:rPr>
                  <w:t>11.6.6. užtikrinama, kad skaitmeninių teisių valdymo priemonės neblokuotų prieinamumo savybių;</w:t>
                </w:r>
              </w:p>
              <w:p>
                <w:pPr>
                  <w:jc w:val="both"/>
                  <w:rPr>
                    <w:iCs/>
                    <w:color w:val="000000"/>
                    <w:szCs w:val="24"/>
                  </w:rPr>
                </w:pPr>
                <w:r>
                  <w:rPr>
                    <w:iCs/>
                    <w:color w:val="000000"/>
                    <w:szCs w:val="24"/>
                  </w:rPr>
                  <w:t>11.7. elektroninės prekybos paslaugos:</w:t>
                </w:r>
              </w:p>
              <w:p>
                <w:pPr>
                  <w:jc w:val="both"/>
                  <w:rPr>
                    <w:iCs/>
                    <w:color w:val="000000"/>
                    <w:szCs w:val="24"/>
                  </w:rPr>
                </w:pPr>
                <w:r>
                  <w:rPr>
                    <w:iCs/>
                    <w:color w:val="000000"/>
                    <w:szCs w:val="24"/>
                  </w:rPr>
                  <w:t>11.7.1. teikiama informacija apie parduodamų gaminių ir paslaugų prieinamumą, kai šią informaciją teikia atsakingas ekonominės veiklos vykdytojas;</w:t>
                </w:r>
              </w:p>
              <w:p>
                <w:pPr>
                  <w:jc w:val="both"/>
                  <w:rPr>
                    <w:iCs/>
                    <w:color w:val="000000"/>
                    <w:szCs w:val="24"/>
                  </w:rPr>
                </w:pPr>
                <w:r>
                  <w:rPr>
                    <w:iCs/>
                    <w:color w:val="000000"/>
                    <w:szCs w:val="24"/>
                  </w:rPr>
                  <w:t>11.7.2. užtikrinamas tapatybės nustatymo, saugumo ir mokėjimo funkcijų prieinamumas, kai jos teikiamos kaip paslaugos, o ne gaminio dalis, užtikrinant, kad jos būtų suvokiamos, jas būtų galima naudoti, jos būtų suprantamos ir tvarios;</w:t>
                </w:r>
              </w:p>
              <w:p>
                <w:pPr>
                  <w:jc w:val="both"/>
                  <w:rPr>
                    <w:iCs/>
                    <w:color w:val="000000"/>
                    <w:szCs w:val="24"/>
                  </w:rPr>
                </w:pPr>
                <w:r>
                  <w:rPr>
                    <w:iCs/>
                    <w:color w:val="000000"/>
                    <w:szCs w:val="24"/>
                  </w:rPr>
                  <w:t>11.7.3. numatomi tapatybės nustatymo metodai, elektroniniai parašai ir mokėjimo paslaugos, kurie būtų suvokiami, tinkami naudoti, suprantami ir tvarūs.</w:t>
                </w:r>
              </w:p>
              <w:p>
                <w:pPr>
                  <w:jc w:val="both"/>
                  <w:rPr>
                    <w:iCs/>
                    <w:color w:val="000000"/>
                    <w:szCs w:val="24"/>
                  </w:rPr>
                </w:pPr>
              </w:p>
            </w:tc>
            <w:tc>
              <w:tcPr>
                <w:tcW w:w="1858" w:type="dxa"/>
              </w:tcPr>
              <w:p>
                <w:pPr>
                  <w:jc w:val="both"/>
                  <w:rPr>
                    <w:b/>
                    <w:bCs/>
                    <w:color w:val="000000"/>
                    <w:szCs w:val="24"/>
                  </w:rPr>
                </w:pPr>
                <w:r>
                  <w:rPr>
                    <w:b/>
                    <w:bCs/>
                    <w:color w:val="000000"/>
                    <w:szCs w:val="24"/>
                  </w:rPr>
                  <w:t>Visiškas</w:t>
                </w:r>
              </w:p>
            </w:tc>
          </w:tr>
          <w:tr>
            <w:trPr>
              <w:trHeight w:val="263"/>
            </w:trPr>
            <w:tc>
              <w:tcPr>
                <w:tcW w:w="5264" w:type="dxa"/>
              </w:tcPr>
              <w:p>
                <w:pPr>
                  <w:jc w:val="both"/>
                  <w:rPr>
                    <w:b/>
                    <w:bCs/>
                    <w:color w:val="000000"/>
                    <w:szCs w:val="24"/>
                  </w:rPr>
                </w:pPr>
                <w:r>
                  <w:rPr>
                    <w:b/>
                    <w:bCs/>
                    <w:color w:val="000000"/>
                    <w:szCs w:val="24"/>
                  </w:rPr>
                  <w:t>V skirsnis</w:t>
                </w:r>
              </w:p>
              <w:p>
                <w:pPr>
                  <w:jc w:val="both"/>
                  <w:rPr>
                    <w:b/>
                    <w:bCs/>
                    <w:color w:val="000000"/>
                    <w:szCs w:val="24"/>
                  </w:rPr>
                </w:pPr>
                <w:r>
                  <w:rPr>
                    <w:b/>
                    <w:bCs/>
                    <w:color w:val="000000"/>
                    <w:szCs w:val="24"/>
                  </w:rPr>
                  <w:t>Konkretūs prieinamumo reikalavimai, susiję su tinkamiausio BPC atsakymu į skubios pagalbos pranešimus, kurie gaunami Europos bendruoju pagalbos telefono numeriu 112</w:t>
                </w:r>
              </w:p>
              <w:p>
                <w:pPr>
                  <w:jc w:val="both"/>
                  <w:rPr>
                    <w:color w:val="000000"/>
                    <w:szCs w:val="24"/>
                  </w:rPr>
                </w:pPr>
              </w:p>
              <w:p>
                <w:pPr>
                  <w:jc w:val="both"/>
                  <w:rPr>
                    <w:color w:val="000000"/>
                    <w:szCs w:val="24"/>
                  </w:rPr>
                </w:pPr>
                <w:r>
                  <w:rPr>
                    <w:color w:val="000000"/>
                    <w:szCs w:val="24"/>
                  </w:rPr>
                  <w:t>Siekiant užtikrinti, kad skubios pagalbos ryšiais per Europos bendrąjį pagalbos telefono numerį 112 pagal numatytą jų paskirtį galėtų kuo daugiau naudotis neįgalieji, tinkamiausio BPC atsakymas į skubios pagalbos pranešimus užtikrinamas įtraukiant funkcijas, praktiką, politiką ir procedūras bei pakeitimus, skirtus tam, kad būtų atsižvelgiama į neįgaliųjų poreikius.</w:t>
                </w:r>
              </w:p>
              <w:p>
                <w:pPr>
                  <w:jc w:val="both"/>
                  <w:rPr>
                    <w:color w:val="000000"/>
                    <w:szCs w:val="24"/>
                  </w:rPr>
                </w:pPr>
              </w:p>
              <w:p>
                <w:pPr>
                  <w:jc w:val="both"/>
                  <w:rPr>
                    <w:color w:val="000000"/>
                    <w:szCs w:val="24"/>
                  </w:rPr>
                </w:pPr>
                <w:r>
                  <w:rPr>
                    <w:color w:val="000000"/>
                    <w:szCs w:val="24"/>
                  </w:rPr>
                  <w:t>Į skubios pagalbos pranešimus Europos bendruoju pagalbos telefono numeriu 112 tinkamiausias BPC turi tinkamai atsakyti tokiu būdu, kuris labiausiai tinkamas nacionaliniam skubios pagalbos sistemų organizavimui, naudojant tas pačias ryšio priemones, kuriomis gautas pranešimas, t. y. naudojant sinchronizuotą balso ir teksto ryšį (įskaitant realiuoju laiku perduodamą tekstą) arba, kai teikiama vaizdo medžiaga, balsą, tekstą (įskaitant realiuoju laiku perduodamą testą) ir vaizdo medžiagą, sinchronizuotus kaip įvairiapusį ryšį.</w:t>
                </w: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1 priedas</w:t>
                </w:r>
              </w:p>
              <w:p>
                <w:pPr>
                  <w:widowControl w:val="0"/>
                  <w:spacing w:line="360" w:lineRule="auto"/>
                  <w:ind w:firstLine="720"/>
                  <w:jc w:val="center"/>
                  <w:rPr>
                    <w:b/>
                    <w:bCs/>
                    <w:szCs w:val="24"/>
                    <w:lang w:val="en-US"/>
                  </w:rPr>
                </w:pPr>
              </w:p>
              <w:p>
                <w:pPr>
                  <w:jc w:val="center"/>
                  <w:rPr>
                    <w:b/>
                    <w:bCs/>
                    <w:szCs w:val="24"/>
                  </w:rPr>
                </w:pPr>
                <w:r>
                  <w:rPr>
                    <w:b/>
                    <w:bCs/>
                    <w:szCs w:val="24"/>
                  </w:rPr>
                  <w:t>GAMINIŲ IR PASLAUGŲ PRIEINAMUMO REIKALAVIMAI</w:t>
                </w:r>
              </w:p>
              <w:p>
                <w:pPr>
                  <w:jc w:val="center"/>
                  <w:rPr>
                    <w:b/>
                    <w:bCs/>
                    <w:iCs/>
                    <w:color w:val="000000"/>
                    <w:szCs w:val="24"/>
                  </w:rPr>
                </w:pPr>
              </w:p>
              <w:p>
                <w:pPr>
                  <w:jc w:val="center"/>
                  <w:rPr>
                    <w:b/>
                    <w:bCs/>
                    <w:iCs/>
                    <w:color w:val="000000"/>
                    <w:szCs w:val="24"/>
                  </w:rPr>
                </w:pPr>
                <w:r>
                  <w:rPr>
                    <w:b/>
                    <w:bCs/>
                    <w:iCs/>
                    <w:color w:val="000000"/>
                    <w:szCs w:val="24"/>
                  </w:rPr>
                  <w:t>SEPTINTAS SKYRIUS</w:t>
                </w:r>
              </w:p>
              <w:p>
                <w:pPr>
                  <w:jc w:val="center"/>
                  <w:rPr>
                    <w:b/>
                    <w:bCs/>
                    <w:iCs/>
                    <w:color w:val="000000"/>
                    <w:szCs w:val="24"/>
                  </w:rPr>
                </w:pPr>
                <w:r>
                  <w:rPr>
                    <w:b/>
                    <w:bCs/>
                    <w:iCs/>
                    <w:color w:val="000000"/>
                    <w:szCs w:val="24"/>
                  </w:rPr>
                  <w:t>KONKRETŪS PRIEINAMUMO REIKALAVIMAI, SUSIJĘ SU BENDROJO PAGALBOS CENTRO ATSAKYMŲ Į SKUBIOS PAGALBOS PRANEŠIMUS, KURIE GAUNAMI SKUBIOSIOS PAGALBOS TARNYBŲ RYŠIO NUMERIU 112</w:t>
                </w:r>
              </w:p>
              <w:p>
                <w:pPr>
                  <w:jc w:val="both"/>
                  <w:rPr>
                    <w:iCs/>
                    <w:color w:val="000000"/>
                    <w:szCs w:val="24"/>
                  </w:rPr>
                </w:pPr>
              </w:p>
              <w:p>
                <w:pPr>
                  <w:jc w:val="both"/>
                  <w:rPr>
                    <w:iCs/>
                    <w:color w:val="000000"/>
                    <w:szCs w:val="24"/>
                  </w:rPr>
                </w:pPr>
                <w:r>
                  <w:rPr>
                    <w:iCs/>
                    <w:color w:val="000000"/>
                    <w:szCs w:val="24"/>
                  </w:rPr>
                  <w:t>18. Siekiant užtikrinti, kad skubios pagalbos tarnybų ryšio numerį 112 pagal numatytą jų paskirtį galėtų kuo daugiau naudotis asmenys su negalia, Bendrojo pagalbos centro atsakymas į skubios pagalbos prašymus užtikrinamas įtraukiant funkcijas, praktiką, politiką ir procedūras bei pakeitimus, skirtus tam, kad būtų atsižvelgiama į asmenų su negalia poreikius.</w:t>
                </w:r>
              </w:p>
              <w:p>
                <w:pPr>
                  <w:jc w:val="both"/>
                  <w:rPr>
                    <w:iCs/>
                    <w:color w:val="000000"/>
                    <w:szCs w:val="24"/>
                  </w:rPr>
                </w:pPr>
                <w:r>
                  <w:rPr>
                    <w:iCs/>
                    <w:color w:val="000000"/>
                    <w:szCs w:val="24"/>
                  </w:rPr>
                  <w:t>19. Į skubios pagalbos prašymus skubios pagalbos tarnybų ryšio numeriu 112 Bendrasis pagalbos centras turi tinkamai atsakyti tokiu būdu, kuris labiausiai tinkamas nacionaliniam skubios pagalbos sistemų organizavimui, naudojant tas pačias ryšio priemones, kuriomis gautas pranešimas, t. y. naudojant sinchronizuotą balso ir teksto ryšį (įskaitant realiuoju laiku perduodamą tekstą) arba, kai teikiama vaizdo medžiaga, balsą, tekstą (įskaitant realiuoju laiku perduodamą testą) ir vaizdo medžiagą, sinchronizuotus kaip įvairiapusį ryšį.</w:t>
                </w:r>
              </w:p>
              <w:p>
                <w:pPr>
                  <w:jc w:val="both"/>
                  <w:rPr>
                    <w:iCs/>
                    <w:color w:val="000000"/>
                    <w:szCs w:val="24"/>
                  </w:rPr>
                </w:pPr>
              </w:p>
            </w:tc>
            <w:tc>
              <w:tcPr>
                <w:tcW w:w="1858" w:type="dxa"/>
              </w:tcPr>
              <w:p>
                <w:pPr>
                  <w:jc w:val="both"/>
                  <w:rPr>
                    <w:b/>
                    <w:bCs/>
                    <w:color w:val="000000"/>
                    <w:szCs w:val="24"/>
                  </w:rPr>
                </w:pPr>
                <w:r>
                  <w:rPr>
                    <w:b/>
                    <w:bCs/>
                    <w:color w:val="000000"/>
                    <w:szCs w:val="24"/>
                  </w:rPr>
                  <w:t>Visiškas</w:t>
                </w:r>
              </w:p>
            </w:tc>
          </w:tr>
          <w:tr>
            <w:trPr>
              <w:trHeight w:val="263"/>
            </w:trPr>
            <w:tc>
              <w:tcPr>
                <w:tcW w:w="5264" w:type="dxa"/>
              </w:tcPr>
              <w:p>
                <w:pPr>
                  <w:jc w:val="both"/>
                  <w:rPr>
                    <w:b/>
                    <w:bCs/>
                    <w:color w:val="000000"/>
                    <w:szCs w:val="24"/>
                  </w:rPr>
                </w:pPr>
                <w:r>
                  <w:rPr>
                    <w:b/>
                    <w:bCs/>
                    <w:color w:val="000000"/>
                    <w:szCs w:val="24"/>
                  </w:rPr>
                  <w:t>VI skirsnis</w:t>
                </w:r>
              </w:p>
              <w:p>
                <w:pPr>
                  <w:jc w:val="both"/>
                  <w:rPr>
                    <w:b/>
                    <w:bCs/>
                    <w:color w:val="000000"/>
                    <w:szCs w:val="24"/>
                  </w:rPr>
                </w:pPr>
                <w:r>
                  <w:rPr>
                    <w:b/>
                    <w:bCs/>
                    <w:color w:val="000000"/>
                    <w:szCs w:val="24"/>
                  </w:rPr>
                  <w:t>Gaminių ir paslaugų savybių, elementų arba funkcijų prieinamumo reikalavimai pagal 24 straipsnio 2 dalį</w:t>
                </w:r>
              </w:p>
              <w:p>
                <w:pPr>
                  <w:jc w:val="both"/>
                  <w:rPr>
                    <w:color w:val="000000"/>
                    <w:szCs w:val="24"/>
                  </w:rPr>
                </w:pPr>
              </w:p>
              <w:p>
                <w:pPr>
                  <w:jc w:val="both"/>
                  <w:rPr>
                    <w:color w:val="000000"/>
                    <w:szCs w:val="24"/>
                  </w:rPr>
                </w:pPr>
                <w:r>
                  <w:rPr>
                    <w:color w:val="000000"/>
                    <w:szCs w:val="24"/>
                  </w:rPr>
                  <w:t>Darant prielaidą, kad kituose Sąjungos aktuose išdėstytos atitinkamos pareigos, susijusios su gaminių ir paslaugų savybėmis, elementais arba funkcijomis, yra įvykdytos, turi būti įvykdytos toliau nurodytos sąlygos.</w:t>
                </w:r>
              </w:p>
              <w:p>
                <w:pPr>
                  <w:jc w:val="both"/>
                  <w:rPr>
                    <w:color w:val="000000"/>
                    <w:szCs w:val="24"/>
                  </w:rPr>
                </w:pPr>
                <w:r>
                  <w:rPr>
                    <w:color w:val="000000"/>
                    <w:szCs w:val="24"/>
                  </w:rPr>
                  <w:t>1. Gaminiai:</w:t>
                </w:r>
              </w:p>
              <w:p>
                <w:pPr>
                  <w:jc w:val="both"/>
                  <w:rPr>
                    <w:color w:val="000000"/>
                    <w:szCs w:val="24"/>
                  </w:rPr>
                </w:pPr>
                <w:r>
                  <w:rPr>
                    <w:color w:val="000000"/>
                    <w:szCs w:val="24"/>
                  </w:rPr>
                  <w:t>a) informacijos, susijusios su gaminių veikimu ir prieinamumo savybėmis, prieinamumas atitinka atitinkamus šio priedo I skirsnio 1 punkte išdėstytus elementus, būtent informaciją apie gaminio naudojimą, pateikiamą ant paties gaminio, ir gaminio naudojimo instrukcijas, pateikiamas ne ant paties gaminio, bet naudojant gaminį arba per kitas priemones, pavyzdžiui, interneto svetainę;</w:t>
                </w:r>
              </w:p>
              <w:p>
                <w:pPr>
                  <w:jc w:val="both"/>
                  <w:rPr>
                    <w:color w:val="000000"/>
                    <w:szCs w:val="24"/>
                  </w:rPr>
                </w:pPr>
                <w:r>
                  <w:rPr>
                    <w:color w:val="000000"/>
                    <w:szCs w:val="24"/>
                  </w:rPr>
                  <w:t>b) naudotojo sąsajos savybių, elementų ir funkcijų bei gaminių funkcionalumo projektavimo prieinamumas atitinka atitinkamus tokios naudotojo sąsajos arba funkcionalumo projektavimo prieinamumo reikalavimus, išdėstytus šio priedo I skirsnio 2 punkte;</w:t>
                </w:r>
              </w:p>
              <w:p>
                <w:pPr>
                  <w:jc w:val="both"/>
                  <w:rPr>
                    <w:color w:val="000000"/>
                    <w:szCs w:val="24"/>
                  </w:rPr>
                </w:pPr>
                <w:r>
                  <w:rPr>
                    <w:color w:val="000000"/>
                    <w:szCs w:val="24"/>
                  </w:rPr>
                  <w:t>c) pakuotės, įskaitant joje pateikiamą informaciją, ir gaminio montavimo ir priežiūros, saugojimo ir šalinimo instrukcijų, pateikiamų ne ant paties gaminio, bet per kitas priemones, pavyzdžiui, interneto svetainę, išskyrus savitarnos terminalus, pereinamumas atitinka atitinkamus prieinamumo reikalavimus, išdėstytus šio priedo II skirsnyje.</w:t>
                </w:r>
              </w:p>
              <w:p>
                <w:pPr>
                  <w:jc w:val="both"/>
                  <w:rPr>
                    <w:color w:val="000000"/>
                    <w:szCs w:val="24"/>
                  </w:rPr>
                </w:pPr>
                <w:r>
                  <w:rPr>
                    <w:color w:val="000000"/>
                    <w:szCs w:val="24"/>
                  </w:rPr>
                  <w:t>2. Paslaugos:</w:t>
                </w:r>
              </w:p>
              <w:p>
                <w:pPr>
                  <w:jc w:val="both"/>
                  <w:rPr>
                    <w:color w:val="000000"/>
                    <w:szCs w:val="24"/>
                  </w:rPr>
                </w:pPr>
                <w:r>
                  <w:rPr>
                    <w:color w:val="000000"/>
                    <w:szCs w:val="24"/>
                  </w:rPr>
                  <w:t>paslaugų savybių, elementų ir funkcijų prieinamumas atitinka atitinkamus tų savybių, elementų ir funkcijų prieinamumo reikalavimus, išdėstytus šio priedo su paslaugomis susijusiuose skirsniuose.</w:t>
                </w: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1 priedas</w:t>
                </w:r>
              </w:p>
              <w:p>
                <w:pPr>
                  <w:widowControl w:val="0"/>
                  <w:spacing w:line="360" w:lineRule="auto"/>
                  <w:ind w:firstLine="720"/>
                  <w:jc w:val="right"/>
                  <w:rPr>
                    <w:b/>
                    <w:bCs/>
                    <w:szCs w:val="24"/>
                    <w:lang w:val="en-US"/>
                  </w:rPr>
                </w:pPr>
              </w:p>
              <w:p>
                <w:pPr>
                  <w:widowControl w:val="0"/>
                  <w:spacing w:line="360" w:lineRule="auto"/>
                  <w:ind w:firstLine="720"/>
                  <w:jc w:val="center"/>
                  <w:rPr>
                    <w:b/>
                    <w:bCs/>
                    <w:szCs w:val="24"/>
                  </w:rPr>
                </w:pPr>
                <w:r>
                  <w:rPr>
                    <w:b/>
                    <w:bCs/>
                    <w:szCs w:val="24"/>
                  </w:rPr>
                  <w:t>GAMINIŲ IR PASLAUGŲ PRIEINAMUMO REIKALAVIMAI</w:t>
                </w:r>
              </w:p>
              <w:p>
                <w:pPr>
                  <w:jc w:val="center"/>
                  <w:rPr>
                    <w:b/>
                    <w:bCs/>
                    <w:iCs/>
                    <w:color w:val="000000"/>
                    <w:szCs w:val="24"/>
                  </w:rPr>
                </w:pPr>
              </w:p>
              <w:p>
                <w:pPr>
                  <w:jc w:val="center"/>
                  <w:rPr>
                    <w:b/>
                    <w:bCs/>
                    <w:iCs/>
                    <w:color w:val="000000"/>
                    <w:szCs w:val="24"/>
                  </w:rPr>
                </w:pPr>
                <w:r>
                  <w:rPr>
                    <w:b/>
                    <w:bCs/>
                    <w:iCs/>
                    <w:color w:val="000000"/>
                    <w:szCs w:val="24"/>
                  </w:rPr>
                  <w:t>PENKTAS SKYRIUS</w:t>
                </w:r>
              </w:p>
              <w:p>
                <w:pPr>
                  <w:jc w:val="center"/>
                  <w:rPr>
                    <w:b/>
                    <w:bCs/>
                    <w:iCs/>
                    <w:color w:val="000000"/>
                    <w:szCs w:val="24"/>
                  </w:rPr>
                </w:pPr>
                <w:r>
                  <w:rPr>
                    <w:b/>
                    <w:bCs/>
                    <w:iCs/>
                    <w:color w:val="000000"/>
                    <w:szCs w:val="24"/>
                  </w:rPr>
                  <w:t>GAMINIŲ IR PASLAUGŲ SAVYBIŲ, ELEMENTŲ ARBA FUNKCIJŲ PRIEINAMUMO REIKALAVIMAI PAGAL GAMINIŲ IR PASLAUGŲ PRIEINAMUMO REIKALAVIMŲ ĮSTATYMO 15 STRAIPSNIO 4 DALĮ</w:t>
                </w:r>
              </w:p>
              <w:p>
                <w:pPr>
                  <w:jc w:val="both"/>
                  <w:rPr>
                    <w:iCs/>
                    <w:color w:val="000000"/>
                    <w:szCs w:val="24"/>
                  </w:rPr>
                </w:pPr>
              </w:p>
              <w:p>
                <w:pPr>
                  <w:jc w:val="both"/>
                  <w:rPr>
                    <w:iCs/>
                    <w:color w:val="000000"/>
                    <w:szCs w:val="24"/>
                  </w:rPr>
                </w:pPr>
                <w:r>
                  <w:rPr>
                    <w:iCs/>
                    <w:color w:val="000000"/>
                    <w:szCs w:val="24"/>
                  </w:rPr>
                  <w:t>12. Preziumuojant, kad kituose Europos Sąjungos aktuose nurodytos atitinkamos pareigos, susijusios su gaminių ir paslaugų savybėmis, elementais arba funkcijomis, yra įvykdytos, turi būti įvykdytos šiame skyriuje nurodytos sąlygos.</w:t>
                </w:r>
              </w:p>
              <w:p>
                <w:pPr>
                  <w:jc w:val="both"/>
                  <w:rPr>
                    <w:iCs/>
                    <w:color w:val="000000"/>
                    <w:szCs w:val="24"/>
                  </w:rPr>
                </w:pPr>
                <w:r>
                  <w:rPr>
                    <w:iCs/>
                    <w:color w:val="000000"/>
                    <w:szCs w:val="24"/>
                  </w:rPr>
                  <w:t>13. Gaminiams taikomos sąlygos:</w:t>
                </w:r>
              </w:p>
              <w:p>
                <w:pPr>
                  <w:jc w:val="both"/>
                  <w:rPr>
                    <w:iCs/>
                    <w:color w:val="000000"/>
                    <w:szCs w:val="24"/>
                  </w:rPr>
                </w:pPr>
                <w:r>
                  <w:rPr>
                    <w:iCs/>
                    <w:color w:val="000000"/>
                    <w:szCs w:val="24"/>
                  </w:rPr>
                  <w:t>13.1. informacijos, susijusios su gaminių veikimu ir jų prieinamumo savybėmis, prieinamumas atitinka atitinkamus šio priedo 2 punkte nurodytus elementus, būtent informaciją apie gaminio naudojimą, pateikiamą ant paties gaminio, ir gaminio naudojimo instrukcijas, pateikiamas ne ant paties gaminio, o naudojant gaminį arba per kitas priemones, pavyzdžiui, interneto svetainę;</w:t>
                </w:r>
              </w:p>
              <w:p>
                <w:pPr>
                  <w:jc w:val="both"/>
                  <w:rPr>
                    <w:iCs/>
                    <w:color w:val="000000"/>
                    <w:szCs w:val="24"/>
                  </w:rPr>
                </w:pPr>
                <w:r>
                  <w:rPr>
                    <w:iCs/>
                    <w:color w:val="000000"/>
                    <w:szCs w:val="24"/>
                  </w:rPr>
                  <w:t>13.2. naudotojo sąsajos savybių, elementų ir funkcijų bei gaminių funkcionalumo projektavimo prieinamumas atitinka atitinkamus tokios naudotojo sąsajos arba funkcionalumo projektavimo prieinamumo reikalavimus, išdėstytus šio priedo 6–9 punktuose;</w:t>
                </w:r>
              </w:p>
              <w:p>
                <w:pPr>
                  <w:jc w:val="both"/>
                  <w:rPr>
                    <w:iCs/>
                    <w:color w:val="000000"/>
                    <w:szCs w:val="24"/>
                  </w:rPr>
                </w:pPr>
                <w:r>
                  <w:rPr>
                    <w:iCs/>
                    <w:color w:val="000000"/>
                    <w:szCs w:val="24"/>
                  </w:rPr>
                  <w:t>13.3. pakuotės, įskaitant joje pateikiamą informaciją, ir gaminio montavimo, priežiūros, saugojimo ir šalinimo instrukcijų, pateikiamų ne ant paties gaminio, bet naudojant kitas priemones, pavyzdžiui, interneto svetainę (išskyrus savitarnos terminalus) pereinamumas atitinka atitinkamus prieinamumo reikalavimus, išdėstytus šio priedo 4 punkte.</w:t>
                </w:r>
              </w:p>
              <w:p>
                <w:pPr>
                  <w:jc w:val="both"/>
                  <w:rPr>
                    <w:iCs/>
                    <w:color w:val="000000"/>
                    <w:szCs w:val="24"/>
                  </w:rPr>
                </w:pPr>
                <w:r>
                  <w:rPr>
                    <w:iCs/>
                    <w:color w:val="000000"/>
                    <w:szCs w:val="24"/>
                  </w:rPr>
                  <w:t>14. Paslaugų savybių, elementų ir funkcijų prieinamumas atitinka atitinkamus tų savybių, elementų ir funkcijų prieinamumo reikalavimus, išdėstytus šio priedo punktuose, susijusiuose su paslaugomis.</w:t>
                </w:r>
              </w:p>
            </w:tc>
            <w:tc>
              <w:tcPr>
                <w:tcW w:w="1858" w:type="dxa"/>
              </w:tcPr>
              <w:p>
                <w:pPr>
                  <w:jc w:val="both"/>
                  <w:rPr>
                    <w:b/>
                    <w:bCs/>
                    <w:color w:val="000000"/>
                    <w:szCs w:val="24"/>
                  </w:rPr>
                </w:pPr>
                <w:r>
                  <w:rPr>
                    <w:b/>
                    <w:bCs/>
                    <w:color w:val="000000"/>
                    <w:szCs w:val="24"/>
                  </w:rPr>
                  <w:t>Visiškas</w:t>
                </w:r>
              </w:p>
            </w:tc>
          </w:tr>
          <w:tr>
            <w:trPr>
              <w:trHeight w:val="263"/>
            </w:trPr>
            <w:tc>
              <w:tcPr>
                <w:tcW w:w="5264" w:type="dxa"/>
              </w:tcPr>
              <w:p>
                <w:pPr>
                  <w:jc w:val="both"/>
                  <w:rPr>
                    <w:b/>
                    <w:bCs/>
                    <w:color w:val="000000"/>
                    <w:szCs w:val="24"/>
                  </w:rPr>
                </w:pPr>
                <w:r>
                  <w:rPr>
                    <w:b/>
                    <w:bCs/>
                    <w:color w:val="000000"/>
                    <w:szCs w:val="24"/>
                  </w:rPr>
                  <w:t>VII skirsnis</w:t>
                </w:r>
              </w:p>
              <w:p>
                <w:pPr>
                  <w:jc w:val="both"/>
                  <w:rPr>
                    <w:b/>
                    <w:bCs/>
                    <w:color w:val="000000"/>
                    <w:szCs w:val="24"/>
                  </w:rPr>
                </w:pPr>
                <w:r>
                  <w:rPr>
                    <w:b/>
                    <w:bCs/>
                    <w:color w:val="000000"/>
                    <w:szCs w:val="24"/>
                  </w:rPr>
                  <w:t>Funkcinio veiksmingumo kriterijai</w:t>
                </w:r>
              </w:p>
              <w:p>
                <w:pPr>
                  <w:jc w:val="both"/>
                  <w:rPr>
                    <w:color w:val="000000"/>
                    <w:szCs w:val="24"/>
                  </w:rPr>
                </w:pPr>
              </w:p>
              <w:p>
                <w:pPr>
                  <w:jc w:val="both"/>
                  <w:rPr>
                    <w:color w:val="000000"/>
                    <w:szCs w:val="24"/>
                  </w:rPr>
                </w:pPr>
                <w:r>
                  <w:rPr>
                    <w:color w:val="000000"/>
                    <w:szCs w:val="24"/>
                  </w:rPr>
                  <w:t>Jeigu šio priedo I–VI skirsniuose nustatyti prieinamumo reikalavimai neapima vienos ar daugiau gaminių projektavimo ir gamybos funkcijų arba paslaugų teikimo, tos funkcijos arba priemonės turi būti prieinamos laikantis susijusių funkcinio veiksmingumo kriterijų, kad būtų kuo labiau padidintas numatomas neįgaliųjų naudojimasis jais.</w:t>
                </w:r>
              </w:p>
              <w:p>
                <w:pPr>
                  <w:jc w:val="both"/>
                  <w:rPr>
                    <w:color w:val="000000"/>
                    <w:szCs w:val="24"/>
                  </w:rPr>
                </w:pPr>
              </w:p>
              <w:p>
                <w:pPr>
                  <w:jc w:val="both"/>
                  <w:rPr>
                    <w:color w:val="000000"/>
                    <w:szCs w:val="24"/>
                  </w:rPr>
                </w:pPr>
                <w:r>
                  <w:rPr>
                    <w:color w:val="000000"/>
                    <w:szCs w:val="24"/>
                  </w:rPr>
                  <w:t>Tie funkcinio veiksmingumo kriterijai gali būti naudojami tik kaip alternatyva vienam ar keliems konkretiems techniniams reikalavimams, kai prieinamumo reikalavimuose daroma nuoroda į juos, tik tuo atveju, jeigu atitinkamų funkcinio veiksmingumo kriterijų taikymas atitinka prieinamumo reikalavimus ir yra nustatyta, kad gaminių projektavimas ir gamyba bei paslaugų teikimas suteikia lygiavertį arba didesnį prieinamumą numatomam neįgaliųjų naudojimuisi jais.</w:t>
                </w:r>
              </w:p>
              <w:p>
                <w:pPr>
                  <w:jc w:val="both"/>
                  <w:rPr>
                    <w:color w:val="000000"/>
                    <w:szCs w:val="24"/>
                  </w:rPr>
                </w:pPr>
              </w:p>
              <w:p>
                <w:pPr>
                  <w:jc w:val="both"/>
                  <w:rPr>
                    <w:color w:val="000000"/>
                    <w:szCs w:val="24"/>
                  </w:rPr>
                </w:pPr>
                <w:r>
                  <w:rPr>
                    <w:color w:val="000000"/>
                    <w:szCs w:val="24"/>
                  </w:rPr>
                  <w:t xml:space="preserve">a)   Naudojimasis neturint regėjimo</w:t>
                </w:r>
              </w:p>
              <w:p>
                <w:pPr>
                  <w:jc w:val="both"/>
                  <w:rPr>
                    <w:color w:val="000000"/>
                    <w:szCs w:val="24"/>
                  </w:rPr>
                </w:pPr>
                <w:r>
                  <w:rPr>
                    <w:color w:val="000000"/>
                    <w:szCs w:val="24"/>
                  </w:rPr>
                  <w:t>Kai gaminiu arba paslauga užtikrinami vizualiniai veikimo režimai, turi būti užtikrinamas bent vienas veikimo režimas, kurį taikant regėjimo nereikia.</w:t>
                </w:r>
              </w:p>
              <w:p>
                <w:pPr>
                  <w:jc w:val="both"/>
                  <w:rPr>
                    <w:color w:val="000000"/>
                    <w:szCs w:val="24"/>
                  </w:rPr>
                </w:pPr>
              </w:p>
              <w:p>
                <w:pPr>
                  <w:jc w:val="both"/>
                  <w:rPr>
                    <w:color w:val="000000"/>
                    <w:szCs w:val="24"/>
                  </w:rPr>
                </w:pPr>
                <w:r>
                  <w:rPr>
                    <w:color w:val="000000"/>
                    <w:szCs w:val="24"/>
                  </w:rPr>
                  <w:t xml:space="preserve">b)   Naudojimasis turint ribotą regėjimą</w:t>
                </w:r>
              </w:p>
              <w:p>
                <w:pPr>
                  <w:jc w:val="both"/>
                  <w:rPr>
                    <w:color w:val="000000"/>
                    <w:szCs w:val="24"/>
                  </w:rPr>
                </w:pPr>
                <w:r>
                  <w:rPr>
                    <w:color w:val="000000"/>
                    <w:szCs w:val="24"/>
                  </w:rPr>
                  <w:t>Kai gaminiu arba paslauga užtikrinami vizualiniai veikimo režimai, užtikrinamas bent vienas veikimo režimas, kurį taikydami riboto regėjimo asmenys galėtų naudoti gaminį.</w:t>
                </w:r>
              </w:p>
              <w:p>
                <w:pPr>
                  <w:jc w:val="both"/>
                  <w:rPr>
                    <w:color w:val="000000"/>
                    <w:szCs w:val="24"/>
                  </w:rPr>
                </w:pPr>
              </w:p>
              <w:p>
                <w:pPr>
                  <w:jc w:val="both"/>
                  <w:rPr>
                    <w:color w:val="000000"/>
                    <w:szCs w:val="24"/>
                  </w:rPr>
                </w:pPr>
                <w:r>
                  <w:rPr>
                    <w:color w:val="000000"/>
                    <w:szCs w:val="24"/>
                  </w:rPr>
                  <w:t xml:space="preserve">c)   Naudojimasis neturint gebėjimo suvokti spalvas</w:t>
                </w:r>
              </w:p>
              <w:p>
                <w:pPr>
                  <w:jc w:val="both"/>
                  <w:rPr>
                    <w:color w:val="000000"/>
                    <w:szCs w:val="24"/>
                  </w:rPr>
                </w:pPr>
                <w:r>
                  <w:rPr>
                    <w:color w:val="000000"/>
                    <w:szCs w:val="24"/>
                  </w:rPr>
                  <w:t>Kai gaminiu arba paslauga užtikrinami vizualiniai veikimo režimai, turi būti užtikrinamas bent vienas veikimo režimas, kurį taikant naudotojui nereikia suvokti spalvų.</w:t>
                </w:r>
              </w:p>
              <w:p>
                <w:pPr>
                  <w:jc w:val="both"/>
                  <w:rPr>
                    <w:color w:val="000000"/>
                    <w:szCs w:val="24"/>
                  </w:rPr>
                </w:pPr>
              </w:p>
              <w:p>
                <w:pPr>
                  <w:jc w:val="both"/>
                  <w:rPr>
                    <w:color w:val="000000"/>
                    <w:szCs w:val="24"/>
                  </w:rPr>
                </w:pPr>
                <w:r>
                  <w:rPr>
                    <w:color w:val="000000"/>
                    <w:szCs w:val="24"/>
                  </w:rPr>
                  <w:t xml:space="preserve">d)   Naudojimasis neturint klausos</w:t>
                </w:r>
              </w:p>
              <w:p>
                <w:pPr>
                  <w:jc w:val="both"/>
                  <w:rPr>
                    <w:color w:val="000000"/>
                    <w:szCs w:val="24"/>
                  </w:rPr>
                </w:pPr>
                <w:r>
                  <w:rPr>
                    <w:color w:val="000000"/>
                    <w:szCs w:val="24"/>
                  </w:rPr>
                  <w:t>Kai gaminiu arba paslauga užtikrinami garsiniai veikimo režimai, užtikrinamas bent vienas veikimo režimas, kurį taikant klausos nereikia.</w:t>
                </w:r>
              </w:p>
              <w:p>
                <w:pPr>
                  <w:jc w:val="both"/>
                  <w:rPr>
                    <w:color w:val="000000"/>
                    <w:szCs w:val="24"/>
                  </w:rPr>
                </w:pPr>
              </w:p>
              <w:p>
                <w:pPr>
                  <w:jc w:val="both"/>
                  <w:rPr>
                    <w:color w:val="000000"/>
                    <w:szCs w:val="24"/>
                  </w:rPr>
                </w:pPr>
                <w:r>
                  <w:rPr>
                    <w:color w:val="000000"/>
                    <w:szCs w:val="24"/>
                  </w:rPr>
                  <w:t xml:space="preserve">e)   Naudojimasis turint ribotą klausą</w:t>
                </w:r>
              </w:p>
              <w:p>
                <w:pPr>
                  <w:jc w:val="both"/>
                  <w:rPr>
                    <w:color w:val="000000"/>
                    <w:szCs w:val="24"/>
                  </w:rPr>
                </w:pPr>
                <w:r>
                  <w:rPr>
                    <w:color w:val="000000"/>
                    <w:szCs w:val="24"/>
                  </w:rPr>
                  <w:t>Kai gaminiu arba paslauga užtikrinami garsiniai veikimo režimai, užtikrinamas bent vienas veikimo režimas, apimantis geresnes garsines savybes, kurios sudaro galimybes ribotą klausą turintiems naudotojams naudoti gaminį.</w:t>
                </w:r>
              </w:p>
              <w:p>
                <w:pPr>
                  <w:jc w:val="both"/>
                  <w:rPr>
                    <w:color w:val="000000"/>
                    <w:szCs w:val="24"/>
                  </w:rPr>
                </w:pPr>
              </w:p>
              <w:p>
                <w:pPr>
                  <w:jc w:val="both"/>
                  <w:rPr>
                    <w:color w:val="000000"/>
                    <w:szCs w:val="24"/>
                  </w:rPr>
                </w:pPr>
                <w:r>
                  <w:rPr>
                    <w:color w:val="000000"/>
                    <w:szCs w:val="24"/>
                  </w:rPr>
                  <w:t xml:space="preserve">f)   Naudojimasis neturint gebėjimo kalbėti</w:t>
                </w:r>
              </w:p>
              <w:p>
                <w:pPr>
                  <w:jc w:val="both"/>
                  <w:rPr>
                    <w:color w:val="000000"/>
                    <w:szCs w:val="24"/>
                  </w:rPr>
                </w:pPr>
                <w:r>
                  <w:rPr>
                    <w:color w:val="000000"/>
                    <w:szCs w:val="24"/>
                  </w:rPr>
                  <w:t>Kai naudojant gaminį arba paslaugą reikia naudotojų balsinės įvesties, užtikrinamas bent vienas veikimo režimas, kurį taikant nereikalinga balsinė įvestis. Balsinė įvestis apima visus vokalinius garsus, tokius kaip kalbėjimas, švilpimas ar spragsėjimas.</w:t>
                </w:r>
              </w:p>
              <w:p>
                <w:pPr>
                  <w:jc w:val="both"/>
                  <w:rPr>
                    <w:color w:val="000000"/>
                    <w:szCs w:val="24"/>
                  </w:rPr>
                </w:pPr>
              </w:p>
              <w:p>
                <w:pPr>
                  <w:jc w:val="both"/>
                  <w:rPr>
                    <w:color w:val="000000"/>
                    <w:szCs w:val="24"/>
                  </w:rPr>
                </w:pPr>
                <w:r>
                  <w:rPr>
                    <w:color w:val="000000"/>
                    <w:szCs w:val="24"/>
                  </w:rPr>
                  <w:t xml:space="preserve">g)   Naudojimasis esant ribotoms galimybėms atlikti judesius ar ribotai jėgai</w:t>
                </w:r>
              </w:p>
              <w:p>
                <w:pPr>
                  <w:jc w:val="both"/>
                  <w:rPr>
                    <w:color w:val="000000"/>
                    <w:szCs w:val="24"/>
                  </w:rPr>
                </w:pPr>
                <w:r>
                  <w:rPr>
                    <w:color w:val="000000"/>
                    <w:szCs w:val="24"/>
                  </w:rPr>
                  <w:t>Kai naudojant gaminį arba paslaugą reikia atlikti veiksmus rankomis, užtikrinamas bent vienas veikimo režimas, kuriuo naudotojams suteikiama galimybė naudoti gaminį atliekant alternatyvius veiksmus, kuriems nereikia naudoti smulkiosios motorikos ir rankos judesių, rankų jėgos arba vienu metu naudotis keliomis valdymo funkcijomis.</w:t>
                </w:r>
              </w:p>
              <w:p>
                <w:pPr>
                  <w:jc w:val="both"/>
                  <w:rPr>
                    <w:color w:val="000000"/>
                    <w:szCs w:val="24"/>
                  </w:rPr>
                </w:pPr>
              </w:p>
              <w:p>
                <w:pPr>
                  <w:jc w:val="both"/>
                  <w:rPr>
                    <w:color w:val="000000"/>
                    <w:szCs w:val="24"/>
                  </w:rPr>
                </w:pPr>
                <w:r>
                  <w:rPr>
                    <w:color w:val="000000"/>
                    <w:szCs w:val="24"/>
                  </w:rPr>
                  <w:t xml:space="preserve">h)   Naudojimasis esant ribotai galimybei pasiekti</w:t>
                </w:r>
              </w:p>
              <w:p>
                <w:pPr>
                  <w:jc w:val="both"/>
                  <w:rPr>
                    <w:color w:val="000000"/>
                    <w:szCs w:val="24"/>
                  </w:rPr>
                </w:pPr>
                <w:r>
                  <w:rPr>
                    <w:color w:val="000000"/>
                    <w:szCs w:val="24"/>
                  </w:rPr>
                  <w:t>Gaminių valdymo elementai turi būti pasiekiami visiems naudotojams. Kai gaminiu arba paslauga užtikrinamas rankinis veikimo režimas, užtikrinamas bent vienas veikimo režimas, kurį taikant naudotojui pakanka ribotų galimybių pasiekti ir ribotos jėgos.</w:t>
                </w:r>
              </w:p>
              <w:p>
                <w:pPr>
                  <w:jc w:val="both"/>
                  <w:rPr>
                    <w:color w:val="000000"/>
                    <w:szCs w:val="24"/>
                  </w:rPr>
                </w:pPr>
              </w:p>
              <w:p>
                <w:pPr>
                  <w:jc w:val="both"/>
                  <w:rPr>
                    <w:color w:val="000000"/>
                    <w:szCs w:val="24"/>
                  </w:rPr>
                </w:pPr>
                <w:r>
                  <w:rPr>
                    <w:color w:val="000000"/>
                    <w:szCs w:val="24"/>
                  </w:rPr>
                  <w:t xml:space="preserve">i)   Sumažintas pavojus sukelti traukulius dėl jautrumo šviesai</w:t>
                </w:r>
              </w:p>
              <w:p>
                <w:pPr>
                  <w:jc w:val="both"/>
                  <w:rPr>
                    <w:color w:val="000000"/>
                    <w:szCs w:val="24"/>
                  </w:rPr>
                </w:pPr>
                <w:r>
                  <w:rPr>
                    <w:color w:val="000000"/>
                    <w:szCs w:val="24"/>
                  </w:rPr>
                  <w:t>Kai gaminiu užtikrinami vizualiniai veikimo režimai, vengiama veikimo režimų, kurie sukelia traukulius dėl jautrumo šviesai.</w:t>
                </w:r>
              </w:p>
              <w:p>
                <w:pPr>
                  <w:jc w:val="both"/>
                  <w:rPr>
                    <w:color w:val="000000"/>
                    <w:szCs w:val="24"/>
                  </w:rPr>
                </w:pPr>
              </w:p>
              <w:p>
                <w:pPr>
                  <w:jc w:val="both"/>
                  <w:rPr>
                    <w:color w:val="000000"/>
                    <w:szCs w:val="24"/>
                  </w:rPr>
                </w:pPr>
                <w:r>
                  <w:rPr>
                    <w:color w:val="000000"/>
                    <w:szCs w:val="24"/>
                  </w:rPr>
                  <w:t xml:space="preserve">j)   Naudojimasis turint ribotus pažinimo gebėjimus</w:t>
                </w:r>
              </w:p>
              <w:p>
                <w:pPr>
                  <w:jc w:val="both"/>
                  <w:rPr>
                    <w:color w:val="000000"/>
                    <w:szCs w:val="24"/>
                  </w:rPr>
                </w:pPr>
                <w:r>
                  <w:rPr>
                    <w:color w:val="000000"/>
                    <w:szCs w:val="24"/>
                  </w:rPr>
                  <w:t>Gaminiu arba paslauga užtikrinamas bent vienas veikimo režimas, apimantis savybes, dėl kurių naudoti gaminį būtų lengviau ir paprasčiau.</w:t>
                </w:r>
              </w:p>
              <w:p>
                <w:pPr>
                  <w:jc w:val="both"/>
                  <w:rPr>
                    <w:color w:val="000000"/>
                    <w:szCs w:val="24"/>
                  </w:rPr>
                </w:pPr>
              </w:p>
              <w:p>
                <w:pPr>
                  <w:jc w:val="both"/>
                  <w:rPr>
                    <w:color w:val="000000"/>
                    <w:szCs w:val="24"/>
                  </w:rPr>
                </w:pPr>
                <w:r>
                  <w:rPr>
                    <w:color w:val="000000"/>
                    <w:szCs w:val="24"/>
                  </w:rPr>
                  <w:t xml:space="preserve">k)   Naudojimasis išsaugant privatumą</w:t>
                </w:r>
              </w:p>
              <w:p>
                <w:pPr>
                  <w:jc w:val="both"/>
                  <w:rPr>
                    <w:color w:val="000000"/>
                    <w:szCs w:val="24"/>
                  </w:rPr>
                </w:pPr>
                <w:r>
                  <w:rPr>
                    <w:color w:val="000000"/>
                    <w:szCs w:val="24"/>
                  </w:rPr>
                  <w:t>Kai gaminys arba paslauga pasižymi savybėmis, kuriomis suteikiamas prieinamumas, užtikrinamas bent vienas veikimo režimas, kuriuo išlaikomas privatumas tuo metu, kai naudojamasi tomis savybėmis, kuriomis suteikiamas prieinamumas.</w:t>
                </w: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1 priedas</w:t>
                </w:r>
              </w:p>
              <w:p>
                <w:pPr>
                  <w:widowControl w:val="0"/>
                  <w:spacing w:line="360" w:lineRule="auto"/>
                  <w:ind w:firstLine="720"/>
                  <w:jc w:val="right"/>
                  <w:rPr>
                    <w:b/>
                    <w:bCs/>
                    <w:szCs w:val="24"/>
                    <w:lang w:val="en-US"/>
                  </w:rPr>
                </w:pPr>
              </w:p>
              <w:p>
                <w:pPr>
                  <w:widowControl w:val="0"/>
                  <w:spacing w:line="360" w:lineRule="auto"/>
                  <w:ind w:firstLine="720"/>
                  <w:jc w:val="center"/>
                  <w:rPr>
                    <w:b/>
                    <w:bCs/>
                    <w:szCs w:val="24"/>
                  </w:rPr>
                </w:pPr>
                <w:r>
                  <w:rPr>
                    <w:b/>
                    <w:bCs/>
                    <w:szCs w:val="24"/>
                  </w:rPr>
                  <w:t>GAMINIŲ IR PASLAUGŲ PRIEINAMUMO REIKALAVIMAI</w:t>
                </w:r>
              </w:p>
              <w:p>
                <w:pPr>
                  <w:jc w:val="center"/>
                  <w:rPr>
                    <w:b/>
                    <w:bCs/>
                    <w:iCs/>
                    <w:color w:val="000000"/>
                    <w:szCs w:val="24"/>
                  </w:rPr>
                </w:pPr>
              </w:p>
              <w:p>
                <w:pPr>
                  <w:jc w:val="center"/>
                  <w:rPr>
                    <w:b/>
                    <w:bCs/>
                    <w:iCs/>
                    <w:color w:val="000000"/>
                    <w:szCs w:val="24"/>
                  </w:rPr>
                </w:pPr>
                <w:r>
                  <w:rPr>
                    <w:b/>
                    <w:bCs/>
                    <w:iCs/>
                    <w:color w:val="000000"/>
                    <w:szCs w:val="24"/>
                  </w:rPr>
                  <w:t>ŠEŠTAS SKYRIUS</w:t>
                </w:r>
              </w:p>
              <w:p>
                <w:pPr>
                  <w:jc w:val="center"/>
                  <w:rPr>
                    <w:b/>
                    <w:bCs/>
                    <w:iCs/>
                    <w:color w:val="000000"/>
                    <w:szCs w:val="24"/>
                  </w:rPr>
                </w:pPr>
                <w:r>
                  <w:rPr>
                    <w:b/>
                    <w:bCs/>
                    <w:iCs/>
                    <w:color w:val="000000"/>
                    <w:szCs w:val="24"/>
                  </w:rPr>
                  <w:t>GAMINIŲ IR PASLAUGŲ FUNKCINIO VEIKSMINGUMO KRITERIJAI</w:t>
                </w:r>
              </w:p>
              <w:p>
                <w:pPr>
                  <w:jc w:val="both"/>
                  <w:rPr>
                    <w:b/>
                    <w:bCs/>
                    <w:iCs/>
                    <w:color w:val="000000"/>
                    <w:szCs w:val="24"/>
                  </w:rPr>
                </w:pPr>
              </w:p>
              <w:p>
                <w:pPr>
                  <w:jc w:val="both"/>
                  <w:rPr>
                    <w:iCs/>
                    <w:color w:val="000000"/>
                    <w:szCs w:val="24"/>
                  </w:rPr>
                </w:pPr>
                <w:r>
                  <w:rPr>
                    <w:iCs/>
                    <w:color w:val="000000"/>
                    <w:szCs w:val="24"/>
                  </w:rPr>
                  <w:t>15. Jeigu šio priedo 2–14 ir 17–18 punktuose nustatyti prieinamumo reikalavimai neapima vienos ar daugiau gaminių projektavimo ir gamybos funkcijų arba paslaugų teikimo, tos funkcijos arba priemonės turi būti prieinamos laikantis susijusių funkcinio veiksmingumo kriterijų, kad būtų kuo labiau padidintas numatomas asmenų su negalia naudojimasis jais.</w:t>
                </w:r>
              </w:p>
              <w:p>
                <w:pPr>
                  <w:jc w:val="both"/>
                  <w:rPr>
                    <w:iCs/>
                    <w:color w:val="000000"/>
                    <w:szCs w:val="24"/>
                  </w:rPr>
                </w:pPr>
                <w:r>
                  <w:rPr>
                    <w:iCs/>
                    <w:color w:val="000000"/>
                    <w:szCs w:val="24"/>
                  </w:rPr>
                  <w:t>16. Funkcinio veiksmingumo kriterijai gali būti naudojami tik kaip alternatyva vienam ar keliems konkretiems techniniams reikalavimams, kai prieinamumo reikalavimuose daroma nuoroda į juos, tik tuo atveju, jei atitinkamų funkcinio veiksmingumo kriterijų taikymas atitinka prieinamumo reikalavimus ir nustatyta, kad gaminių projektavimas ir gamyba bei paslaugų teikimas suteikia lygiavertį ar didesnį prieinamumą numatomam asmenų su negalia naudojimuisi jais.</w:t>
                </w:r>
              </w:p>
              <w:p>
                <w:pPr>
                  <w:jc w:val="both"/>
                  <w:rPr>
                    <w:iCs/>
                    <w:color w:val="000000"/>
                    <w:szCs w:val="24"/>
                  </w:rPr>
                </w:pPr>
                <w:r>
                  <w:rPr>
                    <w:iCs/>
                    <w:color w:val="000000"/>
                    <w:szCs w:val="24"/>
                  </w:rPr>
                  <w:t>17. Taikomi šie funkcinio gaminių ir paslaugų veiksmingumo kriterijai:</w:t>
                </w:r>
              </w:p>
              <w:p>
                <w:pPr>
                  <w:jc w:val="both"/>
                  <w:rPr>
                    <w:iCs/>
                    <w:color w:val="000000"/>
                    <w:szCs w:val="24"/>
                  </w:rPr>
                </w:pPr>
                <w:r>
                  <w:rPr>
                    <w:iCs/>
                    <w:color w:val="000000"/>
                    <w:szCs w:val="24"/>
                  </w:rPr>
                  <w:t>17.1. naudojimasis neturint regėjimo – kai gaminiu arba paslauga užtikrinami vizualiniai veikimo režimai, turi būti užtikrinamas bent vienas veikimo režimas, kurį taikant regėjimo nereikia;</w:t>
                </w:r>
              </w:p>
              <w:p>
                <w:pPr>
                  <w:jc w:val="both"/>
                  <w:rPr>
                    <w:iCs/>
                    <w:color w:val="000000"/>
                    <w:szCs w:val="24"/>
                  </w:rPr>
                </w:pPr>
                <w:r>
                  <w:rPr>
                    <w:iCs/>
                    <w:color w:val="000000"/>
                    <w:szCs w:val="24"/>
                  </w:rPr>
                  <w:t>17.2. naudojimasis turint ribotą regėjimą – kai gaminiu arba paslauga užtikrinami vizualiniai veikimo režimai, užtikrinamas bent vienas veikimo režimas, kurį taikydami riboto regėjimo asmenys galėtų naudoti gaminį;</w:t>
                </w:r>
              </w:p>
              <w:p>
                <w:pPr>
                  <w:jc w:val="both"/>
                  <w:rPr>
                    <w:iCs/>
                    <w:color w:val="000000"/>
                    <w:szCs w:val="24"/>
                  </w:rPr>
                </w:pPr>
                <w:r>
                  <w:rPr>
                    <w:iCs/>
                    <w:color w:val="000000"/>
                    <w:szCs w:val="24"/>
                  </w:rPr>
                  <w:t>17.3. naudojimasis neturint gebėjimo suvokti spalvas – kai gaminiu arba paslauga užtikrinami vizualiniai veikimo režimai, turi būti užtikrinamas bent vienas veikimo režimas, kurį taikant naudotojui nereikia suvokti spalvų;</w:t>
                </w:r>
              </w:p>
              <w:p>
                <w:pPr>
                  <w:jc w:val="both"/>
                  <w:rPr>
                    <w:iCs/>
                    <w:color w:val="000000"/>
                    <w:szCs w:val="24"/>
                  </w:rPr>
                </w:pPr>
                <w:r>
                  <w:rPr>
                    <w:iCs/>
                    <w:color w:val="000000"/>
                    <w:szCs w:val="24"/>
                  </w:rPr>
                  <w:t>17.4. naudojimasis neturint klausos – kai gaminiu arba paslauga užtikrinami garsiniai veikimo režimai, užtikrinamas bent vienas veikimo režimas, kurį taikant klausos nereikia;</w:t>
                </w:r>
              </w:p>
              <w:p>
                <w:pPr>
                  <w:jc w:val="both"/>
                  <w:rPr>
                    <w:iCs/>
                    <w:color w:val="000000"/>
                    <w:szCs w:val="24"/>
                  </w:rPr>
                </w:pPr>
                <w:r>
                  <w:rPr>
                    <w:iCs/>
                    <w:color w:val="000000"/>
                    <w:szCs w:val="24"/>
                  </w:rPr>
                  <w:t>17.5. naudojimasis turint ribotą klausą – kai gaminiu arba paslauga užtikrinami garsiniai veikimo režimai, užtikrinamas bent vienas veikimo režimas, apimantis geresnes garsines savybes, kurios sudaro galimybes ribotą klausą turintiems naudotojams naudoti gaminį.</w:t>
                </w:r>
              </w:p>
              <w:p>
                <w:pPr>
                  <w:jc w:val="both"/>
                  <w:rPr>
                    <w:iCs/>
                    <w:color w:val="000000"/>
                    <w:szCs w:val="24"/>
                  </w:rPr>
                </w:pPr>
                <w:r>
                  <w:rPr>
                    <w:iCs/>
                    <w:color w:val="000000"/>
                    <w:szCs w:val="24"/>
                  </w:rPr>
                  <w:t>17.6. naudojimasis neturint gebėjimo kalbėti – kai naudojant gaminį ar paslaugą reikia naudotojų balsinės įvesties, užtikrinamas bent vienas veikimo režimas, kurį taikant nereikalinga balsinė įvestis. Balsinė įvestis apima visus vokalinius garsus, tokius kaip kalbėjimas, švilpimas ar spragsėjimas.</w:t>
                </w:r>
              </w:p>
              <w:p>
                <w:pPr>
                  <w:jc w:val="both"/>
                  <w:rPr>
                    <w:iCs/>
                    <w:color w:val="000000"/>
                    <w:szCs w:val="24"/>
                  </w:rPr>
                </w:pPr>
                <w:r>
                  <w:rPr>
                    <w:iCs/>
                    <w:color w:val="000000"/>
                    <w:szCs w:val="24"/>
                  </w:rPr>
                  <w:t>17.7. naudojimasis esant ribotoms galimybėms atlikti judesius ar ribotai jėgai – kai naudojant gaminį arba paslaugą reikia atlikti veiksmus rankomis, užtikrinamas bent vienas veikimo režimas, kuriuo naudotojams suteikiama galimybė naudoti gaminį atliekant alternatyvius veiksmus, kuriems nereikia naudoti smulkiosios motorikos ir rankos judesių, rankų jėgos arba vienu metu naudotis keliomis valdymo funkcijomis;</w:t>
                </w:r>
              </w:p>
              <w:p>
                <w:pPr>
                  <w:jc w:val="both"/>
                  <w:rPr>
                    <w:iCs/>
                    <w:color w:val="000000"/>
                    <w:szCs w:val="24"/>
                  </w:rPr>
                </w:pPr>
                <w:r>
                  <w:rPr>
                    <w:iCs/>
                    <w:color w:val="000000"/>
                    <w:szCs w:val="24"/>
                  </w:rPr>
                  <w:t>17.8. naudojimasis esant ribotai galimybei pasiekti – kai gaminių valdymo elementai turi būti pasiekiami visiems naudotojams. Kai gaminiu arba paslauga užtikrinamas rankinis veikimo režimas, užtikrinamas bent vienas veikimo režimas, kurį taikant naudotojui pakanka ribotų galimybių pasiekti ir ribotos jėgos;</w:t>
                </w:r>
              </w:p>
              <w:p>
                <w:pPr>
                  <w:jc w:val="both"/>
                  <w:rPr>
                    <w:iCs/>
                    <w:color w:val="000000"/>
                    <w:szCs w:val="24"/>
                  </w:rPr>
                </w:pPr>
                <w:r>
                  <w:rPr>
                    <w:iCs/>
                    <w:color w:val="000000"/>
                    <w:szCs w:val="24"/>
                  </w:rPr>
                  <w:t>17.9. sumažintas pavojus sukelti traukulius dėl jautrumo šviesai – kai gaminiu užtikrinami vizualiniai veikimo režimai, vengiama veikimo režimų, kurie sukelia traukulius dėl jautrumo šviesai;</w:t>
                </w:r>
              </w:p>
              <w:p>
                <w:pPr>
                  <w:jc w:val="both"/>
                  <w:rPr>
                    <w:iCs/>
                    <w:color w:val="000000"/>
                    <w:szCs w:val="24"/>
                  </w:rPr>
                </w:pPr>
                <w:r>
                  <w:rPr>
                    <w:iCs/>
                    <w:color w:val="000000"/>
                    <w:szCs w:val="24"/>
                  </w:rPr>
                  <w:t>17.10. naudojimasis turint ribotus pažinimo gebėjimus – gaminiu arba paslauga užtikrinamas bent vienas veikimo režimas, apimantis savybes, dėl kurių naudoti gaminį būtų lengviau ir paprasčiau;</w:t>
                </w:r>
              </w:p>
              <w:p>
                <w:pPr>
                  <w:jc w:val="both"/>
                  <w:rPr>
                    <w:iCs/>
                    <w:color w:val="000000"/>
                    <w:szCs w:val="24"/>
                  </w:rPr>
                </w:pPr>
              </w:p>
            </w:tc>
            <w:tc>
              <w:tcPr>
                <w:tcW w:w="1858" w:type="dxa"/>
              </w:tcPr>
              <w:p>
                <w:pPr>
                  <w:jc w:val="both"/>
                  <w:rPr>
                    <w:b/>
                    <w:bCs/>
                    <w:color w:val="000000"/>
                    <w:szCs w:val="24"/>
                  </w:rPr>
                </w:pPr>
                <w:r>
                  <w:rPr>
                    <w:b/>
                    <w:bCs/>
                    <w:color w:val="000000"/>
                    <w:szCs w:val="24"/>
                  </w:rPr>
                  <w:t>Visiškas</w:t>
                </w:r>
              </w:p>
            </w:tc>
          </w:tr>
          <w:tr>
            <w:trPr>
              <w:trHeight w:val="263"/>
            </w:trPr>
            <w:tc>
              <w:tcPr>
                <w:tcW w:w="5264" w:type="dxa"/>
              </w:tcPr>
              <w:p>
                <w:pPr>
                  <w:jc w:val="both"/>
                  <w:rPr>
                    <w:b/>
                    <w:bCs/>
                    <w:color w:val="000000"/>
                    <w:szCs w:val="24"/>
                  </w:rPr>
                </w:pPr>
                <w:r>
                  <w:rPr>
                    <w:b/>
                    <w:bCs/>
                    <w:color w:val="000000"/>
                    <w:szCs w:val="24"/>
                  </w:rPr>
                  <w:t>II PRIEDAS</w:t>
                </w:r>
              </w:p>
            </w:tc>
            <w:tc>
              <w:tcPr>
                <w:tcW w:w="7868" w:type="dxa"/>
              </w:tcPr>
              <w:p>
                <w:pPr>
                  <w:jc w:val="both"/>
                  <w:rPr>
                    <w:i/>
                    <w:color w:val="000000"/>
                    <w:szCs w:val="24"/>
                  </w:rPr>
                </w:pPr>
                <w:r>
                  <w:rPr>
                    <w:i/>
                    <w:color w:val="000000"/>
                    <w:szCs w:val="24"/>
                  </w:rPr>
                  <w:t>Direktyvos nuostatų perkelti neprivaloma, tai pagalbinė informacija.</w:t>
                </w:r>
              </w:p>
            </w:tc>
            <w:tc>
              <w:tcPr>
                <w:tcW w:w="1858" w:type="dxa"/>
              </w:tcPr>
              <w:p>
                <w:pPr>
                  <w:jc w:val="both"/>
                  <w:rPr>
                    <w:b/>
                    <w:bCs/>
                    <w:color w:val="000000"/>
                    <w:szCs w:val="24"/>
                  </w:rPr>
                </w:pPr>
                <w:r>
                  <w:rPr>
                    <w:b/>
                    <w:bCs/>
                    <w:color w:val="000000"/>
                    <w:szCs w:val="24"/>
                  </w:rPr>
                  <w:t>Visiškas</w:t>
                </w:r>
              </w:p>
            </w:tc>
          </w:tr>
          <w:tr>
            <w:trPr>
              <w:trHeight w:val="268"/>
            </w:trPr>
            <w:tc>
              <w:tcPr>
                <w:tcW w:w="5264" w:type="dxa"/>
                <w:shd w:val="clear" w:color="auto" w:fill="auto"/>
              </w:tcPr>
              <w:p>
                <w:pPr>
                  <w:jc w:val="both"/>
                  <w:rPr>
                    <w:b/>
                    <w:bCs/>
                    <w:color w:val="000000"/>
                    <w:szCs w:val="24"/>
                  </w:rPr>
                </w:pPr>
                <w:r>
                  <w:rPr>
                    <w:b/>
                    <w:bCs/>
                    <w:color w:val="000000"/>
                    <w:szCs w:val="24"/>
                  </w:rPr>
                  <w:t>III PRIEDAS</w:t>
                </w:r>
              </w:p>
            </w:tc>
            <w:tc>
              <w:tcPr>
                <w:tcW w:w="7868" w:type="dxa"/>
                <w:shd w:val="clear" w:color="auto" w:fill="auto"/>
              </w:tcPr>
              <w:p>
                <w:pPr>
                  <w:jc w:val="both"/>
                  <w:rPr>
                    <w:i/>
                    <w:color w:val="000000"/>
                    <w:szCs w:val="24"/>
                  </w:rPr>
                </w:pPr>
                <w:r>
                  <w:rPr>
                    <w:i/>
                    <w:color w:val="000000"/>
                    <w:szCs w:val="24"/>
                  </w:rPr>
                  <w:t>Naudojantis Direktyvoje numatya išimtimi, nuostatos neperkeliamos.</w:t>
                </w:r>
              </w:p>
            </w:tc>
            <w:tc>
              <w:tcPr>
                <w:tcW w:w="1858" w:type="dxa"/>
                <w:shd w:val="clear" w:color="auto" w:fill="auto"/>
              </w:tcPr>
              <w:p>
                <w:pPr>
                  <w:jc w:val="both"/>
                  <w:rPr>
                    <w:b/>
                    <w:bCs/>
                    <w:color w:val="000000"/>
                    <w:szCs w:val="24"/>
                  </w:rPr>
                </w:pPr>
                <w:r>
                  <w:rPr>
                    <w:b/>
                    <w:bCs/>
                    <w:color w:val="000000"/>
                    <w:szCs w:val="24"/>
                  </w:rPr>
                  <w:t>-</w:t>
                </w:r>
              </w:p>
            </w:tc>
          </w:tr>
          <w:tr>
            <w:trPr>
              <w:trHeight w:val="558"/>
            </w:trPr>
            <w:tc>
              <w:tcPr>
                <w:tcW w:w="5264" w:type="dxa"/>
                <w:shd w:val="clear" w:color="auto" w:fill="FFFFFF" w:themeFill="background1"/>
              </w:tcPr>
              <w:p>
                <w:pPr>
                  <w:jc w:val="both"/>
                  <w:rPr>
                    <w:b/>
                    <w:bCs/>
                    <w:color w:val="000000"/>
                    <w:szCs w:val="24"/>
                  </w:rPr>
                </w:pPr>
                <w:r>
                  <w:rPr>
                    <w:b/>
                    <w:bCs/>
                    <w:color w:val="000000"/>
                    <w:szCs w:val="24"/>
                  </w:rPr>
                  <w:t>IV PRIEDAS</w:t>
                </w:r>
              </w:p>
              <w:p>
                <w:pPr>
                  <w:rPr>
                    <w:sz w:val="20"/>
                  </w:rPr>
                </w:pPr>
              </w:p>
              <w:p>
                <w:pPr>
                  <w:shd w:val="clear" w:color="auto" w:fill="FFFFFF"/>
                  <w:jc w:val="both"/>
                  <w:rPr>
                    <w:b/>
                    <w:bCs/>
                    <w:color w:val="000000"/>
                    <w:szCs w:val="24"/>
                  </w:rPr>
                </w:pPr>
                <w:r>
                  <w:rPr>
                    <w:b/>
                    <w:bCs/>
                    <w:color w:val="000000"/>
                    <w:szCs w:val="24"/>
                  </w:rPr>
                  <w:t>ATITIKTIES VERTINIMO PROCEDŪRA. GAMINIAI</w:t>
                </w:r>
              </w:p>
              <w:p>
                <w:pPr>
                  <w:rPr>
                    <w:sz w:val="20"/>
                  </w:rPr>
                </w:pPr>
              </w:p>
              <w:p>
                <w:pPr>
                  <w:shd w:val="clear" w:color="auto" w:fill="FFFFFF"/>
                  <w:jc w:val="both"/>
                  <w:rPr>
                    <w:b/>
                    <w:bCs/>
                    <w:color w:val="000000"/>
                    <w:szCs w:val="24"/>
                  </w:rPr>
                </w:pPr>
                <w:r>
                  <w:rPr>
                    <w:b/>
                    <w:bCs/>
                    <w:color w:val="000000"/>
                    <w:szCs w:val="24"/>
                  </w:rPr>
                  <w:t>1.   Gamybos vidaus kontrolė</w:t>
                </w:r>
              </w:p>
              <w:p>
                <w:pPr>
                  <w:rPr>
                    <w:sz w:val="10"/>
                    <w:szCs w:val="10"/>
                  </w:rPr>
                </w:pPr>
              </w:p>
              <w:p>
                <w:pPr>
                  <w:shd w:val="clear" w:color="auto" w:fill="FFFFFF"/>
                  <w:jc w:val="both"/>
                  <w:rPr>
                    <w:color w:val="000000"/>
                    <w:szCs w:val="24"/>
                  </w:rPr>
                </w:pPr>
                <w:r>
                  <w:rPr>
                    <w:color w:val="000000"/>
                    <w:szCs w:val="24"/>
                  </w:rPr>
                  <w:t>Gamybos vidaus kontrolė yra atitikties vertinimo procedūra, kurią taikydamas gamintojas įvykdo šio priedo 2, 3 ir 4 punktuose nustatytas pareigas ir, prisiimdamas visą atsakomybę, užtikrina ir patvirtina, kad atitinkamas gaminys atitinka atitinkamus šios direktyvos reikalavimus.</w:t>
                </w:r>
              </w:p>
              <w:p>
                <w:pPr>
                  <w:rPr>
                    <w:sz w:val="20"/>
                  </w:rPr>
                </w:pPr>
              </w:p>
              <w:p>
                <w:pPr>
                  <w:shd w:val="clear" w:color="auto" w:fill="FFFFFF"/>
                  <w:jc w:val="both"/>
                  <w:rPr>
                    <w:b/>
                    <w:bCs/>
                    <w:color w:val="000000"/>
                    <w:szCs w:val="24"/>
                  </w:rPr>
                </w:pPr>
                <w:r>
                  <w:rPr>
                    <w:b/>
                    <w:bCs/>
                    <w:color w:val="000000"/>
                    <w:szCs w:val="24"/>
                  </w:rPr>
                  <w:t>2.   Techniniai dokumentai</w:t>
                </w:r>
              </w:p>
              <w:p>
                <w:pPr>
                  <w:rPr>
                    <w:sz w:val="10"/>
                    <w:szCs w:val="10"/>
                  </w:rPr>
                </w:pPr>
              </w:p>
              <w:p>
                <w:pPr>
                  <w:shd w:val="clear" w:color="auto" w:fill="FFFFFF"/>
                  <w:jc w:val="both"/>
                  <w:rPr>
                    <w:color w:val="000000"/>
                    <w:szCs w:val="24"/>
                  </w:rPr>
                </w:pPr>
                <w:r>
                  <w:rPr>
                    <w:color w:val="000000"/>
                    <w:szCs w:val="24"/>
                  </w:rPr>
                  <w:t>Gamintojas parengia techninius dokumentus. Naudojantis techniniais dokumentais turi būti įmanoma vertinti gaminio atitiktį atitinkamiems 4 straipsnyje nurodytiems prieinamumo reikalavimams, o tuo atveju, jeigu gamintojas rėmėsi 14 straipsniu, parodyti, kad dėl atitinkamų prieinamumo reikalavimų reikėtų atlikti esminį pakeitimą arba kiltų neproporcinga našta. Techniniuose dokumentuose nurodomi tik taikytini reikalavimai ir, jeigu tai svarbu atliekant vertinimą, aprašomas gaminio projektas, gamyba ir veikimas.</w:t>
                </w:r>
              </w:p>
              <w:p>
                <w:pPr>
                  <w:rPr>
                    <w:sz w:val="10"/>
                    <w:szCs w:val="10"/>
                  </w:rPr>
                </w:pPr>
              </w:p>
              <w:p>
                <w:pPr>
                  <w:shd w:val="clear" w:color="auto" w:fill="FFFFFF"/>
                  <w:jc w:val="both"/>
                  <w:rPr>
                    <w:color w:val="000000"/>
                    <w:szCs w:val="24"/>
                  </w:rPr>
                </w:pPr>
                <w:r>
                  <w:rPr>
                    <w:color w:val="000000"/>
                    <w:szCs w:val="24"/>
                  </w:rPr>
                  <w:t>Kai taikytina, techniniuose dokumentuose nurodomi bent šie duomenys:</w:t>
                </w:r>
              </w:p>
              <w:tbl>
                <w:tblPr>
                  <w:tblW w:w="5000" w:type="pct"/>
                  <w:shd w:val="clear" w:color="auto" w:fill="FFFFFF"/>
                  <w:tblCellMar>
                    <w:left w:w="0" w:type="dxa"/>
                    <w:right w:w="0" w:type="dxa"/>
                  </w:tblCellMar>
                  <w:tblLook w:val="04A0" w:firstRow="1" w:lastRow="0" w:firstColumn="1" w:lastColumn="0" w:noHBand="0" w:noVBand="1"/>
                </w:tblPr>
                <w:tblGrid>
                  <w:gridCol w:w="389"/>
                  <w:gridCol w:w="4659"/>
                </w:tblGrid>
                <w:tr>
                  <w:tc>
                    <w:tcPr>
                      <w:tcW w:w="620" w:type="dxa"/>
                      <w:shd w:val="clear" w:color="auto" w:fill="FFFFFF"/>
                      <w:hideMark/>
                    </w:tcPr>
                    <w:p>
                      <w:pPr>
                        <w:rPr>
                          <w:sz w:val="10"/>
                          <w:szCs w:val="10"/>
                        </w:rPr>
                      </w:pPr>
                    </w:p>
                    <w:p>
                      <w:pPr>
                        <w:jc w:val="both"/>
                        <w:rPr>
                          <w:color w:val="000000"/>
                          <w:szCs w:val="24"/>
                        </w:rPr>
                      </w:pPr>
                      <w:r>
                        <w:rPr>
                          <w:color w:val="000000"/>
                          <w:szCs w:val="24"/>
                        </w:rPr>
                        <w:t>a)</w:t>
                      </w:r>
                    </w:p>
                  </w:tc>
                  <w:tc>
                    <w:tcPr>
                      <w:tcW w:w="8740" w:type="dxa"/>
                      <w:shd w:val="clear" w:color="auto" w:fill="FFFFFF"/>
                      <w:hideMark/>
                    </w:tcPr>
                    <w:p>
                      <w:pPr>
                        <w:rPr>
                          <w:sz w:val="10"/>
                          <w:szCs w:val="10"/>
                        </w:rPr>
                      </w:pPr>
                    </w:p>
                    <w:p>
                      <w:pPr>
                        <w:jc w:val="both"/>
                        <w:rPr>
                          <w:color w:val="000000"/>
                          <w:szCs w:val="24"/>
                        </w:rPr>
                      </w:pPr>
                      <w:r>
                        <w:rPr>
                          <w:color w:val="000000"/>
                          <w:szCs w:val="24"/>
                        </w:rPr>
                        <w:t>bendras gaminio aprašymas;</w:t>
                      </w:r>
                    </w:p>
                  </w:tc>
                </w:tr>
              </w:tbl>
              <w:p>
                <w:pPr>
                  <w:rPr>
                    <w:vanish/>
                    <w:szCs w:val="24"/>
                  </w:rPr>
                </w:pPr>
              </w:p>
              <w:tbl>
                <w:tblPr>
                  <w:tblW w:w="5000" w:type="pct"/>
                  <w:shd w:val="clear" w:color="auto" w:fill="FFFFFF"/>
                  <w:tblCellMar>
                    <w:left w:w="0" w:type="dxa"/>
                    <w:right w:w="0" w:type="dxa"/>
                  </w:tblCellMar>
                  <w:tblLook w:val="04A0" w:firstRow="1" w:lastRow="0" w:firstColumn="1" w:lastColumn="0" w:noHBand="0" w:noVBand="1"/>
                </w:tblPr>
                <w:tblGrid>
                  <w:gridCol w:w="210"/>
                  <w:gridCol w:w="4838"/>
                </w:tblGrid>
                <w:tr>
                  <w:tc>
                    <w:tcPr>
                      <w:tcW w:w="224" w:type="dxa"/>
                      <w:shd w:val="clear" w:color="auto" w:fill="FFFFFF"/>
                      <w:hideMark/>
                    </w:tcPr>
                    <w:p>
                      <w:pPr>
                        <w:rPr>
                          <w:sz w:val="10"/>
                          <w:szCs w:val="10"/>
                        </w:rPr>
                      </w:pPr>
                    </w:p>
                    <w:p>
                      <w:pPr>
                        <w:jc w:val="both"/>
                        <w:rPr>
                          <w:color w:val="000000"/>
                          <w:szCs w:val="24"/>
                        </w:rPr>
                      </w:pPr>
                      <w:r>
                        <w:rPr>
                          <w:color w:val="000000"/>
                          <w:szCs w:val="24"/>
                        </w:rPr>
                        <w:t>b)</w:t>
                      </w:r>
                    </w:p>
                  </w:tc>
                  <w:tc>
                    <w:tcPr>
                      <w:tcW w:w="9136" w:type="dxa"/>
                      <w:shd w:val="clear" w:color="auto" w:fill="FFFFFF"/>
                      <w:hideMark/>
                    </w:tcPr>
                    <w:p>
                      <w:pPr>
                        <w:rPr>
                          <w:sz w:val="10"/>
                          <w:szCs w:val="10"/>
                        </w:rPr>
                      </w:pPr>
                    </w:p>
                    <w:p>
                      <w:pPr>
                        <w:jc w:val="both"/>
                        <w:rPr>
                          <w:color w:val="000000"/>
                          <w:szCs w:val="24"/>
                        </w:rPr>
                      </w:pPr>
                      <w:r>
                        <w:rPr>
                          <w:color w:val="000000"/>
                          <w:szCs w:val="24"/>
                        </w:rPr>
                        <w:t>visiškai arba iš dalies taikomų darniųjų standartų ir techninių specifikacijų, kurių nuorodos paskelbtos </w:t>
                      </w:r>
                      <w:r>
                        <w:rPr>
                          <w:i/>
                          <w:iCs/>
                          <w:color w:val="000000"/>
                          <w:szCs w:val="24"/>
                        </w:rPr>
                        <w:t>Europos Sąjungos oficialiajame leidinyje</w:t>
                      </w:r>
                      <w:r>
                        <w:rPr>
                          <w:color w:val="000000"/>
                          <w:szCs w:val="24"/>
                        </w:rPr>
                        <w:t>, sąrašas ir, jei tie darnieji standartai arba techninės specifikacijos dar nebuvo taikomi, sprendimų, priimtų siekiant užtikrinti atitiktį atitinkamiems 4 straipsnyje nurodytiems prieinamumo reikalavimams, aprašymai; jeigu darnieji standartai arba techninės specifikacijos taikomi iš dalies, techniniuose dokumentuose nurodomos dalys, kurios buvo taikomos.</w:t>
                      </w:r>
                    </w:p>
                  </w:tc>
                </w:tr>
              </w:tbl>
              <w:p>
                <w:pPr>
                  <w:rPr>
                    <w:sz w:val="20"/>
                  </w:rPr>
                </w:pPr>
              </w:p>
              <w:p>
                <w:pPr>
                  <w:shd w:val="clear" w:color="auto" w:fill="FFFFFF"/>
                  <w:jc w:val="both"/>
                  <w:rPr>
                    <w:b/>
                    <w:bCs/>
                    <w:color w:val="000000"/>
                    <w:szCs w:val="24"/>
                  </w:rPr>
                </w:pPr>
                <w:r>
                  <w:rPr>
                    <w:b/>
                    <w:bCs/>
                    <w:color w:val="000000"/>
                    <w:szCs w:val="24"/>
                  </w:rPr>
                  <w:t>3.   Gamyba</w:t>
                </w:r>
              </w:p>
              <w:p>
                <w:pPr>
                  <w:rPr>
                    <w:sz w:val="10"/>
                    <w:szCs w:val="10"/>
                  </w:rPr>
                </w:pPr>
              </w:p>
              <w:p>
                <w:pPr>
                  <w:shd w:val="clear" w:color="auto" w:fill="FFFFFF"/>
                  <w:jc w:val="both"/>
                  <w:rPr>
                    <w:color w:val="000000"/>
                    <w:szCs w:val="24"/>
                  </w:rPr>
                </w:pPr>
                <w:r>
                  <w:rPr>
                    <w:color w:val="000000"/>
                    <w:szCs w:val="24"/>
                  </w:rPr>
                  <w:t>Gamintojas imasi visų būtinų priemonių, kad gamybos procesu ir jo stebėsena būtų užtikrinta gaminių atitiktis šio priedo 2 punkte nurodytiems techniniams dokumentams ir šios direktyvos prieinamumo reikalavimams.</w:t>
                </w:r>
              </w:p>
              <w:p>
                <w:pPr>
                  <w:rPr>
                    <w:sz w:val="20"/>
                  </w:rPr>
                </w:pPr>
              </w:p>
              <w:p>
                <w:pPr>
                  <w:shd w:val="clear" w:color="auto" w:fill="FFFFFF"/>
                  <w:jc w:val="both"/>
                  <w:rPr>
                    <w:b/>
                    <w:bCs/>
                    <w:color w:val="000000"/>
                    <w:szCs w:val="24"/>
                  </w:rPr>
                </w:pPr>
                <w:r>
                  <w:rPr>
                    <w:b/>
                    <w:bCs/>
                    <w:color w:val="000000"/>
                    <w:szCs w:val="24"/>
                  </w:rPr>
                  <w:t>4.   Žymėjimas CE ženklu ir ES atitikties deklaracija</w:t>
                </w:r>
              </w:p>
              <w:p>
                <w:pPr>
                  <w:rPr>
                    <w:sz w:val="10"/>
                    <w:szCs w:val="10"/>
                  </w:rPr>
                </w:pPr>
              </w:p>
              <w:tbl>
                <w:tblPr>
                  <w:tblW w:w="5000" w:type="pct"/>
                  <w:shd w:val="clear" w:color="auto" w:fill="FFFFFF"/>
                  <w:tblCellMar>
                    <w:left w:w="0" w:type="dxa"/>
                    <w:right w:w="0" w:type="dxa"/>
                  </w:tblCellMar>
                  <w:tblLook w:val="04A0" w:firstRow="1" w:lastRow="0" w:firstColumn="1" w:lastColumn="0" w:noHBand="0" w:noVBand="1"/>
                </w:tblPr>
                <w:tblGrid>
                  <w:gridCol w:w="6"/>
                  <w:gridCol w:w="362"/>
                  <w:gridCol w:w="4680"/>
                </w:tblGrid>
                <w:tr>
                  <w:tc>
                    <w:tcPr>
                      <w:tcW w:w="6" w:type="dxa"/>
                      <w:shd w:val="clear" w:color="auto" w:fill="FFFFFF"/>
                      <w:hideMark/>
                    </w:tcPr>
                    <w:p>
                      <w:pPr>
                        <w:rPr>
                          <w:b/>
                          <w:bCs/>
                          <w:color w:val="000000"/>
                          <w:szCs w:val="24"/>
                        </w:rPr>
                      </w:pPr>
                    </w:p>
                  </w:tc>
                  <w:tc>
                    <w:tcPr>
                      <w:tcW w:w="365" w:type="dxa"/>
                      <w:shd w:val="clear" w:color="auto" w:fill="FFFFFF"/>
                      <w:hideMark/>
                    </w:tcPr>
                    <w:p>
                      <w:pPr>
                        <w:rPr>
                          <w:sz w:val="10"/>
                          <w:szCs w:val="10"/>
                        </w:rPr>
                      </w:pPr>
                    </w:p>
                    <w:p>
                      <w:pPr>
                        <w:jc w:val="both"/>
                        <w:rPr>
                          <w:color w:val="000000"/>
                          <w:szCs w:val="24"/>
                        </w:rPr>
                      </w:pPr>
                      <w:r>
                        <w:rPr>
                          <w:color w:val="000000"/>
                          <w:szCs w:val="24"/>
                        </w:rPr>
                        <w:t>4.1.</w:t>
                      </w:r>
                    </w:p>
                  </w:tc>
                  <w:tc>
                    <w:tcPr>
                      <w:tcW w:w="8989" w:type="dxa"/>
                      <w:shd w:val="clear" w:color="auto" w:fill="FFFFFF"/>
                      <w:hideMark/>
                    </w:tcPr>
                    <w:p>
                      <w:pPr>
                        <w:rPr>
                          <w:color w:val="000000"/>
                          <w:szCs w:val="24"/>
                        </w:rPr>
                      </w:pPr>
                      <w:r>
                        <w:rPr>
                          <w:color w:val="000000"/>
                          <w:szCs w:val="24"/>
                        </w:rPr>
                        <w:t>Kiekvieną atskirą gaminį, atitinkantį taikytinus šios direktyvos reikalavimus, gamintojas pažymi šioje direktyvoje nurodytu CE ženklu.</w:t>
                      </w:r>
                    </w:p>
                  </w:tc>
                </w:tr>
              </w:tbl>
              <w:p>
                <w:pPr>
                  <w:rPr>
                    <w:vanish/>
                    <w:szCs w:val="24"/>
                  </w:rPr>
                </w:pPr>
              </w:p>
              <w:tbl>
                <w:tblPr>
                  <w:tblW w:w="5000" w:type="pct"/>
                  <w:shd w:val="clear" w:color="auto" w:fill="FFFFFF"/>
                  <w:tblCellMar>
                    <w:left w:w="0" w:type="dxa"/>
                    <w:right w:w="0" w:type="dxa"/>
                  </w:tblCellMar>
                  <w:tblLook w:val="04A0" w:firstRow="1" w:lastRow="0" w:firstColumn="1" w:lastColumn="0" w:noHBand="0" w:noVBand="1"/>
                </w:tblPr>
                <w:tblGrid>
                  <w:gridCol w:w="6"/>
                  <w:gridCol w:w="362"/>
                  <w:gridCol w:w="4680"/>
                </w:tblGrid>
                <w:tr>
                  <w:tc>
                    <w:tcPr>
                      <w:tcW w:w="6" w:type="dxa"/>
                      <w:shd w:val="clear" w:color="auto" w:fill="FFFFFF"/>
                      <w:hideMark/>
                    </w:tcPr>
                    <w:p>
                      <w:pPr>
                        <w:rPr>
                          <w:szCs w:val="24"/>
                        </w:rPr>
                      </w:pPr>
                    </w:p>
                  </w:tc>
                  <w:tc>
                    <w:tcPr>
                      <w:tcW w:w="365" w:type="dxa"/>
                      <w:shd w:val="clear" w:color="auto" w:fill="FFFFFF"/>
                      <w:hideMark/>
                    </w:tcPr>
                    <w:p>
                      <w:pPr>
                        <w:rPr>
                          <w:sz w:val="10"/>
                          <w:szCs w:val="10"/>
                        </w:rPr>
                      </w:pPr>
                    </w:p>
                    <w:p>
                      <w:pPr>
                        <w:jc w:val="both"/>
                        <w:rPr>
                          <w:color w:val="000000"/>
                          <w:szCs w:val="24"/>
                        </w:rPr>
                      </w:pPr>
                      <w:r>
                        <w:rPr>
                          <w:color w:val="000000"/>
                          <w:szCs w:val="24"/>
                        </w:rPr>
                        <w:t>4.2.</w:t>
                      </w:r>
                    </w:p>
                  </w:tc>
                  <w:tc>
                    <w:tcPr>
                      <w:tcW w:w="8989" w:type="dxa"/>
                      <w:shd w:val="clear" w:color="auto" w:fill="FFFFFF"/>
                      <w:hideMark/>
                    </w:tcPr>
                    <w:p>
                      <w:pPr>
                        <w:rPr>
                          <w:color w:val="000000"/>
                          <w:szCs w:val="24"/>
                        </w:rPr>
                      </w:pPr>
                      <w:r>
                        <w:rPr>
                          <w:color w:val="000000"/>
                          <w:szCs w:val="24"/>
                        </w:rPr>
                        <w:t>Gamintojas parengia rašytinę gaminio modelio ES atitikties deklaraciją. ES atitikties deklaracijoje nurodomas gaminys, kuriam ji buvo parengta.</w:t>
                      </w:r>
                    </w:p>
                    <w:p>
                      <w:pPr>
                        <w:rPr>
                          <w:sz w:val="10"/>
                          <w:szCs w:val="10"/>
                        </w:rPr>
                      </w:pPr>
                    </w:p>
                    <w:p>
                      <w:pPr>
                        <w:jc w:val="both"/>
                        <w:rPr>
                          <w:color w:val="000000"/>
                          <w:szCs w:val="24"/>
                        </w:rPr>
                      </w:pPr>
                      <w:r>
                        <w:rPr>
                          <w:color w:val="000000"/>
                          <w:szCs w:val="24"/>
                        </w:rPr>
                        <w:t>Atitinkamų institucijų prašymu joms pateikiama ES atitikties deklaracijos kopija.</w:t>
                      </w:r>
                    </w:p>
                  </w:tc>
                </w:tr>
              </w:tbl>
              <w:p>
                <w:pPr>
                  <w:rPr>
                    <w:sz w:val="20"/>
                  </w:rPr>
                </w:pPr>
              </w:p>
              <w:p>
                <w:pPr>
                  <w:shd w:val="clear" w:color="auto" w:fill="FFFFFF"/>
                  <w:jc w:val="both"/>
                  <w:rPr>
                    <w:b/>
                    <w:bCs/>
                    <w:color w:val="000000"/>
                    <w:szCs w:val="24"/>
                  </w:rPr>
                </w:pPr>
                <w:r>
                  <w:rPr>
                    <w:b/>
                    <w:bCs/>
                    <w:color w:val="000000"/>
                    <w:szCs w:val="24"/>
                  </w:rPr>
                  <w:t>5.   Įgaliotasis atstovas</w:t>
                </w:r>
              </w:p>
              <w:p>
                <w:pPr>
                  <w:rPr>
                    <w:sz w:val="10"/>
                    <w:szCs w:val="10"/>
                  </w:rPr>
                </w:pPr>
              </w:p>
              <w:p>
                <w:pPr>
                  <w:shd w:val="clear" w:color="auto" w:fill="FFFFFF"/>
                  <w:jc w:val="both"/>
                  <w:rPr>
                    <w:color w:val="000000"/>
                    <w:szCs w:val="24"/>
                  </w:rPr>
                </w:pPr>
                <w:r>
                  <w:rPr>
                    <w:color w:val="000000"/>
                    <w:szCs w:val="24"/>
                  </w:rPr>
                  <w:t>4 punkte išdėstytas gamintojo pareigas savo vardu ir atsakomybe gali vykdyti jo įgaliotasis atstovas, jeigu jos nurodytos įgaliojime.</w:t>
                </w:r>
              </w:p>
              <w:p>
                <w:pPr>
                  <w:jc w:val="both"/>
                  <w:rPr>
                    <w:b/>
                    <w:bCs/>
                    <w:color w:val="000000"/>
                    <w:szCs w:val="24"/>
                  </w:rPr>
                </w:pPr>
              </w:p>
            </w:tc>
            <w:tc>
              <w:tcPr>
                <w:tcW w:w="7868" w:type="dxa"/>
                <w:shd w:val="clear" w:color="auto" w:fill="FFFFFF" w:themeFill="background1"/>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16 straipsnis. Gaminių ES atitikties deklaracija ir techniniai dokumentai</w:t>
                </w:r>
              </w:p>
              <w:p>
                <w:pPr>
                  <w:jc w:val="both"/>
                  <w:rPr>
                    <w:color w:val="000000"/>
                    <w:szCs w:val="24"/>
                  </w:rPr>
                </w:pPr>
                <w:r>
                  <w:rPr>
                    <w:color w:val="000000"/>
                    <w:szCs w:val="24"/>
                  </w:rPr>
                  <w:t>&lt;...&gt;</w:t>
                </w:r>
              </w:p>
              <w:p>
                <w:pPr>
                  <w:jc w:val="both"/>
                  <w:rPr>
                    <w:bCs/>
                    <w:color w:val="000000"/>
                    <w:szCs w:val="24"/>
                  </w:rPr>
                </w:pPr>
                <w:r>
                  <w:rPr>
                    <w:bCs/>
                    <w:color w:val="000000"/>
                    <w:szCs w:val="24"/>
                  </w:rPr>
                  <w:t>5. Gamintojas parengia techninius dokumentus, kuriais remiantis turi būti įmanoma vertinti gaminio atitiktį atitinkamiems prieinamumo reikalavimams. Jeigu gamintojas nusprendė nesilaikyti prieinamumo reikalavimų remdamasis šio įstatymo 14 straipsniu, jis turi įrodyti, kad dėl atitinkamų prieinamumo reikalavimų reikėtų atlikti esminį pakeitimą arba kiltų neproporcinga našta. Techniniuose dokumentuose nurodomi tik taikytini prieinamumo reikalavimai ir, jeigu tai svarbu atliekant gaminio atitikties atitinkamiems prieinamumo reikalavimams vertinimą, aprašomas gaminio projektas, gamyba ir veikimas. Kai taikytina, techniniuose dokumentuose nurodomi bent šie duomenys:</w:t>
                </w:r>
              </w:p>
              <w:p>
                <w:pPr>
                  <w:jc w:val="both"/>
                  <w:rPr>
                    <w:bCs/>
                    <w:color w:val="000000"/>
                    <w:szCs w:val="24"/>
                  </w:rPr>
                </w:pPr>
                <w:r>
                  <w:rPr>
                    <w:bCs/>
                    <w:color w:val="000000"/>
                    <w:szCs w:val="24"/>
                  </w:rPr>
                  <w:t>1) bendras gaminio aprašymas;</w:t>
                </w:r>
              </w:p>
              <w:p>
                <w:pPr>
                  <w:jc w:val="both"/>
                  <w:rPr>
                    <w:bCs/>
                    <w:color w:val="000000"/>
                    <w:szCs w:val="24"/>
                  </w:rPr>
                </w:pPr>
                <w:r>
                  <w:rPr>
                    <w:bCs/>
                    <w:color w:val="000000"/>
                    <w:szCs w:val="24"/>
                  </w:rPr>
                  <w:t>2) visiškai arba iš dalies taikomų darniųjų standartų ir techninių specifikacijų, kurių nuorodos paskelbtos ES oficialiajame leidinyje, sąrašas ir, jei tie darnieji standartai arba techninės specifikacijos dar nebuvo taikomi, sprendimų, priimtų siekiant užtikrinti atitiktį atitinkamiems prieinamumo reikalavimams, aprašymai (jeigu darnieji standartai arba techninės specifikacijos taikomi iš dalies, techniniuose dokumentuose nurodomos dalys, kurios buvo taikomos).</w:t>
                </w:r>
              </w:p>
              <w:p>
                <w:pPr>
                  <w:jc w:val="both"/>
                  <w:rPr>
                    <w:bCs/>
                    <w:color w:val="000000"/>
                    <w:szCs w:val="24"/>
                  </w:rPr>
                </w:pPr>
                <w:r>
                  <w:rPr>
                    <w:bCs/>
                    <w:color w:val="000000"/>
                    <w:szCs w:val="24"/>
                  </w:rPr>
                  <w:t xml:space="preserve">6. Gamintojas imasi visų būtinų priemonių, kad gamybos procesu ir jo stebėsena būtų užtikrinta gaminių atitiktis šio straipsnio 5 dalyje nurodytiems techniniams dokumentams ir prieinamumo reikalavimams. </w:t>
                </w:r>
              </w:p>
              <w:p>
                <w:pPr>
                  <w:jc w:val="both"/>
                  <w:rPr>
                    <w:bCs/>
                    <w:color w:val="000000"/>
                    <w:szCs w:val="24"/>
                  </w:rPr>
                </w:pPr>
                <w:r>
                  <w:rPr>
                    <w:bCs/>
                    <w:color w:val="000000"/>
                    <w:szCs w:val="24"/>
                  </w:rPr>
                  <w:t>7. Gamintojas vykdo gamybos vidaus kontrolę, kurią taikydamas gamintojas įvykdo šio straipsnio 5, 6 dalyse bei šio įstatymo 17 straipsnio 1 dalyje nustatytas pareigas ir, prisiimdamas visą atsakomybę, užtikrina ir patvirtina, kad atitinkamas gaminys atitinka atitinkamus prieinamumo reikalavimus.</w:t>
                </w:r>
              </w:p>
              <w:p>
                <w:pPr>
                  <w:jc w:val="both"/>
                  <w:rPr>
                    <w:b/>
                    <w:bCs/>
                    <w:color w:val="000000"/>
                    <w:szCs w:val="24"/>
                  </w:rPr>
                </w:pPr>
              </w:p>
              <w:p>
                <w:pPr>
                  <w:jc w:val="both"/>
                  <w:rPr>
                    <w:b/>
                    <w:bCs/>
                    <w:color w:val="000000"/>
                    <w:szCs w:val="24"/>
                  </w:rPr>
                </w:pPr>
                <w:r>
                  <w:rPr>
                    <w:b/>
                    <w:bCs/>
                    <w:color w:val="000000"/>
                    <w:szCs w:val="24"/>
                  </w:rPr>
                  <w:t>17 straipsnis. Žymėjimo CE ženklu taisyklės ir sąlygos</w:t>
                </w:r>
              </w:p>
              <w:p>
                <w:pPr>
                  <w:jc w:val="both"/>
                  <w:rPr>
                    <w:bCs/>
                    <w:color w:val="000000"/>
                    <w:szCs w:val="24"/>
                  </w:rPr>
                </w:pPr>
                <w:r>
                  <w:rPr>
                    <w:bCs/>
                    <w:color w:val="000000"/>
                    <w:szCs w:val="24"/>
                  </w:rPr>
                  <w:t>1. Kiekvieną atskirą gaminį, atitinkantį taikytinus prieinamumo reikalavimus, gamintojas, prieš jį pateikdamas rinkai, pažymi CE ženklu. Gaminys arba jo duomenų lentelė CE ženklu pažymimi taip, kad šis ženklas būtų matomas, lengvai įskaitomas ir neištrinamas. Jei matomai, įskaitomai ir neištrinamai gaminio pažymėti neįmanoma arba negalima dėl gaminio pobūdžio, CE ženklu pažymima pakuotė ir prie jo pridėti dokumentai.</w:t>
                </w:r>
              </w:p>
              <w:p>
                <w:pPr>
                  <w:jc w:val="both"/>
                  <w:rPr>
                    <w:bCs/>
                    <w:color w:val="000000"/>
                    <w:szCs w:val="24"/>
                  </w:rPr>
                </w:pPr>
                <w:r>
                  <w:rPr>
                    <w:bCs/>
                    <w:color w:val="000000"/>
                    <w:szCs w:val="24"/>
                  </w:rPr>
                  <w:t>2. Šio straipsnio 1 dalyje gamintojo pareigas savo vardu ir atsakomybe gali vykdyti jo įgaliotasis atstovas, nurodytas šio įstatymo 9 straipsnyje, jeigu jos nurodytos įgaliojime.</w:t>
                </w:r>
              </w:p>
              <w:p>
                <w:pPr>
                  <w:jc w:val="both"/>
                  <w:rPr>
                    <w:color w:val="000000"/>
                    <w:szCs w:val="24"/>
                  </w:rPr>
                </w:pPr>
              </w:p>
            </w:tc>
            <w:tc>
              <w:tcPr>
                <w:tcW w:w="1858" w:type="dxa"/>
                <w:shd w:val="clear" w:color="auto" w:fill="FFFFFF" w:themeFill="background1"/>
              </w:tcPr>
              <w:p>
                <w:pPr>
                  <w:jc w:val="both"/>
                  <w:rPr>
                    <w:b/>
                    <w:bCs/>
                    <w:color w:val="000000"/>
                    <w:szCs w:val="24"/>
                  </w:rPr>
                </w:pPr>
                <w:r>
                  <w:rPr>
                    <w:b/>
                    <w:bCs/>
                    <w:color w:val="000000"/>
                    <w:szCs w:val="24"/>
                  </w:rPr>
                  <w:t>Visiškas</w:t>
                </w:r>
              </w:p>
            </w:tc>
          </w:tr>
          <w:tr>
            <w:trPr>
              <w:trHeight w:val="561"/>
            </w:trPr>
            <w:tc>
              <w:tcPr>
                <w:tcW w:w="5264" w:type="dxa"/>
                <w:shd w:val="clear" w:color="auto" w:fill="FFFFFF" w:themeFill="background1"/>
              </w:tcPr>
              <w:p>
                <w:pPr>
                  <w:jc w:val="both"/>
                  <w:rPr>
                    <w:b/>
                    <w:bCs/>
                    <w:color w:val="000000"/>
                    <w:szCs w:val="24"/>
                  </w:rPr>
                </w:pPr>
                <w:r>
                  <w:rPr>
                    <w:b/>
                    <w:bCs/>
                    <w:color w:val="000000"/>
                    <w:szCs w:val="24"/>
                  </w:rPr>
                  <w:t>V PRIEDAS</w:t>
                </w:r>
              </w:p>
              <w:p>
                <w:pPr>
                  <w:jc w:val="both"/>
                  <w:rPr>
                    <w:b/>
                    <w:bCs/>
                    <w:color w:val="000000"/>
                    <w:szCs w:val="24"/>
                  </w:rPr>
                </w:pPr>
                <w:r>
                  <w:rPr>
                    <w:b/>
                    <w:bCs/>
                    <w:color w:val="000000"/>
                    <w:szCs w:val="24"/>
                  </w:rPr>
                  <w:t>INFORMACIJA APIE PRIEINAMUMO REIKALAVIMUS ATITINKANČIAS PASLAUGAS</w:t>
                </w:r>
              </w:p>
              <w:p>
                <w:pPr>
                  <w:jc w:val="both"/>
                  <w:rPr>
                    <w:color w:val="000000"/>
                    <w:szCs w:val="24"/>
                  </w:rPr>
                </w:pPr>
                <w:r>
                  <w:rPr>
                    <w:color w:val="000000"/>
                    <w:szCs w:val="24"/>
                  </w:rPr>
                  <w:t>1.</w:t>
                </w:r>
                <w:r>
                  <w:rPr>
                    <w:szCs w:val="24"/>
                  </w:rPr>
                  <w:t xml:space="preserve"> </w:t>
                </w:r>
                <w:r>
                  <w:rPr>
                    <w:color w:val="000000"/>
                    <w:szCs w:val="24"/>
                  </w:rPr>
                  <w:t>Paslaugų teikėjas bendrosiose sąlygose arba lygiaverčiame dokumente turi pateikti informaciją, kurioje vertinama, kaip paslauga atitinka 4 straipsnyje nurodytus prieinamumo reikalavimus. Pateikiamoje informacijoje aprašomi taikytini reikalavimai, ir, jeigu tai svarbu atliekant vertinimą, paslaugos projektas ir veikimas. Be Direktyvoje 2011/83/ES nustatytų vartotojų informavimo reikalavimų, šioje informacijoje, kai taikytina, pateikiami šie elementai:</w:t>
                </w:r>
              </w:p>
              <w:p>
                <w:pPr>
                  <w:jc w:val="both"/>
                  <w:rPr>
                    <w:color w:val="000000"/>
                    <w:szCs w:val="24"/>
                  </w:rPr>
                </w:pPr>
                <w:r>
                  <w:rPr>
                    <w:color w:val="000000"/>
                    <w:szCs w:val="24"/>
                  </w:rPr>
                  <w:t>a) prieinamais formatais pateiktas bendras paslaugos aprašas;</w:t>
                </w:r>
              </w:p>
              <w:p>
                <w:pPr>
                  <w:jc w:val="both"/>
                  <w:rPr>
                    <w:color w:val="000000"/>
                    <w:szCs w:val="24"/>
                  </w:rPr>
                </w:pPr>
                <w:r>
                  <w:rPr>
                    <w:color w:val="000000"/>
                    <w:szCs w:val="24"/>
                  </w:rPr>
                  <w:t>b) paslaugos veikimui suprasti būtini aprašymai ir paaiškinimai;</w:t>
                </w:r>
              </w:p>
              <w:p>
                <w:pPr>
                  <w:jc w:val="both"/>
                  <w:rPr>
                    <w:color w:val="000000"/>
                    <w:szCs w:val="24"/>
                  </w:rPr>
                </w:pPr>
                <w:r>
                  <w:rPr>
                    <w:color w:val="000000"/>
                    <w:szCs w:val="24"/>
                  </w:rPr>
                  <w:t>c) aprašymas, kaip paslauga atitinka susijusius I priede išdėstytus prieinamumo reikalavimus.</w:t>
                </w:r>
              </w:p>
              <w:p>
                <w:pPr>
                  <w:jc w:val="both"/>
                  <w:rPr>
                    <w:color w:val="000000"/>
                    <w:szCs w:val="24"/>
                  </w:rPr>
                </w:pPr>
                <w:r>
                  <w:rPr>
                    <w:color w:val="000000"/>
                    <w:szCs w:val="24"/>
                  </w:rPr>
                  <w:t>2. Tam, kad laikytųsi šio priedo 1 punkto, paslaugų teikėjas gali visapusiškai arba iš dalies taikyti darniuosius standartus ir technines specifikacijas, kurių nuorodos paskelbtos Europos Sąjungos oficialiajame leidinyje.</w:t>
                </w:r>
              </w:p>
              <w:p>
                <w:pPr>
                  <w:jc w:val="both"/>
                  <w:rPr>
                    <w:color w:val="000000"/>
                    <w:szCs w:val="24"/>
                  </w:rPr>
                </w:pPr>
                <w:r>
                  <w:rPr>
                    <w:color w:val="000000"/>
                    <w:szCs w:val="24"/>
                  </w:rPr>
                  <w:t>3. Paslaugų teikėjas pateikia informaciją, parodančią, kad paslaugų teikimo procesu ir jo stebėsena užtikrinama paslaugos atitiktis šio priedo 1 punktui ir taikytiniems šios direktyvos reikalavimams.</w:t>
                </w:r>
              </w:p>
            </w:tc>
            <w:tc>
              <w:tcPr>
                <w:tcW w:w="7868" w:type="dxa"/>
                <w:shd w:val="clear" w:color="auto" w:fill="FFFFFF" w:themeFill="background1"/>
              </w:tcPr>
              <w:p>
                <w:pPr>
                  <w:jc w:val="both"/>
                  <w:rPr>
                    <w:b/>
                    <w:bCs/>
                    <w:iCs/>
                    <w:color w:val="000000"/>
                    <w:szCs w:val="24"/>
                  </w:rPr>
                </w:pPr>
                <w:r>
                  <w:rPr>
                    <w:b/>
                    <w:bCs/>
                    <w:iCs/>
                    <w:color w:val="000000"/>
                    <w:szCs w:val="24"/>
                  </w:rPr>
                  <w:t>Projektas</w:t>
                </w:r>
              </w:p>
              <w:p>
                <w:pPr>
                  <w:jc w:val="both"/>
                  <w:rPr>
                    <w:b/>
                    <w:bCs/>
                    <w:color w:val="000000"/>
                    <w:szCs w:val="24"/>
                  </w:rPr>
                </w:pPr>
              </w:p>
              <w:p>
                <w:pPr>
                  <w:jc w:val="both"/>
                  <w:rPr>
                    <w:b/>
                    <w:bCs/>
                    <w:color w:val="000000"/>
                    <w:szCs w:val="24"/>
                  </w:rPr>
                </w:pPr>
                <w:r>
                  <w:rPr>
                    <w:b/>
                    <w:bCs/>
                    <w:color w:val="000000"/>
                    <w:szCs w:val="24"/>
                  </w:rPr>
                  <w:t>13 straipsnis. Paslaugų teikėjų pareigos</w:t>
                </w:r>
              </w:p>
              <w:p>
                <w:pPr>
                  <w:jc w:val="both"/>
                  <w:rPr>
                    <w:b/>
                    <w:bCs/>
                    <w:color w:val="000000"/>
                    <w:szCs w:val="24"/>
                  </w:rPr>
                </w:pPr>
                <w:r>
                  <w:rPr>
                    <w:b/>
                    <w:bCs/>
                    <w:color w:val="000000"/>
                    <w:szCs w:val="24"/>
                  </w:rPr>
                  <w:t>&lt;</w:t>
                </w:r>
                <w:r>
                  <w:rPr>
                    <w:color w:val="000000"/>
                    <w:szCs w:val="24"/>
                  </w:rPr>
                  <w:t>...</w:t>
                </w:r>
                <w:r>
                  <w:rPr>
                    <w:b/>
                    <w:bCs/>
                    <w:color w:val="000000"/>
                    <w:szCs w:val="24"/>
                  </w:rPr>
                  <w:t>&gt;</w:t>
                </w:r>
              </w:p>
              <w:p>
                <w:pPr>
                  <w:jc w:val="both"/>
                  <w:rPr>
                    <w:bCs/>
                    <w:color w:val="000000"/>
                    <w:szCs w:val="24"/>
                  </w:rPr>
                </w:pPr>
                <w:r>
                  <w:rPr>
                    <w:bCs/>
                    <w:color w:val="000000"/>
                    <w:szCs w:val="24"/>
                  </w:rPr>
                  <w:t>2. Paslaugos teikėjas bendrajame paslaugos teikimo sąlygų apraše arba lygiaverčiame dokumente turi pateikti informaciją kaip paslauga atitinka jai taikytinus prieinamumo reikalavimus. Pateikiamoje informacijoje aprašomi taikytini prieinamumo reikalavimai, ir, jeigu tai svarbu atliekant atitikties prieinamumo reikalavimams vertinimą, paslaugos projektas ir veikimas, taip pat paaiškinama, kaip paslauga atitinka taikytinus prieinamumo reikalavimus, kaip paslaugų teikimo procesu ir jo stebėsena užtikrinama paslaugos atitiktis jai taikytiniems prieinamumo reikalavimams. Šioje dalyje nurodyta informacija skelbiama viešai, pateikiama raštu ir žodžiu, taip pat ir asmenims su negalia prieinamu būdu. Paslaugos teikėjas šioje dalyje nurodytą informaciją saugo tol, kol paslauga teikiama. Šioje dalyje nurodyta informacija apima pagal Civilinį kodeksą ir (ar) kitus įstatymus vartotojams teikiamą informaciją ir, jei taikytina, šiuos elementus:</w:t>
                </w:r>
              </w:p>
              <w:p>
                <w:pPr>
                  <w:jc w:val="both"/>
                  <w:rPr>
                    <w:bCs/>
                    <w:color w:val="000000"/>
                    <w:szCs w:val="24"/>
                  </w:rPr>
                </w:pPr>
                <w:r>
                  <w:rPr>
                    <w:bCs/>
                    <w:color w:val="000000"/>
                    <w:szCs w:val="24"/>
                  </w:rPr>
                  <w:t>1) prieinamais formatais pateiktą bendrą paslaugos aprašą</w:t>
                </w:r>
              </w:p>
              <w:p>
                <w:pPr>
                  <w:jc w:val="both"/>
                  <w:rPr>
                    <w:bCs/>
                    <w:color w:val="000000"/>
                    <w:szCs w:val="24"/>
                  </w:rPr>
                </w:pPr>
                <w:r>
                  <w:rPr>
                    <w:bCs/>
                    <w:color w:val="000000"/>
                    <w:szCs w:val="24"/>
                  </w:rPr>
                  <w:t>2) paslaugos veikimui suprasti būtinus aprašymus ir paaiškinimus;</w:t>
                </w:r>
              </w:p>
              <w:p>
                <w:pPr>
                  <w:jc w:val="both"/>
                  <w:rPr>
                    <w:bCs/>
                    <w:color w:val="000000"/>
                    <w:szCs w:val="24"/>
                  </w:rPr>
                </w:pPr>
                <w:r>
                  <w:rPr>
                    <w:bCs/>
                    <w:color w:val="000000"/>
                    <w:szCs w:val="24"/>
                  </w:rPr>
                  <w:t>3) aprašymus, kaip paslauga atitinka jai taikytinus prieinamumo reikalavimus.</w:t>
                </w:r>
              </w:p>
              <w:p>
                <w:pPr>
                  <w:jc w:val="both"/>
                  <w:rPr>
                    <w:bCs/>
                    <w:color w:val="000000"/>
                    <w:szCs w:val="24"/>
                  </w:rPr>
                </w:pPr>
                <w:r>
                  <w:rPr>
                    <w:bCs/>
                    <w:color w:val="000000"/>
                    <w:szCs w:val="24"/>
                  </w:rPr>
                  <w:t>3. Siekdami laikytis šio straipsnio 2 dalies reikalavimų, paslaugų teikėjai gali visapusiškai arba iš dalies taikyti darniuosius standartus ir technines specifikacijas, kurių nuorodos paskelbtos ES oficialiajame leidinyje.</w:t>
                </w:r>
              </w:p>
              <w:p>
                <w:pPr>
                  <w:ind w:firstLine="708"/>
                  <w:jc w:val="both"/>
                  <w:rPr>
                    <w:b/>
                    <w:bCs/>
                    <w:color w:val="000000"/>
                    <w:szCs w:val="24"/>
                  </w:rPr>
                </w:pPr>
              </w:p>
              <w:p>
                <w:pPr>
                  <w:jc w:val="both"/>
                  <w:rPr>
                    <w:b/>
                    <w:bCs/>
                    <w:color w:val="000000"/>
                    <w:szCs w:val="24"/>
                  </w:rPr>
                </w:pPr>
              </w:p>
            </w:tc>
            <w:tc>
              <w:tcPr>
                <w:tcW w:w="1858" w:type="dxa"/>
                <w:shd w:val="clear" w:color="auto" w:fill="FFFFFF" w:themeFill="background1"/>
              </w:tcPr>
              <w:p>
                <w:pPr>
                  <w:jc w:val="both"/>
                  <w:rPr>
                    <w:b/>
                    <w:bCs/>
                    <w:color w:val="000000"/>
                    <w:szCs w:val="24"/>
                  </w:rPr>
                </w:pPr>
                <w:r>
                  <w:rPr>
                    <w:b/>
                    <w:bCs/>
                    <w:color w:val="000000"/>
                    <w:szCs w:val="24"/>
                  </w:rPr>
                  <w:t>Visiškas</w:t>
                </w:r>
              </w:p>
            </w:tc>
          </w:tr>
          <w:tr>
            <w:trPr>
              <w:trHeight w:val="277"/>
            </w:trPr>
            <w:tc>
              <w:tcPr>
                <w:tcW w:w="5264" w:type="dxa"/>
              </w:tcPr>
              <w:p>
                <w:pPr>
                  <w:jc w:val="both"/>
                  <w:rPr>
                    <w:color w:val="000000"/>
                    <w:szCs w:val="24"/>
                  </w:rPr>
                </w:pPr>
                <w:r>
                  <w:rPr>
                    <w:color w:val="000000"/>
                    <w:szCs w:val="24"/>
                  </w:rPr>
                  <w:t>VI PRIEDAS</w:t>
                </w:r>
              </w:p>
              <w:p>
                <w:pPr>
                  <w:jc w:val="both"/>
                  <w:rPr>
                    <w:color w:val="000000"/>
                    <w:szCs w:val="24"/>
                  </w:rPr>
                </w:pPr>
                <w:r>
                  <w:rPr>
                    <w:color w:val="000000"/>
                    <w:szCs w:val="24"/>
                  </w:rPr>
                  <w:t>KRITERIJAI NEPROPORCINGOS NAŠTOS VERTINIMUI</w:t>
                </w:r>
              </w:p>
              <w:p>
                <w:pPr>
                  <w:jc w:val="both"/>
                  <w:rPr>
                    <w:color w:val="000000"/>
                    <w:szCs w:val="24"/>
                  </w:rPr>
                </w:pPr>
              </w:p>
              <w:p>
                <w:pPr>
                  <w:jc w:val="both"/>
                  <w:rPr>
                    <w:color w:val="000000"/>
                    <w:szCs w:val="24"/>
                  </w:rPr>
                </w:pPr>
                <w:r>
                  <w:rPr>
                    <w:color w:val="000000"/>
                    <w:szCs w:val="24"/>
                  </w:rPr>
                  <w:t>Atliekant vertinimą ir rengiant jo dokumentus taikytini kriterijai</w:t>
                </w:r>
              </w:p>
              <w:p>
                <w:pPr>
                  <w:jc w:val="both"/>
                  <w:rPr>
                    <w:color w:val="000000"/>
                    <w:szCs w:val="24"/>
                  </w:rPr>
                </w:pPr>
                <w:r>
                  <w:rPr>
                    <w:color w:val="000000"/>
                    <w:szCs w:val="24"/>
                  </w:rPr>
                  <w:t>1.Prieinamumo reikalavimų laikymosi grynųjų išlaidų santykis su ekonominės veiklos vykdytojų patiriamomis gaminio gamybos, platinimo ar importavimo arba paslaugos teikimo bendromis išlaidomis (veiklos ir kapitalo išlaidomis).</w:t>
                </w:r>
              </w:p>
              <w:p>
                <w:pPr>
                  <w:jc w:val="both"/>
                  <w:rPr>
                    <w:color w:val="000000"/>
                    <w:szCs w:val="24"/>
                  </w:rPr>
                </w:pPr>
                <w:r>
                  <w:rPr>
                    <w:color w:val="000000"/>
                    <w:szCs w:val="24"/>
                  </w:rPr>
                  <w:t>Elementai, naudojami vertinant prieinamumo reikalavimų laikymosi grynąsias išlaidas:</w:t>
                </w:r>
              </w:p>
              <w:p>
                <w:pPr>
                  <w:jc w:val="both"/>
                  <w:rPr>
                    <w:color w:val="000000"/>
                    <w:szCs w:val="24"/>
                  </w:rPr>
                </w:pPr>
                <w:r>
                  <w:rPr>
                    <w:color w:val="000000"/>
                    <w:szCs w:val="24"/>
                  </w:rPr>
                  <w:t>a) kriterijai, susiję su vienkartinėmis organizacinėmis išlaidomis, į kurias turi būti atsižvelgta atliekant vertinimą:</w:t>
                </w:r>
              </w:p>
              <w:p>
                <w:pPr>
                  <w:jc w:val="both"/>
                  <w:rPr>
                    <w:color w:val="000000"/>
                    <w:szCs w:val="24"/>
                  </w:rPr>
                </w:pPr>
                <w:r>
                  <w:rPr>
                    <w:color w:val="000000"/>
                    <w:szCs w:val="24"/>
                  </w:rPr>
                  <w:t>i)išlaidos, susijusios su papildomais žmogiškaisiais ištekliais, turinčiais ekspertinių žinių prieinamumo srityje;</w:t>
                </w:r>
              </w:p>
              <w:p>
                <w:pPr>
                  <w:jc w:val="both"/>
                  <w:rPr>
                    <w:color w:val="000000"/>
                    <w:szCs w:val="24"/>
                  </w:rPr>
                </w:pPr>
                <w:r>
                  <w:rPr>
                    <w:color w:val="000000"/>
                    <w:szCs w:val="24"/>
                  </w:rPr>
                  <w:t>ii) išlaidos, susijusios su žmogiškųjų išteklių mokymu ir kompetencijų prieinamumo srityje įgijimu;</w:t>
                </w:r>
              </w:p>
              <w:p>
                <w:pPr>
                  <w:jc w:val="both"/>
                  <w:rPr>
                    <w:color w:val="000000"/>
                    <w:szCs w:val="24"/>
                  </w:rPr>
                </w:pPr>
                <w:r>
                  <w:rPr>
                    <w:color w:val="000000"/>
                    <w:szCs w:val="24"/>
                  </w:rPr>
                  <w:t>iii) naujo proceso, kad į gaminio kūrimo ar paslaugų teikimo veiklą būtų įtraukti prieinamumo reikalavimai, rengimo išlaidos;</w:t>
                </w:r>
              </w:p>
              <w:p>
                <w:pPr>
                  <w:jc w:val="both"/>
                  <w:rPr>
                    <w:color w:val="000000"/>
                    <w:szCs w:val="24"/>
                  </w:rPr>
                </w:pPr>
                <w:r>
                  <w:rPr>
                    <w:color w:val="000000"/>
                    <w:szCs w:val="24"/>
                  </w:rPr>
                  <w:t>iv) išlaidos, susijusios su gairių dėl prieinamumo rengimu;</w:t>
                </w:r>
              </w:p>
              <w:p>
                <w:pPr>
                  <w:jc w:val="both"/>
                  <w:rPr>
                    <w:color w:val="000000"/>
                    <w:szCs w:val="24"/>
                  </w:rPr>
                </w:pPr>
                <w:r>
                  <w:rPr>
                    <w:color w:val="000000"/>
                    <w:szCs w:val="24"/>
                  </w:rPr>
                  <w:t>v) vienkartinės prieinamumo srities teisės aktų supratimui išlaidos;</w:t>
                </w:r>
              </w:p>
              <w:p>
                <w:pPr>
                  <w:jc w:val="both"/>
                  <w:rPr>
                    <w:color w:val="000000"/>
                    <w:szCs w:val="24"/>
                  </w:rPr>
                </w:pPr>
                <w:r>
                  <w:rPr>
                    <w:color w:val="000000"/>
                    <w:szCs w:val="24"/>
                  </w:rPr>
                  <w:t>b) kriterijai, susiję su einamosiomis gamybos ir plėtojimo išlaidomis, į kurias turi būti atsižvelgta atliekant vertinimą:</w:t>
                </w:r>
              </w:p>
              <w:p>
                <w:pPr>
                  <w:jc w:val="both"/>
                  <w:rPr>
                    <w:color w:val="000000"/>
                    <w:szCs w:val="24"/>
                  </w:rPr>
                </w:pPr>
                <w:r>
                  <w:rPr>
                    <w:color w:val="000000"/>
                    <w:szCs w:val="24"/>
                  </w:rPr>
                  <w:t>i) išlaidos, susijusios su gaminio arba paslaugos prieinamumo savybių projektavimu;</w:t>
                </w:r>
              </w:p>
              <w:p>
                <w:pPr>
                  <w:jc w:val="both"/>
                  <w:rPr>
                    <w:color w:val="000000"/>
                    <w:szCs w:val="24"/>
                  </w:rPr>
                </w:pPr>
                <w:r>
                  <w:rPr>
                    <w:color w:val="000000"/>
                    <w:szCs w:val="24"/>
                  </w:rPr>
                  <w:t>ii) išlaidos, patiriamos gamybos procesų metu;</w:t>
                </w:r>
              </w:p>
              <w:p>
                <w:pPr>
                  <w:jc w:val="both"/>
                  <w:rPr>
                    <w:color w:val="000000"/>
                    <w:szCs w:val="24"/>
                  </w:rPr>
                </w:pPr>
                <w:r>
                  <w:rPr>
                    <w:color w:val="000000"/>
                    <w:szCs w:val="24"/>
                  </w:rPr>
                  <w:t>iii) išlaidos, susijusios su gaminio arba paslaugos prieinamumo bandymu;</w:t>
                </w:r>
              </w:p>
              <w:p>
                <w:pPr>
                  <w:jc w:val="both"/>
                  <w:rPr>
                    <w:color w:val="000000"/>
                    <w:szCs w:val="24"/>
                  </w:rPr>
                </w:pPr>
                <w:r>
                  <w:rPr>
                    <w:color w:val="000000"/>
                    <w:szCs w:val="24"/>
                  </w:rPr>
                  <w:t>iv) išlaidos, susijusios su dokumentų rengimu.</w:t>
                </w:r>
              </w:p>
              <w:p>
                <w:pPr>
                  <w:jc w:val="both"/>
                  <w:rPr>
                    <w:color w:val="000000"/>
                    <w:szCs w:val="24"/>
                  </w:rPr>
                </w:pPr>
                <w:r>
                  <w:rPr>
                    <w:color w:val="000000"/>
                    <w:szCs w:val="24"/>
                  </w:rPr>
                  <w:t>2. Numatomos ekonominės veiklos vykdytojų išlaidos ir gaunama nauda, įskaitant gamybos procesus ir investicijas, palyginti su numatoma nauda neįgaliesiems, atsižvelgiant į konkretaus gaminio ar paslaugos naudojimo atvejų kiekį ir dažnumą.</w:t>
                </w:r>
              </w:p>
              <w:p>
                <w:pPr>
                  <w:jc w:val="both"/>
                  <w:rPr>
                    <w:color w:val="000000"/>
                    <w:szCs w:val="24"/>
                  </w:rPr>
                </w:pPr>
                <w:r>
                  <w:rPr>
                    <w:color w:val="000000"/>
                    <w:szCs w:val="24"/>
                  </w:rPr>
                  <w:t>3.Prieinamumo reikalavimų laikymosi grynųjų išlaidų santykis su ekonominės veiklos vykdytojo grynąja apyvarta.</w:t>
                </w:r>
              </w:p>
              <w:p>
                <w:pPr>
                  <w:jc w:val="both"/>
                  <w:rPr>
                    <w:color w:val="000000"/>
                    <w:szCs w:val="24"/>
                  </w:rPr>
                </w:pPr>
                <w:r>
                  <w:rPr>
                    <w:color w:val="000000"/>
                    <w:szCs w:val="24"/>
                  </w:rPr>
                  <w:t>Elementai, naudojami vertinant prieinamumo reikalavimų laikymosi grynąsias išlaidas:</w:t>
                </w:r>
              </w:p>
              <w:p>
                <w:pPr>
                  <w:jc w:val="both"/>
                  <w:rPr>
                    <w:color w:val="000000"/>
                    <w:szCs w:val="24"/>
                  </w:rPr>
                </w:pPr>
                <w:r>
                  <w:rPr>
                    <w:color w:val="000000"/>
                    <w:szCs w:val="24"/>
                  </w:rPr>
                  <w:t>a) kriterijai, susiję su vienkartinėmis organizacinėmis išlaidomis, į kurias turi būti atsižvelgta atliekant vertinimą:</w:t>
                </w:r>
              </w:p>
              <w:p>
                <w:pPr>
                  <w:jc w:val="both"/>
                  <w:rPr>
                    <w:color w:val="000000"/>
                    <w:szCs w:val="24"/>
                  </w:rPr>
                </w:pPr>
                <w:r>
                  <w:rPr>
                    <w:color w:val="000000"/>
                    <w:szCs w:val="24"/>
                  </w:rPr>
                  <w:t>i) išlaidos, susijusios su papildomais žmogiškaisiais ištekliais, turinčiais ekspertinių žinių prieinamumo srityje;</w:t>
                </w:r>
              </w:p>
              <w:p>
                <w:pPr>
                  <w:jc w:val="both"/>
                  <w:rPr>
                    <w:color w:val="000000"/>
                    <w:szCs w:val="24"/>
                  </w:rPr>
                </w:pPr>
                <w:r>
                  <w:rPr>
                    <w:color w:val="000000"/>
                    <w:szCs w:val="24"/>
                  </w:rPr>
                  <w:t>ii) išlaidos, susijusios su žmogiškųjų išteklių mokymu ir kompetencijų prieinamumo srityje įgijimu;</w:t>
                </w:r>
              </w:p>
              <w:p>
                <w:pPr>
                  <w:jc w:val="both"/>
                  <w:rPr>
                    <w:color w:val="000000"/>
                    <w:szCs w:val="24"/>
                  </w:rPr>
                </w:pPr>
                <w:r>
                  <w:rPr>
                    <w:color w:val="000000"/>
                    <w:szCs w:val="24"/>
                  </w:rPr>
                  <w:t>iii) naujo proceso, kad į gaminio kūrimo ar paslaugų teikimo veiklą būtų įtraukti prieinamumo reikalavimai, rengimo išlaidos;</w:t>
                </w:r>
              </w:p>
              <w:p>
                <w:pPr>
                  <w:jc w:val="both"/>
                  <w:rPr>
                    <w:color w:val="000000"/>
                    <w:szCs w:val="24"/>
                  </w:rPr>
                </w:pPr>
                <w:r>
                  <w:rPr>
                    <w:color w:val="000000"/>
                    <w:szCs w:val="24"/>
                  </w:rPr>
                  <w:t>iv) išlaidos, susijusios su gairių dėl prieinamumo rengimu;</w:t>
                </w:r>
              </w:p>
              <w:p>
                <w:pPr>
                  <w:jc w:val="both"/>
                  <w:rPr>
                    <w:color w:val="000000"/>
                    <w:szCs w:val="24"/>
                  </w:rPr>
                </w:pPr>
                <w:r>
                  <w:rPr>
                    <w:color w:val="000000"/>
                    <w:szCs w:val="24"/>
                  </w:rPr>
                  <w:t>v) vienkartinės prieinamumo srities teisės aktų supratimo išlaidos;</w:t>
                </w:r>
              </w:p>
              <w:p>
                <w:pPr>
                  <w:jc w:val="both"/>
                  <w:rPr>
                    <w:color w:val="000000"/>
                    <w:szCs w:val="24"/>
                  </w:rPr>
                </w:pPr>
                <w:r>
                  <w:rPr>
                    <w:color w:val="000000"/>
                    <w:szCs w:val="24"/>
                  </w:rPr>
                  <w:t>b) kriterijai, susiję su einamosiomis gamybos ir plėtojimo išlaidomis, į kurias turi būti atsižvelgta atliekant vertinimą:</w:t>
                </w:r>
              </w:p>
              <w:p>
                <w:pPr>
                  <w:jc w:val="both"/>
                  <w:rPr>
                    <w:color w:val="000000"/>
                    <w:szCs w:val="24"/>
                  </w:rPr>
                </w:pPr>
                <w:r>
                  <w:rPr>
                    <w:color w:val="000000"/>
                    <w:szCs w:val="24"/>
                  </w:rPr>
                  <w:t>i) išlaidos, susijusios su gaminio arba paslaugos prieinamumo savybių projektavimu;</w:t>
                </w:r>
              </w:p>
              <w:p>
                <w:pPr>
                  <w:jc w:val="both"/>
                  <w:rPr>
                    <w:color w:val="000000"/>
                    <w:szCs w:val="24"/>
                  </w:rPr>
                </w:pPr>
                <w:r>
                  <w:rPr>
                    <w:color w:val="000000"/>
                    <w:szCs w:val="24"/>
                  </w:rPr>
                  <w:t>ii) išlaidos, patiriamos gamybos procesų metu;</w:t>
                </w:r>
              </w:p>
              <w:p>
                <w:pPr>
                  <w:jc w:val="both"/>
                  <w:rPr>
                    <w:color w:val="000000"/>
                    <w:szCs w:val="24"/>
                  </w:rPr>
                </w:pPr>
                <w:r>
                  <w:rPr>
                    <w:color w:val="000000"/>
                    <w:szCs w:val="24"/>
                  </w:rPr>
                  <w:t>iii) išlaidos, susijusios su gaminio arba paslaugos prieinamumo bandymu;</w:t>
                </w:r>
              </w:p>
              <w:p>
                <w:pPr>
                  <w:jc w:val="both"/>
                  <w:rPr>
                    <w:color w:val="000000"/>
                    <w:szCs w:val="24"/>
                  </w:rPr>
                </w:pPr>
                <w:r>
                  <w:rPr>
                    <w:color w:val="000000"/>
                    <w:szCs w:val="24"/>
                  </w:rPr>
                  <w:t>iv) išlaidos, susijusios su dokumentų rengimu.</w:t>
                </w:r>
              </w:p>
            </w:tc>
            <w:tc>
              <w:tcPr>
                <w:tcW w:w="7868" w:type="dxa"/>
              </w:tcPr>
              <w:p>
                <w:pPr>
                  <w:widowControl w:val="0"/>
                  <w:spacing w:line="360" w:lineRule="auto"/>
                  <w:ind w:firstLine="720"/>
                  <w:jc w:val="right"/>
                  <w:rPr>
                    <w:bCs/>
                    <w:szCs w:val="24"/>
                  </w:rPr>
                </w:pPr>
                <w:r>
                  <w:rPr>
                    <w:bCs/>
                    <w:szCs w:val="24"/>
                  </w:rPr>
                  <w:t>Lietuvos Respublikos</w:t>
                </w:r>
              </w:p>
              <w:p>
                <w:pPr>
                  <w:widowControl w:val="0"/>
                  <w:spacing w:line="360" w:lineRule="auto"/>
                  <w:ind w:firstLine="720"/>
                  <w:jc w:val="right"/>
                  <w:rPr>
                    <w:bCs/>
                    <w:szCs w:val="24"/>
                  </w:rPr>
                </w:pPr>
                <w:r>
                  <w:rPr>
                    <w:bCs/>
                    <w:szCs w:val="24"/>
                  </w:rPr>
                  <w:t>gaminių ir paslaugų prieinamumo reikalavimų įstatymo</w:t>
                </w:r>
              </w:p>
              <w:p>
                <w:pPr>
                  <w:widowControl w:val="0"/>
                  <w:spacing w:line="360" w:lineRule="auto"/>
                  <w:ind w:firstLine="720"/>
                  <w:jc w:val="right"/>
                  <w:rPr>
                    <w:bCs/>
                    <w:szCs w:val="24"/>
                  </w:rPr>
                </w:pPr>
                <w:r>
                  <w:rPr>
                    <w:bCs/>
                    <w:szCs w:val="24"/>
                  </w:rPr>
                  <w:t>2 priedas</w:t>
                </w:r>
              </w:p>
              <w:p>
                <w:pPr>
                  <w:widowControl w:val="0"/>
                  <w:spacing w:line="360" w:lineRule="auto"/>
                  <w:ind w:firstLine="720"/>
                  <w:jc w:val="right"/>
                  <w:rPr>
                    <w:b/>
                    <w:bCs/>
                    <w:szCs w:val="24"/>
                  </w:rPr>
                </w:pPr>
              </w:p>
              <w:p>
                <w:pPr>
                  <w:widowControl w:val="0"/>
                  <w:spacing w:line="360" w:lineRule="auto"/>
                  <w:ind w:firstLine="720"/>
                  <w:jc w:val="center"/>
                  <w:rPr>
                    <w:b/>
                    <w:bCs/>
                    <w:szCs w:val="24"/>
                  </w:rPr>
                </w:pPr>
                <w:r>
                  <w:rPr>
                    <w:b/>
                    <w:bCs/>
                    <w:szCs w:val="24"/>
                  </w:rPr>
                  <w:t>NEPROPORCINGOS NAŠTOS VERTINIMO KRITERIJAI</w:t>
                </w:r>
              </w:p>
              <w:p>
                <w:pPr>
                  <w:jc w:val="both"/>
                  <w:rPr>
                    <w:iCs/>
                    <w:color w:val="000000"/>
                    <w:szCs w:val="24"/>
                  </w:rPr>
                </w:pPr>
                <w:r>
                  <w:rPr>
                    <w:iCs/>
                    <w:color w:val="000000"/>
                    <w:szCs w:val="24"/>
                  </w:rPr>
                  <w:t>Atliekant gaminių ir (ar) paslaugų prieinamumo reikalavimų vertinimą ir rengiant šio vertinimo dokumentus taikytini tokie kriterijai:</w:t>
                </w:r>
              </w:p>
              <w:p>
                <w:pPr>
                  <w:jc w:val="both"/>
                  <w:rPr>
                    <w:iCs/>
                    <w:color w:val="000000"/>
                    <w:szCs w:val="24"/>
                  </w:rPr>
                </w:pPr>
                <w:r>
                  <w:rPr>
                    <w:iCs/>
                    <w:color w:val="000000"/>
                    <w:szCs w:val="24"/>
                  </w:rPr>
                  <w:t>1. Prieinamumo reikalavimų laikymosi grynųjų išlaidų santykis su ekonominės veiklos vykdytojų patiriamomis gaminio gamybos, platinimo ar importavimo arba paslaugos teikimo bendromis išlaidomis (veiklos ir kapitalo išlaidomis). Elementai, naudojami vertinant prieinamumo reikalavimų laikymosi grynąsias išlaidas:</w:t>
                </w:r>
              </w:p>
              <w:p>
                <w:pPr>
                  <w:jc w:val="both"/>
                  <w:rPr>
                    <w:iCs/>
                    <w:color w:val="000000"/>
                    <w:szCs w:val="24"/>
                  </w:rPr>
                </w:pPr>
                <w:r>
                  <w:rPr>
                    <w:iCs/>
                    <w:color w:val="000000"/>
                    <w:szCs w:val="24"/>
                  </w:rPr>
                  <w:t>1.1. kriterijai, susiję su vienkartinėmis organizacinėmis išlaidomis, į kurias turi būti atsižvelgta atliekant vertinimą:</w:t>
                </w:r>
              </w:p>
              <w:p>
                <w:pPr>
                  <w:jc w:val="both"/>
                  <w:rPr>
                    <w:iCs/>
                    <w:color w:val="000000"/>
                    <w:szCs w:val="24"/>
                  </w:rPr>
                </w:pPr>
                <w:r>
                  <w:rPr>
                    <w:iCs/>
                    <w:color w:val="000000"/>
                    <w:szCs w:val="24"/>
                  </w:rPr>
                  <w:t>1.1.1. išlaidos, susijusios su papildomais žmogiškaisiais ištekliais, turinčiais ekspertinių žinių prieinamumo srityje;</w:t>
                </w:r>
              </w:p>
              <w:p>
                <w:pPr>
                  <w:jc w:val="both"/>
                  <w:rPr>
                    <w:iCs/>
                    <w:color w:val="000000"/>
                    <w:szCs w:val="24"/>
                  </w:rPr>
                </w:pPr>
                <w:r>
                  <w:rPr>
                    <w:iCs/>
                    <w:color w:val="000000"/>
                    <w:szCs w:val="24"/>
                  </w:rPr>
                  <w:t>1.1.2. išlaidos, susijusios su žmogiškųjų išteklių mokymu ir kompetencijų prieinamumo srityje įgijimu;</w:t>
                </w:r>
              </w:p>
              <w:p>
                <w:pPr>
                  <w:jc w:val="both"/>
                  <w:rPr>
                    <w:iCs/>
                    <w:color w:val="000000"/>
                    <w:szCs w:val="24"/>
                  </w:rPr>
                </w:pPr>
                <w:r>
                  <w:rPr>
                    <w:iCs/>
                    <w:color w:val="000000"/>
                    <w:szCs w:val="24"/>
                  </w:rPr>
                  <w:t>1.1.3. naujo proceso, kad į gaminio kūrimo ar paslaugų teikimo veiklą būtų įtraukti prieinamumo reikalavimai, rengimo išlaidos;</w:t>
                </w:r>
              </w:p>
              <w:p>
                <w:pPr>
                  <w:jc w:val="both"/>
                  <w:rPr>
                    <w:iCs/>
                    <w:color w:val="000000"/>
                    <w:szCs w:val="24"/>
                  </w:rPr>
                </w:pPr>
                <w:r>
                  <w:rPr>
                    <w:iCs/>
                    <w:color w:val="000000"/>
                    <w:szCs w:val="24"/>
                  </w:rPr>
                  <w:t xml:space="preserve">1.1.4. išlaidos, susijusios su  prieinamumo gairių rengimu;</w:t>
                </w:r>
              </w:p>
              <w:p>
                <w:pPr>
                  <w:jc w:val="both"/>
                  <w:rPr>
                    <w:iCs/>
                    <w:color w:val="000000"/>
                    <w:szCs w:val="24"/>
                  </w:rPr>
                </w:pPr>
                <w:r>
                  <w:rPr>
                    <w:iCs/>
                    <w:color w:val="000000"/>
                    <w:szCs w:val="24"/>
                  </w:rPr>
                  <w:t>1.1.5. vienkartinės prieinamumo srities teisės aktų supratimui išlaidos;</w:t>
                </w:r>
              </w:p>
              <w:p>
                <w:pPr>
                  <w:jc w:val="both"/>
                  <w:rPr>
                    <w:iCs/>
                    <w:color w:val="000000"/>
                    <w:szCs w:val="24"/>
                  </w:rPr>
                </w:pPr>
                <w:r>
                  <w:rPr>
                    <w:iCs/>
                    <w:color w:val="000000"/>
                    <w:szCs w:val="24"/>
                  </w:rPr>
                  <w:t>1.2. kriterijai, susiję su einamosiomis gamybos ir plėtojimo išlaidomis, į kurias turi būti atsižvelgta atliekant vertinimą:</w:t>
                </w:r>
              </w:p>
              <w:p>
                <w:pPr>
                  <w:jc w:val="both"/>
                  <w:rPr>
                    <w:iCs/>
                    <w:color w:val="000000"/>
                    <w:szCs w:val="24"/>
                  </w:rPr>
                </w:pPr>
                <w:r>
                  <w:rPr>
                    <w:iCs/>
                    <w:color w:val="000000"/>
                    <w:szCs w:val="24"/>
                  </w:rPr>
                  <w:t>1.2.1. išlaidos, susijusios su gaminio ar paslaugos prieinamumo savybių projektavimu;</w:t>
                </w:r>
              </w:p>
              <w:p>
                <w:pPr>
                  <w:jc w:val="both"/>
                  <w:rPr>
                    <w:iCs/>
                    <w:color w:val="000000"/>
                    <w:szCs w:val="24"/>
                  </w:rPr>
                </w:pPr>
                <w:r>
                  <w:rPr>
                    <w:iCs/>
                    <w:color w:val="000000"/>
                    <w:szCs w:val="24"/>
                  </w:rPr>
                  <w:t>1.2.2. išlaidos, patiriamos gamybos procesų metu;</w:t>
                </w:r>
              </w:p>
              <w:p>
                <w:pPr>
                  <w:jc w:val="both"/>
                  <w:rPr>
                    <w:iCs/>
                    <w:color w:val="000000"/>
                    <w:szCs w:val="24"/>
                  </w:rPr>
                </w:pPr>
                <w:r>
                  <w:rPr>
                    <w:iCs/>
                    <w:color w:val="000000"/>
                    <w:szCs w:val="24"/>
                  </w:rPr>
                  <w:t>1.2.3. išlaidos, susijusios su gaminio arba paslaugos prieinamumo bandymu;</w:t>
                </w:r>
              </w:p>
              <w:p>
                <w:pPr>
                  <w:jc w:val="both"/>
                  <w:rPr>
                    <w:iCs/>
                    <w:color w:val="000000"/>
                    <w:szCs w:val="24"/>
                  </w:rPr>
                </w:pPr>
                <w:r>
                  <w:rPr>
                    <w:iCs/>
                    <w:color w:val="000000"/>
                    <w:szCs w:val="24"/>
                  </w:rPr>
                  <w:t>1.2.4. išlaidos, susijusios su dokumentų rengimu.</w:t>
                </w:r>
              </w:p>
              <w:p>
                <w:pPr>
                  <w:jc w:val="both"/>
                  <w:rPr>
                    <w:iCs/>
                    <w:color w:val="000000"/>
                    <w:szCs w:val="24"/>
                  </w:rPr>
                </w:pPr>
                <w:r>
                  <w:rPr>
                    <w:iCs/>
                    <w:color w:val="000000"/>
                    <w:szCs w:val="24"/>
                  </w:rPr>
                  <w:t>2. Numatomos ekonominės veiklos vykdytojų išlaidos ir gaunama nauda, įskaitant gamybos procesus ir investicijas, palyginti su numatoma nauda asmenims su negalia, atsižvelgiant į konkretaus gaminio ar paslaugos naudojimo atvejų kiekį ir dažnumą.</w:t>
                </w:r>
              </w:p>
              <w:p>
                <w:pPr>
                  <w:jc w:val="both"/>
                  <w:rPr>
                    <w:iCs/>
                    <w:color w:val="000000"/>
                    <w:szCs w:val="24"/>
                  </w:rPr>
                </w:pPr>
                <w:r>
                  <w:rPr>
                    <w:iCs/>
                    <w:color w:val="000000"/>
                    <w:szCs w:val="24"/>
                  </w:rPr>
                  <w:t>3. Prieinamumo reikalavimų laikymosi grynųjų išlaidų santykis su ekonominės veiklos vykdytojo grynąja apyvarta. Elementai, naudojami vertinant prieinamumo reikalavimų laikymosi grynąsias išlaidas:</w:t>
                </w:r>
              </w:p>
              <w:p>
                <w:pPr>
                  <w:jc w:val="both"/>
                  <w:rPr>
                    <w:iCs/>
                    <w:color w:val="000000"/>
                    <w:szCs w:val="24"/>
                  </w:rPr>
                </w:pPr>
                <w:r>
                  <w:rPr>
                    <w:iCs/>
                    <w:color w:val="000000"/>
                    <w:szCs w:val="24"/>
                  </w:rPr>
                  <w:t>3.1. kriterijai, susiję su vienkartinėmis organizacinėmis išlaidomis, į kurias turi būti atsižvelgta atliekant vertinimą:</w:t>
                </w:r>
              </w:p>
              <w:p>
                <w:pPr>
                  <w:jc w:val="both"/>
                  <w:rPr>
                    <w:iCs/>
                    <w:color w:val="000000"/>
                    <w:szCs w:val="24"/>
                  </w:rPr>
                </w:pPr>
                <w:r>
                  <w:rPr>
                    <w:iCs/>
                    <w:color w:val="000000"/>
                    <w:szCs w:val="24"/>
                  </w:rPr>
                  <w:t>3.1.1. išlaidos, susijusios su papildomais žmogiškaisiais ištekliais, turinčiais ekspertinių žinių prieinamumo srityje;</w:t>
                </w:r>
              </w:p>
              <w:p>
                <w:pPr>
                  <w:jc w:val="both"/>
                  <w:rPr>
                    <w:iCs/>
                    <w:color w:val="000000"/>
                    <w:szCs w:val="24"/>
                  </w:rPr>
                </w:pPr>
                <w:r>
                  <w:rPr>
                    <w:iCs/>
                    <w:color w:val="000000"/>
                    <w:szCs w:val="24"/>
                  </w:rPr>
                  <w:t>3.1.2. išlaidos, susijusios su žmogiškųjų išteklių mokymu ir kompetencijų prieinamumo srityje įgijimu;</w:t>
                </w:r>
              </w:p>
              <w:p>
                <w:pPr>
                  <w:jc w:val="both"/>
                  <w:rPr>
                    <w:iCs/>
                    <w:color w:val="000000"/>
                    <w:szCs w:val="24"/>
                  </w:rPr>
                </w:pPr>
                <w:r>
                  <w:rPr>
                    <w:iCs/>
                    <w:color w:val="000000"/>
                    <w:szCs w:val="24"/>
                  </w:rPr>
                  <w:t>3.1.3. naujo proceso, kad į gaminio kūrimo ar paslaugų teikimo veiklą būtų įtraukti prieinamumo reikalavimai, rengimo išlaidos;</w:t>
                </w:r>
              </w:p>
              <w:p>
                <w:pPr>
                  <w:jc w:val="both"/>
                  <w:rPr>
                    <w:iCs/>
                    <w:color w:val="000000"/>
                    <w:szCs w:val="24"/>
                  </w:rPr>
                </w:pPr>
                <w:r>
                  <w:rPr>
                    <w:iCs/>
                    <w:color w:val="000000"/>
                    <w:szCs w:val="24"/>
                  </w:rPr>
                  <w:t xml:space="preserve">3.1.4. išlaidos, susijusios su  prieinamumo gairių rengimu;</w:t>
                </w:r>
              </w:p>
              <w:p>
                <w:pPr>
                  <w:jc w:val="both"/>
                  <w:rPr>
                    <w:iCs/>
                    <w:color w:val="000000"/>
                    <w:szCs w:val="24"/>
                  </w:rPr>
                </w:pPr>
                <w:r>
                  <w:rPr>
                    <w:iCs/>
                    <w:color w:val="000000"/>
                    <w:szCs w:val="24"/>
                  </w:rPr>
                  <w:t>3.1.5. vienkartinės prieinamumo srities teisės aktų supratimo išlaidos;</w:t>
                </w:r>
              </w:p>
              <w:p>
                <w:pPr>
                  <w:jc w:val="both"/>
                  <w:rPr>
                    <w:iCs/>
                    <w:color w:val="000000"/>
                    <w:szCs w:val="24"/>
                  </w:rPr>
                </w:pPr>
                <w:r>
                  <w:rPr>
                    <w:iCs/>
                    <w:color w:val="000000"/>
                    <w:szCs w:val="24"/>
                  </w:rPr>
                  <w:t>3.2. kriterijai, susiję su einamosiomis gamybos ir plėtojimo išlaidomis, į kurias turi būti atsižvelgta atliekant vertinimą:</w:t>
                </w:r>
              </w:p>
              <w:p>
                <w:pPr>
                  <w:jc w:val="both"/>
                  <w:rPr>
                    <w:iCs/>
                    <w:color w:val="000000"/>
                    <w:szCs w:val="24"/>
                  </w:rPr>
                </w:pPr>
                <w:r>
                  <w:rPr>
                    <w:iCs/>
                    <w:color w:val="000000"/>
                    <w:szCs w:val="24"/>
                  </w:rPr>
                  <w:t>3.2.1. išlaidos, susijusios su gaminio ar paslaugos prieinamumo savybių projektavimu;</w:t>
                </w:r>
              </w:p>
              <w:p>
                <w:pPr>
                  <w:jc w:val="both"/>
                  <w:rPr>
                    <w:iCs/>
                    <w:color w:val="000000"/>
                    <w:szCs w:val="24"/>
                  </w:rPr>
                </w:pPr>
                <w:r>
                  <w:rPr>
                    <w:iCs/>
                    <w:color w:val="000000"/>
                    <w:szCs w:val="24"/>
                  </w:rPr>
                  <w:t>3.2.2. išlaidos, patiriamos gamybos procesų metu;</w:t>
                </w:r>
              </w:p>
              <w:p>
                <w:pPr>
                  <w:jc w:val="both"/>
                  <w:rPr>
                    <w:iCs/>
                    <w:color w:val="000000"/>
                    <w:szCs w:val="24"/>
                  </w:rPr>
                </w:pPr>
                <w:r>
                  <w:rPr>
                    <w:iCs/>
                    <w:color w:val="000000"/>
                    <w:szCs w:val="24"/>
                  </w:rPr>
                  <w:t>3.2.3. išlaidos, susijusios su gaminio ar paslaugos prieinamumo bandymu;</w:t>
                </w:r>
              </w:p>
              <w:p>
                <w:pPr>
                  <w:jc w:val="both"/>
                  <w:rPr>
                    <w:iCs/>
                    <w:color w:val="000000"/>
                    <w:szCs w:val="24"/>
                  </w:rPr>
                </w:pPr>
                <w:r>
                  <w:rPr>
                    <w:iCs/>
                    <w:color w:val="000000"/>
                    <w:szCs w:val="24"/>
                  </w:rPr>
                  <w:t>3.2.4. išlaidos, susijusios su dokumentų rengimu.</w:t>
                </w:r>
              </w:p>
              <w:p>
                <w:pPr>
                  <w:jc w:val="both"/>
                  <w:rPr>
                    <w:b/>
                    <w:bCs/>
                    <w:iCs/>
                    <w:color w:val="000000"/>
                    <w:szCs w:val="24"/>
                  </w:rPr>
                </w:pPr>
              </w:p>
            </w:tc>
            <w:tc>
              <w:tcPr>
                <w:tcW w:w="1858" w:type="dxa"/>
              </w:tcPr>
              <w:p>
                <w:pPr>
                  <w:jc w:val="both"/>
                  <w:rPr>
                    <w:b/>
                    <w:bCs/>
                    <w:color w:val="000000"/>
                    <w:szCs w:val="24"/>
                  </w:rPr>
                </w:pPr>
                <w:r>
                  <w:rPr>
                    <w:b/>
                    <w:bCs/>
                    <w:color w:val="000000"/>
                    <w:szCs w:val="24"/>
                  </w:rPr>
                  <w:t>Visiškas</w:t>
                </w:r>
              </w:p>
            </w:tc>
          </w:tr>
        </w:tbl>
        <w:p/>
      </w:sdtContent>
    </w:sdt>
    <w:sdt>
      <w:sdtPr>
        <w:alias w:val="pastraipa"/>
        <w:tag w:val="part_d86a6605848e4b0189601f05c2ae7acc"/>
        <w:lock w:val="sdtLocked"/>
        <w:richText/>
      </w:sdtPr>
      <w:sdtContent>
        <w:p>
          <w:pPr>
            <w:jc w:val="center"/>
            <w:rPr>
              <w:bCs/>
              <w:szCs w:val="24"/>
            </w:rPr>
          </w:pPr>
          <w:r>
            <w:rPr>
              <w:bCs/>
              <w:szCs w:val="24"/>
            </w:rPr>
            <w:t>________________________</w:t>
          </w:r>
        </w:p>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20000287" w:usb1="00000000" w:usb2="00000000" w:usb3="00000000" w:csb0="0000019F" w:csb1="00000000"/>
  </w:font>
  <w:font w:name="Calibri">
    <w:panose1 w:val="020F05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7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210DCF-AECD-4416-914C-2D5BA89EC18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8875">
      <w:bodyDiv w:val="1"/>
      <w:marLeft w:val="0"/>
      <w:marRight w:val="0"/>
      <w:marTop w:val="0"/>
      <w:marBottom w:val="0"/>
      <w:divBdr>
        <w:top w:val="none" w:sz="0" w:space="0" w:color="auto"/>
        <w:left w:val="none" w:sz="0" w:space="0" w:color="auto"/>
        <w:bottom w:val="none" w:sz="0" w:space="0" w:color="auto"/>
        <w:right w:val="none" w:sz="0" w:space="0" w:color="auto"/>
      </w:divBdr>
    </w:div>
    <w:div w:id="6756187">
      <w:bodyDiv w:val="1"/>
      <w:marLeft w:val="0"/>
      <w:marRight w:val="0"/>
      <w:marTop w:val="0"/>
      <w:marBottom w:val="0"/>
      <w:divBdr>
        <w:top w:val="none" w:sz="0" w:space="0" w:color="auto"/>
        <w:left w:val="none" w:sz="0" w:space="0" w:color="auto"/>
        <w:bottom w:val="none" w:sz="0" w:space="0" w:color="auto"/>
        <w:right w:val="none" w:sz="0" w:space="0" w:color="auto"/>
      </w:divBdr>
      <w:divsChild>
        <w:div w:id="827592271">
          <w:marLeft w:val="0"/>
          <w:marRight w:val="0"/>
          <w:marTop w:val="0"/>
          <w:marBottom w:val="0"/>
          <w:divBdr>
            <w:top w:val="none" w:sz="0" w:space="0" w:color="auto"/>
            <w:left w:val="none" w:sz="0" w:space="0" w:color="auto"/>
            <w:bottom w:val="none" w:sz="0" w:space="0" w:color="auto"/>
            <w:right w:val="none" w:sz="0" w:space="0" w:color="auto"/>
          </w:divBdr>
        </w:div>
        <w:div w:id="1975869777">
          <w:marLeft w:val="0"/>
          <w:marRight w:val="0"/>
          <w:marTop w:val="0"/>
          <w:marBottom w:val="0"/>
          <w:divBdr>
            <w:top w:val="none" w:sz="0" w:space="0" w:color="auto"/>
            <w:left w:val="none" w:sz="0" w:space="0" w:color="auto"/>
            <w:bottom w:val="none" w:sz="0" w:space="0" w:color="auto"/>
            <w:right w:val="none" w:sz="0" w:space="0" w:color="auto"/>
          </w:divBdr>
        </w:div>
      </w:divsChild>
    </w:div>
    <w:div w:id="16349809">
      <w:bodyDiv w:val="1"/>
      <w:marLeft w:val="0"/>
      <w:marRight w:val="0"/>
      <w:marTop w:val="0"/>
      <w:marBottom w:val="0"/>
      <w:divBdr>
        <w:top w:val="none" w:sz="0" w:space="0" w:color="auto"/>
        <w:left w:val="none" w:sz="0" w:space="0" w:color="auto"/>
        <w:bottom w:val="none" w:sz="0" w:space="0" w:color="auto"/>
        <w:right w:val="none" w:sz="0" w:space="0" w:color="auto"/>
      </w:divBdr>
      <w:divsChild>
        <w:div w:id="1537699434">
          <w:marLeft w:val="0"/>
          <w:marRight w:val="0"/>
          <w:marTop w:val="0"/>
          <w:marBottom w:val="0"/>
          <w:divBdr>
            <w:top w:val="none" w:sz="0" w:space="0" w:color="auto"/>
            <w:left w:val="none" w:sz="0" w:space="0" w:color="auto"/>
            <w:bottom w:val="none" w:sz="0" w:space="0" w:color="auto"/>
            <w:right w:val="none" w:sz="0" w:space="0" w:color="auto"/>
          </w:divBdr>
          <w:divsChild>
            <w:div w:id="531770734">
              <w:marLeft w:val="0"/>
              <w:marRight w:val="0"/>
              <w:marTop w:val="0"/>
              <w:marBottom w:val="0"/>
              <w:divBdr>
                <w:top w:val="none" w:sz="0" w:space="0" w:color="auto"/>
                <w:left w:val="none" w:sz="0" w:space="0" w:color="auto"/>
                <w:bottom w:val="none" w:sz="0" w:space="0" w:color="auto"/>
                <w:right w:val="none" w:sz="0" w:space="0" w:color="auto"/>
              </w:divBdr>
              <w:divsChild>
                <w:div w:id="584457045">
                  <w:marLeft w:val="0"/>
                  <w:marRight w:val="0"/>
                  <w:marTop w:val="0"/>
                  <w:marBottom w:val="0"/>
                  <w:divBdr>
                    <w:top w:val="none" w:sz="0" w:space="0" w:color="auto"/>
                    <w:left w:val="none" w:sz="0" w:space="0" w:color="auto"/>
                    <w:bottom w:val="none" w:sz="0" w:space="0" w:color="auto"/>
                    <w:right w:val="none" w:sz="0" w:space="0" w:color="auto"/>
                  </w:divBdr>
                  <w:divsChild>
                    <w:div w:id="973827548">
                      <w:marLeft w:val="0"/>
                      <w:marRight w:val="0"/>
                      <w:marTop w:val="0"/>
                      <w:marBottom w:val="0"/>
                      <w:divBdr>
                        <w:top w:val="none" w:sz="0" w:space="0" w:color="auto"/>
                        <w:left w:val="none" w:sz="0" w:space="0" w:color="auto"/>
                        <w:bottom w:val="none" w:sz="0" w:space="0" w:color="auto"/>
                        <w:right w:val="none" w:sz="0" w:space="0" w:color="auto"/>
                      </w:divBdr>
                    </w:div>
                    <w:div w:id="799810336">
                      <w:marLeft w:val="0"/>
                      <w:marRight w:val="0"/>
                      <w:marTop w:val="0"/>
                      <w:marBottom w:val="0"/>
                      <w:divBdr>
                        <w:top w:val="none" w:sz="0" w:space="0" w:color="auto"/>
                        <w:left w:val="none" w:sz="0" w:space="0" w:color="auto"/>
                        <w:bottom w:val="none" w:sz="0" w:space="0" w:color="auto"/>
                        <w:right w:val="none" w:sz="0" w:space="0" w:color="auto"/>
                      </w:divBdr>
                    </w:div>
                    <w:div w:id="256407409">
                      <w:marLeft w:val="0"/>
                      <w:marRight w:val="0"/>
                      <w:marTop w:val="0"/>
                      <w:marBottom w:val="0"/>
                      <w:divBdr>
                        <w:top w:val="none" w:sz="0" w:space="0" w:color="auto"/>
                        <w:left w:val="none" w:sz="0" w:space="0" w:color="auto"/>
                        <w:bottom w:val="none" w:sz="0" w:space="0" w:color="auto"/>
                        <w:right w:val="none" w:sz="0" w:space="0" w:color="auto"/>
                      </w:divBdr>
                    </w:div>
                    <w:div w:id="1561676765">
                      <w:marLeft w:val="0"/>
                      <w:marRight w:val="0"/>
                      <w:marTop w:val="0"/>
                      <w:marBottom w:val="0"/>
                      <w:divBdr>
                        <w:top w:val="none" w:sz="0" w:space="0" w:color="auto"/>
                        <w:left w:val="none" w:sz="0" w:space="0" w:color="auto"/>
                        <w:bottom w:val="none" w:sz="0" w:space="0" w:color="auto"/>
                        <w:right w:val="none" w:sz="0" w:space="0" w:color="auto"/>
                      </w:divBdr>
                    </w:div>
                    <w:div w:id="1777485313">
                      <w:marLeft w:val="0"/>
                      <w:marRight w:val="0"/>
                      <w:marTop w:val="0"/>
                      <w:marBottom w:val="0"/>
                      <w:divBdr>
                        <w:top w:val="none" w:sz="0" w:space="0" w:color="auto"/>
                        <w:left w:val="none" w:sz="0" w:space="0" w:color="auto"/>
                        <w:bottom w:val="none" w:sz="0" w:space="0" w:color="auto"/>
                        <w:right w:val="none" w:sz="0" w:space="0" w:color="auto"/>
                      </w:divBdr>
                    </w:div>
                    <w:div w:id="68826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0622">
      <w:bodyDiv w:val="1"/>
      <w:marLeft w:val="0"/>
      <w:marRight w:val="0"/>
      <w:marTop w:val="0"/>
      <w:marBottom w:val="0"/>
      <w:divBdr>
        <w:top w:val="none" w:sz="0" w:space="0" w:color="auto"/>
        <w:left w:val="none" w:sz="0" w:space="0" w:color="auto"/>
        <w:bottom w:val="none" w:sz="0" w:space="0" w:color="auto"/>
        <w:right w:val="none" w:sz="0" w:space="0" w:color="auto"/>
      </w:divBdr>
      <w:divsChild>
        <w:div w:id="1179546309">
          <w:marLeft w:val="0"/>
          <w:marRight w:val="0"/>
          <w:marTop w:val="0"/>
          <w:marBottom w:val="0"/>
          <w:divBdr>
            <w:top w:val="none" w:sz="0" w:space="0" w:color="auto"/>
            <w:left w:val="none" w:sz="0" w:space="0" w:color="auto"/>
            <w:bottom w:val="none" w:sz="0" w:space="0" w:color="auto"/>
            <w:right w:val="none" w:sz="0" w:space="0" w:color="auto"/>
          </w:divBdr>
        </w:div>
        <w:div w:id="134110233">
          <w:marLeft w:val="0"/>
          <w:marRight w:val="0"/>
          <w:marTop w:val="0"/>
          <w:marBottom w:val="0"/>
          <w:divBdr>
            <w:top w:val="none" w:sz="0" w:space="0" w:color="auto"/>
            <w:left w:val="none" w:sz="0" w:space="0" w:color="auto"/>
            <w:bottom w:val="none" w:sz="0" w:space="0" w:color="auto"/>
            <w:right w:val="none" w:sz="0" w:space="0" w:color="auto"/>
          </w:divBdr>
        </w:div>
        <w:div w:id="1197544203">
          <w:marLeft w:val="0"/>
          <w:marRight w:val="0"/>
          <w:marTop w:val="0"/>
          <w:marBottom w:val="0"/>
          <w:divBdr>
            <w:top w:val="none" w:sz="0" w:space="0" w:color="auto"/>
            <w:left w:val="none" w:sz="0" w:space="0" w:color="auto"/>
            <w:bottom w:val="none" w:sz="0" w:space="0" w:color="auto"/>
            <w:right w:val="none" w:sz="0" w:space="0" w:color="auto"/>
          </w:divBdr>
        </w:div>
        <w:div w:id="534655948">
          <w:marLeft w:val="0"/>
          <w:marRight w:val="0"/>
          <w:marTop w:val="0"/>
          <w:marBottom w:val="0"/>
          <w:divBdr>
            <w:top w:val="none" w:sz="0" w:space="0" w:color="auto"/>
            <w:left w:val="none" w:sz="0" w:space="0" w:color="auto"/>
            <w:bottom w:val="none" w:sz="0" w:space="0" w:color="auto"/>
            <w:right w:val="none" w:sz="0" w:space="0" w:color="auto"/>
          </w:divBdr>
        </w:div>
        <w:div w:id="1005592866">
          <w:marLeft w:val="0"/>
          <w:marRight w:val="0"/>
          <w:marTop w:val="0"/>
          <w:marBottom w:val="0"/>
          <w:divBdr>
            <w:top w:val="none" w:sz="0" w:space="0" w:color="auto"/>
            <w:left w:val="none" w:sz="0" w:space="0" w:color="auto"/>
            <w:bottom w:val="none" w:sz="0" w:space="0" w:color="auto"/>
            <w:right w:val="none" w:sz="0" w:space="0" w:color="auto"/>
          </w:divBdr>
        </w:div>
        <w:div w:id="552231286">
          <w:marLeft w:val="0"/>
          <w:marRight w:val="0"/>
          <w:marTop w:val="0"/>
          <w:marBottom w:val="0"/>
          <w:divBdr>
            <w:top w:val="none" w:sz="0" w:space="0" w:color="auto"/>
            <w:left w:val="none" w:sz="0" w:space="0" w:color="auto"/>
            <w:bottom w:val="none" w:sz="0" w:space="0" w:color="auto"/>
            <w:right w:val="none" w:sz="0" w:space="0" w:color="auto"/>
          </w:divBdr>
        </w:div>
      </w:divsChild>
    </w:div>
    <w:div w:id="42825629">
      <w:bodyDiv w:val="1"/>
      <w:marLeft w:val="0"/>
      <w:marRight w:val="0"/>
      <w:marTop w:val="0"/>
      <w:marBottom w:val="0"/>
      <w:divBdr>
        <w:top w:val="none" w:sz="0" w:space="0" w:color="auto"/>
        <w:left w:val="none" w:sz="0" w:space="0" w:color="auto"/>
        <w:bottom w:val="none" w:sz="0" w:space="0" w:color="auto"/>
        <w:right w:val="none" w:sz="0" w:space="0" w:color="auto"/>
      </w:divBdr>
    </w:div>
    <w:div w:id="43872213">
      <w:bodyDiv w:val="1"/>
      <w:marLeft w:val="0"/>
      <w:marRight w:val="0"/>
      <w:marTop w:val="0"/>
      <w:marBottom w:val="0"/>
      <w:divBdr>
        <w:top w:val="none" w:sz="0" w:space="0" w:color="auto"/>
        <w:left w:val="none" w:sz="0" w:space="0" w:color="auto"/>
        <w:bottom w:val="none" w:sz="0" w:space="0" w:color="auto"/>
        <w:right w:val="none" w:sz="0" w:space="0" w:color="auto"/>
      </w:divBdr>
    </w:div>
    <w:div w:id="48964505">
      <w:bodyDiv w:val="1"/>
      <w:marLeft w:val="0"/>
      <w:marRight w:val="0"/>
      <w:marTop w:val="0"/>
      <w:marBottom w:val="0"/>
      <w:divBdr>
        <w:top w:val="none" w:sz="0" w:space="0" w:color="auto"/>
        <w:left w:val="none" w:sz="0" w:space="0" w:color="auto"/>
        <w:bottom w:val="none" w:sz="0" w:space="0" w:color="auto"/>
        <w:right w:val="none" w:sz="0" w:space="0" w:color="auto"/>
      </w:divBdr>
    </w:div>
    <w:div w:id="54277181">
      <w:bodyDiv w:val="1"/>
      <w:marLeft w:val="0"/>
      <w:marRight w:val="0"/>
      <w:marTop w:val="0"/>
      <w:marBottom w:val="0"/>
      <w:divBdr>
        <w:top w:val="none" w:sz="0" w:space="0" w:color="auto"/>
        <w:left w:val="none" w:sz="0" w:space="0" w:color="auto"/>
        <w:bottom w:val="none" w:sz="0" w:space="0" w:color="auto"/>
        <w:right w:val="none" w:sz="0" w:space="0" w:color="auto"/>
      </w:divBdr>
    </w:div>
    <w:div w:id="73940597">
      <w:bodyDiv w:val="1"/>
      <w:marLeft w:val="0"/>
      <w:marRight w:val="0"/>
      <w:marTop w:val="0"/>
      <w:marBottom w:val="0"/>
      <w:divBdr>
        <w:top w:val="none" w:sz="0" w:space="0" w:color="auto"/>
        <w:left w:val="none" w:sz="0" w:space="0" w:color="auto"/>
        <w:bottom w:val="none" w:sz="0" w:space="0" w:color="auto"/>
        <w:right w:val="none" w:sz="0" w:space="0" w:color="auto"/>
      </w:divBdr>
    </w:div>
    <w:div w:id="87583627">
      <w:bodyDiv w:val="1"/>
      <w:marLeft w:val="0"/>
      <w:marRight w:val="0"/>
      <w:marTop w:val="0"/>
      <w:marBottom w:val="0"/>
      <w:divBdr>
        <w:top w:val="none" w:sz="0" w:space="0" w:color="auto"/>
        <w:left w:val="none" w:sz="0" w:space="0" w:color="auto"/>
        <w:bottom w:val="none" w:sz="0" w:space="0" w:color="auto"/>
        <w:right w:val="none" w:sz="0" w:space="0" w:color="auto"/>
      </w:divBdr>
    </w:div>
    <w:div w:id="90710656">
      <w:bodyDiv w:val="1"/>
      <w:marLeft w:val="0"/>
      <w:marRight w:val="0"/>
      <w:marTop w:val="0"/>
      <w:marBottom w:val="0"/>
      <w:divBdr>
        <w:top w:val="none" w:sz="0" w:space="0" w:color="auto"/>
        <w:left w:val="none" w:sz="0" w:space="0" w:color="auto"/>
        <w:bottom w:val="none" w:sz="0" w:space="0" w:color="auto"/>
        <w:right w:val="none" w:sz="0" w:space="0" w:color="auto"/>
      </w:divBdr>
    </w:div>
    <w:div w:id="104614831">
      <w:bodyDiv w:val="1"/>
      <w:marLeft w:val="0"/>
      <w:marRight w:val="0"/>
      <w:marTop w:val="0"/>
      <w:marBottom w:val="0"/>
      <w:divBdr>
        <w:top w:val="none" w:sz="0" w:space="0" w:color="auto"/>
        <w:left w:val="none" w:sz="0" w:space="0" w:color="auto"/>
        <w:bottom w:val="none" w:sz="0" w:space="0" w:color="auto"/>
        <w:right w:val="none" w:sz="0" w:space="0" w:color="auto"/>
      </w:divBdr>
    </w:div>
    <w:div w:id="107044597">
      <w:bodyDiv w:val="1"/>
      <w:marLeft w:val="0"/>
      <w:marRight w:val="0"/>
      <w:marTop w:val="0"/>
      <w:marBottom w:val="0"/>
      <w:divBdr>
        <w:top w:val="none" w:sz="0" w:space="0" w:color="auto"/>
        <w:left w:val="none" w:sz="0" w:space="0" w:color="auto"/>
        <w:bottom w:val="none" w:sz="0" w:space="0" w:color="auto"/>
        <w:right w:val="none" w:sz="0" w:space="0" w:color="auto"/>
      </w:divBdr>
    </w:div>
    <w:div w:id="109324279">
      <w:bodyDiv w:val="1"/>
      <w:marLeft w:val="0"/>
      <w:marRight w:val="0"/>
      <w:marTop w:val="0"/>
      <w:marBottom w:val="0"/>
      <w:divBdr>
        <w:top w:val="none" w:sz="0" w:space="0" w:color="auto"/>
        <w:left w:val="none" w:sz="0" w:space="0" w:color="auto"/>
        <w:bottom w:val="none" w:sz="0" w:space="0" w:color="auto"/>
        <w:right w:val="none" w:sz="0" w:space="0" w:color="auto"/>
      </w:divBdr>
      <w:divsChild>
        <w:div w:id="762724740">
          <w:marLeft w:val="0"/>
          <w:marRight w:val="0"/>
          <w:marTop w:val="0"/>
          <w:marBottom w:val="0"/>
          <w:divBdr>
            <w:top w:val="none" w:sz="0" w:space="0" w:color="auto"/>
            <w:left w:val="none" w:sz="0" w:space="0" w:color="auto"/>
            <w:bottom w:val="none" w:sz="0" w:space="0" w:color="auto"/>
            <w:right w:val="none" w:sz="0" w:space="0" w:color="auto"/>
          </w:divBdr>
          <w:divsChild>
            <w:div w:id="909777629">
              <w:marLeft w:val="0"/>
              <w:marRight w:val="0"/>
              <w:marTop w:val="0"/>
              <w:marBottom w:val="0"/>
              <w:divBdr>
                <w:top w:val="none" w:sz="0" w:space="0" w:color="auto"/>
                <w:left w:val="none" w:sz="0" w:space="0" w:color="auto"/>
                <w:bottom w:val="none" w:sz="0" w:space="0" w:color="auto"/>
                <w:right w:val="none" w:sz="0" w:space="0" w:color="auto"/>
              </w:divBdr>
              <w:divsChild>
                <w:div w:id="829366811">
                  <w:marLeft w:val="0"/>
                  <w:marRight w:val="0"/>
                  <w:marTop w:val="0"/>
                  <w:marBottom w:val="0"/>
                  <w:divBdr>
                    <w:top w:val="none" w:sz="0" w:space="0" w:color="auto"/>
                    <w:left w:val="none" w:sz="0" w:space="0" w:color="auto"/>
                    <w:bottom w:val="none" w:sz="0" w:space="0" w:color="auto"/>
                    <w:right w:val="none" w:sz="0" w:space="0" w:color="auto"/>
                  </w:divBdr>
                </w:div>
                <w:div w:id="129981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15107">
      <w:bodyDiv w:val="1"/>
      <w:marLeft w:val="0"/>
      <w:marRight w:val="0"/>
      <w:marTop w:val="0"/>
      <w:marBottom w:val="0"/>
      <w:divBdr>
        <w:top w:val="none" w:sz="0" w:space="0" w:color="auto"/>
        <w:left w:val="none" w:sz="0" w:space="0" w:color="auto"/>
        <w:bottom w:val="none" w:sz="0" w:space="0" w:color="auto"/>
        <w:right w:val="none" w:sz="0" w:space="0" w:color="auto"/>
      </w:divBdr>
      <w:divsChild>
        <w:div w:id="1170681556">
          <w:marLeft w:val="0"/>
          <w:marRight w:val="0"/>
          <w:marTop w:val="0"/>
          <w:marBottom w:val="0"/>
          <w:divBdr>
            <w:top w:val="none" w:sz="0" w:space="0" w:color="auto"/>
            <w:left w:val="none" w:sz="0" w:space="0" w:color="auto"/>
            <w:bottom w:val="none" w:sz="0" w:space="0" w:color="auto"/>
            <w:right w:val="none" w:sz="0" w:space="0" w:color="auto"/>
          </w:divBdr>
        </w:div>
        <w:div w:id="495271043">
          <w:marLeft w:val="0"/>
          <w:marRight w:val="0"/>
          <w:marTop w:val="0"/>
          <w:marBottom w:val="0"/>
          <w:divBdr>
            <w:top w:val="none" w:sz="0" w:space="0" w:color="auto"/>
            <w:left w:val="none" w:sz="0" w:space="0" w:color="auto"/>
            <w:bottom w:val="none" w:sz="0" w:space="0" w:color="auto"/>
            <w:right w:val="none" w:sz="0" w:space="0" w:color="auto"/>
          </w:divBdr>
        </w:div>
        <w:div w:id="1982032357">
          <w:marLeft w:val="0"/>
          <w:marRight w:val="0"/>
          <w:marTop w:val="0"/>
          <w:marBottom w:val="0"/>
          <w:divBdr>
            <w:top w:val="none" w:sz="0" w:space="0" w:color="auto"/>
            <w:left w:val="none" w:sz="0" w:space="0" w:color="auto"/>
            <w:bottom w:val="none" w:sz="0" w:space="0" w:color="auto"/>
            <w:right w:val="none" w:sz="0" w:space="0" w:color="auto"/>
          </w:divBdr>
        </w:div>
        <w:div w:id="384068508">
          <w:marLeft w:val="0"/>
          <w:marRight w:val="0"/>
          <w:marTop w:val="0"/>
          <w:marBottom w:val="0"/>
          <w:divBdr>
            <w:top w:val="none" w:sz="0" w:space="0" w:color="auto"/>
            <w:left w:val="none" w:sz="0" w:space="0" w:color="auto"/>
            <w:bottom w:val="none" w:sz="0" w:space="0" w:color="auto"/>
            <w:right w:val="none" w:sz="0" w:space="0" w:color="auto"/>
          </w:divBdr>
        </w:div>
        <w:div w:id="1867020793">
          <w:marLeft w:val="0"/>
          <w:marRight w:val="0"/>
          <w:marTop w:val="0"/>
          <w:marBottom w:val="0"/>
          <w:divBdr>
            <w:top w:val="none" w:sz="0" w:space="0" w:color="auto"/>
            <w:left w:val="none" w:sz="0" w:space="0" w:color="auto"/>
            <w:bottom w:val="none" w:sz="0" w:space="0" w:color="auto"/>
            <w:right w:val="none" w:sz="0" w:space="0" w:color="auto"/>
          </w:divBdr>
        </w:div>
        <w:div w:id="1613247477">
          <w:marLeft w:val="0"/>
          <w:marRight w:val="0"/>
          <w:marTop w:val="0"/>
          <w:marBottom w:val="0"/>
          <w:divBdr>
            <w:top w:val="none" w:sz="0" w:space="0" w:color="auto"/>
            <w:left w:val="none" w:sz="0" w:space="0" w:color="auto"/>
            <w:bottom w:val="none" w:sz="0" w:space="0" w:color="auto"/>
            <w:right w:val="none" w:sz="0" w:space="0" w:color="auto"/>
          </w:divBdr>
        </w:div>
        <w:div w:id="1221476695">
          <w:marLeft w:val="0"/>
          <w:marRight w:val="0"/>
          <w:marTop w:val="0"/>
          <w:marBottom w:val="0"/>
          <w:divBdr>
            <w:top w:val="none" w:sz="0" w:space="0" w:color="auto"/>
            <w:left w:val="none" w:sz="0" w:space="0" w:color="auto"/>
            <w:bottom w:val="none" w:sz="0" w:space="0" w:color="auto"/>
            <w:right w:val="none" w:sz="0" w:space="0" w:color="auto"/>
          </w:divBdr>
        </w:div>
        <w:div w:id="916981851">
          <w:marLeft w:val="0"/>
          <w:marRight w:val="0"/>
          <w:marTop w:val="0"/>
          <w:marBottom w:val="0"/>
          <w:divBdr>
            <w:top w:val="none" w:sz="0" w:space="0" w:color="auto"/>
            <w:left w:val="none" w:sz="0" w:space="0" w:color="auto"/>
            <w:bottom w:val="none" w:sz="0" w:space="0" w:color="auto"/>
            <w:right w:val="none" w:sz="0" w:space="0" w:color="auto"/>
          </w:divBdr>
        </w:div>
        <w:div w:id="381099861">
          <w:marLeft w:val="0"/>
          <w:marRight w:val="0"/>
          <w:marTop w:val="0"/>
          <w:marBottom w:val="0"/>
          <w:divBdr>
            <w:top w:val="none" w:sz="0" w:space="0" w:color="auto"/>
            <w:left w:val="none" w:sz="0" w:space="0" w:color="auto"/>
            <w:bottom w:val="none" w:sz="0" w:space="0" w:color="auto"/>
            <w:right w:val="none" w:sz="0" w:space="0" w:color="auto"/>
          </w:divBdr>
        </w:div>
      </w:divsChild>
    </w:div>
    <w:div w:id="124545049">
      <w:bodyDiv w:val="1"/>
      <w:marLeft w:val="0"/>
      <w:marRight w:val="0"/>
      <w:marTop w:val="0"/>
      <w:marBottom w:val="0"/>
      <w:divBdr>
        <w:top w:val="none" w:sz="0" w:space="0" w:color="auto"/>
        <w:left w:val="none" w:sz="0" w:space="0" w:color="auto"/>
        <w:bottom w:val="none" w:sz="0" w:space="0" w:color="auto"/>
        <w:right w:val="none" w:sz="0" w:space="0" w:color="auto"/>
      </w:divBdr>
      <w:divsChild>
        <w:div w:id="2108234757">
          <w:marLeft w:val="0"/>
          <w:marRight w:val="0"/>
          <w:marTop w:val="0"/>
          <w:marBottom w:val="0"/>
          <w:divBdr>
            <w:top w:val="none" w:sz="0" w:space="0" w:color="auto"/>
            <w:left w:val="none" w:sz="0" w:space="0" w:color="auto"/>
            <w:bottom w:val="none" w:sz="0" w:space="0" w:color="auto"/>
            <w:right w:val="none" w:sz="0" w:space="0" w:color="auto"/>
          </w:divBdr>
          <w:divsChild>
            <w:div w:id="1632252007">
              <w:marLeft w:val="0"/>
              <w:marRight w:val="0"/>
              <w:marTop w:val="0"/>
              <w:marBottom w:val="0"/>
              <w:divBdr>
                <w:top w:val="none" w:sz="0" w:space="0" w:color="auto"/>
                <w:left w:val="none" w:sz="0" w:space="0" w:color="auto"/>
                <w:bottom w:val="none" w:sz="0" w:space="0" w:color="auto"/>
                <w:right w:val="none" w:sz="0" w:space="0" w:color="auto"/>
              </w:divBdr>
              <w:divsChild>
                <w:div w:id="1148548443">
                  <w:marLeft w:val="0"/>
                  <w:marRight w:val="0"/>
                  <w:marTop w:val="0"/>
                  <w:marBottom w:val="0"/>
                  <w:divBdr>
                    <w:top w:val="none" w:sz="0" w:space="0" w:color="auto"/>
                    <w:left w:val="none" w:sz="0" w:space="0" w:color="auto"/>
                    <w:bottom w:val="none" w:sz="0" w:space="0" w:color="auto"/>
                    <w:right w:val="none" w:sz="0" w:space="0" w:color="auto"/>
                  </w:divBdr>
                  <w:divsChild>
                    <w:div w:id="203629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680631">
      <w:bodyDiv w:val="1"/>
      <w:marLeft w:val="0"/>
      <w:marRight w:val="0"/>
      <w:marTop w:val="0"/>
      <w:marBottom w:val="0"/>
      <w:divBdr>
        <w:top w:val="none" w:sz="0" w:space="0" w:color="auto"/>
        <w:left w:val="none" w:sz="0" w:space="0" w:color="auto"/>
        <w:bottom w:val="none" w:sz="0" w:space="0" w:color="auto"/>
        <w:right w:val="none" w:sz="0" w:space="0" w:color="auto"/>
      </w:divBdr>
      <w:divsChild>
        <w:div w:id="1331446602">
          <w:marLeft w:val="0"/>
          <w:marRight w:val="0"/>
          <w:marTop w:val="0"/>
          <w:marBottom w:val="0"/>
          <w:divBdr>
            <w:top w:val="none" w:sz="0" w:space="0" w:color="auto"/>
            <w:left w:val="none" w:sz="0" w:space="0" w:color="auto"/>
            <w:bottom w:val="none" w:sz="0" w:space="0" w:color="auto"/>
            <w:right w:val="none" w:sz="0" w:space="0" w:color="auto"/>
          </w:divBdr>
          <w:divsChild>
            <w:div w:id="885022702">
              <w:marLeft w:val="0"/>
              <w:marRight w:val="0"/>
              <w:marTop w:val="0"/>
              <w:marBottom w:val="0"/>
              <w:divBdr>
                <w:top w:val="none" w:sz="0" w:space="0" w:color="auto"/>
                <w:left w:val="none" w:sz="0" w:space="0" w:color="auto"/>
                <w:bottom w:val="none" w:sz="0" w:space="0" w:color="auto"/>
                <w:right w:val="none" w:sz="0" w:space="0" w:color="auto"/>
              </w:divBdr>
              <w:divsChild>
                <w:div w:id="220288037">
                  <w:marLeft w:val="0"/>
                  <w:marRight w:val="0"/>
                  <w:marTop w:val="0"/>
                  <w:marBottom w:val="0"/>
                  <w:divBdr>
                    <w:top w:val="none" w:sz="0" w:space="0" w:color="auto"/>
                    <w:left w:val="none" w:sz="0" w:space="0" w:color="auto"/>
                    <w:bottom w:val="none" w:sz="0" w:space="0" w:color="auto"/>
                    <w:right w:val="none" w:sz="0" w:space="0" w:color="auto"/>
                  </w:divBdr>
                  <w:divsChild>
                    <w:div w:id="35265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96969">
      <w:bodyDiv w:val="1"/>
      <w:marLeft w:val="0"/>
      <w:marRight w:val="0"/>
      <w:marTop w:val="0"/>
      <w:marBottom w:val="0"/>
      <w:divBdr>
        <w:top w:val="none" w:sz="0" w:space="0" w:color="auto"/>
        <w:left w:val="none" w:sz="0" w:space="0" w:color="auto"/>
        <w:bottom w:val="none" w:sz="0" w:space="0" w:color="auto"/>
        <w:right w:val="none" w:sz="0" w:space="0" w:color="auto"/>
      </w:divBdr>
    </w:div>
    <w:div w:id="137379612">
      <w:bodyDiv w:val="1"/>
      <w:marLeft w:val="0"/>
      <w:marRight w:val="0"/>
      <w:marTop w:val="0"/>
      <w:marBottom w:val="0"/>
      <w:divBdr>
        <w:top w:val="none" w:sz="0" w:space="0" w:color="auto"/>
        <w:left w:val="none" w:sz="0" w:space="0" w:color="auto"/>
        <w:bottom w:val="none" w:sz="0" w:space="0" w:color="auto"/>
        <w:right w:val="none" w:sz="0" w:space="0" w:color="auto"/>
      </w:divBdr>
    </w:div>
    <w:div w:id="151675627">
      <w:bodyDiv w:val="1"/>
      <w:marLeft w:val="0"/>
      <w:marRight w:val="0"/>
      <w:marTop w:val="0"/>
      <w:marBottom w:val="0"/>
      <w:divBdr>
        <w:top w:val="none" w:sz="0" w:space="0" w:color="auto"/>
        <w:left w:val="none" w:sz="0" w:space="0" w:color="auto"/>
        <w:bottom w:val="none" w:sz="0" w:space="0" w:color="auto"/>
        <w:right w:val="none" w:sz="0" w:space="0" w:color="auto"/>
      </w:divBdr>
      <w:divsChild>
        <w:div w:id="291331621">
          <w:marLeft w:val="0"/>
          <w:marRight w:val="0"/>
          <w:marTop w:val="0"/>
          <w:marBottom w:val="0"/>
          <w:divBdr>
            <w:top w:val="none" w:sz="0" w:space="0" w:color="auto"/>
            <w:left w:val="none" w:sz="0" w:space="0" w:color="auto"/>
            <w:bottom w:val="none" w:sz="0" w:space="0" w:color="auto"/>
            <w:right w:val="none" w:sz="0" w:space="0" w:color="auto"/>
          </w:divBdr>
          <w:divsChild>
            <w:div w:id="1927642298">
              <w:marLeft w:val="0"/>
              <w:marRight w:val="0"/>
              <w:marTop w:val="0"/>
              <w:marBottom w:val="0"/>
              <w:divBdr>
                <w:top w:val="none" w:sz="0" w:space="0" w:color="auto"/>
                <w:left w:val="none" w:sz="0" w:space="0" w:color="auto"/>
                <w:bottom w:val="none" w:sz="0" w:space="0" w:color="auto"/>
                <w:right w:val="none" w:sz="0" w:space="0" w:color="auto"/>
              </w:divBdr>
              <w:divsChild>
                <w:div w:id="1055854122">
                  <w:marLeft w:val="0"/>
                  <w:marRight w:val="0"/>
                  <w:marTop w:val="0"/>
                  <w:marBottom w:val="0"/>
                  <w:divBdr>
                    <w:top w:val="none" w:sz="0" w:space="0" w:color="auto"/>
                    <w:left w:val="none" w:sz="0" w:space="0" w:color="auto"/>
                    <w:bottom w:val="none" w:sz="0" w:space="0" w:color="auto"/>
                    <w:right w:val="none" w:sz="0" w:space="0" w:color="auto"/>
                  </w:divBdr>
                  <w:divsChild>
                    <w:div w:id="464667841">
                      <w:marLeft w:val="0"/>
                      <w:marRight w:val="0"/>
                      <w:marTop w:val="0"/>
                      <w:marBottom w:val="0"/>
                      <w:divBdr>
                        <w:top w:val="none" w:sz="0" w:space="0" w:color="auto"/>
                        <w:left w:val="none" w:sz="0" w:space="0" w:color="auto"/>
                        <w:bottom w:val="none" w:sz="0" w:space="0" w:color="auto"/>
                        <w:right w:val="none" w:sz="0" w:space="0" w:color="auto"/>
                      </w:divBdr>
                      <w:divsChild>
                        <w:div w:id="1570459544">
                          <w:marLeft w:val="0"/>
                          <w:marRight w:val="0"/>
                          <w:marTop w:val="0"/>
                          <w:marBottom w:val="0"/>
                          <w:divBdr>
                            <w:top w:val="none" w:sz="0" w:space="0" w:color="auto"/>
                            <w:left w:val="none" w:sz="0" w:space="0" w:color="auto"/>
                            <w:bottom w:val="none" w:sz="0" w:space="0" w:color="auto"/>
                            <w:right w:val="none" w:sz="0" w:space="0" w:color="auto"/>
                          </w:divBdr>
                        </w:div>
                        <w:div w:id="616181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439199">
          <w:marLeft w:val="0"/>
          <w:marRight w:val="0"/>
          <w:marTop w:val="0"/>
          <w:marBottom w:val="0"/>
          <w:divBdr>
            <w:top w:val="none" w:sz="0" w:space="0" w:color="auto"/>
            <w:left w:val="none" w:sz="0" w:space="0" w:color="auto"/>
            <w:bottom w:val="none" w:sz="0" w:space="0" w:color="auto"/>
            <w:right w:val="none" w:sz="0" w:space="0" w:color="auto"/>
          </w:divBdr>
          <w:divsChild>
            <w:div w:id="156531538">
              <w:marLeft w:val="0"/>
              <w:marRight w:val="0"/>
              <w:marTop w:val="0"/>
              <w:marBottom w:val="0"/>
              <w:divBdr>
                <w:top w:val="none" w:sz="0" w:space="0" w:color="auto"/>
                <w:left w:val="none" w:sz="0" w:space="0" w:color="auto"/>
                <w:bottom w:val="none" w:sz="0" w:space="0" w:color="auto"/>
                <w:right w:val="none" w:sz="0" w:space="0" w:color="auto"/>
              </w:divBdr>
              <w:divsChild>
                <w:div w:id="93792546">
                  <w:marLeft w:val="0"/>
                  <w:marRight w:val="0"/>
                  <w:marTop w:val="0"/>
                  <w:marBottom w:val="0"/>
                  <w:divBdr>
                    <w:top w:val="none" w:sz="0" w:space="0" w:color="auto"/>
                    <w:left w:val="none" w:sz="0" w:space="0" w:color="auto"/>
                    <w:bottom w:val="none" w:sz="0" w:space="0" w:color="auto"/>
                    <w:right w:val="none" w:sz="0" w:space="0" w:color="auto"/>
                  </w:divBdr>
                  <w:divsChild>
                    <w:div w:id="1656641252">
                      <w:marLeft w:val="0"/>
                      <w:marRight w:val="0"/>
                      <w:marTop w:val="0"/>
                      <w:marBottom w:val="0"/>
                      <w:divBdr>
                        <w:top w:val="none" w:sz="0" w:space="0" w:color="auto"/>
                        <w:left w:val="none" w:sz="0" w:space="0" w:color="auto"/>
                        <w:bottom w:val="none" w:sz="0" w:space="0" w:color="auto"/>
                        <w:right w:val="none" w:sz="0" w:space="0" w:color="auto"/>
                      </w:divBdr>
                      <w:divsChild>
                        <w:div w:id="1220553998">
                          <w:marLeft w:val="0"/>
                          <w:marRight w:val="0"/>
                          <w:marTop w:val="0"/>
                          <w:marBottom w:val="0"/>
                          <w:divBdr>
                            <w:top w:val="none" w:sz="0" w:space="0" w:color="auto"/>
                            <w:left w:val="none" w:sz="0" w:space="0" w:color="auto"/>
                            <w:bottom w:val="none" w:sz="0" w:space="0" w:color="auto"/>
                            <w:right w:val="none" w:sz="0" w:space="0" w:color="auto"/>
                          </w:divBdr>
                        </w:div>
                        <w:div w:id="291399233">
                          <w:marLeft w:val="0"/>
                          <w:marRight w:val="0"/>
                          <w:marTop w:val="0"/>
                          <w:marBottom w:val="0"/>
                          <w:divBdr>
                            <w:top w:val="none" w:sz="0" w:space="0" w:color="auto"/>
                            <w:left w:val="none" w:sz="0" w:space="0" w:color="auto"/>
                            <w:bottom w:val="none" w:sz="0" w:space="0" w:color="auto"/>
                            <w:right w:val="none" w:sz="0" w:space="0" w:color="auto"/>
                          </w:divBdr>
                        </w:div>
                        <w:div w:id="1962107297">
                          <w:marLeft w:val="0"/>
                          <w:marRight w:val="0"/>
                          <w:marTop w:val="0"/>
                          <w:marBottom w:val="0"/>
                          <w:divBdr>
                            <w:top w:val="none" w:sz="0" w:space="0" w:color="auto"/>
                            <w:left w:val="none" w:sz="0" w:space="0" w:color="auto"/>
                            <w:bottom w:val="none" w:sz="0" w:space="0" w:color="auto"/>
                            <w:right w:val="none" w:sz="0" w:space="0" w:color="auto"/>
                          </w:divBdr>
                        </w:div>
                        <w:div w:id="29231899">
                          <w:marLeft w:val="0"/>
                          <w:marRight w:val="0"/>
                          <w:marTop w:val="0"/>
                          <w:marBottom w:val="0"/>
                          <w:divBdr>
                            <w:top w:val="none" w:sz="0" w:space="0" w:color="auto"/>
                            <w:left w:val="none" w:sz="0" w:space="0" w:color="auto"/>
                            <w:bottom w:val="none" w:sz="0" w:space="0" w:color="auto"/>
                            <w:right w:val="none" w:sz="0" w:space="0" w:color="auto"/>
                          </w:divBdr>
                        </w:div>
                        <w:div w:id="472211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11225">
      <w:bodyDiv w:val="1"/>
      <w:marLeft w:val="0"/>
      <w:marRight w:val="0"/>
      <w:marTop w:val="0"/>
      <w:marBottom w:val="0"/>
      <w:divBdr>
        <w:top w:val="none" w:sz="0" w:space="0" w:color="auto"/>
        <w:left w:val="none" w:sz="0" w:space="0" w:color="auto"/>
        <w:bottom w:val="none" w:sz="0" w:space="0" w:color="auto"/>
        <w:right w:val="none" w:sz="0" w:space="0" w:color="auto"/>
      </w:divBdr>
    </w:div>
    <w:div w:id="203062888">
      <w:bodyDiv w:val="1"/>
      <w:marLeft w:val="0"/>
      <w:marRight w:val="0"/>
      <w:marTop w:val="0"/>
      <w:marBottom w:val="0"/>
      <w:divBdr>
        <w:top w:val="none" w:sz="0" w:space="0" w:color="auto"/>
        <w:left w:val="none" w:sz="0" w:space="0" w:color="auto"/>
        <w:bottom w:val="none" w:sz="0" w:space="0" w:color="auto"/>
        <w:right w:val="none" w:sz="0" w:space="0" w:color="auto"/>
      </w:divBdr>
      <w:divsChild>
        <w:div w:id="391777011">
          <w:marLeft w:val="0"/>
          <w:marRight w:val="0"/>
          <w:marTop w:val="0"/>
          <w:marBottom w:val="0"/>
          <w:divBdr>
            <w:top w:val="none" w:sz="0" w:space="0" w:color="auto"/>
            <w:left w:val="none" w:sz="0" w:space="0" w:color="auto"/>
            <w:bottom w:val="none" w:sz="0" w:space="0" w:color="auto"/>
            <w:right w:val="none" w:sz="0" w:space="0" w:color="auto"/>
          </w:divBdr>
        </w:div>
        <w:div w:id="1902405830">
          <w:marLeft w:val="0"/>
          <w:marRight w:val="0"/>
          <w:marTop w:val="0"/>
          <w:marBottom w:val="0"/>
          <w:divBdr>
            <w:top w:val="none" w:sz="0" w:space="0" w:color="auto"/>
            <w:left w:val="none" w:sz="0" w:space="0" w:color="auto"/>
            <w:bottom w:val="none" w:sz="0" w:space="0" w:color="auto"/>
            <w:right w:val="none" w:sz="0" w:space="0" w:color="auto"/>
          </w:divBdr>
        </w:div>
        <w:div w:id="597565532">
          <w:marLeft w:val="0"/>
          <w:marRight w:val="0"/>
          <w:marTop w:val="0"/>
          <w:marBottom w:val="0"/>
          <w:divBdr>
            <w:top w:val="none" w:sz="0" w:space="0" w:color="auto"/>
            <w:left w:val="none" w:sz="0" w:space="0" w:color="auto"/>
            <w:bottom w:val="none" w:sz="0" w:space="0" w:color="auto"/>
            <w:right w:val="none" w:sz="0" w:space="0" w:color="auto"/>
          </w:divBdr>
        </w:div>
      </w:divsChild>
    </w:div>
    <w:div w:id="205483368">
      <w:bodyDiv w:val="1"/>
      <w:marLeft w:val="0"/>
      <w:marRight w:val="0"/>
      <w:marTop w:val="0"/>
      <w:marBottom w:val="0"/>
      <w:divBdr>
        <w:top w:val="none" w:sz="0" w:space="0" w:color="auto"/>
        <w:left w:val="none" w:sz="0" w:space="0" w:color="auto"/>
        <w:bottom w:val="none" w:sz="0" w:space="0" w:color="auto"/>
        <w:right w:val="none" w:sz="0" w:space="0" w:color="auto"/>
      </w:divBdr>
    </w:div>
    <w:div w:id="212084416">
      <w:bodyDiv w:val="1"/>
      <w:marLeft w:val="0"/>
      <w:marRight w:val="0"/>
      <w:marTop w:val="0"/>
      <w:marBottom w:val="0"/>
      <w:divBdr>
        <w:top w:val="none" w:sz="0" w:space="0" w:color="auto"/>
        <w:left w:val="none" w:sz="0" w:space="0" w:color="auto"/>
        <w:bottom w:val="none" w:sz="0" w:space="0" w:color="auto"/>
        <w:right w:val="none" w:sz="0" w:space="0" w:color="auto"/>
      </w:divBdr>
    </w:div>
    <w:div w:id="244462163">
      <w:bodyDiv w:val="1"/>
      <w:marLeft w:val="0"/>
      <w:marRight w:val="0"/>
      <w:marTop w:val="0"/>
      <w:marBottom w:val="0"/>
      <w:divBdr>
        <w:top w:val="none" w:sz="0" w:space="0" w:color="auto"/>
        <w:left w:val="none" w:sz="0" w:space="0" w:color="auto"/>
        <w:bottom w:val="none" w:sz="0" w:space="0" w:color="auto"/>
        <w:right w:val="none" w:sz="0" w:space="0" w:color="auto"/>
      </w:divBdr>
      <w:divsChild>
        <w:div w:id="491221591">
          <w:marLeft w:val="0"/>
          <w:marRight w:val="0"/>
          <w:marTop w:val="0"/>
          <w:marBottom w:val="0"/>
          <w:divBdr>
            <w:top w:val="none" w:sz="0" w:space="0" w:color="auto"/>
            <w:left w:val="none" w:sz="0" w:space="0" w:color="auto"/>
            <w:bottom w:val="none" w:sz="0" w:space="0" w:color="auto"/>
            <w:right w:val="none" w:sz="0" w:space="0" w:color="auto"/>
          </w:divBdr>
        </w:div>
        <w:div w:id="441463989">
          <w:marLeft w:val="0"/>
          <w:marRight w:val="0"/>
          <w:marTop w:val="0"/>
          <w:marBottom w:val="0"/>
          <w:divBdr>
            <w:top w:val="none" w:sz="0" w:space="0" w:color="auto"/>
            <w:left w:val="none" w:sz="0" w:space="0" w:color="auto"/>
            <w:bottom w:val="none" w:sz="0" w:space="0" w:color="auto"/>
            <w:right w:val="none" w:sz="0" w:space="0" w:color="auto"/>
          </w:divBdr>
        </w:div>
      </w:divsChild>
    </w:div>
    <w:div w:id="260452721">
      <w:bodyDiv w:val="1"/>
      <w:marLeft w:val="0"/>
      <w:marRight w:val="0"/>
      <w:marTop w:val="0"/>
      <w:marBottom w:val="0"/>
      <w:divBdr>
        <w:top w:val="none" w:sz="0" w:space="0" w:color="auto"/>
        <w:left w:val="none" w:sz="0" w:space="0" w:color="auto"/>
        <w:bottom w:val="none" w:sz="0" w:space="0" w:color="auto"/>
        <w:right w:val="none" w:sz="0" w:space="0" w:color="auto"/>
      </w:divBdr>
      <w:divsChild>
        <w:div w:id="1062563284">
          <w:marLeft w:val="0"/>
          <w:marRight w:val="0"/>
          <w:marTop w:val="0"/>
          <w:marBottom w:val="0"/>
          <w:divBdr>
            <w:top w:val="none" w:sz="0" w:space="0" w:color="auto"/>
            <w:left w:val="none" w:sz="0" w:space="0" w:color="auto"/>
            <w:bottom w:val="none" w:sz="0" w:space="0" w:color="auto"/>
            <w:right w:val="none" w:sz="0" w:space="0" w:color="auto"/>
          </w:divBdr>
          <w:divsChild>
            <w:div w:id="1851947332">
              <w:marLeft w:val="0"/>
              <w:marRight w:val="0"/>
              <w:marTop w:val="0"/>
              <w:marBottom w:val="0"/>
              <w:divBdr>
                <w:top w:val="none" w:sz="0" w:space="0" w:color="auto"/>
                <w:left w:val="none" w:sz="0" w:space="0" w:color="auto"/>
                <w:bottom w:val="none" w:sz="0" w:space="0" w:color="auto"/>
                <w:right w:val="none" w:sz="0" w:space="0" w:color="auto"/>
              </w:divBdr>
              <w:divsChild>
                <w:div w:id="1742873538">
                  <w:marLeft w:val="0"/>
                  <w:marRight w:val="0"/>
                  <w:marTop w:val="0"/>
                  <w:marBottom w:val="0"/>
                  <w:divBdr>
                    <w:top w:val="none" w:sz="0" w:space="0" w:color="auto"/>
                    <w:left w:val="none" w:sz="0" w:space="0" w:color="auto"/>
                    <w:bottom w:val="none" w:sz="0" w:space="0" w:color="auto"/>
                    <w:right w:val="none" w:sz="0" w:space="0" w:color="auto"/>
                  </w:divBdr>
                </w:div>
                <w:div w:id="157708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144448">
      <w:bodyDiv w:val="1"/>
      <w:marLeft w:val="0"/>
      <w:marRight w:val="0"/>
      <w:marTop w:val="0"/>
      <w:marBottom w:val="0"/>
      <w:divBdr>
        <w:top w:val="none" w:sz="0" w:space="0" w:color="auto"/>
        <w:left w:val="none" w:sz="0" w:space="0" w:color="auto"/>
        <w:bottom w:val="none" w:sz="0" w:space="0" w:color="auto"/>
        <w:right w:val="none" w:sz="0" w:space="0" w:color="auto"/>
      </w:divBdr>
    </w:div>
    <w:div w:id="283970477">
      <w:bodyDiv w:val="1"/>
      <w:marLeft w:val="0"/>
      <w:marRight w:val="0"/>
      <w:marTop w:val="0"/>
      <w:marBottom w:val="0"/>
      <w:divBdr>
        <w:top w:val="none" w:sz="0" w:space="0" w:color="auto"/>
        <w:left w:val="none" w:sz="0" w:space="0" w:color="auto"/>
        <w:bottom w:val="none" w:sz="0" w:space="0" w:color="auto"/>
        <w:right w:val="none" w:sz="0" w:space="0" w:color="auto"/>
      </w:divBdr>
    </w:div>
    <w:div w:id="305164701">
      <w:bodyDiv w:val="1"/>
      <w:marLeft w:val="0"/>
      <w:marRight w:val="0"/>
      <w:marTop w:val="0"/>
      <w:marBottom w:val="0"/>
      <w:divBdr>
        <w:top w:val="none" w:sz="0" w:space="0" w:color="auto"/>
        <w:left w:val="none" w:sz="0" w:space="0" w:color="auto"/>
        <w:bottom w:val="none" w:sz="0" w:space="0" w:color="auto"/>
        <w:right w:val="none" w:sz="0" w:space="0" w:color="auto"/>
      </w:divBdr>
    </w:div>
    <w:div w:id="314838802">
      <w:bodyDiv w:val="1"/>
      <w:marLeft w:val="0"/>
      <w:marRight w:val="0"/>
      <w:marTop w:val="0"/>
      <w:marBottom w:val="0"/>
      <w:divBdr>
        <w:top w:val="none" w:sz="0" w:space="0" w:color="auto"/>
        <w:left w:val="none" w:sz="0" w:space="0" w:color="auto"/>
        <w:bottom w:val="none" w:sz="0" w:space="0" w:color="auto"/>
        <w:right w:val="none" w:sz="0" w:space="0" w:color="auto"/>
      </w:divBdr>
      <w:divsChild>
        <w:div w:id="1128471138">
          <w:marLeft w:val="0"/>
          <w:marRight w:val="0"/>
          <w:marTop w:val="0"/>
          <w:marBottom w:val="0"/>
          <w:divBdr>
            <w:top w:val="none" w:sz="0" w:space="0" w:color="auto"/>
            <w:left w:val="none" w:sz="0" w:space="0" w:color="auto"/>
            <w:bottom w:val="none" w:sz="0" w:space="0" w:color="auto"/>
            <w:right w:val="none" w:sz="0" w:space="0" w:color="auto"/>
          </w:divBdr>
        </w:div>
        <w:div w:id="748160341">
          <w:marLeft w:val="0"/>
          <w:marRight w:val="0"/>
          <w:marTop w:val="0"/>
          <w:marBottom w:val="0"/>
          <w:divBdr>
            <w:top w:val="none" w:sz="0" w:space="0" w:color="auto"/>
            <w:left w:val="none" w:sz="0" w:space="0" w:color="auto"/>
            <w:bottom w:val="none" w:sz="0" w:space="0" w:color="auto"/>
            <w:right w:val="none" w:sz="0" w:space="0" w:color="auto"/>
          </w:divBdr>
        </w:div>
      </w:divsChild>
    </w:div>
    <w:div w:id="326053802">
      <w:bodyDiv w:val="1"/>
      <w:marLeft w:val="0"/>
      <w:marRight w:val="0"/>
      <w:marTop w:val="0"/>
      <w:marBottom w:val="0"/>
      <w:divBdr>
        <w:top w:val="none" w:sz="0" w:space="0" w:color="auto"/>
        <w:left w:val="none" w:sz="0" w:space="0" w:color="auto"/>
        <w:bottom w:val="none" w:sz="0" w:space="0" w:color="auto"/>
        <w:right w:val="none" w:sz="0" w:space="0" w:color="auto"/>
      </w:divBdr>
      <w:divsChild>
        <w:div w:id="1472215453">
          <w:marLeft w:val="0"/>
          <w:marRight w:val="0"/>
          <w:marTop w:val="0"/>
          <w:marBottom w:val="0"/>
          <w:divBdr>
            <w:top w:val="none" w:sz="0" w:space="0" w:color="auto"/>
            <w:left w:val="none" w:sz="0" w:space="0" w:color="auto"/>
            <w:bottom w:val="none" w:sz="0" w:space="0" w:color="auto"/>
            <w:right w:val="none" w:sz="0" w:space="0" w:color="auto"/>
          </w:divBdr>
        </w:div>
        <w:div w:id="1276330777">
          <w:marLeft w:val="0"/>
          <w:marRight w:val="0"/>
          <w:marTop w:val="0"/>
          <w:marBottom w:val="0"/>
          <w:divBdr>
            <w:top w:val="none" w:sz="0" w:space="0" w:color="auto"/>
            <w:left w:val="none" w:sz="0" w:space="0" w:color="auto"/>
            <w:bottom w:val="none" w:sz="0" w:space="0" w:color="auto"/>
            <w:right w:val="none" w:sz="0" w:space="0" w:color="auto"/>
          </w:divBdr>
        </w:div>
        <w:div w:id="1076972034">
          <w:marLeft w:val="0"/>
          <w:marRight w:val="0"/>
          <w:marTop w:val="0"/>
          <w:marBottom w:val="0"/>
          <w:divBdr>
            <w:top w:val="none" w:sz="0" w:space="0" w:color="auto"/>
            <w:left w:val="none" w:sz="0" w:space="0" w:color="auto"/>
            <w:bottom w:val="none" w:sz="0" w:space="0" w:color="auto"/>
            <w:right w:val="none" w:sz="0" w:space="0" w:color="auto"/>
          </w:divBdr>
        </w:div>
        <w:div w:id="1307904105">
          <w:marLeft w:val="0"/>
          <w:marRight w:val="0"/>
          <w:marTop w:val="0"/>
          <w:marBottom w:val="0"/>
          <w:divBdr>
            <w:top w:val="none" w:sz="0" w:space="0" w:color="auto"/>
            <w:left w:val="none" w:sz="0" w:space="0" w:color="auto"/>
            <w:bottom w:val="none" w:sz="0" w:space="0" w:color="auto"/>
            <w:right w:val="none" w:sz="0" w:space="0" w:color="auto"/>
          </w:divBdr>
        </w:div>
        <w:div w:id="1084301454">
          <w:marLeft w:val="0"/>
          <w:marRight w:val="0"/>
          <w:marTop w:val="0"/>
          <w:marBottom w:val="0"/>
          <w:divBdr>
            <w:top w:val="none" w:sz="0" w:space="0" w:color="auto"/>
            <w:left w:val="none" w:sz="0" w:space="0" w:color="auto"/>
            <w:bottom w:val="none" w:sz="0" w:space="0" w:color="auto"/>
            <w:right w:val="none" w:sz="0" w:space="0" w:color="auto"/>
          </w:divBdr>
        </w:div>
        <w:div w:id="1713656014">
          <w:marLeft w:val="0"/>
          <w:marRight w:val="0"/>
          <w:marTop w:val="0"/>
          <w:marBottom w:val="0"/>
          <w:divBdr>
            <w:top w:val="none" w:sz="0" w:space="0" w:color="auto"/>
            <w:left w:val="none" w:sz="0" w:space="0" w:color="auto"/>
            <w:bottom w:val="none" w:sz="0" w:space="0" w:color="auto"/>
            <w:right w:val="none" w:sz="0" w:space="0" w:color="auto"/>
          </w:divBdr>
        </w:div>
      </w:divsChild>
    </w:div>
    <w:div w:id="351759365">
      <w:bodyDiv w:val="1"/>
      <w:marLeft w:val="0"/>
      <w:marRight w:val="0"/>
      <w:marTop w:val="0"/>
      <w:marBottom w:val="0"/>
      <w:divBdr>
        <w:top w:val="none" w:sz="0" w:space="0" w:color="auto"/>
        <w:left w:val="none" w:sz="0" w:space="0" w:color="auto"/>
        <w:bottom w:val="none" w:sz="0" w:space="0" w:color="auto"/>
        <w:right w:val="none" w:sz="0" w:space="0" w:color="auto"/>
      </w:divBdr>
      <w:divsChild>
        <w:div w:id="1294871679">
          <w:marLeft w:val="0"/>
          <w:marRight w:val="0"/>
          <w:marTop w:val="0"/>
          <w:marBottom w:val="0"/>
          <w:divBdr>
            <w:top w:val="none" w:sz="0" w:space="0" w:color="auto"/>
            <w:left w:val="none" w:sz="0" w:space="0" w:color="auto"/>
            <w:bottom w:val="none" w:sz="0" w:space="0" w:color="auto"/>
            <w:right w:val="none" w:sz="0" w:space="0" w:color="auto"/>
          </w:divBdr>
          <w:divsChild>
            <w:div w:id="776410596">
              <w:marLeft w:val="0"/>
              <w:marRight w:val="0"/>
              <w:marTop w:val="0"/>
              <w:marBottom w:val="0"/>
              <w:divBdr>
                <w:top w:val="none" w:sz="0" w:space="0" w:color="auto"/>
                <w:left w:val="none" w:sz="0" w:space="0" w:color="auto"/>
                <w:bottom w:val="none" w:sz="0" w:space="0" w:color="auto"/>
                <w:right w:val="none" w:sz="0" w:space="0" w:color="auto"/>
              </w:divBdr>
              <w:divsChild>
                <w:div w:id="700404102">
                  <w:marLeft w:val="0"/>
                  <w:marRight w:val="0"/>
                  <w:marTop w:val="0"/>
                  <w:marBottom w:val="0"/>
                  <w:divBdr>
                    <w:top w:val="none" w:sz="0" w:space="0" w:color="auto"/>
                    <w:left w:val="none" w:sz="0" w:space="0" w:color="auto"/>
                    <w:bottom w:val="none" w:sz="0" w:space="0" w:color="auto"/>
                    <w:right w:val="none" w:sz="0" w:space="0" w:color="auto"/>
                  </w:divBdr>
                  <w:divsChild>
                    <w:div w:id="363023002">
                      <w:marLeft w:val="0"/>
                      <w:marRight w:val="0"/>
                      <w:marTop w:val="0"/>
                      <w:marBottom w:val="0"/>
                      <w:divBdr>
                        <w:top w:val="none" w:sz="0" w:space="0" w:color="auto"/>
                        <w:left w:val="none" w:sz="0" w:space="0" w:color="auto"/>
                        <w:bottom w:val="none" w:sz="0" w:space="0" w:color="auto"/>
                        <w:right w:val="none" w:sz="0" w:space="0" w:color="auto"/>
                      </w:divBdr>
                    </w:div>
                    <w:div w:id="517080742">
                      <w:marLeft w:val="0"/>
                      <w:marRight w:val="0"/>
                      <w:marTop w:val="0"/>
                      <w:marBottom w:val="0"/>
                      <w:divBdr>
                        <w:top w:val="none" w:sz="0" w:space="0" w:color="auto"/>
                        <w:left w:val="none" w:sz="0" w:space="0" w:color="auto"/>
                        <w:bottom w:val="none" w:sz="0" w:space="0" w:color="auto"/>
                        <w:right w:val="none" w:sz="0" w:space="0" w:color="auto"/>
                      </w:divBdr>
                    </w:div>
                    <w:div w:id="270170142">
                      <w:marLeft w:val="0"/>
                      <w:marRight w:val="0"/>
                      <w:marTop w:val="0"/>
                      <w:marBottom w:val="0"/>
                      <w:divBdr>
                        <w:top w:val="none" w:sz="0" w:space="0" w:color="auto"/>
                        <w:left w:val="none" w:sz="0" w:space="0" w:color="auto"/>
                        <w:bottom w:val="none" w:sz="0" w:space="0" w:color="auto"/>
                        <w:right w:val="none" w:sz="0" w:space="0" w:color="auto"/>
                      </w:divBdr>
                    </w:div>
                    <w:div w:id="133025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1273328">
      <w:bodyDiv w:val="1"/>
      <w:marLeft w:val="0"/>
      <w:marRight w:val="0"/>
      <w:marTop w:val="0"/>
      <w:marBottom w:val="0"/>
      <w:divBdr>
        <w:top w:val="none" w:sz="0" w:space="0" w:color="auto"/>
        <w:left w:val="none" w:sz="0" w:space="0" w:color="auto"/>
        <w:bottom w:val="none" w:sz="0" w:space="0" w:color="auto"/>
        <w:right w:val="none" w:sz="0" w:space="0" w:color="auto"/>
      </w:divBdr>
    </w:div>
    <w:div w:id="378434349">
      <w:bodyDiv w:val="1"/>
      <w:marLeft w:val="0"/>
      <w:marRight w:val="0"/>
      <w:marTop w:val="0"/>
      <w:marBottom w:val="0"/>
      <w:divBdr>
        <w:top w:val="none" w:sz="0" w:space="0" w:color="auto"/>
        <w:left w:val="none" w:sz="0" w:space="0" w:color="auto"/>
        <w:bottom w:val="none" w:sz="0" w:space="0" w:color="auto"/>
        <w:right w:val="none" w:sz="0" w:space="0" w:color="auto"/>
      </w:divBdr>
    </w:div>
    <w:div w:id="384644733">
      <w:bodyDiv w:val="1"/>
      <w:marLeft w:val="0"/>
      <w:marRight w:val="0"/>
      <w:marTop w:val="0"/>
      <w:marBottom w:val="0"/>
      <w:divBdr>
        <w:top w:val="none" w:sz="0" w:space="0" w:color="auto"/>
        <w:left w:val="none" w:sz="0" w:space="0" w:color="auto"/>
        <w:bottom w:val="none" w:sz="0" w:space="0" w:color="auto"/>
        <w:right w:val="none" w:sz="0" w:space="0" w:color="auto"/>
      </w:divBdr>
    </w:div>
    <w:div w:id="384767277">
      <w:bodyDiv w:val="1"/>
      <w:marLeft w:val="0"/>
      <w:marRight w:val="0"/>
      <w:marTop w:val="0"/>
      <w:marBottom w:val="0"/>
      <w:divBdr>
        <w:top w:val="none" w:sz="0" w:space="0" w:color="auto"/>
        <w:left w:val="none" w:sz="0" w:space="0" w:color="auto"/>
        <w:bottom w:val="none" w:sz="0" w:space="0" w:color="auto"/>
        <w:right w:val="none" w:sz="0" w:space="0" w:color="auto"/>
      </w:divBdr>
      <w:divsChild>
        <w:div w:id="351802071">
          <w:marLeft w:val="0"/>
          <w:marRight w:val="0"/>
          <w:marTop w:val="0"/>
          <w:marBottom w:val="0"/>
          <w:divBdr>
            <w:top w:val="none" w:sz="0" w:space="0" w:color="auto"/>
            <w:left w:val="none" w:sz="0" w:space="0" w:color="auto"/>
            <w:bottom w:val="none" w:sz="0" w:space="0" w:color="auto"/>
            <w:right w:val="none" w:sz="0" w:space="0" w:color="auto"/>
          </w:divBdr>
          <w:divsChild>
            <w:div w:id="1850631069">
              <w:marLeft w:val="0"/>
              <w:marRight w:val="0"/>
              <w:marTop w:val="0"/>
              <w:marBottom w:val="0"/>
              <w:divBdr>
                <w:top w:val="none" w:sz="0" w:space="0" w:color="auto"/>
                <w:left w:val="none" w:sz="0" w:space="0" w:color="auto"/>
                <w:bottom w:val="none" w:sz="0" w:space="0" w:color="auto"/>
                <w:right w:val="none" w:sz="0" w:space="0" w:color="auto"/>
              </w:divBdr>
              <w:divsChild>
                <w:div w:id="142803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291047">
          <w:marLeft w:val="0"/>
          <w:marRight w:val="0"/>
          <w:marTop w:val="0"/>
          <w:marBottom w:val="0"/>
          <w:divBdr>
            <w:top w:val="none" w:sz="0" w:space="0" w:color="auto"/>
            <w:left w:val="none" w:sz="0" w:space="0" w:color="auto"/>
            <w:bottom w:val="none" w:sz="0" w:space="0" w:color="auto"/>
            <w:right w:val="none" w:sz="0" w:space="0" w:color="auto"/>
          </w:divBdr>
          <w:divsChild>
            <w:div w:id="319190442">
              <w:marLeft w:val="0"/>
              <w:marRight w:val="0"/>
              <w:marTop w:val="0"/>
              <w:marBottom w:val="0"/>
              <w:divBdr>
                <w:top w:val="none" w:sz="0" w:space="0" w:color="auto"/>
                <w:left w:val="none" w:sz="0" w:space="0" w:color="auto"/>
                <w:bottom w:val="none" w:sz="0" w:space="0" w:color="auto"/>
                <w:right w:val="none" w:sz="0" w:space="0" w:color="auto"/>
              </w:divBdr>
              <w:divsChild>
                <w:div w:id="1482887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541234">
          <w:marLeft w:val="0"/>
          <w:marRight w:val="0"/>
          <w:marTop w:val="0"/>
          <w:marBottom w:val="0"/>
          <w:divBdr>
            <w:top w:val="none" w:sz="0" w:space="0" w:color="auto"/>
            <w:left w:val="none" w:sz="0" w:space="0" w:color="auto"/>
            <w:bottom w:val="none" w:sz="0" w:space="0" w:color="auto"/>
            <w:right w:val="none" w:sz="0" w:space="0" w:color="auto"/>
          </w:divBdr>
        </w:div>
      </w:divsChild>
    </w:div>
    <w:div w:id="406922557">
      <w:bodyDiv w:val="1"/>
      <w:marLeft w:val="0"/>
      <w:marRight w:val="0"/>
      <w:marTop w:val="0"/>
      <w:marBottom w:val="0"/>
      <w:divBdr>
        <w:top w:val="none" w:sz="0" w:space="0" w:color="auto"/>
        <w:left w:val="none" w:sz="0" w:space="0" w:color="auto"/>
        <w:bottom w:val="none" w:sz="0" w:space="0" w:color="auto"/>
        <w:right w:val="none" w:sz="0" w:space="0" w:color="auto"/>
      </w:divBdr>
    </w:div>
    <w:div w:id="414860139">
      <w:bodyDiv w:val="1"/>
      <w:marLeft w:val="0"/>
      <w:marRight w:val="0"/>
      <w:marTop w:val="0"/>
      <w:marBottom w:val="0"/>
      <w:divBdr>
        <w:top w:val="none" w:sz="0" w:space="0" w:color="auto"/>
        <w:left w:val="none" w:sz="0" w:space="0" w:color="auto"/>
        <w:bottom w:val="none" w:sz="0" w:space="0" w:color="auto"/>
        <w:right w:val="none" w:sz="0" w:space="0" w:color="auto"/>
      </w:divBdr>
      <w:divsChild>
        <w:div w:id="1888181485">
          <w:marLeft w:val="0"/>
          <w:marRight w:val="0"/>
          <w:marTop w:val="0"/>
          <w:marBottom w:val="0"/>
          <w:divBdr>
            <w:top w:val="none" w:sz="0" w:space="0" w:color="auto"/>
            <w:left w:val="none" w:sz="0" w:space="0" w:color="auto"/>
            <w:bottom w:val="none" w:sz="0" w:space="0" w:color="auto"/>
            <w:right w:val="none" w:sz="0" w:space="0" w:color="auto"/>
          </w:divBdr>
          <w:divsChild>
            <w:div w:id="816607720">
              <w:marLeft w:val="0"/>
              <w:marRight w:val="0"/>
              <w:marTop w:val="0"/>
              <w:marBottom w:val="0"/>
              <w:divBdr>
                <w:top w:val="none" w:sz="0" w:space="0" w:color="auto"/>
                <w:left w:val="none" w:sz="0" w:space="0" w:color="auto"/>
                <w:bottom w:val="none" w:sz="0" w:space="0" w:color="auto"/>
                <w:right w:val="none" w:sz="0" w:space="0" w:color="auto"/>
              </w:divBdr>
              <w:divsChild>
                <w:div w:id="1425691845">
                  <w:marLeft w:val="0"/>
                  <w:marRight w:val="0"/>
                  <w:marTop w:val="0"/>
                  <w:marBottom w:val="0"/>
                  <w:divBdr>
                    <w:top w:val="none" w:sz="0" w:space="0" w:color="auto"/>
                    <w:left w:val="none" w:sz="0" w:space="0" w:color="auto"/>
                    <w:bottom w:val="none" w:sz="0" w:space="0" w:color="auto"/>
                    <w:right w:val="none" w:sz="0" w:space="0" w:color="auto"/>
                  </w:divBdr>
                  <w:divsChild>
                    <w:div w:id="216554627">
                      <w:marLeft w:val="0"/>
                      <w:marRight w:val="0"/>
                      <w:marTop w:val="0"/>
                      <w:marBottom w:val="0"/>
                      <w:divBdr>
                        <w:top w:val="none" w:sz="0" w:space="0" w:color="auto"/>
                        <w:left w:val="none" w:sz="0" w:space="0" w:color="auto"/>
                        <w:bottom w:val="none" w:sz="0" w:space="0" w:color="auto"/>
                        <w:right w:val="none" w:sz="0" w:space="0" w:color="auto"/>
                      </w:divBdr>
                    </w:div>
                    <w:div w:id="939949400">
                      <w:marLeft w:val="0"/>
                      <w:marRight w:val="0"/>
                      <w:marTop w:val="0"/>
                      <w:marBottom w:val="0"/>
                      <w:divBdr>
                        <w:top w:val="none" w:sz="0" w:space="0" w:color="auto"/>
                        <w:left w:val="none" w:sz="0" w:space="0" w:color="auto"/>
                        <w:bottom w:val="none" w:sz="0" w:space="0" w:color="auto"/>
                        <w:right w:val="none" w:sz="0" w:space="0" w:color="auto"/>
                      </w:divBdr>
                    </w:div>
                    <w:div w:id="1367289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571113">
      <w:bodyDiv w:val="1"/>
      <w:marLeft w:val="0"/>
      <w:marRight w:val="0"/>
      <w:marTop w:val="0"/>
      <w:marBottom w:val="0"/>
      <w:divBdr>
        <w:top w:val="none" w:sz="0" w:space="0" w:color="auto"/>
        <w:left w:val="none" w:sz="0" w:space="0" w:color="auto"/>
        <w:bottom w:val="none" w:sz="0" w:space="0" w:color="auto"/>
        <w:right w:val="none" w:sz="0" w:space="0" w:color="auto"/>
      </w:divBdr>
      <w:divsChild>
        <w:div w:id="543059116">
          <w:marLeft w:val="0"/>
          <w:marRight w:val="0"/>
          <w:marTop w:val="0"/>
          <w:marBottom w:val="0"/>
          <w:divBdr>
            <w:top w:val="none" w:sz="0" w:space="0" w:color="auto"/>
            <w:left w:val="none" w:sz="0" w:space="0" w:color="auto"/>
            <w:bottom w:val="none" w:sz="0" w:space="0" w:color="auto"/>
            <w:right w:val="none" w:sz="0" w:space="0" w:color="auto"/>
          </w:divBdr>
          <w:divsChild>
            <w:div w:id="990719050">
              <w:marLeft w:val="0"/>
              <w:marRight w:val="0"/>
              <w:marTop w:val="0"/>
              <w:marBottom w:val="0"/>
              <w:divBdr>
                <w:top w:val="none" w:sz="0" w:space="0" w:color="auto"/>
                <w:left w:val="none" w:sz="0" w:space="0" w:color="auto"/>
                <w:bottom w:val="none" w:sz="0" w:space="0" w:color="auto"/>
                <w:right w:val="none" w:sz="0" w:space="0" w:color="auto"/>
              </w:divBdr>
              <w:divsChild>
                <w:div w:id="153688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591575">
      <w:bodyDiv w:val="1"/>
      <w:marLeft w:val="0"/>
      <w:marRight w:val="0"/>
      <w:marTop w:val="0"/>
      <w:marBottom w:val="0"/>
      <w:divBdr>
        <w:top w:val="none" w:sz="0" w:space="0" w:color="auto"/>
        <w:left w:val="none" w:sz="0" w:space="0" w:color="auto"/>
        <w:bottom w:val="none" w:sz="0" w:space="0" w:color="auto"/>
        <w:right w:val="none" w:sz="0" w:space="0" w:color="auto"/>
      </w:divBdr>
      <w:divsChild>
        <w:div w:id="1213080020">
          <w:marLeft w:val="0"/>
          <w:marRight w:val="0"/>
          <w:marTop w:val="0"/>
          <w:marBottom w:val="0"/>
          <w:divBdr>
            <w:top w:val="none" w:sz="0" w:space="0" w:color="auto"/>
            <w:left w:val="none" w:sz="0" w:space="0" w:color="auto"/>
            <w:bottom w:val="none" w:sz="0" w:space="0" w:color="auto"/>
            <w:right w:val="none" w:sz="0" w:space="0" w:color="auto"/>
          </w:divBdr>
        </w:div>
        <w:div w:id="1357731700">
          <w:marLeft w:val="0"/>
          <w:marRight w:val="0"/>
          <w:marTop w:val="0"/>
          <w:marBottom w:val="0"/>
          <w:divBdr>
            <w:top w:val="none" w:sz="0" w:space="0" w:color="auto"/>
            <w:left w:val="none" w:sz="0" w:space="0" w:color="auto"/>
            <w:bottom w:val="none" w:sz="0" w:space="0" w:color="auto"/>
            <w:right w:val="none" w:sz="0" w:space="0" w:color="auto"/>
          </w:divBdr>
        </w:div>
      </w:divsChild>
    </w:div>
    <w:div w:id="468982811">
      <w:bodyDiv w:val="1"/>
      <w:marLeft w:val="0"/>
      <w:marRight w:val="0"/>
      <w:marTop w:val="0"/>
      <w:marBottom w:val="0"/>
      <w:divBdr>
        <w:top w:val="none" w:sz="0" w:space="0" w:color="auto"/>
        <w:left w:val="none" w:sz="0" w:space="0" w:color="auto"/>
        <w:bottom w:val="none" w:sz="0" w:space="0" w:color="auto"/>
        <w:right w:val="none" w:sz="0" w:space="0" w:color="auto"/>
      </w:divBdr>
    </w:div>
    <w:div w:id="480465291">
      <w:bodyDiv w:val="1"/>
      <w:marLeft w:val="0"/>
      <w:marRight w:val="0"/>
      <w:marTop w:val="0"/>
      <w:marBottom w:val="0"/>
      <w:divBdr>
        <w:top w:val="none" w:sz="0" w:space="0" w:color="auto"/>
        <w:left w:val="none" w:sz="0" w:space="0" w:color="auto"/>
        <w:bottom w:val="none" w:sz="0" w:space="0" w:color="auto"/>
        <w:right w:val="none" w:sz="0" w:space="0" w:color="auto"/>
      </w:divBdr>
    </w:div>
    <w:div w:id="481314663">
      <w:bodyDiv w:val="1"/>
      <w:marLeft w:val="0"/>
      <w:marRight w:val="0"/>
      <w:marTop w:val="0"/>
      <w:marBottom w:val="0"/>
      <w:divBdr>
        <w:top w:val="none" w:sz="0" w:space="0" w:color="auto"/>
        <w:left w:val="none" w:sz="0" w:space="0" w:color="auto"/>
        <w:bottom w:val="none" w:sz="0" w:space="0" w:color="auto"/>
        <w:right w:val="none" w:sz="0" w:space="0" w:color="auto"/>
      </w:divBdr>
      <w:divsChild>
        <w:div w:id="614215851">
          <w:marLeft w:val="0"/>
          <w:marRight w:val="0"/>
          <w:marTop w:val="0"/>
          <w:marBottom w:val="0"/>
          <w:divBdr>
            <w:top w:val="none" w:sz="0" w:space="0" w:color="auto"/>
            <w:left w:val="none" w:sz="0" w:space="0" w:color="auto"/>
            <w:bottom w:val="none" w:sz="0" w:space="0" w:color="auto"/>
            <w:right w:val="none" w:sz="0" w:space="0" w:color="auto"/>
          </w:divBdr>
          <w:divsChild>
            <w:div w:id="799690999">
              <w:marLeft w:val="0"/>
              <w:marRight w:val="0"/>
              <w:marTop w:val="0"/>
              <w:marBottom w:val="0"/>
              <w:divBdr>
                <w:top w:val="none" w:sz="0" w:space="0" w:color="auto"/>
                <w:left w:val="none" w:sz="0" w:space="0" w:color="auto"/>
                <w:bottom w:val="none" w:sz="0" w:space="0" w:color="auto"/>
                <w:right w:val="none" w:sz="0" w:space="0" w:color="auto"/>
              </w:divBdr>
              <w:divsChild>
                <w:div w:id="340396007">
                  <w:marLeft w:val="0"/>
                  <w:marRight w:val="0"/>
                  <w:marTop w:val="0"/>
                  <w:marBottom w:val="0"/>
                  <w:divBdr>
                    <w:top w:val="none" w:sz="0" w:space="0" w:color="auto"/>
                    <w:left w:val="none" w:sz="0" w:space="0" w:color="auto"/>
                    <w:bottom w:val="none" w:sz="0" w:space="0" w:color="auto"/>
                    <w:right w:val="none" w:sz="0" w:space="0" w:color="auto"/>
                  </w:divBdr>
                  <w:divsChild>
                    <w:div w:id="121176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2625897">
      <w:bodyDiv w:val="1"/>
      <w:marLeft w:val="0"/>
      <w:marRight w:val="0"/>
      <w:marTop w:val="0"/>
      <w:marBottom w:val="0"/>
      <w:divBdr>
        <w:top w:val="none" w:sz="0" w:space="0" w:color="auto"/>
        <w:left w:val="none" w:sz="0" w:space="0" w:color="auto"/>
        <w:bottom w:val="none" w:sz="0" w:space="0" w:color="auto"/>
        <w:right w:val="none" w:sz="0" w:space="0" w:color="auto"/>
      </w:divBdr>
      <w:divsChild>
        <w:div w:id="1674184465">
          <w:marLeft w:val="0"/>
          <w:marRight w:val="0"/>
          <w:marTop w:val="0"/>
          <w:marBottom w:val="0"/>
          <w:divBdr>
            <w:top w:val="none" w:sz="0" w:space="0" w:color="auto"/>
            <w:left w:val="none" w:sz="0" w:space="0" w:color="auto"/>
            <w:bottom w:val="none" w:sz="0" w:space="0" w:color="auto"/>
            <w:right w:val="none" w:sz="0" w:space="0" w:color="auto"/>
          </w:divBdr>
          <w:divsChild>
            <w:div w:id="1050304285">
              <w:marLeft w:val="0"/>
              <w:marRight w:val="0"/>
              <w:marTop w:val="0"/>
              <w:marBottom w:val="0"/>
              <w:divBdr>
                <w:top w:val="none" w:sz="0" w:space="0" w:color="auto"/>
                <w:left w:val="none" w:sz="0" w:space="0" w:color="auto"/>
                <w:bottom w:val="none" w:sz="0" w:space="0" w:color="auto"/>
                <w:right w:val="none" w:sz="0" w:space="0" w:color="auto"/>
              </w:divBdr>
            </w:div>
            <w:div w:id="2031955535">
              <w:marLeft w:val="0"/>
              <w:marRight w:val="0"/>
              <w:marTop w:val="0"/>
              <w:marBottom w:val="0"/>
              <w:divBdr>
                <w:top w:val="none" w:sz="0" w:space="0" w:color="auto"/>
                <w:left w:val="none" w:sz="0" w:space="0" w:color="auto"/>
                <w:bottom w:val="none" w:sz="0" w:space="0" w:color="auto"/>
                <w:right w:val="none" w:sz="0" w:space="0" w:color="auto"/>
              </w:divBdr>
            </w:div>
            <w:div w:id="269237440">
              <w:marLeft w:val="0"/>
              <w:marRight w:val="0"/>
              <w:marTop w:val="0"/>
              <w:marBottom w:val="0"/>
              <w:divBdr>
                <w:top w:val="none" w:sz="0" w:space="0" w:color="auto"/>
                <w:left w:val="none" w:sz="0" w:space="0" w:color="auto"/>
                <w:bottom w:val="none" w:sz="0" w:space="0" w:color="auto"/>
                <w:right w:val="none" w:sz="0" w:space="0" w:color="auto"/>
              </w:divBdr>
            </w:div>
            <w:div w:id="727268161">
              <w:marLeft w:val="0"/>
              <w:marRight w:val="0"/>
              <w:marTop w:val="0"/>
              <w:marBottom w:val="0"/>
              <w:divBdr>
                <w:top w:val="none" w:sz="0" w:space="0" w:color="auto"/>
                <w:left w:val="none" w:sz="0" w:space="0" w:color="auto"/>
                <w:bottom w:val="none" w:sz="0" w:space="0" w:color="auto"/>
                <w:right w:val="none" w:sz="0" w:space="0" w:color="auto"/>
              </w:divBdr>
            </w:div>
            <w:div w:id="1044211283">
              <w:marLeft w:val="0"/>
              <w:marRight w:val="0"/>
              <w:marTop w:val="0"/>
              <w:marBottom w:val="0"/>
              <w:divBdr>
                <w:top w:val="none" w:sz="0" w:space="0" w:color="auto"/>
                <w:left w:val="none" w:sz="0" w:space="0" w:color="auto"/>
                <w:bottom w:val="none" w:sz="0" w:space="0" w:color="auto"/>
                <w:right w:val="none" w:sz="0" w:space="0" w:color="auto"/>
              </w:divBdr>
            </w:div>
            <w:div w:id="873150699">
              <w:marLeft w:val="0"/>
              <w:marRight w:val="0"/>
              <w:marTop w:val="0"/>
              <w:marBottom w:val="0"/>
              <w:divBdr>
                <w:top w:val="none" w:sz="0" w:space="0" w:color="auto"/>
                <w:left w:val="none" w:sz="0" w:space="0" w:color="auto"/>
                <w:bottom w:val="none" w:sz="0" w:space="0" w:color="auto"/>
                <w:right w:val="none" w:sz="0" w:space="0" w:color="auto"/>
              </w:divBdr>
            </w:div>
            <w:div w:id="650598563">
              <w:marLeft w:val="0"/>
              <w:marRight w:val="0"/>
              <w:marTop w:val="0"/>
              <w:marBottom w:val="0"/>
              <w:divBdr>
                <w:top w:val="none" w:sz="0" w:space="0" w:color="auto"/>
                <w:left w:val="none" w:sz="0" w:space="0" w:color="auto"/>
                <w:bottom w:val="none" w:sz="0" w:space="0" w:color="auto"/>
                <w:right w:val="none" w:sz="0" w:space="0" w:color="auto"/>
              </w:divBdr>
            </w:div>
            <w:div w:id="208660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510266">
      <w:bodyDiv w:val="1"/>
      <w:marLeft w:val="0"/>
      <w:marRight w:val="0"/>
      <w:marTop w:val="0"/>
      <w:marBottom w:val="0"/>
      <w:divBdr>
        <w:top w:val="none" w:sz="0" w:space="0" w:color="auto"/>
        <w:left w:val="none" w:sz="0" w:space="0" w:color="auto"/>
        <w:bottom w:val="none" w:sz="0" w:space="0" w:color="auto"/>
        <w:right w:val="none" w:sz="0" w:space="0" w:color="auto"/>
      </w:divBdr>
    </w:div>
    <w:div w:id="484662550">
      <w:bodyDiv w:val="1"/>
      <w:marLeft w:val="0"/>
      <w:marRight w:val="0"/>
      <w:marTop w:val="0"/>
      <w:marBottom w:val="0"/>
      <w:divBdr>
        <w:top w:val="none" w:sz="0" w:space="0" w:color="auto"/>
        <w:left w:val="none" w:sz="0" w:space="0" w:color="auto"/>
        <w:bottom w:val="none" w:sz="0" w:space="0" w:color="auto"/>
        <w:right w:val="none" w:sz="0" w:space="0" w:color="auto"/>
      </w:divBdr>
    </w:div>
    <w:div w:id="494304832">
      <w:bodyDiv w:val="1"/>
      <w:marLeft w:val="0"/>
      <w:marRight w:val="0"/>
      <w:marTop w:val="0"/>
      <w:marBottom w:val="0"/>
      <w:divBdr>
        <w:top w:val="none" w:sz="0" w:space="0" w:color="auto"/>
        <w:left w:val="none" w:sz="0" w:space="0" w:color="auto"/>
        <w:bottom w:val="none" w:sz="0" w:space="0" w:color="auto"/>
        <w:right w:val="none" w:sz="0" w:space="0" w:color="auto"/>
      </w:divBdr>
      <w:divsChild>
        <w:div w:id="2116288724">
          <w:marLeft w:val="0"/>
          <w:marRight w:val="0"/>
          <w:marTop w:val="0"/>
          <w:marBottom w:val="0"/>
          <w:divBdr>
            <w:top w:val="none" w:sz="0" w:space="0" w:color="auto"/>
            <w:left w:val="none" w:sz="0" w:space="0" w:color="auto"/>
            <w:bottom w:val="none" w:sz="0" w:space="0" w:color="auto"/>
            <w:right w:val="none" w:sz="0" w:space="0" w:color="auto"/>
          </w:divBdr>
        </w:div>
        <w:div w:id="1584728319">
          <w:marLeft w:val="0"/>
          <w:marRight w:val="0"/>
          <w:marTop w:val="0"/>
          <w:marBottom w:val="0"/>
          <w:divBdr>
            <w:top w:val="none" w:sz="0" w:space="0" w:color="auto"/>
            <w:left w:val="none" w:sz="0" w:space="0" w:color="auto"/>
            <w:bottom w:val="none" w:sz="0" w:space="0" w:color="auto"/>
            <w:right w:val="none" w:sz="0" w:space="0" w:color="auto"/>
          </w:divBdr>
        </w:div>
        <w:div w:id="883324701">
          <w:marLeft w:val="0"/>
          <w:marRight w:val="0"/>
          <w:marTop w:val="0"/>
          <w:marBottom w:val="0"/>
          <w:divBdr>
            <w:top w:val="none" w:sz="0" w:space="0" w:color="auto"/>
            <w:left w:val="none" w:sz="0" w:space="0" w:color="auto"/>
            <w:bottom w:val="none" w:sz="0" w:space="0" w:color="auto"/>
            <w:right w:val="none" w:sz="0" w:space="0" w:color="auto"/>
          </w:divBdr>
        </w:div>
        <w:div w:id="1233925044">
          <w:marLeft w:val="0"/>
          <w:marRight w:val="0"/>
          <w:marTop w:val="0"/>
          <w:marBottom w:val="0"/>
          <w:divBdr>
            <w:top w:val="none" w:sz="0" w:space="0" w:color="auto"/>
            <w:left w:val="none" w:sz="0" w:space="0" w:color="auto"/>
            <w:bottom w:val="none" w:sz="0" w:space="0" w:color="auto"/>
            <w:right w:val="none" w:sz="0" w:space="0" w:color="auto"/>
          </w:divBdr>
        </w:div>
      </w:divsChild>
    </w:div>
    <w:div w:id="497815842">
      <w:bodyDiv w:val="1"/>
      <w:marLeft w:val="0"/>
      <w:marRight w:val="0"/>
      <w:marTop w:val="0"/>
      <w:marBottom w:val="0"/>
      <w:divBdr>
        <w:top w:val="none" w:sz="0" w:space="0" w:color="auto"/>
        <w:left w:val="none" w:sz="0" w:space="0" w:color="auto"/>
        <w:bottom w:val="none" w:sz="0" w:space="0" w:color="auto"/>
        <w:right w:val="none" w:sz="0" w:space="0" w:color="auto"/>
      </w:divBdr>
    </w:div>
    <w:div w:id="500580364">
      <w:bodyDiv w:val="1"/>
      <w:marLeft w:val="0"/>
      <w:marRight w:val="0"/>
      <w:marTop w:val="0"/>
      <w:marBottom w:val="0"/>
      <w:divBdr>
        <w:top w:val="none" w:sz="0" w:space="0" w:color="auto"/>
        <w:left w:val="none" w:sz="0" w:space="0" w:color="auto"/>
        <w:bottom w:val="none" w:sz="0" w:space="0" w:color="auto"/>
        <w:right w:val="none" w:sz="0" w:space="0" w:color="auto"/>
      </w:divBdr>
      <w:divsChild>
        <w:div w:id="9333317">
          <w:marLeft w:val="0"/>
          <w:marRight w:val="0"/>
          <w:marTop w:val="0"/>
          <w:marBottom w:val="0"/>
          <w:divBdr>
            <w:top w:val="none" w:sz="0" w:space="0" w:color="auto"/>
            <w:left w:val="none" w:sz="0" w:space="0" w:color="auto"/>
            <w:bottom w:val="none" w:sz="0" w:space="0" w:color="auto"/>
            <w:right w:val="none" w:sz="0" w:space="0" w:color="auto"/>
          </w:divBdr>
        </w:div>
        <w:div w:id="195583355">
          <w:marLeft w:val="0"/>
          <w:marRight w:val="0"/>
          <w:marTop w:val="0"/>
          <w:marBottom w:val="0"/>
          <w:divBdr>
            <w:top w:val="none" w:sz="0" w:space="0" w:color="auto"/>
            <w:left w:val="none" w:sz="0" w:space="0" w:color="auto"/>
            <w:bottom w:val="none" w:sz="0" w:space="0" w:color="auto"/>
            <w:right w:val="none" w:sz="0" w:space="0" w:color="auto"/>
          </w:divBdr>
        </w:div>
        <w:div w:id="1743329558">
          <w:marLeft w:val="0"/>
          <w:marRight w:val="0"/>
          <w:marTop w:val="0"/>
          <w:marBottom w:val="0"/>
          <w:divBdr>
            <w:top w:val="none" w:sz="0" w:space="0" w:color="auto"/>
            <w:left w:val="none" w:sz="0" w:space="0" w:color="auto"/>
            <w:bottom w:val="none" w:sz="0" w:space="0" w:color="auto"/>
            <w:right w:val="none" w:sz="0" w:space="0" w:color="auto"/>
          </w:divBdr>
        </w:div>
        <w:div w:id="2113240476">
          <w:marLeft w:val="0"/>
          <w:marRight w:val="0"/>
          <w:marTop w:val="0"/>
          <w:marBottom w:val="0"/>
          <w:divBdr>
            <w:top w:val="none" w:sz="0" w:space="0" w:color="auto"/>
            <w:left w:val="none" w:sz="0" w:space="0" w:color="auto"/>
            <w:bottom w:val="none" w:sz="0" w:space="0" w:color="auto"/>
            <w:right w:val="none" w:sz="0" w:space="0" w:color="auto"/>
          </w:divBdr>
        </w:div>
        <w:div w:id="2015329788">
          <w:marLeft w:val="0"/>
          <w:marRight w:val="0"/>
          <w:marTop w:val="0"/>
          <w:marBottom w:val="0"/>
          <w:divBdr>
            <w:top w:val="none" w:sz="0" w:space="0" w:color="auto"/>
            <w:left w:val="none" w:sz="0" w:space="0" w:color="auto"/>
            <w:bottom w:val="none" w:sz="0" w:space="0" w:color="auto"/>
            <w:right w:val="none" w:sz="0" w:space="0" w:color="auto"/>
          </w:divBdr>
        </w:div>
        <w:div w:id="1764569682">
          <w:marLeft w:val="0"/>
          <w:marRight w:val="0"/>
          <w:marTop w:val="0"/>
          <w:marBottom w:val="0"/>
          <w:divBdr>
            <w:top w:val="none" w:sz="0" w:space="0" w:color="auto"/>
            <w:left w:val="none" w:sz="0" w:space="0" w:color="auto"/>
            <w:bottom w:val="none" w:sz="0" w:space="0" w:color="auto"/>
            <w:right w:val="none" w:sz="0" w:space="0" w:color="auto"/>
          </w:divBdr>
        </w:div>
        <w:div w:id="166215030">
          <w:marLeft w:val="0"/>
          <w:marRight w:val="0"/>
          <w:marTop w:val="0"/>
          <w:marBottom w:val="0"/>
          <w:divBdr>
            <w:top w:val="none" w:sz="0" w:space="0" w:color="auto"/>
            <w:left w:val="none" w:sz="0" w:space="0" w:color="auto"/>
            <w:bottom w:val="none" w:sz="0" w:space="0" w:color="auto"/>
            <w:right w:val="none" w:sz="0" w:space="0" w:color="auto"/>
          </w:divBdr>
        </w:div>
        <w:div w:id="1792432858">
          <w:marLeft w:val="0"/>
          <w:marRight w:val="0"/>
          <w:marTop w:val="0"/>
          <w:marBottom w:val="0"/>
          <w:divBdr>
            <w:top w:val="none" w:sz="0" w:space="0" w:color="auto"/>
            <w:left w:val="none" w:sz="0" w:space="0" w:color="auto"/>
            <w:bottom w:val="none" w:sz="0" w:space="0" w:color="auto"/>
            <w:right w:val="none" w:sz="0" w:space="0" w:color="auto"/>
          </w:divBdr>
        </w:div>
        <w:div w:id="1914317144">
          <w:marLeft w:val="0"/>
          <w:marRight w:val="0"/>
          <w:marTop w:val="0"/>
          <w:marBottom w:val="0"/>
          <w:divBdr>
            <w:top w:val="none" w:sz="0" w:space="0" w:color="auto"/>
            <w:left w:val="none" w:sz="0" w:space="0" w:color="auto"/>
            <w:bottom w:val="none" w:sz="0" w:space="0" w:color="auto"/>
            <w:right w:val="none" w:sz="0" w:space="0" w:color="auto"/>
          </w:divBdr>
        </w:div>
      </w:divsChild>
    </w:div>
    <w:div w:id="514149711">
      <w:bodyDiv w:val="1"/>
      <w:marLeft w:val="0"/>
      <w:marRight w:val="0"/>
      <w:marTop w:val="0"/>
      <w:marBottom w:val="0"/>
      <w:divBdr>
        <w:top w:val="none" w:sz="0" w:space="0" w:color="auto"/>
        <w:left w:val="none" w:sz="0" w:space="0" w:color="auto"/>
        <w:bottom w:val="none" w:sz="0" w:space="0" w:color="auto"/>
        <w:right w:val="none" w:sz="0" w:space="0" w:color="auto"/>
      </w:divBdr>
    </w:div>
    <w:div w:id="514611602">
      <w:bodyDiv w:val="1"/>
      <w:marLeft w:val="0"/>
      <w:marRight w:val="0"/>
      <w:marTop w:val="0"/>
      <w:marBottom w:val="0"/>
      <w:divBdr>
        <w:top w:val="none" w:sz="0" w:space="0" w:color="auto"/>
        <w:left w:val="none" w:sz="0" w:space="0" w:color="auto"/>
        <w:bottom w:val="none" w:sz="0" w:space="0" w:color="auto"/>
        <w:right w:val="none" w:sz="0" w:space="0" w:color="auto"/>
      </w:divBdr>
    </w:div>
    <w:div w:id="531309284">
      <w:bodyDiv w:val="1"/>
      <w:marLeft w:val="0"/>
      <w:marRight w:val="0"/>
      <w:marTop w:val="0"/>
      <w:marBottom w:val="0"/>
      <w:divBdr>
        <w:top w:val="none" w:sz="0" w:space="0" w:color="auto"/>
        <w:left w:val="none" w:sz="0" w:space="0" w:color="auto"/>
        <w:bottom w:val="none" w:sz="0" w:space="0" w:color="auto"/>
        <w:right w:val="none" w:sz="0" w:space="0" w:color="auto"/>
      </w:divBdr>
    </w:div>
    <w:div w:id="536427060">
      <w:bodyDiv w:val="1"/>
      <w:marLeft w:val="0"/>
      <w:marRight w:val="0"/>
      <w:marTop w:val="0"/>
      <w:marBottom w:val="0"/>
      <w:divBdr>
        <w:top w:val="none" w:sz="0" w:space="0" w:color="auto"/>
        <w:left w:val="none" w:sz="0" w:space="0" w:color="auto"/>
        <w:bottom w:val="none" w:sz="0" w:space="0" w:color="auto"/>
        <w:right w:val="none" w:sz="0" w:space="0" w:color="auto"/>
      </w:divBdr>
    </w:div>
    <w:div w:id="538324557">
      <w:bodyDiv w:val="1"/>
      <w:marLeft w:val="0"/>
      <w:marRight w:val="0"/>
      <w:marTop w:val="0"/>
      <w:marBottom w:val="0"/>
      <w:divBdr>
        <w:top w:val="none" w:sz="0" w:space="0" w:color="auto"/>
        <w:left w:val="none" w:sz="0" w:space="0" w:color="auto"/>
        <w:bottom w:val="none" w:sz="0" w:space="0" w:color="auto"/>
        <w:right w:val="none" w:sz="0" w:space="0" w:color="auto"/>
      </w:divBdr>
    </w:div>
    <w:div w:id="542250012">
      <w:bodyDiv w:val="1"/>
      <w:marLeft w:val="0"/>
      <w:marRight w:val="0"/>
      <w:marTop w:val="0"/>
      <w:marBottom w:val="0"/>
      <w:divBdr>
        <w:top w:val="none" w:sz="0" w:space="0" w:color="auto"/>
        <w:left w:val="none" w:sz="0" w:space="0" w:color="auto"/>
        <w:bottom w:val="none" w:sz="0" w:space="0" w:color="auto"/>
        <w:right w:val="none" w:sz="0" w:space="0" w:color="auto"/>
      </w:divBdr>
      <w:divsChild>
        <w:div w:id="988363023">
          <w:marLeft w:val="0"/>
          <w:marRight w:val="0"/>
          <w:marTop w:val="0"/>
          <w:marBottom w:val="0"/>
          <w:divBdr>
            <w:top w:val="none" w:sz="0" w:space="0" w:color="auto"/>
            <w:left w:val="none" w:sz="0" w:space="0" w:color="auto"/>
            <w:bottom w:val="none" w:sz="0" w:space="0" w:color="auto"/>
            <w:right w:val="none" w:sz="0" w:space="0" w:color="auto"/>
          </w:divBdr>
        </w:div>
        <w:div w:id="131563266">
          <w:marLeft w:val="0"/>
          <w:marRight w:val="0"/>
          <w:marTop w:val="0"/>
          <w:marBottom w:val="0"/>
          <w:divBdr>
            <w:top w:val="none" w:sz="0" w:space="0" w:color="auto"/>
            <w:left w:val="none" w:sz="0" w:space="0" w:color="auto"/>
            <w:bottom w:val="none" w:sz="0" w:space="0" w:color="auto"/>
            <w:right w:val="none" w:sz="0" w:space="0" w:color="auto"/>
          </w:divBdr>
        </w:div>
      </w:divsChild>
    </w:div>
    <w:div w:id="546262439">
      <w:bodyDiv w:val="1"/>
      <w:marLeft w:val="0"/>
      <w:marRight w:val="0"/>
      <w:marTop w:val="0"/>
      <w:marBottom w:val="0"/>
      <w:divBdr>
        <w:top w:val="none" w:sz="0" w:space="0" w:color="auto"/>
        <w:left w:val="none" w:sz="0" w:space="0" w:color="auto"/>
        <w:bottom w:val="none" w:sz="0" w:space="0" w:color="auto"/>
        <w:right w:val="none" w:sz="0" w:space="0" w:color="auto"/>
      </w:divBdr>
    </w:div>
    <w:div w:id="550920339">
      <w:bodyDiv w:val="1"/>
      <w:marLeft w:val="0"/>
      <w:marRight w:val="0"/>
      <w:marTop w:val="0"/>
      <w:marBottom w:val="0"/>
      <w:divBdr>
        <w:top w:val="none" w:sz="0" w:space="0" w:color="auto"/>
        <w:left w:val="none" w:sz="0" w:space="0" w:color="auto"/>
        <w:bottom w:val="none" w:sz="0" w:space="0" w:color="auto"/>
        <w:right w:val="none" w:sz="0" w:space="0" w:color="auto"/>
      </w:divBdr>
    </w:div>
    <w:div w:id="550927354">
      <w:bodyDiv w:val="1"/>
      <w:marLeft w:val="0"/>
      <w:marRight w:val="0"/>
      <w:marTop w:val="0"/>
      <w:marBottom w:val="0"/>
      <w:divBdr>
        <w:top w:val="none" w:sz="0" w:space="0" w:color="auto"/>
        <w:left w:val="none" w:sz="0" w:space="0" w:color="auto"/>
        <w:bottom w:val="none" w:sz="0" w:space="0" w:color="auto"/>
        <w:right w:val="none" w:sz="0" w:space="0" w:color="auto"/>
      </w:divBdr>
    </w:div>
    <w:div w:id="566647419">
      <w:bodyDiv w:val="1"/>
      <w:marLeft w:val="0"/>
      <w:marRight w:val="0"/>
      <w:marTop w:val="0"/>
      <w:marBottom w:val="0"/>
      <w:divBdr>
        <w:top w:val="none" w:sz="0" w:space="0" w:color="auto"/>
        <w:left w:val="none" w:sz="0" w:space="0" w:color="auto"/>
        <w:bottom w:val="none" w:sz="0" w:space="0" w:color="auto"/>
        <w:right w:val="none" w:sz="0" w:space="0" w:color="auto"/>
      </w:divBdr>
    </w:div>
    <w:div w:id="592082407">
      <w:bodyDiv w:val="1"/>
      <w:marLeft w:val="0"/>
      <w:marRight w:val="0"/>
      <w:marTop w:val="0"/>
      <w:marBottom w:val="0"/>
      <w:divBdr>
        <w:top w:val="none" w:sz="0" w:space="0" w:color="auto"/>
        <w:left w:val="none" w:sz="0" w:space="0" w:color="auto"/>
        <w:bottom w:val="none" w:sz="0" w:space="0" w:color="auto"/>
        <w:right w:val="none" w:sz="0" w:space="0" w:color="auto"/>
      </w:divBdr>
    </w:div>
    <w:div w:id="626281594">
      <w:bodyDiv w:val="1"/>
      <w:marLeft w:val="0"/>
      <w:marRight w:val="0"/>
      <w:marTop w:val="0"/>
      <w:marBottom w:val="0"/>
      <w:divBdr>
        <w:top w:val="none" w:sz="0" w:space="0" w:color="auto"/>
        <w:left w:val="none" w:sz="0" w:space="0" w:color="auto"/>
        <w:bottom w:val="none" w:sz="0" w:space="0" w:color="auto"/>
        <w:right w:val="none" w:sz="0" w:space="0" w:color="auto"/>
      </w:divBdr>
    </w:div>
    <w:div w:id="634872999">
      <w:bodyDiv w:val="1"/>
      <w:marLeft w:val="0"/>
      <w:marRight w:val="0"/>
      <w:marTop w:val="0"/>
      <w:marBottom w:val="0"/>
      <w:divBdr>
        <w:top w:val="none" w:sz="0" w:space="0" w:color="auto"/>
        <w:left w:val="none" w:sz="0" w:space="0" w:color="auto"/>
        <w:bottom w:val="none" w:sz="0" w:space="0" w:color="auto"/>
        <w:right w:val="none" w:sz="0" w:space="0" w:color="auto"/>
      </w:divBdr>
    </w:div>
    <w:div w:id="639500402">
      <w:bodyDiv w:val="1"/>
      <w:marLeft w:val="0"/>
      <w:marRight w:val="0"/>
      <w:marTop w:val="0"/>
      <w:marBottom w:val="0"/>
      <w:divBdr>
        <w:top w:val="none" w:sz="0" w:space="0" w:color="auto"/>
        <w:left w:val="none" w:sz="0" w:space="0" w:color="auto"/>
        <w:bottom w:val="none" w:sz="0" w:space="0" w:color="auto"/>
        <w:right w:val="none" w:sz="0" w:space="0" w:color="auto"/>
      </w:divBdr>
    </w:div>
    <w:div w:id="661392169">
      <w:bodyDiv w:val="1"/>
      <w:marLeft w:val="0"/>
      <w:marRight w:val="0"/>
      <w:marTop w:val="0"/>
      <w:marBottom w:val="0"/>
      <w:divBdr>
        <w:top w:val="none" w:sz="0" w:space="0" w:color="auto"/>
        <w:left w:val="none" w:sz="0" w:space="0" w:color="auto"/>
        <w:bottom w:val="none" w:sz="0" w:space="0" w:color="auto"/>
        <w:right w:val="none" w:sz="0" w:space="0" w:color="auto"/>
      </w:divBdr>
    </w:div>
    <w:div w:id="662389563">
      <w:bodyDiv w:val="1"/>
      <w:marLeft w:val="0"/>
      <w:marRight w:val="0"/>
      <w:marTop w:val="0"/>
      <w:marBottom w:val="0"/>
      <w:divBdr>
        <w:top w:val="none" w:sz="0" w:space="0" w:color="auto"/>
        <w:left w:val="none" w:sz="0" w:space="0" w:color="auto"/>
        <w:bottom w:val="none" w:sz="0" w:space="0" w:color="auto"/>
        <w:right w:val="none" w:sz="0" w:space="0" w:color="auto"/>
      </w:divBdr>
      <w:divsChild>
        <w:div w:id="1526167414">
          <w:marLeft w:val="0"/>
          <w:marRight w:val="0"/>
          <w:marTop w:val="0"/>
          <w:marBottom w:val="0"/>
          <w:divBdr>
            <w:top w:val="none" w:sz="0" w:space="0" w:color="auto"/>
            <w:left w:val="none" w:sz="0" w:space="0" w:color="auto"/>
            <w:bottom w:val="none" w:sz="0" w:space="0" w:color="auto"/>
            <w:right w:val="none" w:sz="0" w:space="0" w:color="auto"/>
          </w:divBdr>
          <w:divsChild>
            <w:div w:id="75592024">
              <w:marLeft w:val="0"/>
              <w:marRight w:val="0"/>
              <w:marTop w:val="0"/>
              <w:marBottom w:val="0"/>
              <w:divBdr>
                <w:top w:val="none" w:sz="0" w:space="0" w:color="auto"/>
                <w:left w:val="none" w:sz="0" w:space="0" w:color="auto"/>
                <w:bottom w:val="none" w:sz="0" w:space="0" w:color="auto"/>
                <w:right w:val="none" w:sz="0" w:space="0" w:color="auto"/>
              </w:divBdr>
              <w:divsChild>
                <w:div w:id="4993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005192">
          <w:marLeft w:val="0"/>
          <w:marRight w:val="0"/>
          <w:marTop w:val="0"/>
          <w:marBottom w:val="0"/>
          <w:divBdr>
            <w:top w:val="none" w:sz="0" w:space="0" w:color="auto"/>
            <w:left w:val="none" w:sz="0" w:space="0" w:color="auto"/>
            <w:bottom w:val="none" w:sz="0" w:space="0" w:color="auto"/>
            <w:right w:val="none" w:sz="0" w:space="0" w:color="auto"/>
          </w:divBdr>
          <w:divsChild>
            <w:div w:id="1310480852">
              <w:marLeft w:val="0"/>
              <w:marRight w:val="0"/>
              <w:marTop w:val="0"/>
              <w:marBottom w:val="0"/>
              <w:divBdr>
                <w:top w:val="none" w:sz="0" w:space="0" w:color="auto"/>
                <w:left w:val="none" w:sz="0" w:space="0" w:color="auto"/>
                <w:bottom w:val="none" w:sz="0" w:space="0" w:color="auto"/>
                <w:right w:val="none" w:sz="0" w:space="0" w:color="auto"/>
              </w:divBdr>
              <w:divsChild>
                <w:div w:id="46716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6738755">
          <w:marLeft w:val="0"/>
          <w:marRight w:val="0"/>
          <w:marTop w:val="0"/>
          <w:marBottom w:val="0"/>
          <w:divBdr>
            <w:top w:val="none" w:sz="0" w:space="0" w:color="auto"/>
            <w:left w:val="none" w:sz="0" w:space="0" w:color="auto"/>
            <w:bottom w:val="none" w:sz="0" w:space="0" w:color="auto"/>
            <w:right w:val="none" w:sz="0" w:space="0" w:color="auto"/>
          </w:divBdr>
        </w:div>
      </w:divsChild>
    </w:div>
    <w:div w:id="666860313">
      <w:bodyDiv w:val="1"/>
      <w:marLeft w:val="0"/>
      <w:marRight w:val="0"/>
      <w:marTop w:val="0"/>
      <w:marBottom w:val="0"/>
      <w:divBdr>
        <w:top w:val="none" w:sz="0" w:space="0" w:color="auto"/>
        <w:left w:val="none" w:sz="0" w:space="0" w:color="auto"/>
        <w:bottom w:val="none" w:sz="0" w:space="0" w:color="auto"/>
        <w:right w:val="none" w:sz="0" w:space="0" w:color="auto"/>
      </w:divBdr>
    </w:div>
    <w:div w:id="670181591">
      <w:bodyDiv w:val="1"/>
      <w:marLeft w:val="0"/>
      <w:marRight w:val="0"/>
      <w:marTop w:val="0"/>
      <w:marBottom w:val="0"/>
      <w:divBdr>
        <w:top w:val="none" w:sz="0" w:space="0" w:color="auto"/>
        <w:left w:val="none" w:sz="0" w:space="0" w:color="auto"/>
        <w:bottom w:val="none" w:sz="0" w:space="0" w:color="auto"/>
        <w:right w:val="none" w:sz="0" w:space="0" w:color="auto"/>
      </w:divBdr>
    </w:div>
    <w:div w:id="670521233">
      <w:bodyDiv w:val="1"/>
      <w:marLeft w:val="0"/>
      <w:marRight w:val="0"/>
      <w:marTop w:val="0"/>
      <w:marBottom w:val="0"/>
      <w:divBdr>
        <w:top w:val="none" w:sz="0" w:space="0" w:color="auto"/>
        <w:left w:val="none" w:sz="0" w:space="0" w:color="auto"/>
        <w:bottom w:val="none" w:sz="0" w:space="0" w:color="auto"/>
        <w:right w:val="none" w:sz="0" w:space="0" w:color="auto"/>
      </w:divBdr>
      <w:divsChild>
        <w:div w:id="291327956">
          <w:marLeft w:val="0"/>
          <w:marRight w:val="0"/>
          <w:marTop w:val="0"/>
          <w:marBottom w:val="0"/>
          <w:divBdr>
            <w:top w:val="none" w:sz="0" w:space="0" w:color="auto"/>
            <w:left w:val="none" w:sz="0" w:space="0" w:color="auto"/>
            <w:bottom w:val="none" w:sz="0" w:space="0" w:color="auto"/>
            <w:right w:val="none" w:sz="0" w:space="0" w:color="auto"/>
          </w:divBdr>
          <w:divsChild>
            <w:div w:id="1028722609">
              <w:marLeft w:val="0"/>
              <w:marRight w:val="0"/>
              <w:marTop w:val="0"/>
              <w:marBottom w:val="0"/>
              <w:divBdr>
                <w:top w:val="none" w:sz="0" w:space="0" w:color="auto"/>
                <w:left w:val="none" w:sz="0" w:space="0" w:color="auto"/>
                <w:bottom w:val="none" w:sz="0" w:space="0" w:color="auto"/>
                <w:right w:val="none" w:sz="0" w:space="0" w:color="auto"/>
              </w:divBdr>
              <w:divsChild>
                <w:div w:id="1395154342">
                  <w:marLeft w:val="0"/>
                  <w:marRight w:val="0"/>
                  <w:marTop w:val="0"/>
                  <w:marBottom w:val="0"/>
                  <w:divBdr>
                    <w:top w:val="none" w:sz="0" w:space="0" w:color="auto"/>
                    <w:left w:val="none" w:sz="0" w:space="0" w:color="auto"/>
                    <w:bottom w:val="none" w:sz="0" w:space="0" w:color="auto"/>
                    <w:right w:val="none" w:sz="0" w:space="0" w:color="auto"/>
                  </w:divBdr>
                  <w:divsChild>
                    <w:div w:id="2046246612">
                      <w:marLeft w:val="0"/>
                      <w:marRight w:val="0"/>
                      <w:marTop w:val="0"/>
                      <w:marBottom w:val="0"/>
                      <w:divBdr>
                        <w:top w:val="none" w:sz="0" w:space="0" w:color="auto"/>
                        <w:left w:val="none" w:sz="0" w:space="0" w:color="auto"/>
                        <w:bottom w:val="none" w:sz="0" w:space="0" w:color="auto"/>
                        <w:right w:val="none" w:sz="0" w:space="0" w:color="auto"/>
                      </w:divBdr>
                    </w:div>
                    <w:div w:id="2027825542">
                      <w:marLeft w:val="0"/>
                      <w:marRight w:val="0"/>
                      <w:marTop w:val="0"/>
                      <w:marBottom w:val="0"/>
                      <w:divBdr>
                        <w:top w:val="none" w:sz="0" w:space="0" w:color="auto"/>
                        <w:left w:val="none" w:sz="0" w:space="0" w:color="auto"/>
                        <w:bottom w:val="none" w:sz="0" w:space="0" w:color="auto"/>
                        <w:right w:val="none" w:sz="0" w:space="0" w:color="auto"/>
                      </w:divBdr>
                    </w:div>
                    <w:div w:id="126315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3503136">
      <w:bodyDiv w:val="1"/>
      <w:marLeft w:val="0"/>
      <w:marRight w:val="0"/>
      <w:marTop w:val="0"/>
      <w:marBottom w:val="0"/>
      <w:divBdr>
        <w:top w:val="none" w:sz="0" w:space="0" w:color="auto"/>
        <w:left w:val="none" w:sz="0" w:space="0" w:color="auto"/>
        <w:bottom w:val="none" w:sz="0" w:space="0" w:color="auto"/>
        <w:right w:val="none" w:sz="0" w:space="0" w:color="auto"/>
      </w:divBdr>
    </w:div>
    <w:div w:id="702554780">
      <w:bodyDiv w:val="1"/>
      <w:marLeft w:val="0"/>
      <w:marRight w:val="0"/>
      <w:marTop w:val="0"/>
      <w:marBottom w:val="0"/>
      <w:divBdr>
        <w:top w:val="none" w:sz="0" w:space="0" w:color="auto"/>
        <w:left w:val="none" w:sz="0" w:space="0" w:color="auto"/>
        <w:bottom w:val="none" w:sz="0" w:space="0" w:color="auto"/>
        <w:right w:val="none" w:sz="0" w:space="0" w:color="auto"/>
      </w:divBdr>
    </w:div>
    <w:div w:id="729808990">
      <w:bodyDiv w:val="1"/>
      <w:marLeft w:val="0"/>
      <w:marRight w:val="0"/>
      <w:marTop w:val="0"/>
      <w:marBottom w:val="0"/>
      <w:divBdr>
        <w:top w:val="none" w:sz="0" w:space="0" w:color="auto"/>
        <w:left w:val="none" w:sz="0" w:space="0" w:color="auto"/>
        <w:bottom w:val="none" w:sz="0" w:space="0" w:color="auto"/>
        <w:right w:val="none" w:sz="0" w:space="0" w:color="auto"/>
      </w:divBdr>
      <w:divsChild>
        <w:div w:id="1944066362">
          <w:marLeft w:val="0"/>
          <w:marRight w:val="0"/>
          <w:marTop w:val="0"/>
          <w:marBottom w:val="0"/>
          <w:divBdr>
            <w:top w:val="none" w:sz="0" w:space="0" w:color="auto"/>
            <w:left w:val="none" w:sz="0" w:space="0" w:color="auto"/>
            <w:bottom w:val="none" w:sz="0" w:space="0" w:color="auto"/>
            <w:right w:val="none" w:sz="0" w:space="0" w:color="auto"/>
          </w:divBdr>
        </w:div>
        <w:div w:id="1522167195">
          <w:marLeft w:val="0"/>
          <w:marRight w:val="0"/>
          <w:marTop w:val="0"/>
          <w:marBottom w:val="0"/>
          <w:divBdr>
            <w:top w:val="none" w:sz="0" w:space="0" w:color="auto"/>
            <w:left w:val="none" w:sz="0" w:space="0" w:color="auto"/>
            <w:bottom w:val="none" w:sz="0" w:space="0" w:color="auto"/>
            <w:right w:val="none" w:sz="0" w:space="0" w:color="auto"/>
          </w:divBdr>
        </w:div>
        <w:div w:id="1782918703">
          <w:marLeft w:val="0"/>
          <w:marRight w:val="0"/>
          <w:marTop w:val="0"/>
          <w:marBottom w:val="0"/>
          <w:divBdr>
            <w:top w:val="none" w:sz="0" w:space="0" w:color="auto"/>
            <w:left w:val="none" w:sz="0" w:space="0" w:color="auto"/>
            <w:bottom w:val="none" w:sz="0" w:space="0" w:color="auto"/>
            <w:right w:val="none" w:sz="0" w:space="0" w:color="auto"/>
          </w:divBdr>
        </w:div>
        <w:div w:id="1299609289">
          <w:marLeft w:val="0"/>
          <w:marRight w:val="0"/>
          <w:marTop w:val="0"/>
          <w:marBottom w:val="0"/>
          <w:divBdr>
            <w:top w:val="none" w:sz="0" w:space="0" w:color="auto"/>
            <w:left w:val="none" w:sz="0" w:space="0" w:color="auto"/>
            <w:bottom w:val="none" w:sz="0" w:space="0" w:color="auto"/>
            <w:right w:val="none" w:sz="0" w:space="0" w:color="auto"/>
          </w:divBdr>
        </w:div>
        <w:div w:id="1638297075">
          <w:marLeft w:val="0"/>
          <w:marRight w:val="0"/>
          <w:marTop w:val="0"/>
          <w:marBottom w:val="0"/>
          <w:divBdr>
            <w:top w:val="none" w:sz="0" w:space="0" w:color="auto"/>
            <w:left w:val="none" w:sz="0" w:space="0" w:color="auto"/>
            <w:bottom w:val="none" w:sz="0" w:space="0" w:color="auto"/>
            <w:right w:val="none" w:sz="0" w:space="0" w:color="auto"/>
          </w:divBdr>
        </w:div>
        <w:div w:id="643660101">
          <w:marLeft w:val="0"/>
          <w:marRight w:val="0"/>
          <w:marTop w:val="0"/>
          <w:marBottom w:val="0"/>
          <w:divBdr>
            <w:top w:val="none" w:sz="0" w:space="0" w:color="auto"/>
            <w:left w:val="none" w:sz="0" w:space="0" w:color="auto"/>
            <w:bottom w:val="none" w:sz="0" w:space="0" w:color="auto"/>
            <w:right w:val="none" w:sz="0" w:space="0" w:color="auto"/>
          </w:divBdr>
        </w:div>
        <w:div w:id="4867762">
          <w:marLeft w:val="0"/>
          <w:marRight w:val="0"/>
          <w:marTop w:val="0"/>
          <w:marBottom w:val="0"/>
          <w:divBdr>
            <w:top w:val="none" w:sz="0" w:space="0" w:color="auto"/>
            <w:left w:val="none" w:sz="0" w:space="0" w:color="auto"/>
            <w:bottom w:val="none" w:sz="0" w:space="0" w:color="auto"/>
            <w:right w:val="none" w:sz="0" w:space="0" w:color="auto"/>
          </w:divBdr>
        </w:div>
        <w:div w:id="895117964">
          <w:marLeft w:val="0"/>
          <w:marRight w:val="0"/>
          <w:marTop w:val="0"/>
          <w:marBottom w:val="0"/>
          <w:divBdr>
            <w:top w:val="none" w:sz="0" w:space="0" w:color="auto"/>
            <w:left w:val="none" w:sz="0" w:space="0" w:color="auto"/>
            <w:bottom w:val="none" w:sz="0" w:space="0" w:color="auto"/>
            <w:right w:val="none" w:sz="0" w:space="0" w:color="auto"/>
          </w:divBdr>
        </w:div>
      </w:divsChild>
    </w:div>
    <w:div w:id="733502423">
      <w:bodyDiv w:val="1"/>
      <w:marLeft w:val="0"/>
      <w:marRight w:val="0"/>
      <w:marTop w:val="0"/>
      <w:marBottom w:val="0"/>
      <w:divBdr>
        <w:top w:val="none" w:sz="0" w:space="0" w:color="auto"/>
        <w:left w:val="none" w:sz="0" w:space="0" w:color="auto"/>
        <w:bottom w:val="none" w:sz="0" w:space="0" w:color="auto"/>
        <w:right w:val="none" w:sz="0" w:space="0" w:color="auto"/>
      </w:divBdr>
    </w:div>
    <w:div w:id="734546454">
      <w:bodyDiv w:val="1"/>
      <w:marLeft w:val="0"/>
      <w:marRight w:val="0"/>
      <w:marTop w:val="0"/>
      <w:marBottom w:val="0"/>
      <w:divBdr>
        <w:top w:val="none" w:sz="0" w:space="0" w:color="auto"/>
        <w:left w:val="none" w:sz="0" w:space="0" w:color="auto"/>
        <w:bottom w:val="none" w:sz="0" w:space="0" w:color="auto"/>
        <w:right w:val="none" w:sz="0" w:space="0" w:color="auto"/>
      </w:divBdr>
    </w:div>
    <w:div w:id="735055634">
      <w:bodyDiv w:val="1"/>
      <w:marLeft w:val="0"/>
      <w:marRight w:val="0"/>
      <w:marTop w:val="0"/>
      <w:marBottom w:val="0"/>
      <w:divBdr>
        <w:top w:val="none" w:sz="0" w:space="0" w:color="auto"/>
        <w:left w:val="none" w:sz="0" w:space="0" w:color="auto"/>
        <w:bottom w:val="none" w:sz="0" w:space="0" w:color="auto"/>
        <w:right w:val="none" w:sz="0" w:space="0" w:color="auto"/>
      </w:divBdr>
      <w:divsChild>
        <w:div w:id="1111895294">
          <w:marLeft w:val="0"/>
          <w:marRight w:val="0"/>
          <w:marTop w:val="0"/>
          <w:marBottom w:val="0"/>
          <w:divBdr>
            <w:top w:val="none" w:sz="0" w:space="0" w:color="auto"/>
            <w:left w:val="none" w:sz="0" w:space="0" w:color="auto"/>
            <w:bottom w:val="none" w:sz="0" w:space="0" w:color="auto"/>
            <w:right w:val="none" w:sz="0" w:space="0" w:color="auto"/>
          </w:divBdr>
        </w:div>
      </w:divsChild>
    </w:div>
    <w:div w:id="745688866">
      <w:bodyDiv w:val="1"/>
      <w:marLeft w:val="0"/>
      <w:marRight w:val="0"/>
      <w:marTop w:val="0"/>
      <w:marBottom w:val="0"/>
      <w:divBdr>
        <w:top w:val="none" w:sz="0" w:space="0" w:color="auto"/>
        <w:left w:val="none" w:sz="0" w:space="0" w:color="auto"/>
        <w:bottom w:val="none" w:sz="0" w:space="0" w:color="auto"/>
        <w:right w:val="none" w:sz="0" w:space="0" w:color="auto"/>
      </w:divBdr>
      <w:divsChild>
        <w:div w:id="1444232258">
          <w:marLeft w:val="0"/>
          <w:marRight w:val="0"/>
          <w:marTop w:val="0"/>
          <w:marBottom w:val="0"/>
          <w:divBdr>
            <w:top w:val="none" w:sz="0" w:space="0" w:color="auto"/>
            <w:left w:val="none" w:sz="0" w:space="0" w:color="auto"/>
            <w:bottom w:val="none" w:sz="0" w:space="0" w:color="auto"/>
            <w:right w:val="none" w:sz="0" w:space="0" w:color="auto"/>
          </w:divBdr>
        </w:div>
        <w:div w:id="995110505">
          <w:marLeft w:val="0"/>
          <w:marRight w:val="0"/>
          <w:marTop w:val="0"/>
          <w:marBottom w:val="0"/>
          <w:divBdr>
            <w:top w:val="none" w:sz="0" w:space="0" w:color="auto"/>
            <w:left w:val="none" w:sz="0" w:space="0" w:color="auto"/>
            <w:bottom w:val="none" w:sz="0" w:space="0" w:color="auto"/>
            <w:right w:val="none" w:sz="0" w:space="0" w:color="auto"/>
          </w:divBdr>
        </w:div>
        <w:div w:id="397678051">
          <w:marLeft w:val="0"/>
          <w:marRight w:val="0"/>
          <w:marTop w:val="0"/>
          <w:marBottom w:val="0"/>
          <w:divBdr>
            <w:top w:val="none" w:sz="0" w:space="0" w:color="auto"/>
            <w:left w:val="none" w:sz="0" w:space="0" w:color="auto"/>
            <w:bottom w:val="none" w:sz="0" w:space="0" w:color="auto"/>
            <w:right w:val="none" w:sz="0" w:space="0" w:color="auto"/>
          </w:divBdr>
        </w:div>
        <w:div w:id="732192299">
          <w:marLeft w:val="0"/>
          <w:marRight w:val="0"/>
          <w:marTop w:val="0"/>
          <w:marBottom w:val="0"/>
          <w:divBdr>
            <w:top w:val="none" w:sz="0" w:space="0" w:color="auto"/>
            <w:left w:val="none" w:sz="0" w:space="0" w:color="auto"/>
            <w:bottom w:val="none" w:sz="0" w:space="0" w:color="auto"/>
            <w:right w:val="none" w:sz="0" w:space="0" w:color="auto"/>
          </w:divBdr>
        </w:div>
      </w:divsChild>
    </w:div>
    <w:div w:id="758869424">
      <w:bodyDiv w:val="1"/>
      <w:marLeft w:val="0"/>
      <w:marRight w:val="0"/>
      <w:marTop w:val="0"/>
      <w:marBottom w:val="0"/>
      <w:divBdr>
        <w:top w:val="none" w:sz="0" w:space="0" w:color="auto"/>
        <w:left w:val="none" w:sz="0" w:space="0" w:color="auto"/>
        <w:bottom w:val="none" w:sz="0" w:space="0" w:color="auto"/>
        <w:right w:val="none" w:sz="0" w:space="0" w:color="auto"/>
      </w:divBdr>
    </w:div>
    <w:div w:id="799492789">
      <w:bodyDiv w:val="1"/>
      <w:marLeft w:val="0"/>
      <w:marRight w:val="0"/>
      <w:marTop w:val="0"/>
      <w:marBottom w:val="0"/>
      <w:divBdr>
        <w:top w:val="none" w:sz="0" w:space="0" w:color="auto"/>
        <w:left w:val="none" w:sz="0" w:space="0" w:color="auto"/>
        <w:bottom w:val="none" w:sz="0" w:space="0" w:color="auto"/>
        <w:right w:val="none" w:sz="0" w:space="0" w:color="auto"/>
      </w:divBdr>
      <w:divsChild>
        <w:div w:id="2000113230">
          <w:marLeft w:val="0"/>
          <w:marRight w:val="0"/>
          <w:marTop w:val="0"/>
          <w:marBottom w:val="0"/>
          <w:divBdr>
            <w:top w:val="none" w:sz="0" w:space="0" w:color="auto"/>
            <w:left w:val="none" w:sz="0" w:space="0" w:color="auto"/>
            <w:bottom w:val="none" w:sz="0" w:space="0" w:color="auto"/>
            <w:right w:val="none" w:sz="0" w:space="0" w:color="auto"/>
          </w:divBdr>
        </w:div>
      </w:divsChild>
    </w:div>
    <w:div w:id="803738857">
      <w:bodyDiv w:val="1"/>
      <w:marLeft w:val="0"/>
      <w:marRight w:val="0"/>
      <w:marTop w:val="0"/>
      <w:marBottom w:val="0"/>
      <w:divBdr>
        <w:top w:val="none" w:sz="0" w:space="0" w:color="auto"/>
        <w:left w:val="none" w:sz="0" w:space="0" w:color="auto"/>
        <w:bottom w:val="none" w:sz="0" w:space="0" w:color="auto"/>
        <w:right w:val="none" w:sz="0" w:space="0" w:color="auto"/>
      </w:divBdr>
      <w:divsChild>
        <w:div w:id="1575310826">
          <w:marLeft w:val="0"/>
          <w:marRight w:val="0"/>
          <w:marTop w:val="0"/>
          <w:marBottom w:val="0"/>
          <w:divBdr>
            <w:top w:val="none" w:sz="0" w:space="0" w:color="auto"/>
            <w:left w:val="none" w:sz="0" w:space="0" w:color="auto"/>
            <w:bottom w:val="none" w:sz="0" w:space="0" w:color="auto"/>
            <w:right w:val="none" w:sz="0" w:space="0" w:color="auto"/>
          </w:divBdr>
        </w:div>
        <w:div w:id="296376097">
          <w:marLeft w:val="0"/>
          <w:marRight w:val="0"/>
          <w:marTop w:val="0"/>
          <w:marBottom w:val="0"/>
          <w:divBdr>
            <w:top w:val="none" w:sz="0" w:space="0" w:color="auto"/>
            <w:left w:val="none" w:sz="0" w:space="0" w:color="auto"/>
            <w:bottom w:val="none" w:sz="0" w:space="0" w:color="auto"/>
            <w:right w:val="none" w:sz="0" w:space="0" w:color="auto"/>
          </w:divBdr>
        </w:div>
      </w:divsChild>
    </w:div>
    <w:div w:id="808206775">
      <w:bodyDiv w:val="1"/>
      <w:marLeft w:val="0"/>
      <w:marRight w:val="0"/>
      <w:marTop w:val="0"/>
      <w:marBottom w:val="0"/>
      <w:divBdr>
        <w:top w:val="none" w:sz="0" w:space="0" w:color="auto"/>
        <w:left w:val="none" w:sz="0" w:space="0" w:color="auto"/>
        <w:bottom w:val="none" w:sz="0" w:space="0" w:color="auto"/>
        <w:right w:val="none" w:sz="0" w:space="0" w:color="auto"/>
      </w:divBdr>
      <w:divsChild>
        <w:div w:id="1800537600">
          <w:marLeft w:val="0"/>
          <w:marRight w:val="0"/>
          <w:marTop w:val="0"/>
          <w:marBottom w:val="0"/>
          <w:divBdr>
            <w:top w:val="none" w:sz="0" w:space="0" w:color="auto"/>
            <w:left w:val="none" w:sz="0" w:space="0" w:color="auto"/>
            <w:bottom w:val="none" w:sz="0" w:space="0" w:color="auto"/>
            <w:right w:val="none" w:sz="0" w:space="0" w:color="auto"/>
          </w:divBdr>
          <w:divsChild>
            <w:div w:id="116071228">
              <w:marLeft w:val="0"/>
              <w:marRight w:val="0"/>
              <w:marTop w:val="0"/>
              <w:marBottom w:val="0"/>
              <w:divBdr>
                <w:top w:val="none" w:sz="0" w:space="0" w:color="auto"/>
                <w:left w:val="none" w:sz="0" w:space="0" w:color="auto"/>
                <w:bottom w:val="none" w:sz="0" w:space="0" w:color="auto"/>
                <w:right w:val="none" w:sz="0" w:space="0" w:color="auto"/>
              </w:divBdr>
              <w:divsChild>
                <w:div w:id="921766476">
                  <w:marLeft w:val="0"/>
                  <w:marRight w:val="0"/>
                  <w:marTop w:val="0"/>
                  <w:marBottom w:val="0"/>
                  <w:divBdr>
                    <w:top w:val="none" w:sz="0" w:space="0" w:color="auto"/>
                    <w:left w:val="none" w:sz="0" w:space="0" w:color="auto"/>
                    <w:bottom w:val="none" w:sz="0" w:space="0" w:color="auto"/>
                    <w:right w:val="none" w:sz="0" w:space="0" w:color="auto"/>
                  </w:divBdr>
                  <w:divsChild>
                    <w:div w:id="1785534995">
                      <w:marLeft w:val="0"/>
                      <w:marRight w:val="0"/>
                      <w:marTop w:val="0"/>
                      <w:marBottom w:val="0"/>
                      <w:divBdr>
                        <w:top w:val="none" w:sz="0" w:space="0" w:color="auto"/>
                        <w:left w:val="none" w:sz="0" w:space="0" w:color="auto"/>
                        <w:bottom w:val="none" w:sz="0" w:space="0" w:color="auto"/>
                        <w:right w:val="none" w:sz="0" w:space="0" w:color="auto"/>
                      </w:divBdr>
                    </w:div>
                    <w:div w:id="1710715387">
                      <w:marLeft w:val="0"/>
                      <w:marRight w:val="0"/>
                      <w:marTop w:val="0"/>
                      <w:marBottom w:val="0"/>
                      <w:divBdr>
                        <w:top w:val="none" w:sz="0" w:space="0" w:color="auto"/>
                        <w:left w:val="none" w:sz="0" w:space="0" w:color="auto"/>
                        <w:bottom w:val="none" w:sz="0" w:space="0" w:color="auto"/>
                        <w:right w:val="none" w:sz="0" w:space="0" w:color="auto"/>
                      </w:divBdr>
                    </w:div>
                    <w:div w:id="133603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2506739">
      <w:bodyDiv w:val="1"/>
      <w:marLeft w:val="0"/>
      <w:marRight w:val="0"/>
      <w:marTop w:val="0"/>
      <w:marBottom w:val="0"/>
      <w:divBdr>
        <w:top w:val="none" w:sz="0" w:space="0" w:color="auto"/>
        <w:left w:val="none" w:sz="0" w:space="0" w:color="auto"/>
        <w:bottom w:val="none" w:sz="0" w:space="0" w:color="auto"/>
        <w:right w:val="none" w:sz="0" w:space="0" w:color="auto"/>
      </w:divBdr>
      <w:divsChild>
        <w:div w:id="1278298245">
          <w:marLeft w:val="0"/>
          <w:marRight w:val="0"/>
          <w:marTop w:val="0"/>
          <w:marBottom w:val="0"/>
          <w:divBdr>
            <w:top w:val="none" w:sz="0" w:space="0" w:color="auto"/>
            <w:left w:val="none" w:sz="0" w:space="0" w:color="auto"/>
            <w:bottom w:val="none" w:sz="0" w:space="0" w:color="auto"/>
            <w:right w:val="none" w:sz="0" w:space="0" w:color="auto"/>
          </w:divBdr>
          <w:divsChild>
            <w:div w:id="412623415">
              <w:marLeft w:val="0"/>
              <w:marRight w:val="0"/>
              <w:marTop w:val="0"/>
              <w:marBottom w:val="0"/>
              <w:divBdr>
                <w:top w:val="none" w:sz="0" w:space="0" w:color="auto"/>
                <w:left w:val="none" w:sz="0" w:space="0" w:color="auto"/>
                <w:bottom w:val="none" w:sz="0" w:space="0" w:color="auto"/>
                <w:right w:val="none" w:sz="0" w:space="0" w:color="auto"/>
              </w:divBdr>
            </w:div>
            <w:div w:id="599486471">
              <w:marLeft w:val="0"/>
              <w:marRight w:val="0"/>
              <w:marTop w:val="0"/>
              <w:marBottom w:val="0"/>
              <w:divBdr>
                <w:top w:val="none" w:sz="0" w:space="0" w:color="auto"/>
                <w:left w:val="none" w:sz="0" w:space="0" w:color="auto"/>
                <w:bottom w:val="none" w:sz="0" w:space="0" w:color="auto"/>
                <w:right w:val="none" w:sz="0" w:space="0" w:color="auto"/>
              </w:divBdr>
            </w:div>
            <w:div w:id="1392192320">
              <w:marLeft w:val="0"/>
              <w:marRight w:val="0"/>
              <w:marTop w:val="0"/>
              <w:marBottom w:val="0"/>
              <w:divBdr>
                <w:top w:val="none" w:sz="0" w:space="0" w:color="auto"/>
                <w:left w:val="none" w:sz="0" w:space="0" w:color="auto"/>
                <w:bottom w:val="none" w:sz="0" w:space="0" w:color="auto"/>
                <w:right w:val="none" w:sz="0" w:space="0" w:color="auto"/>
              </w:divBdr>
            </w:div>
            <w:div w:id="1069885463">
              <w:marLeft w:val="0"/>
              <w:marRight w:val="0"/>
              <w:marTop w:val="0"/>
              <w:marBottom w:val="0"/>
              <w:divBdr>
                <w:top w:val="none" w:sz="0" w:space="0" w:color="auto"/>
                <w:left w:val="none" w:sz="0" w:space="0" w:color="auto"/>
                <w:bottom w:val="none" w:sz="0" w:space="0" w:color="auto"/>
                <w:right w:val="none" w:sz="0" w:space="0" w:color="auto"/>
              </w:divBdr>
            </w:div>
            <w:div w:id="2097241576">
              <w:marLeft w:val="0"/>
              <w:marRight w:val="0"/>
              <w:marTop w:val="0"/>
              <w:marBottom w:val="0"/>
              <w:divBdr>
                <w:top w:val="none" w:sz="0" w:space="0" w:color="auto"/>
                <w:left w:val="none" w:sz="0" w:space="0" w:color="auto"/>
                <w:bottom w:val="none" w:sz="0" w:space="0" w:color="auto"/>
                <w:right w:val="none" w:sz="0" w:space="0" w:color="auto"/>
              </w:divBdr>
            </w:div>
            <w:div w:id="975181095">
              <w:marLeft w:val="0"/>
              <w:marRight w:val="0"/>
              <w:marTop w:val="0"/>
              <w:marBottom w:val="0"/>
              <w:divBdr>
                <w:top w:val="none" w:sz="0" w:space="0" w:color="auto"/>
                <w:left w:val="none" w:sz="0" w:space="0" w:color="auto"/>
                <w:bottom w:val="none" w:sz="0" w:space="0" w:color="auto"/>
                <w:right w:val="none" w:sz="0" w:space="0" w:color="auto"/>
              </w:divBdr>
            </w:div>
            <w:div w:id="289670849">
              <w:marLeft w:val="0"/>
              <w:marRight w:val="0"/>
              <w:marTop w:val="0"/>
              <w:marBottom w:val="0"/>
              <w:divBdr>
                <w:top w:val="none" w:sz="0" w:space="0" w:color="auto"/>
                <w:left w:val="none" w:sz="0" w:space="0" w:color="auto"/>
                <w:bottom w:val="none" w:sz="0" w:space="0" w:color="auto"/>
                <w:right w:val="none" w:sz="0" w:space="0" w:color="auto"/>
              </w:divBdr>
            </w:div>
            <w:div w:id="303396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928990">
      <w:bodyDiv w:val="1"/>
      <w:marLeft w:val="0"/>
      <w:marRight w:val="0"/>
      <w:marTop w:val="0"/>
      <w:marBottom w:val="0"/>
      <w:divBdr>
        <w:top w:val="none" w:sz="0" w:space="0" w:color="auto"/>
        <w:left w:val="none" w:sz="0" w:space="0" w:color="auto"/>
        <w:bottom w:val="none" w:sz="0" w:space="0" w:color="auto"/>
        <w:right w:val="none" w:sz="0" w:space="0" w:color="auto"/>
      </w:divBdr>
    </w:div>
    <w:div w:id="831528054">
      <w:bodyDiv w:val="1"/>
      <w:marLeft w:val="0"/>
      <w:marRight w:val="0"/>
      <w:marTop w:val="0"/>
      <w:marBottom w:val="0"/>
      <w:divBdr>
        <w:top w:val="none" w:sz="0" w:space="0" w:color="auto"/>
        <w:left w:val="none" w:sz="0" w:space="0" w:color="auto"/>
        <w:bottom w:val="none" w:sz="0" w:space="0" w:color="auto"/>
        <w:right w:val="none" w:sz="0" w:space="0" w:color="auto"/>
      </w:divBdr>
    </w:div>
    <w:div w:id="833690148">
      <w:bodyDiv w:val="1"/>
      <w:marLeft w:val="0"/>
      <w:marRight w:val="0"/>
      <w:marTop w:val="0"/>
      <w:marBottom w:val="0"/>
      <w:divBdr>
        <w:top w:val="none" w:sz="0" w:space="0" w:color="auto"/>
        <w:left w:val="none" w:sz="0" w:space="0" w:color="auto"/>
        <w:bottom w:val="none" w:sz="0" w:space="0" w:color="auto"/>
        <w:right w:val="none" w:sz="0" w:space="0" w:color="auto"/>
      </w:divBdr>
      <w:divsChild>
        <w:div w:id="1905218206">
          <w:marLeft w:val="0"/>
          <w:marRight w:val="0"/>
          <w:marTop w:val="0"/>
          <w:marBottom w:val="0"/>
          <w:divBdr>
            <w:top w:val="none" w:sz="0" w:space="0" w:color="auto"/>
            <w:left w:val="none" w:sz="0" w:space="0" w:color="auto"/>
            <w:bottom w:val="none" w:sz="0" w:space="0" w:color="auto"/>
            <w:right w:val="none" w:sz="0" w:space="0" w:color="auto"/>
          </w:divBdr>
          <w:divsChild>
            <w:div w:id="1301694522">
              <w:marLeft w:val="0"/>
              <w:marRight w:val="0"/>
              <w:marTop w:val="0"/>
              <w:marBottom w:val="0"/>
              <w:divBdr>
                <w:top w:val="none" w:sz="0" w:space="0" w:color="auto"/>
                <w:left w:val="none" w:sz="0" w:space="0" w:color="auto"/>
                <w:bottom w:val="none" w:sz="0" w:space="0" w:color="auto"/>
                <w:right w:val="none" w:sz="0" w:space="0" w:color="auto"/>
              </w:divBdr>
              <w:divsChild>
                <w:div w:id="486552658">
                  <w:marLeft w:val="0"/>
                  <w:marRight w:val="0"/>
                  <w:marTop w:val="0"/>
                  <w:marBottom w:val="0"/>
                  <w:divBdr>
                    <w:top w:val="none" w:sz="0" w:space="0" w:color="auto"/>
                    <w:left w:val="none" w:sz="0" w:space="0" w:color="auto"/>
                    <w:bottom w:val="none" w:sz="0" w:space="0" w:color="auto"/>
                    <w:right w:val="none" w:sz="0" w:space="0" w:color="auto"/>
                  </w:divBdr>
                  <w:divsChild>
                    <w:div w:id="1547571272">
                      <w:marLeft w:val="0"/>
                      <w:marRight w:val="0"/>
                      <w:marTop w:val="0"/>
                      <w:marBottom w:val="0"/>
                      <w:divBdr>
                        <w:top w:val="none" w:sz="0" w:space="0" w:color="auto"/>
                        <w:left w:val="none" w:sz="0" w:space="0" w:color="auto"/>
                        <w:bottom w:val="none" w:sz="0" w:space="0" w:color="auto"/>
                        <w:right w:val="none" w:sz="0" w:space="0" w:color="auto"/>
                      </w:divBdr>
                      <w:divsChild>
                        <w:div w:id="1198934914">
                          <w:marLeft w:val="0"/>
                          <w:marRight w:val="0"/>
                          <w:marTop w:val="0"/>
                          <w:marBottom w:val="0"/>
                          <w:divBdr>
                            <w:top w:val="none" w:sz="0" w:space="0" w:color="auto"/>
                            <w:left w:val="none" w:sz="0" w:space="0" w:color="auto"/>
                            <w:bottom w:val="none" w:sz="0" w:space="0" w:color="auto"/>
                            <w:right w:val="none" w:sz="0" w:space="0" w:color="auto"/>
                          </w:divBdr>
                        </w:div>
                        <w:div w:id="1658536881">
                          <w:marLeft w:val="0"/>
                          <w:marRight w:val="0"/>
                          <w:marTop w:val="0"/>
                          <w:marBottom w:val="0"/>
                          <w:divBdr>
                            <w:top w:val="none" w:sz="0" w:space="0" w:color="auto"/>
                            <w:left w:val="none" w:sz="0" w:space="0" w:color="auto"/>
                            <w:bottom w:val="none" w:sz="0" w:space="0" w:color="auto"/>
                            <w:right w:val="none" w:sz="0" w:space="0" w:color="auto"/>
                          </w:divBdr>
                        </w:div>
                        <w:div w:id="1893617757">
                          <w:marLeft w:val="0"/>
                          <w:marRight w:val="0"/>
                          <w:marTop w:val="0"/>
                          <w:marBottom w:val="0"/>
                          <w:divBdr>
                            <w:top w:val="none" w:sz="0" w:space="0" w:color="auto"/>
                            <w:left w:val="none" w:sz="0" w:space="0" w:color="auto"/>
                            <w:bottom w:val="none" w:sz="0" w:space="0" w:color="auto"/>
                            <w:right w:val="none" w:sz="0" w:space="0" w:color="auto"/>
                          </w:divBdr>
                        </w:div>
                        <w:div w:id="424882349">
                          <w:marLeft w:val="0"/>
                          <w:marRight w:val="0"/>
                          <w:marTop w:val="0"/>
                          <w:marBottom w:val="0"/>
                          <w:divBdr>
                            <w:top w:val="none" w:sz="0" w:space="0" w:color="auto"/>
                            <w:left w:val="none" w:sz="0" w:space="0" w:color="auto"/>
                            <w:bottom w:val="none" w:sz="0" w:space="0" w:color="auto"/>
                            <w:right w:val="none" w:sz="0" w:space="0" w:color="auto"/>
                          </w:divBdr>
                        </w:div>
                        <w:div w:id="190336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7638437">
          <w:marLeft w:val="0"/>
          <w:marRight w:val="0"/>
          <w:marTop w:val="0"/>
          <w:marBottom w:val="0"/>
          <w:divBdr>
            <w:top w:val="none" w:sz="0" w:space="0" w:color="auto"/>
            <w:left w:val="none" w:sz="0" w:space="0" w:color="auto"/>
            <w:bottom w:val="none" w:sz="0" w:space="0" w:color="auto"/>
            <w:right w:val="none" w:sz="0" w:space="0" w:color="auto"/>
          </w:divBdr>
          <w:divsChild>
            <w:div w:id="466510706">
              <w:marLeft w:val="0"/>
              <w:marRight w:val="0"/>
              <w:marTop w:val="0"/>
              <w:marBottom w:val="0"/>
              <w:divBdr>
                <w:top w:val="none" w:sz="0" w:space="0" w:color="auto"/>
                <w:left w:val="none" w:sz="0" w:space="0" w:color="auto"/>
                <w:bottom w:val="none" w:sz="0" w:space="0" w:color="auto"/>
                <w:right w:val="none" w:sz="0" w:space="0" w:color="auto"/>
              </w:divBdr>
              <w:divsChild>
                <w:div w:id="1900282447">
                  <w:marLeft w:val="0"/>
                  <w:marRight w:val="0"/>
                  <w:marTop w:val="0"/>
                  <w:marBottom w:val="0"/>
                  <w:divBdr>
                    <w:top w:val="none" w:sz="0" w:space="0" w:color="auto"/>
                    <w:left w:val="none" w:sz="0" w:space="0" w:color="auto"/>
                    <w:bottom w:val="none" w:sz="0" w:space="0" w:color="auto"/>
                    <w:right w:val="none" w:sz="0" w:space="0" w:color="auto"/>
                  </w:divBdr>
                  <w:divsChild>
                    <w:div w:id="792016279">
                      <w:marLeft w:val="0"/>
                      <w:marRight w:val="0"/>
                      <w:marTop w:val="0"/>
                      <w:marBottom w:val="0"/>
                      <w:divBdr>
                        <w:top w:val="none" w:sz="0" w:space="0" w:color="auto"/>
                        <w:left w:val="none" w:sz="0" w:space="0" w:color="auto"/>
                        <w:bottom w:val="none" w:sz="0" w:space="0" w:color="auto"/>
                        <w:right w:val="none" w:sz="0" w:space="0" w:color="auto"/>
                      </w:divBdr>
                      <w:divsChild>
                        <w:div w:id="237860477">
                          <w:marLeft w:val="0"/>
                          <w:marRight w:val="0"/>
                          <w:marTop w:val="0"/>
                          <w:marBottom w:val="0"/>
                          <w:divBdr>
                            <w:top w:val="none" w:sz="0" w:space="0" w:color="auto"/>
                            <w:left w:val="none" w:sz="0" w:space="0" w:color="auto"/>
                            <w:bottom w:val="none" w:sz="0" w:space="0" w:color="auto"/>
                            <w:right w:val="none" w:sz="0" w:space="0" w:color="auto"/>
                          </w:divBdr>
                        </w:div>
                        <w:div w:id="901213923">
                          <w:marLeft w:val="0"/>
                          <w:marRight w:val="0"/>
                          <w:marTop w:val="0"/>
                          <w:marBottom w:val="0"/>
                          <w:divBdr>
                            <w:top w:val="none" w:sz="0" w:space="0" w:color="auto"/>
                            <w:left w:val="none" w:sz="0" w:space="0" w:color="auto"/>
                            <w:bottom w:val="none" w:sz="0" w:space="0" w:color="auto"/>
                            <w:right w:val="none" w:sz="0" w:space="0" w:color="auto"/>
                          </w:divBdr>
                        </w:div>
                        <w:div w:id="420835016">
                          <w:marLeft w:val="0"/>
                          <w:marRight w:val="0"/>
                          <w:marTop w:val="0"/>
                          <w:marBottom w:val="0"/>
                          <w:divBdr>
                            <w:top w:val="none" w:sz="0" w:space="0" w:color="auto"/>
                            <w:left w:val="none" w:sz="0" w:space="0" w:color="auto"/>
                            <w:bottom w:val="none" w:sz="0" w:space="0" w:color="auto"/>
                            <w:right w:val="none" w:sz="0" w:space="0" w:color="auto"/>
                          </w:divBdr>
                        </w:div>
                        <w:div w:id="17878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0896905">
      <w:bodyDiv w:val="1"/>
      <w:marLeft w:val="0"/>
      <w:marRight w:val="0"/>
      <w:marTop w:val="0"/>
      <w:marBottom w:val="0"/>
      <w:divBdr>
        <w:top w:val="none" w:sz="0" w:space="0" w:color="auto"/>
        <w:left w:val="none" w:sz="0" w:space="0" w:color="auto"/>
        <w:bottom w:val="none" w:sz="0" w:space="0" w:color="auto"/>
        <w:right w:val="none" w:sz="0" w:space="0" w:color="auto"/>
      </w:divBdr>
    </w:div>
    <w:div w:id="844905372">
      <w:bodyDiv w:val="1"/>
      <w:marLeft w:val="0"/>
      <w:marRight w:val="0"/>
      <w:marTop w:val="0"/>
      <w:marBottom w:val="0"/>
      <w:divBdr>
        <w:top w:val="none" w:sz="0" w:space="0" w:color="auto"/>
        <w:left w:val="none" w:sz="0" w:space="0" w:color="auto"/>
        <w:bottom w:val="none" w:sz="0" w:space="0" w:color="auto"/>
        <w:right w:val="none" w:sz="0" w:space="0" w:color="auto"/>
      </w:divBdr>
    </w:div>
    <w:div w:id="847715202">
      <w:bodyDiv w:val="1"/>
      <w:marLeft w:val="0"/>
      <w:marRight w:val="0"/>
      <w:marTop w:val="0"/>
      <w:marBottom w:val="0"/>
      <w:divBdr>
        <w:top w:val="none" w:sz="0" w:space="0" w:color="auto"/>
        <w:left w:val="none" w:sz="0" w:space="0" w:color="auto"/>
        <w:bottom w:val="none" w:sz="0" w:space="0" w:color="auto"/>
        <w:right w:val="none" w:sz="0" w:space="0" w:color="auto"/>
      </w:divBdr>
    </w:div>
    <w:div w:id="882449906">
      <w:bodyDiv w:val="1"/>
      <w:marLeft w:val="0"/>
      <w:marRight w:val="0"/>
      <w:marTop w:val="0"/>
      <w:marBottom w:val="0"/>
      <w:divBdr>
        <w:top w:val="none" w:sz="0" w:space="0" w:color="auto"/>
        <w:left w:val="none" w:sz="0" w:space="0" w:color="auto"/>
        <w:bottom w:val="none" w:sz="0" w:space="0" w:color="auto"/>
        <w:right w:val="none" w:sz="0" w:space="0" w:color="auto"/>
      </w:divBdr>
      <w:divsChild>
        <w:div w:id="1128619443">
          <w:marLeft w:val="0"/>
          <w:marRight w:val="0"/>
          <w:marTop w:val="0"/>
          <w:marBottom w:val="0"/>
          <w:divBdr>
            <w:top w:val="none" w:sz="0" w:space="0" w:color="auto"/>
            <w:left w:val="none" w:sz="0" w:space="0" w:color="auto"/>
            <w:bottom w:val="none" w:sz="0" w:space="0" w:color="auto"/>
            <w:right w:val="none" w:sz="0" w:space="0" w:color="auto"/>
          </w:divBdr>
        </w:div>
        <w:div w:id="989478272">
          <w:marLeft w:val="0"/>
          <w:marRight w:val="0"/>
          <w:marTop w:val="0"/>
          <w:marBottom w:val="0"/>
          <w:divBdr>
            <w:top w:val="none" w:sz="0" w:space="0" w:color="auto"/>
            <w:left w:val="none" w:sz="0" w:space="0" w:color="auto"/>
            <w:bottom w:val="none" w:sz="0" w:space="0" w:color="auto"/>
            <w:right w:val="none" w:sz="0" w:space="0" w:color="auto"/>
          </w:divBdr>
        </w:div>
        <w:div w:id="1948465329">
          <w:marLeft w:val="0"/>
          <w:marRight w:val="0"/>
          <w:marTop w:val="0"/>
          <w:marBottom w:val="0"/>
          <w:divBdr>
            <w:top w:val="none" w:sz="0" w:space="0" w:color="auto"/>
            <w:left w:val="none" w:sz="0" w:space="0" w:color="auto"/>
            <w:bottom w:val="none" w:sz="0" w:space="0" w:color="auto"/>
            <w:right w:val="none" w:sz="0" w:space="0" w:color="auto"/>
          </w:divBdr>
        </w:div>
        <w:div w:id="2089039169">
          <w:marLeft w:val="0"/>
          <w:marRight w:val="0"/>
          <w:marTop w:val="0"/>
          <w:marBottom w:val="0"/>
          <w:divBdr>
            <w:top w:val="none" w:sz="0" w:space="0" w:color="auto"/>
            <w:left w:val="none" w:sz="0" w:space="0" w:color="auto"/>
            <w:bottom w:val="none" w:sz="0" w:space="0" w:color="auto"/>
            <w:right w:val="none" w:sz="0" w:space="0" w:color="auto"/>
          </w:divBdr>
        </w:div>
        <w:div w:id="363675804">
          <w:marLeft w:val="0"/>
          <w:marRight w:val="0"/>
          <w:marTop w:val="0"/>
          <w:marBottom w:val="0"/>
          <w:divBdr>
            <w:top w:val="none" w:sz="0" w:space="0" w:color="auto"/>
            <w:left w:val="none" w:sz="0" w:space="0" w:color="auto"/>
            <w:bottom w:val="none" w:sz="0" w:space="0" w:color="auto"/>
            <w:right w:val="none" w:sz="0" w:space="0" w:color="auto"/>
          </w:divBdr>
        </w:div>
        <w:div w:id="865097104">
          <w:marLeft w:val="0"/>
          <w:marRight w:val="0"/>
          <w:marTop w:val="0"/>
          <w:marBottom w:val="0"/>
          <w:divBdr>
            <w:top w:val="none" w:sz="0" w:space="0" w:color="auto"/>
            <w:left w:val="none" w:sz="0" w:space="0" w:color="auto"/>
            <w:bottom w:val="none" w:sz="0" w:space="0" w:color="auto"/>
            <w:right w:val="none" w:sz="0" w:space="0" w:color="auto"/>
          </w:divBdr>
        </w:div>
        <w:div w:id="637103960">
          <w:marLeft w:val="0"/>
          <w:marRight w:val="0"/>
          <w:marTop w:val="0"/>
          <w:marBottom w:val="0"/>
          <w:divBdr>
            <w:top w:val="none" w:sz="0" w:space="0" w:color="auto"/>
            <w:left w:val="none" w:sz="0" w:space="0" w:color="auto"/>
            <w:bottom w:val="none" w:sz="0" w:space="0" w:color="auto"/>
            <w:right w:val="none" w:sz="0" w:space="0" w:color="auto"/>
          </w:divBdr>
        </w:div>
        <w:div w:id="541792842">
          <w:marLeft w:val="0"/>
          <w:marRight w:val="0"/>
          <w:marTop w:val="0"/>
          <w:marBottom w:val="0"/>
          <w:divBdr>
            <w:top w:val="none" w:sz="0" w:space="0" w:color="auto"/>
            <w:left w:val="none" w:sz="0" w:space="0" w:color="auto"/>
            <w:bottom w:val="none" w:sz="0" w:space="0" w:color="auto"/>
            <w:right w:val="none" w:sz="0" w:space="0" w:color="auto"/>
          </w:divBdr>
        </w:div>
        <w:div w:id="477041446">
          <w:marLeft w:val="0"/>
          <w:marRight w:val="0"/>
          <w:marTop w:val="0"/>
          <w:marBottom w:val="0"/>
          <w:divBdr>
            <w:top w:val="none" w:sz="0" w:space="0" w:color="auto"/>
            <w:left w:val="none" w:sz="0" w:space="0" w:color="auto"/>
            <w:bottom w:val="none" w:sz="0" w:space="0" w:color="auto"/>
            <w:right w:val="none" w:sz="0" w:space="0" w:color="auto"/>
          </w:divBdr>
        </w:div>
      </w:divsChild>
    </w:div>
    <w:div w:id="892543192">
      <w:bodyDiv w:val="1"/>
      <w:marLeft w:val="0"/>
      <w:marRight w:val="0"/>
      <w:marTop w:val="0"/>
      <w:marBottom w:val="0"/>
      <w:divBdr>
        <w:top w:val="none" w:sz="0" w:space="0" w:color="auto"/>
        <w:left w:val="none" w:sz="0" w:space="0" w:color="auto"/>
        <w:bottom w:val="none" w:sz="0" w:space="0" w:color="auto"/>
        <w:right w:val="none" w:sz="0" w:space="0" w:color="auto"/>
      </w:divBdr>
    </w:div>
    <w:div w:id="894973320">
      <w:bodyDiv w:val="1"/>
      <w:marLeft w:val="0"/>
      <w:marRight w:val="0"/>
      <w:marTop w:val="0"/>
      <w:marBottom w:val="0"/>
      <w:divBdr>
        <w:top w:val="none" w:sz="0" w:space="0" w:color="auto"/>
        <w:left w:val="none" w:sz="0" w:space="0" w:color="auto"/>
        <w:bottom w:val="none" w:sz="0" w:space="0" w:color="auto"/>
        <w:right w:val="none" w:sz="0" w:space="0" w:color="auto"/>
      </w:divBdr>
      <w:divsChild>
        <w:div w:id="1909219247">
          <w:marLeft w:val="0"/>
          <w:marRight w:val="0"/>
          <w:marTop w:val="0"/>
          <w:marBottom w:val="0"/>
          <w:divBdr>
            <w:top w:val="none" w:sz="0" w:space="0" w:color="auto"/>
            <w:left w:val="none" w:sz="0" w:space="0" w:color="auto"/>
            <w:bottom w:val="none" w:sz="0" w:space="0" w:color="auto"/>
            <w:right w:val="none" w:sz="0" w:space="0" w:color="auto"/>
          </w:divBdr>
        </w:div>
        <w:div w:id="1322277358">
          <w:marLeft w:val="0"/>
          <w:marRight w:val="0"/>
          <w:marTop w:val="0"/>
          <w:marBottom w:val="0"/>
          <w:divBdr>
            <w:top w:val="none" w:sz="0" w:space="0" w:color="auto"/>
            <w:left w:val="none" w:sz="0" w:space="0" w:color="auto"/>
            <w:bottom w:val="none" w:sz="0" w:space="0" w:color="auto"/>
            <w:right w:val="none" w:sz="0" w:space="0" w:color="auto"/>
          </w:divBdr>
        </w:div>
      </w:divsChild>
    </w:div>
    <w:div w:id="901644447">
      <w:bodyDiv w:val="1"/>
      <w:marLeft w:val="0"/>
      <w:marRight w:val="0"/>
      <w:marTop w:val="0"/>
      <w:marBottom w:val="0"/>
      <w:divBdr>
        <w:top w:val="none" w:sz="0" w:space="0" w:color="auto"/>
        <w:left w:val="none" w:sz="0" w:space="0" w:color="auto"/>
        <w:bottom w:val="none" w:sz="0" w:space="0" w:color="auto"/>
        <w:right w:val="none" w:sz="0" w:space="0" w:color="auto"/>
      </w:divBdr>
      <w:divsChild>
        <w:div w:id="210533970">
          <w:marLeft w:val="0"/>
          <w:marRight w:val="0"/>
          <w:marTop w:val="0"/>
          <w:marBottom w:val="0"/>
          <w:divBdr>
            <w:top w:val="none" w:sz="0" w:space="0" w:color="auto"/>
            <w:left w:val="none" w:sz="0" w:space="0" w:color="auto"/>
            <w:bottom w:val="none" w:sz="0" w:space="0" w:color="auto"/>
            <w:right w:val="none" w:sz="0" w:space="0" w:color="auto"/>
          </w:divBdr>
          <w:divsChild>
            <w:div w:id="1529835575">
              <w:marLeft w:val="0"/>
              <w:marRight w:val="0"/>
              <w:marTop w:val="0"/>
              <w:marBottom w:val="0"/>
              <w:divBdr>
                <w:top w:val="none" w:sz="0" w:space="0" w:color="auto"/>
                <w:left w:val="none" w:sz="0" w:space="0" w:color="auto"/>
                <w:bottom w:val="none" w:sz="0" w:space="0" w:color="auto"/>
                <w:right w:val="none" w:sz="0" w:space="0" w:color="auto"/>
              </w:divBdr>
              <w:divsChild>
                <w:div w:id="1181551245">
                  <w:marLeft w:val="0"/>
                  <w:marRight w:val="0"/>
                  <w:marTop w:val="0"/>
                  <w:marBottom w:val="0"/>
                  <w:divBdr>
                    <w:top w:val="none" w:sz="0" w:space="0" w:color="auto"/>
                    <w:left w:val="none" w:sz="0" w:space="0" w:color="auto"/>
                    <w:bottom w:val="none" w:sz="0" w:space="0" w:color="auto"/>
                    <w:right w:val="none" w:sz="0" w:space="0" w:color="auto"/>
                  </w:divBdr>
                  <w:divsChild>
                    <w:div w:id="385645488">
                      <w:marLeft w:val="0"/>
                      <w:marRight w:val="0"/>
                      <w:marTop w:val="0"/>
                      <w:marBottom w:val="0"/>
                      <w:divBdr>
                        <w:top w:val="none" w:sz="0" w:space="0" w:color="auto"/>
                        <w:left w:val="none" w:sz="0" w:space="0" w:color="auto"/>
                        <w:bottom w:val="none" w:sz="0" w:space="0" w:color="auto"/>
                        <w:right w:val="none" w:sz="0" w:space="0" w:color="auto"/>
                      </w:divBdr>
                    </w:div>
                    <w:div w:id="1052777179">
                      <w:marLeft w:val="0"/>
                      <w:marRight w:val="0"/>
                      <w:marTop w:val="0"/>
                      <w:marBottom w:val="0"/>
                      <w:divBdr>
                        <w:top w:val="none" w:sz="0" w:space="0" w:color="auto"/>
                        <w:left w:val="none" w:sz="0" w:space="0" w:color="auto"/>
                        <w:bottom w:val="none" w:sz="0" w:space="0" w:color="auto"/>
                        <w:right w:val="none" w:sz="0" w:space="0" w:color="auto"/>
                      </w:divBdr>
                    </w:div>
                    <w:div w:id="1333724012">
                      <w:marLeft w:val="0"/>
                      <w:marRight w:val="0"/>
                      <w:marTop w:val="0"/>
                      <w:marBottom w:val="0"/>
                      <w:divBdr>
                        <w:top w:val="none" w:sz="0" w:space="0" w:color="auto"/>
                        <w:left w:val="none" w:sz="0" w:space="0" w:color="auto"/>
                        <w:bottom w:val="none" w:sz="0" w:space="0" w:color="auto"/>
                        <w:right w:val="none" w:sz="0" w:space="0" w:color="auto"/>
                      </w:divBdr>
                    </w:div>
                    <w:div w:id="1360937718">
                      <w:marLeft w:val="0"/>
                      <w:marRight w:val="0"/>
                      <w:marTop w:val="0"/>
                      <w:marBottom w:val="0"/>
                      <w:divBdr>
                        <w:top w:val="none" w:sz="0" w:space="0" w:color="auto"/>
                        <w:left w:val="none" w:sz="0" w:space="0" w:color="auto"/>
                        <w:bottom w:val="none" w:sz="0" w:space="0" w:color="auto"/>
                        <w:right w:val="none" w:sz="0" w:space="0" w:color="auto"/>
                      </w:divBdr>
                    </w:div>
                    <w:div w:id="1715234780">
                      <w:marLeft w:val="0"/>
                      <w:marRight w:val="0"/>
                      <w:marTop w:val="0"/>
                      <w:marBottom w:val="0"/>
                      <w:divBdr>
                        <w:top w:val="none" w:sz="0" w:space="0" w:color="auto"/>
                        <w:left w:val="none" w:sz="0" w:space="0" w:color="auto"/>
                        <w:bottom w:val="none" w:sz="0" w:space="0" w:color="auto"/>
                        <w:right w:val="none" w:sz="0" w:space="0" w:color="auto"/>
                      </w:divBdr>
                    </w:div>
                    <w:div w:id="41150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8927357">
      <w:bodyDiv w:val="1"/>
      <w:marLeft w:val="0"/>
      <w:marRight w:val="0"/>
      <w:marTop w:val="0"/>
      <w:marBottom w:val="0"/>
      <w:divBdr>
        <w:top w:val="none" w:sz="0" w:space="0" w:color="auto"/>
        <w:left w:val="none" w:sz="0" w:space="0" w:color="auto"/>
        <w:bottom w:val="none" w:sz="0" w:space="0" w:color="auto"/>
        <w:right w:val="none" w:sz="0" w:space="0" w:color="auto"/>
      </w:divBdr>
    </w:div>
    <w:div w:id="922760771">
      <w:bodyDiv w:val="1"/>
      <w:marLeft w:val="0"/>
      <w:marRight w:val="0"/>
      <w:marTop w:val="0"/>
      <w:marBottom w:val="0"/>
      <w:divBdr>
        <w:top w:val="none" w:sz="0" w:space="0" w:color="auto"/>
        <w:left w:val="none" w:sz="0" w:space="0" w:color="auto"/>
        <w:bottom w:val="none" w:sz="0" w:space="0" w:color="auto"/>
        <w:right w:val="none" w:sz="0" w:space="0" w:color="auto"/>
      </w:divBdr>
    </w:div>
    <w:div w:id="931088411">
      <w:bodyDiv w:val="1"/>
      <w:marLeft w:val="0"/>
      <w:marRight w:val="0"/>
      <w:marTop w:val="0"/>
      <w:marBottom w:val="0"/>
      <w:divBdr>
        <w:top w:val="none" w:sz="0" w:space="0" w:color="auto"/>
        <w:left w:val="none" w:sz="0" w:space="0" w:color="auto"/>
        <w:bottom w:val="none" w:sz="0" w:space="0" w:color="auto"/>
        <w:right w:val="none" w:sz="0" w:space="0" w:color="auto"/>
      </w:divBdr>
      <w:divsChild>
        <w:div w:id="1993488978">
          <w:marLeft w:val="0"/>
          <w:marRight w:val="0"/>
          <w:marTop w:val="0"/>
          <w:marBottom w:val="0"/>
          <w:divBdr>
            <w:top w:val="none" w:sz="0" w:space="0" w:color="auto"/>
            <w:left w:val="none" w:sz="0" w:space="0" w:color="auto"/>
            <w:bottom w:val="none" w:sz="0" w:space="0" w:color="auto"/>
            <w:right w:val="none" w:sz="0" w:space="0" w:color="auto"/>
          </w:divBdr>
        </w:div>
        <w:div w:id="1662779850">
          <w:marLeft w:val="0"/>
          <w:marRight w:val="0"/>
          <w:marTop w:val="0"/>
          <w:marBottom w:val="0"/>
          <w:divBdr>
            <w:top w:val="none" w:sz="0" w:space="0" w:color="auto"/>
            <w:left w:val="none" w:sz="0" w:space="0" w:color="auto"/>
            <w:bottom w:val="none" w:sz="0" w:space="0" w:color="auto"/>
            <w:right w:val="none" w:sz="0" w:space="0" w:color="auto"/>
          </w:divBdr>
        </w:div>
      </w:divsChild>
    </w:div>
    <w:div w:id="953172465">
      <w:bodyDiv w:val="1"/>
      <w:marLeft w:val="0"/>
      <w:marRight w:val="0"/>
      <w:marTop w:val="0"/>
      <w:marBottom w:val="0"/>
      <w:divBdr>
        <w:top w:val="none" w:sz="0" w:space="0" w:color="auto"/>
        <w:left w:val="none" w:sz="0" w:space="0" w:color="auto"/>
        <w:bottom w:val="none" w:sz="0" w:space="0" w:color="auto"/>
        <w:right w:val="none" w:sz="0" w:space="0" w:color="auto"/>
      </w:divBdr>
    </w:div>
    <w:div w:id="993991510">
      <w:bodyDiv w:val="1"/>
      <w:marLeft w:val="0"/>
      <w:marRight w:val="0"/>
      <w:marTop w:val="0"/>
      <w:marBottom w:val="0"/>
      <w:divBdr>
        <w:top w:val="none" w:sz="0" w:space="0" w:color="auto"/>
        <w:left w:val="none" w:sz="0" w:space="0" w:color="auto"/>
        <w:bottom w:val="none" w:sz="0" w:space="0" w:color="auto"/>
        <w:right w:val="none" w:sz="0" w:space="0" w:color="auto"/>
      </w:divBdr>
      <w:divsChild>
        <w:div w:id="992368528">
          <w:marLeft w:val="0"/>
          <w:marRight w:val="0"/>
          <w:marTop w:val="0"/>
          <w:marBottom w:val="0"/>
          <w:divBdr>
            <w:top w:val="none" w:sz="0" w:space="0" w:color="auto"/>
            <w:left w:val="none" w:sz="0" w:space="0" w:color="auto"/>
            <w:bottom w:val="none" w:sz="0" w:space="0" w:color="auto"/>
            <w:right w:val="none" w:sz="0" w:space="0" w:color="auto"/>
          </w:divBdr>
        </w:div>
        <w:div w:id="1058287022">
          <w:marLeft w:val="0"/>
          <w:marRight w:val="0"/>
          <w:marTop w:val="0"/>
          <w:marBottom w:val="0"/>
          <w:divBdr>
            <w:top w:val="none" w:sz="0" w:space="0" w:color="auto"/>
            <w:left w:val="none" w:sz="0" w:space="0" w:color="auto"/>
            <w:bottom w:val="none" w:sz="0" w:space="0" w:color="auto"/>
            <w:right w:val="none" w:sz="0" w:space="0" w:color="auto"/>
          </w:divBdr>
        </w:div>
        <w:div w:id="2003772560">
          <w:marLeft w:val="0"/>
          <w:marRight w:val="0"/>
          <w:marTop w:val="0"/>
          <w:marBottom w:val="0"/>
          <w:divBdr>
            <w:top w:val="none" w:sz="0" w:space="0" w:color="auto"/>
            <w:left w:val="none" w:sz="0" w:space="0" w:color="auto"/>
            <w:bottom w:val="none" w:sz="0" w:space="0" w:color="auto"/>
            <w:right w:val="none" w:sz="0" w:space="0" w:color="auto"/>
          </w:divBdr>
        </w:div>
        <w:div w:id="1038697171">
          <w:marLeft w:val="0"/>
          <w:marRight w:val="0"/>
          <w:marTop w:val="0"/>
          <w:marBottom w:val="0"/>
          <w:divBdr>
            <w:top w:val="none" w:sz="0" w:space="0" w:color="auto"/>
            <w:left w:val="none" w:sz="0" w:space="0" w:color="auto"/>
            <w:bottom w:val="none" w:sz="0" w:space="0" w:color="auto"/>
            <w:right w:val="none" w:sz="0" w:space="0" w:color="auto"/>
          </w:divBdr>
        </w:div>
      </w:divsChild>
    </w:div>
    <w:div w:id="1001549041">
      <w:bodyDiv w:val="1"/>
      <w:marLeft w:val="0"/>
      <w:marRight w:val="0"/>
      <w:marTop w:val="0"/>
      <w:marBottom w:val="0"/>
      <w:divBdr>
        <w:top w:val="none" w:sz="0" w:space="0" w:color="auto"/>
        <w:left w:val="none" w:sz="0" w:space="0" w:color="auto"/>
        <w:bottom w:val="none" w:sz="0" w:space="0" w:color="auto"/>
        <w:right w:val="none" w:sz="0" w:space="0" w:color="auto"/>
      </w:divBdr>
    </w:div>
    <w:div w:id="1023047217">
      <w:bodyDiv w:val="1"/>
      <w:marLeft w:val="0"/>
      <w:marRight w:val="0"/>
      <w:marTop w:val="0"/>
      <w:marBottom w:val="0"/>
      <w:divBdr>
        <w:top w:val="none" w:sz="0" w:space="0" w:color="auto"/>
        <w:left w:val="none" w:sz="0" w:space="0" w:color="auto"/>
        <w:bottom w:val="none" w:sz="0" w:space="0" w:color="auto"/>
        <w:right w:val="none" w:sz="0" w:space="0" w:color="auto"/>
      </w:divBdr>
    </w:div>
    <w:div w:id="1051878772">
      <w:bodyDiv w:val="1"/>
      <w:marLeft w:val="0"/>
      <w:marRight w:val="0"/>
      <w:marTop w:val="0"/>
      <w:marBottom w:val="0"/>
      <w:divBdr>
        <w:top w:val="none" w:sz="0" w:space="0" w:color="auto"/>
        <w:left w:val="none" w:sz="0" w:space="0" w:color="auto"/>
        <w:bottom w:val="none" w:sz="0" w:space="0" w:color="auto"/>
        <w:right w:val="none" w:sz="0" w:space="0" w:color="auto"/>
      </w:divBdr>
    </w:div>
    <w:div w:id="1075708688">
      <w:bodyDiv w:val="1"/>
      <w:marLeft w:val="0"/>
      <w:marRight w:val="0"/>
      <w:marTop w:val="0"/>
      <w:marBottom w:val="0"/>
      <w:divBdr>
        <w:top w:val="none" w:sz="0" w:space="0" w:color="auto"/>
        <w:left w:val="none" w:sz="0" w:space="0" w:color="auto"/>
        <w:bottom w:val="none" w:sz="0" w:space="0" w:color="auto"/>
        <w:right w:val="none" w:sz="0" w:space="0" w:color="auto"/>
      </w:divBdr>
      <w:divsChild>
        <w:div w:id="1806509484">
          <w:marLeft w:val="0"/>
          <w:marRight w:val="0"/>
          <w:marTop w:val="0"/>
          <w:marBottom w:val="0"/>
          <w:divBdr>
            <w:top w:val="none" w:sz="0" w:space="0" w:color="auto"/>
            <w:left w:val="none" w:sz="0" w:space="0" w:color="auto"/>
            <w:bottom w:val="none" w:sz="0" w:space="0" w:color="auto"/>
            <w:right w:val="none" w:sz="0" w:space="0" w:color="auto"/>
          </w:divBdr>
        </w:div>
      </w:divsChild>
    </w:div>
    <w:div w:id="1128282379">
      <w:bodyDiv w:val="1"/>
      <w:marLeft w:val="0"/>
      <w:marRight w:val="0"/>
      <w:marTop w:val="0"/>
      <w:marBottom w:val="0"/>
      <w:divBdr>
        <w:top w:val="none" w:sz="0" w:space="0" w:color="auto"/>
        <w:left w:val="none" w:sz="0" w:space="0" w:color="auto"/>
        <w:bottom w:val="none" w:sz="0" w:space="0" w:color="auto"/>
        <w:right w:val="none" w:sz="0" w:space="0" w:color="auto"/>
      </w:divBdr>
    </w:div>
    <w:div w:id="1132988955">
      <w:bodyDiv w:val="1"/>
      <w:marLeft w:val="0"/>
      <w:marRight w:val="0"/>
      <w:marTop w:val="0"/>
      <w:marBottom w:val="0"/>
      <w:divBdr>
        <w:top w:val="none" w:sz="0" w:space="0" w:color="auto"/>
        <w:left w:val="none" w:sz="0" w:space="0" w:color="auto"/>
        <w:bottom w:val="none" w:sz="0" w:space="0" w:color="auto"/>
        <w:right w:val="none" w:sz="0" w:space="0" w:color="auto"/>
      </w:divBdr>
    </w:div>
    <w:div w:id="1137987725">
      <w:bodyDiv w:val="1"/>
      <w:marLeft w:val="0"/>
      <w:marRight w:val="0"/>
      <w:marTop w:val="0"/>
      <w:marBottom w:val="0"/>
      <w:divBdr>
        <w:top w:val="none" w:sz="0" w:space="0" w:color="auto"/>
        <w:left w:val="none" w:sz="0" w:space="0" w:color="auto"/>
        <w:bottom w:val="none" w:sz="0" w:space="0" w:color="auto"/>
        <w:right w:val="none" w:sz="0" w:space="0" w:color="auto"/>
      </w:divBdr>
      <w:divsChild>
        <w:div w:id="254704187">
          <w:marLeft w:val="0"/>
          <w:marRight w:val="0"/>
          <w:marTop w:val="0"/>
          <w:marBottom w:val="0"/>
          <w:divBdr>
            <w:top w:val="none" w:sz="0" w:space="0" w:color="auto"/>
            <w:left w:val="none" w:sz="0" w:space="0" w:color="auto"/>
            <w:bottom w:val="none" w:sz="0" w:space="0" w:color="auto"/>
            <w:right w:val="none" w:sz="0" w:space="0" w:color="auto"/>
          </w:divBdr>
          <w:divsChild>
            <w:div w:id="1119836540">
              <w:marLeft w:val="0"/>
              <w:marRight w:val="0"/>
              <w:marTop w:val="0"/>
              <w:marBottom w:val="0"/>
              <w:divBdr>
                <w:top w:val="none" w:sz="0" w:space="0" w:color="auto"/>
                <w:left w:val="none" w:sz="0" w:space="0" w:color="auto"/>
                <w:bottom w:val="none" w:sz="0" w:space="0" w:color="auto"/>
                <w:right w:val="none" w:sz="0" w:space="0" w:color="auto"/>
              </w:divBdr>
              <w:divsChild>
                <w:div w:id="857617900">
                  <w:marLeft w:val="0"/>
                  <w:marRight w:val="0"/>
                  <w:marTop w:val="0"/>
                  <w:marBottom w:val="0"/>
                  <w:divBdr>
                    <w:top w:val="none" w:sz="0" w:space="0" w:color="auto"/>
                    <w:left w:val="none" w:sz="0" w:space="0" w:color="auto"/>
                    <w:bottom w:val="none" w:sz="0" w:space="0" w:color="auto"/>
                    <w:right w:val="none" w:sz="0" w:space="0" w:color="auto"/>
                  </w:divBdr>
                  <w:divsChild>
                    <w:div w:id="195416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189588">
      <w:bodyDiv w:val="1"/>
      <w:marLeft w:val="0"/>
      <w:marRight w:val="0"/>
      <w:marTop w:val="0"/>
      <w:marBottom w:val="0"/>
      <w:divBdr>
        <w:top w:val="none" w:sz="0" w:space="0" w:color="auto"/>
        <w:left w:val="none" w:sz="0" w:space="0" w:color="auto"/>
        <w:bottom w:val="none" w:sz="0" w:space="0" w:color="auto"/>
        <w:right w:val="none" w:sz="0" w:space="0" w:color="auto"/>
      </w:divBdr>
      <w:divsChild>
        <w:div w:id="1304575849">
          <w:marLeft w:val="0"/>
          <w:marRight w:val="0"/>
          <w:marTop w:val="0"/>
          <w:marBottom w:val="0"/>
          <w:divBdr>
            <w:top w:val="none" w:sz="0" w:space="0" w:color="auto"/>
            <w:left w:val="none" w:sz="0" w:space="0" w:color="auto"/>
            <w:bottom w:val="none" w:sz="0" w:space="0" w:color="auto"/>
            <w:right w:val="none" w:sz="0" w:space="0" w:color="auto"/>
          </w:divBdr>
          <w:divsChild>
            <w:div w:id="421801926">
              <w:marLeft w:val="0"/>
              <w:marRight w:val="0"/>
              <w:marTop w:val="0"/>
              <w:marBottom w:val="0"/>
              <w:divBdr>
                <w:top w:val="none" w:sz="0" w:space="0" w:color="auto"/>
                <w:left w:val="none" w:sz="0" w:space="0" w:color="auto"/>
                <w:bottom w:val="none" w:sz="0" w:space="0" w:color="auto"/>
                <w:right w:val="none" w:sz="0" w:space="0" w:color="auto"/>
              </w:divBdr>
              <w:divsChild>
                <w:div w:id="60296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715390">
      <w:bodyDiv w:val="1"/>
      <w:marLeft w:val="0"/>
      <w:marRight w:val="0"/>
      <w:marTop w:val="0"/>
      <w:marBottom w:val="0"/>
      <w:divBdr>
        <w:top w:val="none" w:sz="0" w:space="0" w:color="auto"/>
        <w:left w:val="none" w:sz="0" w:space="0" w:color="auto"/>
        <w:bottom w:val="none" w:sz="0" w:space="0" w:color="auto"/>
        <w:right w:val="none" w:sz="0" w:space="0" w:color="auto"/>
      </w:divBdr>
    </w:div>
    <w:div w:id="1158226672">
      <w:bodyDiv w:val="1"/>
      <w:marLeft w:val="0"/>
      <w:marRight w:val="0"/>
      <w:marTop w:val="0"/>
      <w:marBottom w:val="0"/>
      <w:divBdr>
        <w:top w:val="none" w:sz="0" w:space="0" w:color="auto"/>
        <w:left w:val="none" w:sz="0" w:space="0" w:color="auto"/>
        <w:bottom w:val="none" w:sz="0" w:space="0" w:color="auto"/>
        <w:right w:val="none" w:sz="0" w:space="0" w:color="auto"/>
      </w:divBdr>
      <w:divsChild>
        <w:div w:id="961885065">
          <w:marLeft w:val="0"/>
          <w:marRight w:val="0"/>
          <w:marTop w:val="0"/>
          <w:marBottom w:val="0"/>
          <w:divBdr>
            <w:top w:val="none" w:sz="0" w:space="0" w:color="auto"/>
            <w:left w:val="none" w:sz="0" w:space="0" w:color="auto"/>
            <w:bottom w:val="none" w:sz="0" w:space="0" w:color="auto"/>
            <w:right w:val="none" w:sz="0" w:space="0" w:color="auto"/>
          </w:divBdr>
        </w:div>
        <w:div w:id="502168087">
          <w:marLeft w:val="0"/>
          <w:marRight w:val="0"/>
          <w:marTop w:val="0"/>
          <w:marBottom w:val="0"/>
          <w:divBdr>
            <w:top w:val="none" w:sz="0" w:space="0" w:color="auto"/>
            <w:left w:val="none" w:sz="0" w:space="0" w:color="auto"/>
            <w:bottom w:val="none" w:sz="0" w:space="0" w:color="auto"/>
            <w:right w:val="none" w:sz="0" w:space="0" w:color="auto"/>
          </w:divBdr>
        </w:div>
        <w:div w:id="1733776584">
          <w:marLeft w:val="0"/>
          <w:marRight w:val="0"/>
          <w:marTop w:val="0"/>
          <w:marBottom w:val="0"/>
          <w:divBdr>
            <w:top w:val="none" w:sz="0" w:space="0" w:color="auto"/>
            <w:left w:val="none" w:sz="0" w:space="0" w:color="auto"/>
            <w:bottom w:val="none" w:sz="0" w:space="0" w:color="auto"/>
            <w:right w:val="none" w:sz="0" w:space="0" w:color="auto"/>
          </w:divBdr>
        </w:div>
        <w:div w:id="643126671">
          <w:marLeft w:val="0"/>
          <w:marRight w:val="0"/>
          <w:marTop w:val="0"/>
          <w:marBottom w:val="0"/>
          <w:divBdr>
            <w:top w:val="none" w:sz="0" w:space="0" w:color="auto"/>
            <w:left w:val="none" w:sz="0" w:space="0" w:color="auto"/>
            <w:bottom w:val="none" w:sz="0" w:space="0" w:color="auto"/>
            <w:right w:val="none" w:sz="0" w:space="0" w:color="auto"/>
          </w:divBdr>
        </w:div>
        <w:div w:id="2079857217">
          <w:marLeft w:val="0"/>
          <w:marRight w:val="0"/>
          <w:marTop w:val="0"/>
          <w:marBottom w:val="0"/>
          <w:divBdr>
            <w:top w:val="none" w:sz="0" w:space="0" w:color="auto"/>
            <w:left w:val="none" w:sz="0" w:space="0" w:color="auto"/>
            <w:bottom w:val="none" w:sz="0" w:space="0" w:color="auto"/>
            <w:right w:val="none" w:sz="0" w:space="0" w:color="auto"/>
          </w:divBdr>
        </w:div>
        <w:div w:id="1377973675">
          <w:marLeft w:val="0"/>
          <w:marRight w:val="0"/>
          <w:marTop w:val="0"/>
          <w:marBottom w:val="0"/>
          <w:divBdr>
            <w:top w:val="none" w:sz="0" w:space="0" w:color="auto"/>
            <w:left w:val="none" w:sz="0" w:space="0" w:color="auto"/>
            <w:bottom w:val="none" w:sz="0" w:space="0" w:color="auto"/>
            <w:right w:val="none" w:sz="0" w:space="0" w:color="auto"/>
          </w:divBdr>
        </w:div>
        <w:div w:id="1747533238">
          <w:marLeft w:val="0"/>
          <w:marRight w:val="0"/>
          <w:marTop w:val="0"/>
          <w:marBottom w:val="0"/>
          <w:divBdr>
            <w:top w:val="none" w:sz="0" w:space="0" w:color="auto"/>
            <w:left w:val="none" w:sz="0" w:space="0" w:color="auto"/>
            <w:bottom w:val="none" w:sz="0" w:space="0" w:color="auto"/>
            <w:right w:val="none" w:sz="0" w:space="0" w:color="auto"/>
          </w:divBdr>
        </w:div>
        <w:div w:id="2136482502">
          <w:marLeft w:val="0"/>
          <w:marRight w:val="0"/>
          <w:marTop w:val="0"/>
          <w:marBottom w:val="0"/>
          <w:divBdr>
            <w:top w:val="none" w:sz="0" w:space="0" w:color="auto"/>
            <w:left w:val="none" w:sz="0" w:space="0" w:color="auto"/>
            <w:bottom w:val="none" w:sz="0" w:space="0" w:color="auto"/>
            <w:right w:val="none" w:sz="0" w:space="0" w:color="auto"/>
          </w:divBdr>
        </w:div>
        <w:div w:id="535582560">
          <w:marLeft w:val="0"/>
          <w:marRight w:val="0"/>
          <w:marTop w:val="0"/>
          <w:marBottom w:val="0"/>
          <w:divBdr>
            <w:top w:val="none" w:sz="0" w:space="0" w:color="auto"/>
            <w:left w:val="none" w:sz="0" w:space="0" w:color="auto"/>
            <w:bottom w:val="none" w:sz="0" w:space="0" w:color="auto"/>
            <w:right w:val="none" w:sz="0" w:space="0" w:color="auto"/>
          </w:divBdr>
        </w:div>
        <w:div w:id="814761101">
          <w:marLeft w:val="0"/>
          <w:marRight w:val="0"/>
          <w:marTop w:val="0"/>
          <w:marBottom w:val="0"/>
          <w:divBdr>
            <w:top w:val="none" w:sz="0" w:space="0" w:color="auto"/>
            <w:left w:val="none" w:sz="0" w:space="0" w:color="auto"/>
            <w:bottom w:val="none" w:sz="0" w:space="0" w:color="auto"/>
            <w:right w:val="none" w:sz="0" w:space="0" w:color="auto"/>
          </w:divBdr>
        </w:div>
        <w:div w:id="2007172033">
          <w:marLeft w:val="0"/>
          <w:marRight w:val="0"/>
          <w:marTop w:val="0"/>
          <w:marBottom w:val="0"/>
          <w:divBdr>
            <w:top w:val="none" w:sz="0" w:space="0" w:color="auto"/>
            <w:left w:val="none" w:sz="0" w:space="0" w:color="auto"/>
            <w:bottom w:val="none" w:sz="0" w:space="0" w:color="auto"/>
            <w:right w:val="none" w:sz="0" w:space="0" w:color="auto"/>
          </w:divBdr>
        </w:div>
        <w:div w:id="2145342712">
          <w:marLeft w:val="0"/>
          <w:marRight w:val="0"/>
          <w:marTop w:val="0"/>
          <w:marBottom w:val="0"/>
          <w:divBdr>
            <w:top w:val="none" w:sz="0" w:space="0" w:color="auto"/>
            <w:left w:val="none" w:sz="0" w:space="0" w:color="auto"/>
            <w:bottom w:val="none" w:sz="0" w:space="0" w:color="auto"/>
            <w:right w:val="none" w:sz="0" w:space="0" w:color="auto"/>
          </w:divBdr>
        </w:div>
        <w:div w:id="1375886842">
          <w:marLeft w:val="0"/>
          <w:marRight w:val="0"/>
          <w:marTop w:val="0"/>
          <w:marBottom w:val="0"/>
          <w:divBdr>
            <w:top w:val="none" w:sz="0" w:space="0" w:color="auto"/>
            <w:left w:val="none" w:sz="0" w:space="0" w:color="auto"/>
            <w:bottom w:val="none" w:sz="0" w:space="0" w:color="auto"/>
            <w:right w:val="none" w:sz="0" w:space="0" w:color="auto"/>
          </w:divBdr>
        </w:div>
        <w:div w:id="1743941838">
          <w:marLeft w:val="0"/>
          <w:marRight w:val="0"/>
          <w:marTop w:val="0"/>
          <w:marBottom w:val="0"/>
          <w:divBdr>
            <w:top w:val="none" w:sz="0" w:space="0" w:color="auto"/>
            <w:left w:val="none" w:sz="0" w:space="0" w:color="auto"/>
            <w:bottom w:val="none" w:sz="0" w:space="0" w:color="auto"/>
            <w:right w:val="none" w:sz="0" w:space="0" w:color="auto"/>
          </w:divBdr>
        </w:div>
        <w:div w:id="1159036783">
          <w:marLeft w:val="0"/>
          <w:marRight w:val="0"/>
          <w:marTop w:val="0"/>
          <w:marBottom w:val="0"/>
          <w:divBdr>
            <w:top w:val="none" w:sz="0" w:space="0" w:color="auto"/>
            <w:left w:val="none" w:sz="0" w:space="0" w:color="auto"/>
            <w:bottom w:val="none" w:sz="0" w:space="0" w:color="auto"/>
            <w:right w:val="none" w:sz="0" w:space="0" w:color="auto"/>
          </w:divBdr>
        </w:div>
        <w:div w:id="2051345317">
          <w:marLeft w:val="0"/>
          <w:marRight w:val="0"/>
          <w:marTop w:val="0"/>
          <w:marBottom w:val="0"/>
          <w:divBdr>
            <w:top w:val="none" w:sz="0" w:space="0" w:color="auto"/>
            <w:left w:val="none" w:sz="0" w:space="0" w:color="auto"/>
            <w:bottom w:val="none" w:sz="0" w:space="0" w:color="auto"/>
            <w:right w:val="none" w:sz="0" w:space="0" w:color="auto"/>
          </w:divBdr>
        </w:div>
        <w:div w:id="1021325353">
          <w:marLeft w:val="0"/>
          <w:marRight w:val="0"/>
          <w:marTop w:val="0"/>
          <w:marBottom w:val="0"/>
          <w:divBdr>
            <w:top w:val="none" w:sz="0" w:space="0" w:color="auto"/>
            <w:left w:val="none" w:sz="0" w:space="0" w:color="auto"/>
            <w:bottom w:val="none" w:sz="0" w:space="0" w:color="auto"/>
            <w:right w:val="none" w:sz="0" w:space="0" w:color="auto"/>
          </w:divBdr>
        </w:div>
        <w:div w:id="511991036">
          <w:marLeft w:val="0"/>
          <w:marRight w:val="0"/>
          <w:marTop w:val="0"/>
          <w:marBottom w:val="0"/>
          <w:divBdr>
            <w:top w:val="none" w:sz="0" w:space="0" w:color="auto"/>
            <w:left w:val="none" w:sz="0" w:space="0" w:color="auto"/>
            <w:bottom w:val="none" w:sz="0" w:space="0" w:color="auto"/>
            <w:right w:val="none" w:sz="0" w:space="0" w:color="auto"/>
          </w:divBdr>
        </w:div>
      </w:divsChild>
    </w:div>
    <w:div w:id="1160464915">
      <w:bodyDiv w:val="1"/>
      <w:marLeft w:val="0"/>
      <w:marRight w:val="0"/>
      <w:marTop w:val="0"/>
      <w:marBottom w:val="0"/>
      <w:divBdr>
        <w:top w:val="none" w:sz="0" w:space="0" w:color="auto"/>
        <w:left w:val="none" w:sz="0" w:space="0" w:color="auto"/>
        <w:bottom w:val="none" w:sz="0" w:space="0" w:color="auto"/>
        <w:right w:val="none" w:sz="0" w:space="0" w:color="auto"/>
      </w:divBdr>
      <w:divsChild>
        <w:div w:id="1879004992">
          <w:marLeft w:val="0"/>
          <w:marRight w:val="0"/>
          <w:marTop w:val="0"/>
          <w:marBottom w:val="0"/>
          <w:divBdr>
            <w:top w:val="none" w:sz="0" w:space="0" w:color="auto"/>
            <w:left w:val="none" w:sz="0" w:space="0" w:color="auto"/>
            <w:bottom w:val="none" w:sz="0" w:space="0" w:color="auto"/>
            <w:right w:val="none" w:sz="0" w:space="0" w:color="auto"/>
          </w:divBdr>
        </w:div>
        <w:div w:id="1559972494">
          <w:marLeft w:val="0"/>
          <w:marRight w:val="0"/>
          <w:marTop w:val="0"/>
          <w:marBottom w:val="0"/>
          <w:divBdr>
            <w:top w:val="none" w:sz="0" w:space="0" w:color="auto"/>
            <w:left w:val="none" w:sz="0" w:space="0" w:color="auto"/>
            <w:bottom w:val="none" w:sz="0" w:space="0" w:color="auto"/>
            <w:right w:val="none" w:sz="0" w:space="0" w:color="auto"/>
          </w:divBdr>
        </w:div>
        <w:div w:id="1308245216">
          <w:marLeft w:val="0"/>
          <w:marRight w:val="0"/>
          <w:marTop w:val="0"/>
          <w:marBottom w:val="0"/>
          <w:divBdr>
            <w:top w:val="none" w:sz="0" w:space="0" w:color="auto"/>
            <w:left w:val="none" w:sz="0" w:space="0" w:color="auto"/>
            <w:bottom w:val="none" w:sz="0" w:space="0" w:color="auto"/>
            <w:right w:val="none" w:sz="0" w:space="0" w:color="auto"/>
          </w:divBdr>
        </w:div>
        <w:div w:id="1864858986">
          <w:marLeft w:val="0"/>
          <w:marRight w:val="0"/>
          <w:marTop w:val="0"/>
          <w:marBottom w:val="0"/>
          <w:divBdr>
            <w:top w:val="none" w:sz="0" w:space="0" w:color="auto"/>
            <w:left w:val="none" w:sz="0" w:space="0" w:color="auto"/>
            <w:bottom w:val="none" w:sz="0" w:space="0" w:color="auto"/>
            <w:right w:val="none" w:sz="0" w:space="0" w:color="auto"/>
          </w:divBdr>
        </w:div>
        <w:div w:id="308942924">
          <w:marLeft w:val="0"/>
          <w:marRight w:val="0"/>
          <w:marTop w:val="0"/>
          <w:marBottom w:val="0"/>
          <w:divBdr>
            <w:top w:val="none" w:sz="0" w:space="0" w:color="auto"/>
            <w:left w:val="none" w:sz="0" w:space="0" w:color="auto"/>
            <w:bottom w:val="none" w:sz="0" w:space="0" w:color="auto"/>
            <w:right w:val="none" w:sz="0" w:space="0" w:color="auto"/>
          </w:divBdr>
        </w:div>
        <w:div w:id="919868599">
          <w:marLeft w:val="0"/>
          <w:marRight w:val="0"/>
          <w:marTop w:val="0"/>
          <w:marBottom w:val="0"/>
          <w:divBdr>
            <w:top w:val="none" w:sz="0" w:space="0" w:color="auto"/>
            <w:left w:val="none" w:sz="0" w:space="0" w:color="auto"/>
            <w:bottom w:val="none" w:sz="0" w:space="0" w:color="auto"/>
            <w:right w:val="none" w:sz="0" w:space="0" w:color="auto"/>
          </w:divBdr>
        </w:div>
        <w:div w:id="865678785">
          <w:marLeft w:val="0"/>
          <w:marRight w:val="0"/>
          <w:marTop w:val="0"/>
          <w:marBottom w:val="0"/>
          <w:divBdr>
            <w:top w:val="none" w:sz="0" w:space="0" w:color="auto"/>
            <w:left w:val="none" w:sz="0" w:space="0" w:color="auto"/>
            <w:bottom w:val="none" w:sz="0" w:space="0" w:color="auto"/>
            <w:right w:val="none" w:sz="0" w:space="0" w:color="auto"/>
          </w:divBdr>
        </w:div>
        <w:div w:id="1095519706">
          <w:marLeft w:val="0"/>
          <w:marRight w:val="0"/>
          <w:marTop w:val="0"/>
          <w:marBottom w:val="0"/>
          <w:divBdr>
            <w:top w:val="none" w:sz="0" w:space="0" w:color="auto"/>
            <w:left w:val="none" w:sz="0" w:space="0" w:color="auto"/>
            <w:bottom w:val="none" w:sz="0" w:space="0" w:color="auto"/>
            <w:right w:val="none" w:sz="0" w:space="0" w:color="auto"/>
          </w:divBdr>
        </w:div>
      </w:divsChild>
    </w:div>
    <w:div w:id="1170102872">
      <w:bodyDiv w:val="1"/>
      <w:marLeft w:val="0"/>
      <w:marRight w:val="0"/>
      <w:marTop w:val="0"/>
      <w:marBottom w:val="0"/>
      <w:divBdr>
        <w:top w:val="none" w:sz="0" w:space="0" w:color="auto"/>
        <w:left w:val="none" w:sz="0" w:space="0" w:color="auto"/>
        <w:bottom w:val="none" w:sz="0" w:space="0" w:color="auto"/>
        <w:right w:val="none" w:sz="0" w:space="0" w:color="auto"/>
      </w:divBdr>
    </w:div>
    <w:div w:id="1192109734">
      <w:bodyDiv w:val="1"/>
      <w:marLeft w:val="0"/>
      <w:marRight w:val="0"/>
      <w:marTop w:val="0"/>
      <w:marBottom w:val="0"/>
      <w:divBdr>
        <w:top w:val="none" w:sz="0" w:space="0" w:color="auto"/>
        <w:left w:val="none" w:sz="0" w:space="0" w:color="auto"/>
        <w:bottom w:val="none" w:sz="0" w:space="0" w:color="auto"/>
        <w:right w:val="none" w:sz="0" w:space="0" w:color="auto"/>
      </w:divBdr>
    </w:div>
    <w:div w:id="1199901274">
      <w:bodyDiv w:val="1"/>
      <w:marLeft w:val="0"/>
      <w:marRight w:val="0"/>
      <w:marTop w:val="0"/>
      <w:marBottom w:val="0"/>
      <w:divBdr>
        <w:top w:val="none" w:sz="0" w:space="0" w:color="auto"/>
        <w:left w:val="none" w:sz="0" w:space="0" w:color="auto"/>
        <w:bottom w:val="none" w:sz="0" w:space="0" w:color="auto"/>
        <w:right w:val="none" w:sz="0" w:space="0" w:color="auto"/>
      </w:divBdr>
    </w:div>
    <w:div w:id="1200361253">
      <w:bodyDiv w:val="1"/>
      <w:marLeft w:val="0"/>
      <w:marRight w:val="0"/>
      <w:marTop w:val="0"/>
      <w:marBottom w:val="0"/>
      <w:divBdr>
        <w:top w:val="none" w:sz="0" w:space="0" w:color="auto"/>
        <w:left w:val="none" w:sz="0" w:space="0" w:color="auto"/>
        <w:bottom w:val="none" w:sz="0" w:space="0" w:color="auto"/>
        <w:right w:val="none" w:sz="0" w:space="0" w:color="auto"/>
      </w:divBdr>
      <w:divsChild>
        <w:div w:id="1563056847">
          <w:marLeft w:val="0"/>
          <w:marRight w:val="0"/>
          <w:marTop w:val="0"/>
          <w:marBottom w:val="0"/>
          <w:divBdr>
            <w:top w:val="none" w:sz="0" w:space="0" w:color="auto"/>
            <w:left w:val="none" w:sz="0" w:space="0" w:color="auto"/>
            <w:bottom w:val="none" w:sz="0" w:space="0" w:color="auto"/>
            <w:right w:val="none" w:sz="0" w:space="0" w:color="auto"/>
          </w:divBdr>
        </w:div>
      </w:divsChild>
    </w:div>
    <w:div w:id="1205867893">
      <w:bodyDiv w:val="1"/>
      <w:marLeft w:val="0"/>
      <w:marRight w:val="0"/>
      <w:marTop w:val="0"/>
      <w:marBottom w:val="0"/>
      <w:divBdr>
        <w:top w:val="none" w:sz="0" w:space="0" w:color="auto"/>
        <w:left w:val="none" w:sz="0" w:space="0" w:color="auto"/>
        <w:bottom w:val="none" w:sz="0" w:space="0" w:color="auto"/>
        <w:right w:val="none" w:sz="0" w:space="0" w:color="auto"/>
      </w:divBdr>
    </w:div>
    <w:div w:id="1215582441">
      <w:bodyDiv w:val="1"/>
      <w:marLeft w:val="0"/>
      <w:marRight w:val="0"/>
      <w:marTop w:val="0"/>
      <w:marBottom w:val="0"/>
      <w:divBdr>
        <w:top w:val="none" w:sz="0" w:space="0" w:color="auto"/>
        <w:left w:val="none" w:sz="0" w:space="0" w:color="auto"/>
        <w:bottom w:val="none" w:sz="0" w:space="0" w:color="auto"/>
        <w:right w:val="none" w:sz="0" w:space="0" w:color="auto"/>
      </w:divBdr>
    </w:div>
    <w:div w:id="1270701843">
      <w:bodyDiv w:val="1"/>
      <w:marLeft w:val="0"/>
      <w:marRight w:val="0"/>
      <w:marTop w:val="0"/>
      <w:marBottom w:val="0"/>
      <w:divBdr>
        <w:top w:val="none" w:sz="0" w:space="0" w:color="auto"/>
        <w:left w:val="none" w:sz="0" w:space="0" w:color="auto"/>
        <w:bottom w:val="none" w:sz="0" w:space="0" w:color="auto"/>
        <w:right w:val="none" w:sz="0" w:space="0" w:color="auto"/>
      </w:divBdr>
    </w:div>
    <w:div w:id="1305548171">
      <w:bodyDiv w:val="1"/>
      <w:marLeft w:val="0"/>
      <w:marRight w:val="0"/>
      <w:marTop w:val="0"/>
      <w:marBottom w:val="0"/>
      <w:divBdr>
        <w:top w:val="none" w:sz="0" w:space="0" w:color="auto"/>
        <w:left w:val="none" w:sz="0" w:space="0" w:color="auto"/>
        <w:bottom w:val="none" w:sz="0" w:space="0" w:color="auto"/>
        <w:right w:val="none" w:sz="0" w:space="0" w:color="auto"/>
      </w:divBdr>
      <w:divsChild>
        <w:div w:id="547570258">
          <w:marLeft w:val="0"/>
          <w:marRight w:val="0"/>
          <w:marTop w:val="0"/>
          <w:marBottom w:val="0"/>
          <w:divBdr>
            <w:top w:val="none" w:sz="0" w:space="0" w:color="auto"/>
            <w:left w:val="none" w:sz="0" w:space="0" w:color="auto"/>
            <w:bottom w:val="none" w:sz="0" w:space="0" w:color="auto"/>
            <w:right w:val="none" w:sz="0" w:space="0" w:color="auto"/>
          </w:divBdr>
          <w:divsChild>
            <w:div w:id="2106919635">
              <w:marLeft w:val="0"/>
              <w:marRight w:val="0"/>
              <w:marTop w:val="0"/>
              <w:marBottom w:val="0"/>
              <w:divBdr>
                <w:top w:val="none" w:sz="0" w:space="0" w:color="auto"/>
                <w:left w:val="none" w:sz="0" w:space="0" w:color="auto"/>
                <w:bottom w:val="none" w:sz="0" w:space="0" w:color="auto"/>
                <w:right w:val="none" w:sz="0" w:space="0" w:color="auto"/>
              </w:divBdr>
            </w:div>
            <w:div w:id="1300187930">
              <w:marLeft w:val="0"/>
              <w:marRight w:val="0"/>
              <w:marTop w:val="0"/>
              <w:marBottom w:val="0"/>
              <w:divBdr>
                <w:top w:val="none" w:sz="0" w:space="0" w:color="auto"/>
                <w:left w:val="none" w:sz="0" w:space="0" w:color="auto"/>
                <w:bottom w:val="none" w:sz="0" w:space="0" w:color="auto"/>
                <w:right w:val="none" w:sz="0" w:space="0" w:color="auto"/>
              </w:divBdr>
            </w:div>
            <w:div w:id="1031226484">
              <w:marLeft w:val="0"/>
              <w:marRight w:val="0"/>
              <w:marTop w:val="0"/>
              <w:marBottom w:val="0"/>
              <w:divBdr>
                <w:top w:val="none" w:sz="0" w:space="0" w:color="auto"/>
                <w:left w:val="none" w:sz="0" w:space="0" w:color="auto"/>
                <w:bottom w:val="none" w:sz="0" w:space="0" w:color="auto"/>
                <w:right w:val="none" w:sz="0" w:space="0" w:color="auto"/>
              </w:divBdr>
            </w:div>
            <w:div w:id="785461788">
              <w:marLeft w:val="0"/>
              <w:marRight w:val="0"/>
              <w:marTop w:val="0"/>
              <w:marBottom w:val="0"/>
              <w:divBdr>
                <w:top w:val="none" w:sz="0" w:space="0" w:color="auto"/>
                <w:left w:val="none" w:sz="0" w:space="0" w:color="auto"/>
                <w:bottom w:val="none" w:sz="0" w:space="0" w:color="auto"/>
                <w:right w:val="none" w:sz="0" w:space="0" w:color="auto"/>
              </w:divBdr>
            </w:div>
            <w:div w:id="1895388557">
              <w:marLeft w:val="0"/>
              <w:marRight w:val="0"/>
              <w:marTop w:val="0"/>
              <w:marBottom w:val="0"/>
              <w:divBdr>
                <w:top w:val="none" w:sz="0" w:space="0" w:color="auto"/>
                <w:left w:val="none" w:sz="0" w:space="0" w:color="auto"/>
                <w:bottom w:val="none" w:sz="0" w:space="0" w:color="auto"/>
                <w:right w:val="none" w:sz="0" w:space="0" w:color="auto"/>
              </w:divBdr>
            </w:div>
            <w:div w:id="390730836">
              <w:marLeft w:val="0"/>
              <w:marRight w:val="0"/>
              <w:marTop w:val="0"/>
              <w:marBottom w:val="0"/>
              <w:divBdr>
                <w:top w:val="none" w:sz="0" w:space="0" w:color="auto"/>
                <w:left w:val="none" w:sz="0" w:space="0" w:color="auto"/>
                <w:bottom w:val="none" w:sz="0" w:space="0" w:color="auto"/>
                <w:right w:val="none" w:sz="0" w:space="0" w:color="auto"/>
              </w:divBdr>
            </w:div>
            <w:div w:id="1653866715">
              <w:marLeft w:val="0"/>
              <w:marRight w:val="0"/>
              <w:marTop w:val="0"/>
              <w:marBottom w:val="0"/>
              <w:divBdr>
                <w:top w:val="none" w:sz="0" w:space="0" w:color="auto"/>
                <w:left w:val="none" w:sz="0" w:space="0" w:color="auto"/>
                <w:bottom w:val="none" w:sz="0" w:space="0" w:color="auto"/>
                <w:right w:val="none" w:sz="0" w:space="0" w:color="auto"/>
              </w:divBdr>
            </w:div>
            <w:div w:id="1226642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907752">
      <w:bodyDiv w:val="1"/>
      <w:marLeft w:val="0"/>
      <w:marRight w:val="0"/>
      <w:marTop w:val="0"/>
      <w:marBottom w:val="0"/>
      <w:divBdr>
        <w:top w:val="none" w:sz="0" w:space="0" w:color="auto"/>
        <w:left w:val="none" w:sz="0" w:space="0" w:color="auto"/>
        <w:bottom w:val="none" w:sz="0" w:space="0" w:color="auto"/>
        <w:right w:val="none" w:sz="0" w:space="0" w:color="auto"/>
      </w:divBdr>
    </w:div>
    <w:div w:id="1318847156">
      <w:bodyDiv w:val="1"/>
      <w:marLeft w:val="0"/>
      <w:marRight w:val="0"/>
      <w:marTop w:val="0"/>
      <w:marBottom w:val="0"/>
      <w:divBdr>
        <w:top w:val="none" w:sz="0" w:space="0" w:color="auto"/>
        <w:left w:val="none" w:sz="0" w:space="0" w:color="auto"/>
        <w:bottom w:val="none" w:sz="0" w:space="0" w:color="auto"/>
        <w:right w:val="none" w:sz="0" w:space="0" w:color="auto"/>
      </w:divBdr>
    </w:div>
    <w:div w:id="1321928711">
      <w:bodyDiv w:val="1"/>
      <w:marLeft w:val="0"/>
      <w:marRight w:val="0"/>
      <w:marTop w:val="0"/>
      <w:marBottom w:val="0"/>
      <w:divBdr>
        <w:top w:val="none" w:sz="0" w:space="0" w:color="auto"/>
        <w:left w:val="none" w:sz="0" w:space="0" w:color="auto"/>
        <w:bottom w:val="none" w:sz="0" w:space="0" w:color="auto"/>
        <w:right w:val="none" w:sz="0" w:space="0" w:color="auto"/>
      </w:divBdr>
    </w:div>
    <w:div w:id="1344283462">
      <w:bodyDiv w:val="1"/>
      <w:marLeft w:val="0"/>
      <w:marRight w:val="0"/>
      <w:marTop w:val="0"/>
      <w:marBottom w:val="0"/>
      <w:divBdr>
        <w:top w:val="none" w:sz="0" w:space="0" w:color="auto"/>
        <w:left w:val="none" w:sz="0" w:space="0" w:color="auto"/>
        <w:bottom w:val="none" w:sz="0" w:space="0" w:color="auto"/>
        <w:right w:val="none" w:sz="0" w:space="0" w:color="auto"/>
      </w:divBdr>
    </w:div>
    <w:div w:id="1356882951">
      <w:bodyDiv w:val="1"/>
      <w:marLeft w:val="0"/>
      <w:marRight w:val="0"/>
      <w:marTop w:val="0"/>
      <w:marBottom w:val="0"/>
      <w:divBdr>
        <w:top w:val="none" w:sz="0" w:space="0" w:color="auto"/>
        <w:left w:val="none" w:sz="0" w:space="0" w:color="auto"/>
        <w:bottom w:val="none" w:sz="0" w:space="0" w:color="auto"/>
        <w:right w:val="none" w:sz="0" w:space="0" w:color="auto"/>
      </w:divBdr>
    </w:div>
    <w:div w:id="1380669783">
      <w:bodyDiv w:val="1"/>
      <w:marLeft w:val="0"/>
      <w:marRight w:val="0"/>
      <w:marTop w:val="0"/>
      <w:marBottom w:val="0"/>
      <w:divBdr>
        <w:top w:val="none" w:sz="0" w:space="0" w:color="auto"/>
        <w:left w:val="none" w:sz="0" w:space="0" w:color="auto"/>
        <w:bottom w:val="none" w:sz="0" w:space="0" w:color="auto"/>
        <w:right w:val="none" w:sz="0" w:space="0" w:color="auto"/>
      </w:divBdr>
    </w:div>
    <w:div w:id="1383944747">
      <w:bodyDiv w:val="1"/>
      <w:marLeft w:val="0"/>
      <w:marRight w:val="0"/>
      <w:marTop w:val="0"/>
      <w:marBottom w:val="0"/>
      <w:divBdr>
        <w:top w:val="none" w:sz="0" w:space="0" w:color="auto"/>
        <w:left w:val="none" w:sz="0" w:space="0" w:color="auto"/>
        <w:bottom w:val="none" w:sz="0" w:space="0" w:color="auto"/>
        <w:right w:val="none" w:sz="0" w:space="0" w:color="auto"/>
      </w:divBdr>
    </w:div>
    <w:div w:id="1409615690">
      <w:bodyDiv w:val="1"/>
      <w:marLeft w:val="0"/>
      <w:marRight w:val="0"/>
      <w:marTop w:val="0"/>
      <w:marBottom w:val="0"/>
      <w:divBdr>
        <w:top w:val="none" w:sz="0" w:space="0" w:color="auto"/>
        <w:left w:val="none" w:sz="0" w:space="0" w:color="auto"/>
        <w:bottom w:val="none" w:sz="0" w:space="0" w:color="auto"/>
        <w:right w:val="none" w:sz="0" w:space="0" w:color="auto"/>
      </w:divBdr>
      <w:divsChild>
        <w:div w:id="677275399">
          <w:marLeft w:val="0"/>
          <w:marRight w:val="0"/>
          <w:marTop w:val="0"/>
          <w:marBottom w:val="0"/>
          <w:divBdr>
            <w:top w:val="none" w:sz="0" w:space="0" w:color="auto"/>
            <w:left w:val="none" w:sz="0" w:space="0" w:color="auto"/>
            <w:bottom w:val="none" w:sz="0" w:space="0" w:color="auto"/>
            <w:right w:val="none" w:sz="0" w:space="0" w:color="auto"/>
          </w:divBdr>
          <w:divsChild>
            <w:div w:id="1812870038">
              <w:marLeft w:val="0"/>
              <w:marRight w:val="0"/>
              <w:marTop w:val="0"/>
              <w:marBottom w:val="0"/>
              <w:divBdr>
                <w:top w:val="none" w:sz="0" w:space="0" w:color="auto"/>
                <w:left w:val="none" w:sz="0" w:space="0" w:color="auto"/>
                <w:bottom w:val="none" w:sz="0" w:space="0" w:color="auto"/>
                <w:right w:val="none" w:sz="0" w:space="0" w:color="auto"/>
              </w:divBdr>
              <w:divsChild>
                <w:div w:id="1637486946">
                  <w:marLeft w:val="0"/>
                  <w:marRight w:val="0"/>
                  <w:marTop w:val="0"/>
                  <w:marBottom w:val="0"/>
                  <w:divBdr>
                    <w:top w:val="none" w:sz="0" w:space="0" w:color="auto"/>
                    <w:left w:val="none" w:sz="0" w:space="0" w:color="auto"/>
                    <w:bottom w:val="none" w:sz="0" w:space="0" w:color="auto"/>
                    <w:right w:val="none" w:sz="0" w:space="0" w:color="auto"/>
                  </w:divBdr>
                  <w:divsChild>
                    <w:div w:id="1971863699">
                      <w:marLeft w:val="0"/>
                      <w:marRight w:val="0"/>
                      <w:marTop w:val="0"/>
                      <w:marBottom w:val="0"/>
                      <w:divBdr>
                        <w:top w:val="none" w:sz="0" w:space="0" w:color="auto"/>
                        <w:left w:val="none" w:sz="0" w:space="0" w:color="auto"/>
                        <w:bottom w:val="none" w:sz="0" w:space="0" w:color="auto"/>
                        <w:right w:val="none" w:sz="0" w:space="0" w:color="auto"/>
                      </w:divBdr>
                      <w:divsChild>
                        <w:div w:id="1193955200">
                          <w:marLeft w:val="0"/>
                          <w:marRight w:val="0"/>
                          <w:marTop w:val="0"/>
                          <w:marBottom w:val="0"/>
                          <w:divBdr>
                            <w:top w:val="none" w:sz="0" w:space="0" w:color="auto"/>
                            <w:left w:val="none" w:sz="0" w:space="0" w:color="auto"/>
                            <w:bottom w:val="none" w:sz="0" w:space="0" w:color="auto"/>
                            <w:right w:val="none" w:sz="0" w:space="0" w:color="auto"/>
                          </w:divBdr>
                        </w:div>
                        <w:div w:id="194310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2723984">
          <w:marLeft w:val="0"/>
          <w:marRight w:val="0"/>
          <w:marTop w:val="0"/>
          <w:marBottom w:val="0"/>
          <w:divBdr>
            <w:top w:val="none" w:sz="0" w:space="0" w:color="auto"/>
            <w:left w:val="none" w:sz="0" w:space="0" w:color="auto"/>
            <w:bottom w:val="none" w:sz="0" w:space="0" w:color="auto"/>
            <w:right w:val="none" w:sz="0" w:space="0" w:color="auto"/>
          </w:divBdr>
          <w:divsChild>
            <w:div w:id="1618828371">
              <w:marLeft w:val="0"/>
              <w:marRight w:val="0"/>
              <w:marTop w:val="0"/>
              <w:marBottom w:val="0"/>
              <w:divBdr>
                <w:top w:val="none" w:sz="0" w:space="0" w:color="auto"/>
                <w:left w:val="none" w:sz="0" w:space="0" w:color="auto"/>
                <w:bottom w:val="none" w:sz="0" w:space="0" w:color="auto"/>
                <w:right w:val="none" w:sz="0" w:space="0" w:color="auto"/>
              </w:divBdr>
              <w:divsChild>
                <w:div w:id="1071392359">
                  <w:marLeft w:val="0"/>
                  <w:marRight w:val="0"/>
                  <w:marTop w:val="0"/>
                  <w:marBottom w:val="0"/>
                  <w:divBdr>
                    <w:top w:val="none" w:sz="0" w:space="0" w:color="auto"/>
                    <w:left w:val="none" w:sz="0" w:space="0" w:color="auto"/>
                    <w:bottom w:val="none" w:sz="0" w:space="0" w:color="auto"/>
                    <w:right w:val="none" w:sz="0" w:space="0" w:color="auto"/>
                  </w:divBdr>
                  <w:divsChild>
                    <w:div w:id="2014843053">
                      <w:marLeft w:val="0"/>
                      <w:marRight w:val="0"/>
                      <w:marTop w:val="0"/>
                      <w:marBottom w:val="0"/>
                      <w:divBdr>
                        <w:top w:val="none" w:sz="0" w:space="0" w:color="auto"/>
                        <w:left w:val="none" w:sz="0" w:space="0" w:color="auto"/>
                        <w:bottom w:val="none" w:sz="0" w:space="0" w:color="auto"/>
                        <w:right w:val="none" w:sz="0" w:space="0" w:color="auto"/>
                      </w:divBdr>
                      <w:divsChild>
                        <w:div w:id="288247864">
                          <w:marLeft w:val="0"/>
                          <w:marRight w:val="0"/>
                          <w:marTop w:val="0"/>
                          <w:marBottom w:val="0"/>
                          <w:divBdr>
                            <w:top w:val="none" w:sz="0" w:space="0" w:color="auto"/>
                            <w:left w:val="none" w:sz="0" w:space="0" w:color="auto"/>
                            <w:bottom w:val="none" w:sz="0" w:space="0" w:color="auto"/>
                            <w:right w:val="none" w:sz="0" w:space="0" w:color="auto"/>
                          </w:divBdr>
                        </w:div>
                        <w:div w:id="630138212">
                          <w:marLeft w:val="0"/>
                          <w:marRight w:val="0"/>
                          <w:marTop w:val="0"/>
                          <w:marBottom w:val="0"/>
                          <w:divBdr>
                            <w:top w:val="none" w:sz="0" w:space="0" w:color="auto"/>
                            <w:left w:val="none" w:sz="0" w:space="0" w:color="auto"/>
                            <w:bottom w:val="none" w:sz="0" w:space="0" w:color="auto"/>
                            <w:right w:val="none" w:sz="0" w:space="0" w:color="auto"/>
                          </w:divBdr>
                        </w:div>
                        <w:div w:id="52584987">
                          <w:marLeft w:val="0"/>
                          <w:marRight w:val="0"/>
                          <w:marTop w:val="0"/>
                          <w:marBottom w:val="0"/>
                          <w:divBdr>
                            <w:top w:val="none" w:sz="0" w:space="0" w:color="auto"/>
                            <w:left w:val="none" w:sz="0" w:space="0" w:color="auto"/>
                            <w:bottom w:val="none" w:sz="0" w:space="0" w:color="auto"/>
                            <w:right w:val="none" w:sz="0" w:space="0" w:color="auto"/>
                          </w:divBdr>
                        </w:div>
                        <w:div w:id="964694257">
                          <w:marLeft w:val="0"/>
                          <w:marRight w:val="0"/>
                          <w:marTop w:val="0"/>
                          <w:marBottom w:val="0"/>
                          <w:divBdr>
                            <w:top w:val="none" w:sz="0" w:space="0" w:color="auto"/>
                            <w:left w:val="none" w:sz="0" w:space="0" w:color="auto"/>
                            <w:bottom w:val="none" w:sz="0" w:space="0" w:color="auto"/>
                            <w:right w:val="none" w:sz="0" w:space="0" w:color="auto"/>
                          </w:divBdr>
                        </w:div>
                        <w:div w:id="206683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9058489">
      <w:bodyDiv w:val="1"/>
      <w:marLeft w:val="0"/>
      <w:marRight w:val="0"/>
      <w:marTop w:val="0"/>
      <w:marBottom w:val="0"/>
      <w:divBdr>
        <w:top w:val="none" w:sz="0" w:space="0" w:color="auto"/>
        <w:left w:val="none" w:sz="0" w:space="0" w:color="auto"/>
        <w:bottom w:val="none" w:sz="0" w:space="0" w:color="auto"/>
        <w:right w:val="none" w:sz="0" w:space="0" w:color="auto"/>
      </w:divBdr>
    </w:div>
    <w:div w:id="1425111618">
      <w:bodyDiv w:val="1"/>
      <w:marLeft w:val="0"/>
      <w:marRight w:val="0"/>
      <w:marTop w:val="0"/>
      <w:marBottom w:val="0"/>
      <w:divBdr>
        <w:top w:val="none" w:sz="0" w:space="0" w:color="auto"/>
        <w:left w:val="none" w:sz="0" w:space="0" w:color="auto"/>
        <w:bottom w:val="none" w:sz="0" w:space="0" w:color="auto"/>
        <w:right w:val="none" w:sz="0" w:space="0" w:color="auto"/>
      </w:divBdr>
      <w:divsChild>
        <w:div w:id="265618271">
          <w:marLeft w:val="0"/>
          <w:marRight w:val="0"/>
          <w:marTop w:val="0"/>
          <w:marBottom w:val="0"/>
          <w:divBdr>
            <w:top w:val="none" w:sz="0" w:space="0" w:color="auto"/>
            <w:left w:val="none" w:sz="0" w:space="0" w:color="auto"/>
            <w:bottom w:val="none" w:sz="0" w:space="0" w:color="auto"/>
            <w:right w:val="none" w:sz="0" w:space="0" w:color="auto"/>
          </w:divBdr>
          <w:divsChild>
            <w:div w:id="1631131954">
              <w:marLeft w:val="0"/>
              <w:marRight w:val="0"/>
              <w:marTop w:val="0"/>
              <w:marBottom w:val="0"/>
              <w:divBdr>
                <w:top w:val="none" w:sz="0" w:space="0" w:color="auto"/>
                <w:left w:val="none" w:sz="0" w:space="0" w:color="auto"/>
                <w:bottom w:val="none" w:sz="0" w:space="0" w:color="auto"/>
                <w:right w:val="none" w:sz="0" w:space="0" w:color="auto"/>
              </w:divBdr>
              <w:divsChild>
                <w:div w:id="720708770">
                  <w:marLeft w:val="0"/>
                  <w:marRight w:val="0"/>
                  <w:marTop w:val="0"/>
                  <w:marBottom w:val="0"/>
                  <w:divBdr>
                    <w:top w:val="none" w:sz="0" w:space="0" w:color="auto"/>
                    <w:left w:val="none" w:sz="0" w:space="0" w:color="auto"/>
                    <w:bottom w:val="none" w:sz="0" w:space="0" w:color="auto"/>
                    <w:right w:val="none" w:sz="0" w:space="0" w:color="auto"/>
                  </w:divBdr>
                  <w:divsChild>
                    <w:div w:id="1765691120">
                      <w:marLeft w:val="0"/>
                      <w:marRight w:val="0"/>
                      <w:marTop w:val="0"/>
                      <w:marBottom w:val="0"/>
                      <w:divBdr>
                        <w:top w:val="none" w:sz="0" w:space="0" w:color="auto"/>
                        <w:left w:val="none" w:sz="0" w:space="0" w:color="auto"/>
                        <w:bottom w:val="none" w:sz="0" w:space="0" w:color="auto"/>
                        <w:right w:val="none" w:sz="0" w:space="0" w:color="auto"/>
                      </w:divBdr>
                    </w:div>
                    <w:div w:id="2077631043">
                      <w:marLeft w:val="0"/>
                      <w:marRight w:val="0"/>
                      <w:marTop w:val="0"/>
                      <w:marBottom w:val="0"/>
                      <w:divBdr>
                        <w:top w:val="none" w:sz="0" w:space="0" w:color="auto"/>
                        <w:left w:val="none" w:sz="0" w:space="0" w:color="auto"/>
                        <w:bottom w:val="none" w:sz="0" w:space="0" w:color="auto"/>
                        <w:right w:val="none" w:sz="0" w:space="0" w:color="auto"/>
                      </w:divBdr>
                    </w:div>
                    <w:div w:id="181478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276891">
      <w:bodyDiv w:val="1"/>
      <w:marLeft w:val="0"/>
      <w:marRight w:val="0"/>
      <w:marTop w:val="0"/>
      <w:marBottom w:val="0"/>
      <w:divBdr>
        <w:top w:val="none" w:sz="0" w:space="0" w:color="auto"/>
        <w:left w:val="none" w:sz="0" w:space="0" w:color="auto"/>
        <w:bottom w:val="none" w:sz="0" w:space="0" w:color="auto"/>
        <w:right w:val="none" w:sz="0" w:space="0" w:color="auto"/>
      </w:divBdr>
      <w:divsChild>
        <w:div w:id="1027488561">
          <w:marLeft w:val="0"/>
          <w:marRight w:val="0"/>
          <w:marTop w:val="0"/>
          <w:marBottom w:val="0"/>
          <w:divBdr>
            <w:top w:val="none" w:sz="0" w:space="0" w:color="auto"/>
            <w:left w:val="none" w:sz="0" w:space="0" w:color="auto"/>
            <w:bottom w:val="none" w:sz="0" w:space="0" w:color="auto"/>
            <w:right w:val="none" w:sz="0" w:space="0" w:color="auto"/>
          </w:divBdr>
        </w:div>
        <w:div w:id="1349605062">
          <w:marLeft w:val="0"/>
          <w:marRight w:val="0"/>
          <w:marTop w:val="0"/>
          <w:marBottom w:val="0"/>
          <w:divBdr>
            <w:top w:val="none" w:sz="0" w:space="0" w:color="auto"/>
            <w:left w:val="none" w:sz="0" w:space="0" w:color="auto"/>
            <w:bottom w:val="none" w:sz="0" w:space="0" w:color="auto"/>
            <w:right w:val="none" w:sz="0" w:space="0" w:color="auto"/>
          </w:divBdr>
        </w:div>
        <w:div w:id="516237784">
          <w:marLeft w:val="0"/>
          <w:marRight w:val="0"/>
          <w:marTop w:val="0"/>
          <w:marBottom w:val="0"/>
          <w:divBdr>
            <w:top w:val="none" w:sz="0" w:space="0" w:color="auto"/>
            <w:left w:val="none" w:sz="0" w:space="0" w:color="auto"/>
            <w:bottom w:val="none" w:sz="0" w:space="0" w:color="auto"/>
            <w:right w:val="none" w:sz="0" w:space="0" w:color="auto"/>
          </w:divBdr>
        </w:div>
      </w:divsChild>
    </w:div>
    <w:div w:id="1463884747">
      <w:bodyDiv w:val="1"/>
      <w:marLeft w:val="0"/>
      <w:marRight w:val="0"/>
      <w:marTop w:val="0"/>
      <w:marBottom w:val="0"/>
      <w:divBdr>
        <w:top w:val="none" w:sz="0" w:space="0" w:color="auto"/>
        <w:left w:val="none" w:sz="0" w:space="0" w:color="auto"/>
        <w:bottom w:val="none" w:sz="0" w:space="0" w:color="auto"/>
        <w:right w:val="none" w:sz="0" w:space="0" w:color="auto"/>
      </w:divBdr>
      <w:divsChild>
        <w:div w:id="40789128">
          <w:marLeft w:val="0"/>
          <w:marRight w:val="0"/>
          <w:marTop w:val="0"/>
          <w:marBottom w:val="0"/>
          <w:divBdr>
            <w:top w:val="none" w:sz="0" w:space="0" w:color="auto"/>
            <w:left w:val="none" w:sz="0" w:space="0" w:color="auto"/>
            <w:bottom w:val="none" w:sz="0" w:space="0" w:color="auto"/>
            <w:right w:val="none" w:sz="0" w:space="0" w:color="auto"/>
          </w:divBdr>
        </w:div>
        <w:div w:id="1850027776">
          <w:marLeft w:val="0"/>
          <w:marRight w:val="0"/>
          <w:marTop w:val="0"/>
          <w:marBottom w:val="0"/>
          <w:divBdr>
            <w:top w:val="none" w:sz="0" w:space="0" w:color="auto"/>
            <w:left w:val="none" w:sz="0" w:space="0" w:color="auto"/>
            <w:bottom w:val="none" w:sz="0" w:space="0" w:color="auto"/>
            <w:right w:val="none" w:sz="0" w:space="0" w:color="auto"/>
          </w:divBdr>
        </w:div>
        <w:div w:id="912472149">
          <w:marLeft w:val="0"/>
          <w:marRight w:val="0"/>
          <w:marTop w:val="0"/>
          <w:marBottom w:val="0"/>
          <w:divBdr>
            <w:top w:val="none" w:sz="0" w:space="0" w:color="auto"/>
            <w:left w:val="none" w:sz="0" w:space="0" w:color="auto"/>
            <w:bottom w:val="none" w:sz="0" w:space="0" w:color="auto"/>
            <w:right w:val="none" w:sz="0" w:space="0" w:color="auto"/>
          </w:divBdr>
        </w:div>
        <w:div w:id="630331223">
          <w:marLeft w:val="0"/>
          <w:marRight w:val="0"/>
          <w:marTop w:val="0"/>
          <w:marBottom w:val="0"/>
          <w:divBdr>
            <w:top w:val="none" w:sz="0" w:space="0" w:color="auto"/>
            <w:left w:val="none" w:sz="0" w:space="0" w:color="auto"/>
            <w:bottom w:val="none" w:sz="0" w:space="0" w:color="auto"/>
            <w:right w:val="none" w:sz="0" w:space="0" w:color="auto"/>
          </w:divBdr>
        </w:div>
        <w:div w:id="27417845">
          <w:marLeft w:val="0"/>
          <w:marRight w:val="0"/>
          <w:marTop w:val="0"/>
          <w:marBottom w:val="0"/>
          <w:divBdr>
            <w:top w:val="none" w:sz="0" w:space="0" w:color="auto"/>
            <w:left w:val="none" w:sz="0" w:space="0" w:color="auto"/>
            <w:bottom w:val="none" w:sz="0" w:space="0" w:color="auto"/>
            <w:right w:val="none" w:sz="0" w:space="0" w:color="auto"/>
          </w:divBdr>
        </w:div>
      </w:divsChild>
    </w:div>
    <w:div w:id="1465654329">
      <w:bodyDiv w:val="1"/>
      <w:marLeft w:val="0"/>
      <w:marRight w:val="0"/>
      <w:marTop w:val="0"/>
      <w:marBottom w:val="0"/>
      <w:divBdr>
        <w:top w:val="none" w:sz="0" w:space="0" w:color="auto"/>
        <w:left w:val="none" w:sz="0" w:space="0" w:color="auto"/>
        <w:bottom w:val="none" w:sz="0" w:space="0" w:color="auto"/>
        <w:right w:val="none" w:sz="0" w:space="0" w:color="auto"/>
      </w:divBdr>
      <w:divsChild>
        <w:div w:id="1486431380">
          <w:marLeft w:val="0"/>
          <w:marRight w:val="0"/>
          <w:marTop w:val="0"/>
          <w:marBottom w:val="0"/>
          <w:divBdr>
            <w:top w:val="none" w:sz="0" w:space="0" w:color="auto"/>
            <w:left w:val="none" w:sz="0" w:space="0" w:color="auto"/>
            <w:bottom w:val="none" w:sz="0" w:space="0" w:color="auto"/>
            <w:right w:val="none" w:sz="0" w:space="0" w:color="auto"/>
          </w:divBdr>
          <w:divsChild>
            <w:div w:id="139226082">
              <w:marLeft w:val="0"/>
              <w:marRight w:val="0"/>
              <w:marTop w:val="0"/>
              <w:marBottom w:val="0"/>
              <w:divBdr>
                <w:top w:val="none" w:sz="0" w:space="0" w:color="auto"/>
                <w:left w:val="none" w:sz="0" w:space="0" w:color="auto"/>
                <w:bottom w:val="none" w:sz="0" w:space="0" w:color="auto"/>
                <w:right w:val="none" w:sz="0" w:space="0" w:color="auto"/>
              </w:divBdr>
              <w:divsChild>
                <w:div w:id="689650619">
                  <w:marLeft w:val="0"/>
                  <w:marRight w:val="0"/>
                  <w:marTop w:val="0"/>
                  <w:marBottom w:val="0"/>
                  <w:divBdr>
                    <w:top w:val="none" w:sz="0" w:space="0" w:color="auto"/>
                    <w:left w:val="none" w:sz="0" w:space="0" w:color="auto"/>
                    <w:bottom w:val="none" w:sz="0" w:space="0" w:color="auto"/>
                    <w:right w:val="none" w:sz="0" w:space="0" w:color="auto"/>
                  </w:divBdr>
                  <w:divsChild>
                    <w:div w:id="212356604">
                      <w:marLeft w:val="0"/>
                      <w:marRight w:val="0"/>
                      <w:marTop w:val="0"/>
                      <w:marBottom w:val="0"/>
                      <w:divBdr>
                        <w:top w:val="none" w:sz="0" w:space="0" w:color="auto"/>
                        <w:left w:val="none" w:sz="0" w:space="0" w:color="auto"/>
                        <w:bottom w:val="none" w:sz="0" w:space="0" w:color="auto"/>
                        <w:right w:val="none" w:sz="0" w:space="0" w:color="auto"/>
                      </w:divBdr>
                    </w:div>
                    <w:div w:id="1644508124">
                      <w:marLeft w:val="0"/>
                      <w:marRight w:val="0"/>
                      <w:marTop w:val="0"/>
                      <w:marBottom w:val="0"/>
                      <w:divBdr>
                        <w:top w:val="none" w:sz="0" w:space="0" w:color="auto"/>
                        <w:left w:val="none" w:sz="0" w:space="0" w:color="auto"/>
                        <w:bottom w:val="none" w:sz="0" w:space="0" w:color="auto"/>
                        <w:right w:val="none" w:sz="0" w:space="0" w:color="auto"/>
                      </w:divBdr>
                    </w:div>
                    <w:div w:id="241571386">
                      <w:marLeft w:val="0"/>
                      <w:marRight w:val="0"/>
                      <w:marTop w:val="0"/>
                      <w:marBottom w:val="0"/>
                      <w:divBdr>
                        <w:top w:val="none" w:sz="0" w:space="0" w:color="auto"/>
                        <w:left w:val="none" w:sz="0" w:space="0" w:color="auto"/>
                        <w:bottom w:val="none" w:sz="0" w:space="0" w:color="auto"/>
                        <w:right w:val="none" w:sz="0" w:space="0" w:color="auto"/>
                      </w:divBdr>
                    </w:div>
                    <w:div w:id="130581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363312">
      <w:bodyDiv w:val="1"/>
      <w:marLeft w:val="0"/>
      <w:marRight w:val="0"/>
      <w:marTop w:val="0"/>
      <w:marBottom w:val="0"/>
      <w:divBdr>
        <w:top w:val="none" w:sz="0" w:space="0" w:color="auto"/>
        <w:left w:val="none" w:sz="0" w:space="0" w:color="auto"/>
        <w:bottom w:val="none" w:sz="0" w:space="0" w:color="auto"/>
        <w:right w:val="none" w:sz="0" w:space="0" w:color="auto"/>
      </w:divBdr>
    </w:div>
    <w:div w:id="1510634832">
      <w:bodyDiv w:val="1"/>
      <w:marLeft w:val="0"/>
      <w:marRight w:val="0"/>
      <w:marTop w:val="0"/>
      <w:marBottom w:val="0"/>
      <w:divBdr>
        <w:top w:val="none" w:sz="0" w:space="0" w:color="auto"/>
        <w:left w:val="none" w:sz="0" w:space="0" w:color="auto"/>
        <w:bottom w:val="none" w:sz="0" w:space="0" w:color="auto"/>
        <w:right w:val="none" w:sz="0" w:space="0" w:color="auto"/>
      </w:divBdr>
      <w:divsChild>
        <w:div w:id="1452016766">
          <w:marLeft w:val="0"/>
          <w:marRight w:val="0"/>
          <w:marTop w:val="0"/>
          <w:marBottom w:val="0"/>
          <w:divBdr>
            <w:top w:val="none" w:sz="0" w:space="0" w:color="auto"/>
            <w:left w:val="none" w:sz="0" w:space="0" w:color="auto"/>
            <w:bottom w:val="none" w:sz="0" w:space="0" w:color="auto"/>
            <w:right w:val="none" w:sz="0" w:space="0" w:color="auto"/>
          </w:divBdr>
          <w:divsChild>
            <w:div w:id="1867715564">
              <w:marLeft w:val="0"/>
              <w:marRight w:val="0"/>
              <w:marTop w:val="0"/>
              <w:marBottom w:val="0"/>
              <w:divBdr>
                <w:top w:val="none" w:sz="0" w:space="0" w:color="auto"/>
                <w:left w:val="none" w:sz="0" w:space="0" w:color="auto"/>
                <w:bottom w:val="none" w:sz="0" w:space="0" w:color="auto"/>
                <w:right w:val="none" w:sz="0" w:space="0" w:color="auto"/>
              </w:divBdr>
              <w:divsChild>
                <w:div w:id="1815944957">
                  <w:marLeft w:val="0"/>
                  <w:marRight w:val="0"/>
                  <w:marTop w:val="0"/>
                  <w:marBottom w:val="0"/>
                  <w:divBdr>
                    <w:top w:val="none" w:sz="0" w:space="0" w:color="auto"/>
                    <w:left w:val="none" w:sz="0" w:space="0" w:color="auto"/>
                    <w:bottom w:val="none" w:sz="0" w:space="0" w:color="auto"/>
                    <w:right w:val="none" w:sz="0" w:space="0" w:color="auto"/>
                  </w:divBdr>
                  <w:divsChild>
                    <w:div w:id="84451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136559">
      <w:bodyDiv w:val="1"/>
      <w:marLeft w:val="0"/>
      <w:marRight w:val="0"/>
      <w:marTop w:val="0"/>
      <w:marBottom w:val="0"/>
      <w:divBdr>
        <w:top w:val="none" w:sz="0" w:space="0" w:color="auto"/>
        <w:left w:val="none" w:sz="0" w:space="0" w:color="auto"/>
        <w:bottom w:val="none" w:sz="0" w:space="0" w:color="auto"/>
        <w:right w:val="none" w:sz="0" w:space="0" w:color="auto"/>
      </w:divBdr>
      <w:divsChild>
        <w:div w:id="180097765">
          <w:marLeft w:val="0"/>
          <w:marRight w:val="0"/>
          <w:marTop w:val="0"/>
          <w:marBottom w:val="0"/>
          <w:divBdr>
            <w:top w:val="none" w:sz="0" w:space="0" w:color="auto"/>
            <w:left w:val="none" w:sz="0" w:space="0" w:color="auto"/>
            <w:bottom w:val="none" w:sz="0" w:space="0" w:color="auto"/>
            <w:right w:val="none" w:sz="0" w:space="0" w:color="auto"/>
          </w:divBdr>
        </w:div>
      </w:divsChild>
    </w:div>
    <w:div w:id="1539969329">
      <w:bodyDiv w:val="1"/>
      <w:marLeft w:val="0"/>
      <w:marRight w:val="0"/>
      <w:marTop w:val="0"/>
      <w:marBottom w:val="0"/>
      <w:divBdr>
        <w:top w:val="none" w:sz="0" w:space="0" w:color="auto"/>
        <w:left w:val="none" w:sz="0" w:space="0" w:color="auto"/>
        <w:bottom w:val="none" w:sz="0" w:space="0" w:color="auto"/>
        <w:right w:val="none" w:sz="0" w:space="0" w:color="auto"/>
      </w:divBdr>
      <w:divsChild>
        <w:div w:id="31928159">
          <w:marLeft w:val="0"/>
          <w:marRight w:val="0"/>
          <w:marTop w:val="0"/>
          <w:marBottom w:val="0"/>
          <w:divBdr>
            <w:top w:val="none" w:sz="0" w:space="0" w:color="auto"/>
            <w:left w:val="none" w:sz="0" w:space="0" w:color="auto"/>
            <w:bottom w:val="none" w:sz="0" w:space="0" w:color="auto"/>
            <w:right w:val="none" w:sz="0" w:space="0" w:color="auto"/>
          </w:divBdr>
          <w:divsChild>
            <w:div w:id="698043200">
              <w:marLeft w:val="0"/>
              <w:marRight w:val="0"/>
              <w:marTop w:val="0"/>
              <w:marBottom w:val="0"/>
              <w:divBdr>
                <w:top w:val="none" w:sz="0" w:space="0" w:color="auto"/>
                <w:left w:val="none" w:sz="0" w:space="0" w:color="auto"/>
                <w:bottom w:val="none" w:sz="0" w:space="0" w:color="auto"/>
                <w:right w:val="none" w:sz="0" w:space="0" w:color="auto"/>
              </w:divBdr>
              <w:divsChild>
                <w:div w:id="762845667">
                  <w:marLeft w:val="0"/>
                  <w:marRight w:val="0"/>
                  <w:marTop w:val="0"/>
                  <w:marBottom w:val="0"/>
                  <w:divBdr>
                    <w:top w:val="none" w:sz="0" w:space="0" w:color="auto"/>
                    <w:left w:val="none" w:sz="0" w:space="0" w:color="auto"/>
                    <w:bottom w:val="none" w:sz="0" w:space="0" w:color="auto"/>
                    <w:right w:val="none" w:sz="0" w:space="0" w:color="auto"/>
                  </w:divBdr>
                  <w:divsChild>
                    <w:div w:id="578294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1643241">
      <w:bodyDiv w:val="1"/>
      <w:marLeft w:val="0"/>
      <w:marRight w:val="0"/>
      <w:marTop w:val="0"/>
      <w:marBottom w:val="0"/>
      <w:divBdr>
        <w:top w:val="none" w:sz="0" w:space="0" w:color="auto"/>
        <w:left w:val="none" w:sz="0" w:space="0" w:color="auto"/>
        <w:bottom w:val="none" w:sz="0" w:space="0" w:color="auto"/>
        <w:right w:val="none" w:sz="0" w:space="0" w:color="auto"/>
      </w:divBdr>
      <w:divsChild>
        <w:div w:id="285550026">
          <w:marLeft w:val="0"/>
          <w:marRight w:val="0"/>
          <w:marTop w:val="0"/>
          <w:marBottom w:val="0"/>
          <w:divBdr>
            <w:top w:val="none" w:sz="0" w:space="0" w:color="auto"/>
            <w:left w:val="none" w:sz="0" w:space="0" w:color="auto"/>
            <w:bottom w:val="none" w:sz="0" w:space="0" w:color="auto"/>
            <w:right w:val="none" w:sz="0" w:space="0" w:color="auto"/>
          </w:divBdr>
        </w:div>
        <w:div w:id="1193420729">
          <w:marLeft w:val="0"/>
          <w:marRight w:val="0"/>
          <w:marTop w:val="0"/>
          <w:marBottom w:val="0"/>
          <w:divBdr>
            <w:top w:val="none" w:sz="0" w:space="0" w:color="auto"/>
            <w:left w:val="none" w:sz="0" w:space="0" w:color="auto"/>
            <w:bottom w:val="none" w:sz="0" w:space="0" w:color="auto"/>
            <w:right w:val="none" w:sz="0" w:space="0" w:color="auto"/>
          </w:divBdr>
        </w:div>
        <w:div w:id="1783331584">
          <w:marLeft w:val="0"/>
          <w:marRight w:val="0"/>
          <w:marTop w:val="0"/>
          <w:marBottom w:val="0"/>
          <w:divBdr>
            <w:top w:val="none" w:sz="0" w:space="0" w:color="auto"/>
            <w:left w:val="none" w:sz="0" w:space="0" w:color="auto"/>
            <w:bottom w:val="none" w:sz="0" w:space="0" w:color="auto"/>
            <w:right w:val="none" w:sz="0" w:space="0" w:color="auto"/>
          </w:divBdr>
        </w:div>
      </w:divsChild>
    </w:div>
    <w:div w:id="1603534884">
      <w:bodyDiv w:val="1"/>
      <w:marLeft w:val="0"/>
      <w:marRight w:val="0"/>
      <w:marTop w:val="0"/>
      <w:marBottom w:val="0"/>
      <w:divBdr>
        <w:top w:val="none" w:sz="0" w:space="0" w:color="auto"/>
        <w:left w:val="none" w:sz="0" w:space="0" w:color="auto"/>
        <w:bottom w:val="none" w:sz="0" w:space="0" w:color="auto"/>
        <w:right w:val="none" w:sz="0" w:space="0" w:color="auto"/>
      </w:divBdr>
      <w:divsChild>
        <w:div w:id="972054090">
          <w:marLeft w:val="0"/>
          <w:marRight w:val="0"/>
          <w:marTop w:val="0"/>
          <w:marBottom w:val="0"/>
          <w:divBdr>
            <w:top w:val="none" w:sz="0" w:space="0" w:color="auto"/>
            <w:left w:val="none" w:sz="0" w:space="0" w:color="auto"/>
            <w:bottom w:val="none" w:sz="0" w:space="0" w:color="auto"/>
            <w:right w:val="none" w:sz="0" w:space="0" w:color="auto"/>
          </w:divBdr>
        </w:div>
        <w:div w:id="1829395592">
          <w:marLeft w:val="0"/>
          <w:marRight w:val="0"/>
          <w:marTop w:val="0"/>
          <w:marBottom w:val="0"/>
          <w:divBdr>
            <w:top w:val="none" w:sz="0" w:space="0" w:color="auto"/>
            <w:left w:val="none" w:sz="0" w:space="0" w:color="auto"/>
            <w:bottom w:val="none" w:sz="0" w:space="0" w:color="auto"/>
            <w:right w:val="none" w:sz="0" w:space="0" w:color="auto"/>
          </w:divBdr>
        </w:div>
        <w:div w:id="1975986448">
          <w:marLeft w:val="0"/>
          <w:marRight w:val="0"/>
          <w:marTop w:val="0"/>
          <w:marBottom w:val="0"/>
          <w:divBdr>
            <w:top w:val="none" w:sz="0" w:space="0" w:color="auto"/>
            <w:left w:val="none" w:sz="0" w:space="0" w:color="auto"/>
            <w:bottom w:val="none" w:sz="0" w:space="0" w:color="auto"/>
            <w:right w:val="none" w:sz="0" w:space="0" w:color="auto"/>
          </w:divBdr>
        </w:div>
        <w:div w:id="1758482323">
          <w:marLeft w:val="0"/>
          <w:marRight w:val="0"/>
          <w:marTop w:val="0"/>
          <w:marBottom w:val="0"/>
          <w:divBdr>
            <w:top w:val="none" w:sz="0" w:space="0" w:color="auto"/>
            <w:left w:val="none" w:sz="0" w:space="0" w:color="auto"/>
            <w:bottom w:val="none" w:sz="0" w:space="0" w:color="auto"/>
            <w:right w:val="none" w:sz="0" w:space="0" w:color="auto"/>
          </w:divBdr>
        </w:div>
        <w:div w:id="1474640410">
          <w:marLeft w:val="0"/>
          <w:marRight w:val="0"/>
          <w:marTop w:val="0"/>
          <w:marBottom w:val="0"/>
          <w:divBdr>
            <w:top w:val="none" w:sz="0" w:space="0" w:color="auto"/>
            <w:left w:val="none" w:sz="0" w:space="0" w:color="auto"/>
            <w:bottom w:val="none" w:sz="0" w:space="0" w:color="auto"/>
            <w:right w:val="none" w:sz="0" w:space="0" w:color="auto"/>
          </w:divBdr>
        </w:div>
        <w:div w:id="199361709">
          <w:marLeft w:val="0"/>
          <w:marRight w:val="0"/>
          <w:marTop w:val="0"/>
          <w:marBottom w:val="0"/>
          <w:divBdr>
            <w:top w:val="none" w:sz="0" w:space="0" w:color="auto"/>
            <w:left w:val="none" w:sz="0" w:space="0" w:color="auto"/>
            <w:bottom w:val="none" w:sz="0" w:space="0" w:color="auto"/>
            <w:right w:val="none" w:sz="0" w:space="0" w:color="auto"/>
          </w:divBdr>
        </w:div>
        <w:div w:id="1537737497">
          <w:marLeft w:val="0"/>
          <w:marRight w:val="0"/>
          <w:marTop w:val="0"/>
          <w:marBottom w:val="0"/>
          <w:divBdr>
            <w:top w:val="none" w:sz="0" w:space="0" w:color="auto"/>
            <w:left w:val="none" w:sz="0" w:space="0" w:color="auto"/>
            <w:bottom w:val="none" w:sz="0" w:space="0" w:color="auto"/>
            <w:right w:val="none" w:sz="0" w:space="0" w:color="auto"/>
          </w:divBdr>
        </w:div>
        <w:div w:id="1735808957">
          <w:marLeft w:val="0"/>
          <w:marRight w:val="0"/>
          <w:marTop w:val="0"/>
          <w:marBottom w:val="0"/>
          <w:divBdr>
            <w:top w:val="none" w:sz="0" w:space="0" w:color="auto"/>
            <w:left w:val="none" w:sz="0" w:space="0" w:color="auto"/>
            <w:bottom w:val="none" w:sz="0" w:space="0" w:color="auto"/>
            <w:right w:val="none" w:sz="0" w:space="0" w:color="auto"/>
          </w:divBdr>
        </w:div>
        <w:div w:id="217395826">
          <w:marLeft w:val="0"/>
          <w:marRight w:val="0"/>
          <w:marTop w:val="0"/>
          <w:marBottom w:val="0"/>
          <w:divBdr>
            <w:top w:val="none" w:sz="0" w:space="0" w:color="auto"/>
            <w:left w:val="none" w:sz="0" w:space="0" w:color="auto"/>
            <w:bottom w:val="none" w:sz="0" w:space="0" w:color="auto"/>
            <w:right w:val="none" w:sz="0" w:space="0" w:color="auto"/>
          </w:divBdr>
        </w:div>
      </w:divsChild>
    </w:div>
    <w:div w:id="1603993865">
      <w:bodyDiv w:val="1"/>
      <w:marLeft w:val="0"/>
      <w:marRight w:val="0"/>
      <w:marTop w:val="0"/>
      <w:marBottom w:val="0"/>
      <w:divBdr>
        <w:top w:val="none" w:sz="0" w:space="0" w:color="auto"/>
        <w:left w:val="none" w:sz="0" w:space="0" w:color="auto"/>
        <w:bottom w:val="none" w:sz="0" w:space="0" w:color="auto"/>
        <w:right w:val="none" w:sz="0" w:space="0" w:color="auto"/>
      </w:divBdr>
    </w:div>
    <w:div w:id="1622415932">
      <w:bodyDiv w:val="1"/>
      <w:marLeft w:val="0"/>
      <w:marRight w:val="0"/>
      <w:marTop w:val="0"/>
      <w:marBottom w:val="0"/>
      <w:divBdr>
        <w:top w:val="none" w:sz="0" w:space="0" w:color="auto"/>
        <w:left w:val="none" w:sz="0" w:space="0" w:color="auto"/>
        <w:bottom w:val="none" w:sz="0" w:space="0" w:color="auto"/>
        <w:right w:val="none" w:sz="0" w:space="0" w:color="auto"/>
      </w:divBdr>
      <w:divsChild>
        <w:div w:id="1024403559">
          <w:marLeft w:val="0"/>
          <w:marRight w:val="0"/>
          <w:marTop w:val="0"/>
          <w:marBottom w:val="0"/>
          <w:divBdr>
            <w:top w:val="none" w:sz="0" w:space="0" w:color="auto"/>
            <w:left w:val="none" w:sz="0" w:space="0" w:color="auto"/>
            <w:bottom w:val="none" w:sz="0" w:space="0" w:color="auto"/>
            <w:right w:val="none" w:sz="0" w:space="0" w:color="auto"/>
          </w:divBdr>
        </w:div>
        <w:div w:id="496380036">
          <w:marLeft w:val="0"/>
          <w:marRight w:val="0"/>
          <w:marTop w:val="0"/>
          <w:marBottom w:val="0"/>
          <w:divBdr>
            <w:top w:val="none" w:sz="0" w:space="0" w:color="auto"/>
            <w:left w:val="none" w:sz="0" w:space="0" w:color="auto"/>
            <w:bottom w:val="none" w:sz="0" w:space="0" w:color="auto"/>
            <w:right w:val="none" w:sz="0" w:space="0" w:color="auto"/>
          </w:divBdr>
        </w:div>
      </w:divsChild>
    </w:div>
    <w:div w:id="1631207181">
      <w:bodyDiv w:val="1"/>
      <w:marLeft w:val="0"/>
      <w:marRight w:val="0"/>
      <w:marTop w:val="0"/>
      <w:marBottom w:val="0"/>
      <w:divBdr>
        <w:top w:val="none" w:sz="0" w:space="0" w:color="auto"/>
        <w:left w:val="none" w:sz="0" w:space="0" w:color="auto"/>
        <w:bottom w:val="none" w:sz="0" w:space="0" w:color="auto"/>
        <w:right w:val="none" w:sz="0" w:space="0" w:color="auto"/>
      </w:divBdr>
    </w:div>
    <w:div w:id="1639218252">
      <w:bodyDiv w:val="1"/>
      <w:marLeft w:val="0"/>
      <w:marRight w:val="0"/>
      <w:marTop w:val="0"/>
      <w:marBottom w:val="0"/>
      <w:divBdr>
        <w:top w:val="none" w:sz="0" w:space="0" w:color="auto"/>
        <w:left w:val="none" w:sz="0" w:space="0" w:color="auto"/>
        <w:bottom w:val="none" w:sz="0" w:space="0" w:color="auto"/>
        <w:right w:val="none" w:sz="0" w:space="0" w:color="auto"/>
      </w:divBdr>
    </w:div>
    <w:div w:id="1646426279">
      <w:bodyDiv w:val="1"/>
      <w:marLeft w:val="0"/>
      <w:marRight w:val="0"/>
      <w:marTop w:val="0"/>
      <w:marBottom w:val="0"/>
      <w:divBdr>
        <w:top w:val="none" w:sz="0" w:space="0" w:color="auto"/>
        <w:left w:val="none" w:sz="0" w:space="0" w:color="auto"/>
        <w:bottom w:val="none" w:sz="0" w:space="0" w:color="auto"/>
        <w:right w:val="none" w:sz="0" w:space="0" w:color="auto"/>
      </w:divBdr>
      <w:divsChild>
        <w:div w:id="491214904">
          <w:marLeft w:val="0"/>
          <w:marRight w:val="0"/>
          <w:marTop w:val="0"/>
          <w:marBottom w:val="0"/>
          <w:divBdr>
            <w:top w:val="none" w:sz="0" w:space="0" w:color="auto"/>
            <w:left w:val="none" w:sz="0" w:space="0" w:color="auto"/>
            <w:bottom w:val="none" w:sz="0" w:space="0" w:color="auto"/>
            <w:right w:val="none" w:sz="0" w:space="0" w:color="auto"/>
          </w:divBdr>
        </w:div>
        <w:div w:id="2098360206">
          <w:marLeft w:val="0"/>
          <w:marRight w:val="0"/>
          <w:marTop w:val="0"/>
          <w:marBottom w:val="0"/>
          <w:divBdr>
            <w:top w:val="none" w:sz="0" w:space="0" w:color="auto"/>
            <w:left w:val="none" w:sz="0" w:space="0" w:color="auto"/>
            <w:bottom w:val="none" w:sz="0" w:space="0" w:color="auto"/>
            <w:right w:val="none" w:sz="0" w:space="0" w:color="auto"/>
          </w:divBdr>
        </w:div>
        <w:div w:id="1095324840">
          <w:marLeft w:val="0"/>
          <w:marRight w:val="0"/>
          <w:marTop w:val="0"/>
          <w:marBottom w:val="0"/>
          <w:divBdr>
            <w:top w:val="none" w:sz="0" w:space="0" w:color="auto"/>
            <w:left w:val="none" w:sz="0" w:space="0" w:color="auto"/>
            <w:bottom w:val="none" w:sz="0" w:space="0" w:color="auto"/>
            <w:right w:val="none" w:sz="0" w:space="0" w:color="auto"/>
          </w:divBdr>
        </w:div>
        <w:div w:id="1573469175">
          <w:marLeft w:val="0"/>
          <w:marRight w:val="0"/>
          <w:marTop w:val="0"/>
          <w:marBottom w:val="0"/>
          <w:divBdr>
            <w:top w:val="none" w:sz="0" w:space="0" w:color="auto"/>
            <w:left w:val="none" w:sz="0" w:space="0" w:color="auto"/>
            <w:bottom w:val="none" w:sz="0" w:space="0" w:color="auto"/>
            <w:right w:val="none" w:sz="0" w:space="0" w:color="auto"/>
          </w:divBdr>
        </w:div>
        <w:div w:id="49312202">
          <w:marLeft w:val="0"/>
          <w:marRight w:val="0"/>
          <w:marTop w:val="0"/>
          <w:marBottom w:val="0"/>
          <w:divBdr>
            <w:top w:val="none" w:sz="0" w:space="0" w:color="auto"/>
            <w:left w:val="none" w:sz="0" w:space="0" w:color="auto"/>
            <w:bottom w:val="none" w:sz="0" w:space="0" w:color="auto"/>
            <w:right w:val="none" w:sz="0" w:space="0" w:color="auto"/>
          </w:divBdr>
        </w:div>
        <w:div w:id="1778911840">
          <w:marLeft w:val="0"/>
          <w:marRight w:val="0"/>
          <w:marTop w:val="0"/>
          <w:marBottom w:val="0"/>
          <w:divBdr>
            <w:top w:val="none" w:sz="0" w:space="0" w:color="auto"/>
            <w:left w:val="none" w:sz="0" w:space="0" w:color="auto"/>
            <w:bottom w:val="none" w:sz="0" w:space="0" w:color="auto"/>
            <w:right w:val="none" w:sz="0" w:space="0" w:color="auto"/>
          </w:divBdr>
        </w:div>
        <w:div w:id="401564212">
          <w:marLeft w:val="0"/>
          <w:marRight w:val="0"/>
          <w:marTop w:val="0"/>
          <w:marBottom w:val="0"/>
          <w:divBdr>
            <w:top w:val="none" w:sz="0" w:space="0" w:color="auto"/>
            <w:left w:val="none" w:sz="0" w:space="0" w:color="auto"/>
            <w:bottom w:val="none" w:sz="0" w:space="0" w:color="auto"/>
            <w:right w:val="none" w:sz="0" w:space="0" w:color="auto"/>
          </w:divBdr>
        </w:div>
        <w:div w:id="253053799">
          <w:marLeft w:val="0"/>
          <w:marRight w:val="0"/>
          <w:marTop w:val="0"/>
          <w:marBottom w:val="0"/>
          <w:divBdr>
            <w:top w:val="none" w:sz="0" w:space="0" w:color="auto"/>
            <w:left w:val="none" w:sz="0" w:space="0" w:color="auto"/>
            <w:bottom w:val="none" w:sz="0" w:space="0" w:color="auto"/>
            <w:right w:val="none" w:sz="0" w:space="0" w:color="auto"/>
          </w:divBdr>
        </w:div>
        <w:div w:id="1208568486">
          <w:marLeft w:val="0"/>
          <w:marRight w:val="0"/>
          <w:marTop w:val="0"/>
          <w:marBottom w:val="0"/>
          <w:divBdr>
            <w:top w:val="none" w:sz="0" w:space="0" w:color="auto"/>
            <w:left w:val="none" w:sz="0" w:space="0" w:color="auto"/>
            <w:bottom w:val="none" w:sz="0" w:space="0" w:color="auto"/>
            <w:right w:val="none" w:sz="0" w:space="0" w:color="auto"/>
          </w:divBdr>
        </w:div>
        <w:div w:id="1626544871">
          <w:marLeft w:val="0"/>
          <w:marRight w:val="0"/>
          <w:marTop w:val="0"/>
          <w:marBottom w:val="0"/>
          <w:divBdr>
            <w:top w:val="none" w:sz="0" w:space="0" w:color="auto"/>
            <w:left w:val="none" w:sz="0" w:space="0" w:color="auto"/>
            <w:bottom w:val="none" w:sz="0" w:space="0" w:color="auto"/>
            <w:right w:val="none" w:sz="0" w:space="0" w:color="auto"/>
          </w:divBdr>
        </w:div>
        <w:div w:id="824980021">
          <w:marLeft w:val="0"/>
          <w:marRight w:val="0"/>
          <w:marTop w:val="0"/>
          <w:marBottom w:val="0"/>
          <w:divBdr>
            <w:top w:val="none" w:sz="0" w:space="0" w:color="auto"/>
            <w:left w:val="none" w:sz="0" w:space="0" w:color="auto"/>
            <w:bottom w:val="none" w:sz="0" w:space="0" w:color="auto"/>
            <w:right w:val="none" w:sz="0" w:space="0" w:color="auto"/>
          </w:divBdr>
        </w:div>
        <w:div w:id="975447438">
          <w:marLeft w:val="0"/>
          <w:marRight w:val="0"/>
          <w:marTop w:val="0"/>
          <w:marBottom w:val="0"/>
          <w:divBdr>
            <w:top w:val="none" w:sz="0" w:space="0" w:color="auto"/>
            <w:left w:val="none" w:sz="0" w:space="0" w:color="auto"/>
            <w:bottom w:val="none" w:sz="0" w:space="0" w:color="auto"/>
            <w:right w:val="none" w:sz="0" w:space="0" w:color="auto"/>
          </w:divBdr>
        </w:div>
        <w:div w:id="1523130984">
          <w:marLeft w:val="0"/>
          <w:marRight w:val="0"/>
          <w:marTop w:val="0"/>
          <w:marBottom w:val="0"/>
          <w:divBdr>
            <w:top w:val="none" w:sz="0" w:space="0" w:color="auto"/>
            <w:left w:val="none" w:sz="0" w:space="0" w:color="auto"/>
            <w:bottom w:val="none" w:sz="0" w:space="0" w:color="auto"/>
            <w:right w:val="none" w:sz="0" w:space="0" w:color="auto"/>
          </w:divBdr>
        </w:div>
        <w:div w:id="2710692">
          <w:marLeft w:val="0"/>
          <w:marRight w:val="0"/>
          <w:marTop w:val="0"/>
          <w:marBottom w:val="0"/>
          <w:divBdr>
            <w:top w:val="none" w:sz="0" w:space="0" w:color="auto"/>
            <w:left w:val="none" w:sz="0" w:space="0" w:color="auto"/>
            <w:bottom w:val="none" w:sz="0" w:space="0" w:color="auto"/>
            <w:right w:val="none" w:sz="0" w:space="0" w:color="auto"/>
          </w:divBdr>
        </w:div>
        <w:div w:id="843134955">
          <w:marLeft w:val="0"/>
          <w:marRight w:val="0"/>
          <w:marTop w:val="0"/>
          <w:marBottom w:val="0"/>
          <w:divBdr>
            <w:top w:val="none" w:sz="0" w:space="0" w:color="auto"/>
            <w:left w:val="none" w:sz="0" w:space="0" w:color="auto"/>
            <w:bottom w:val="none" w:sz="0" w:space="0" w:color="auto"/>
            <w:right w:val="none" w:sz="0" w:space="0" w:color="auto"/>
          </w:divBdr>
        </w:div>
        <w:div w:id="1349403429">
          <w:marLeft w:val="0"/>
          <w:marRight w:val="0"/>
          <w:marTop w:val="0"/>
          <w:marBottom w:val="0"/>
          <w:divBdr>
            <w:top w:val="none" w:sz="0" w:space="0" w:color="auto"/>
            <w:left w:val="none" w:sz="0" w:space="0" w:color="auto"/>
            <w:bottom w:val="none" w:sz="0" w:space="0" w:color="auto"/>
            <w:right w:val="none" w:sz="0" w:space="0" w:color="auto"/>
          </w:divBdr>
        </w:div>
        <w:div w:id="1916040805">
          <w:marLeft w:val="0"/>
          <w:marRight w:val="0"/>
          <w:marTop w:val="0"/>
          <w:marBottom w:val="0"/>
          <w:divBdr>
            <w:top w:val="none" w:sz="0" w:space="0" w:color="auto"/>
            <w:left w:val="none" w:sz="0" w:space="0" w:color="auto"/>
            <w:bottom w:val="none" w:sz="0" w:space="0" w:color="auto"/>
            <w:right w:val="none" w:sz="0" w:space="0" w:color="auto"/>
          </w:divBdr>
        </w:div>
        <w:div w:id="551815601">
          <w:marLeft w:val="0"/>
          <w:marRight w:val="0"/>
          <w:marTop w:val="0"/>
          <w:marBottom w:val="0"/>
          <w:divBdr>
            <w:top w:val="none" w:sz="0" w:space="0" w:color="auto"/>
            <w:left w:val="none" w:sz="0" w:space="0" w:color="auto"/>
            <w:bottom w:val="none" w:sz="0" w:space="0" w:color="auto"/>
            <w:right w:val="none" w:sz="0" w:space="0" w:color="auto"/>
          </w:divBdr>
        </w:div>
      </w:divsChild>
    </w:div>
    <w:div w:id="1656911879">
      <w:bodyDiv w:val="1"/>
      <w:marLeft w:val="0"/>
      <w:marRight w:val="0"/>
      <w:marTop w:val="0"/>
      <w:marBottom w:val="0"/>
      <w:divBdr>
        <w:top w:val="none" w:sz="0" w:space="0" w:color="auto"/>
        <w:left w:val="none" w:sz="0" w:space="0" w:color="auto"/>
        <w:bottom w:val="none" w:sz="0" w:space="0" w:color="auto"/>
        <w:right w:val="none" w:sz="0" w:space="0" w:color="auto"/>
      </w:divBdr>
      <w:divsChild>
        <w:div w:id="1704355636">
          <w:marLeft w:val="0"/>
          <w:marRight w:val="0"/>
          <w:marTop w:val="0"/>
          <w:marBottom w:val="0"/>
          <w:divBdr>
            <w:top w:val="none" w:sz="0" w:space="0" w:color="auto"/>
            <w:left w:val="none" w:sz="0" w:space="0" w:color="auto"/>
            <w:bottom w:val="none" w:sz="0" w:space="0" w:color="auto"/>
            <w:right w:val="none" w:sz="0" w:space="0" w:color="auto"/>
          </w:divBdr>
          <w:divsChild>
            <w:div w:id="2053731222">
              <w:marLeft w:val="0"/>
              <w:marRight w:val="0"/>
              <w:marTop w:val="0"/>
              <w:marBottom w:val="0"/>
              <w:divBdr>
                <w:top w:val="none" w:sz="0" w:space="0" w:color="auto"/>
                <w:left w:val="none" w:sz="0" w:space="0" w:color="auto"/>
                <w:bottom w:val="none" w:sz="0" w:space="0" w:color="auto"/>
                <w:right w:val="none" w:sz="0" w:space="0" w:color="auto"/>
              </w:divBdr>
              <w:divsChild>
                <w:div w:id="1416899216">
                  <w:marLeft w:val="0"/>
                  <w:marRight w:val="0"/>
                  <w:marTop w:val="0"/>
                  <w:marBottom w:val="0"/>
                  <w:divBdr>
                    <w:top w:val="none" w:sz="0" w:space="0" w:color="auto"/>
                    <w:left w:val="none" w:sz="0" w:space="0" w:color="auto"/>
                    <w:bottom w:val="none" w:sz="0" w:space="0" w:color="auto"/>
                    <w:right w:val="none" w:sz="0" w:space="0" w:color="auto"/>
                  </w:divBdr>
                  <w:divsChild>
                    <w:div w:id="345982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2639772">
      <w:bodyDiv w:val="1"/>
      <w:marLeft w:val="0"/>
      <w:marRight w:val="0"/>
      <w:marTop w:val="0"/>
      <w:marBottom w:val="0"/>
      <w:divBdr>
        <w:top w:val="none" w:sz="0" w:space="0" w:color="auto"/>
        <w:left w:val="none" w:sz="0" w:space="0" w:color="auto"/>
        <w:bottom w:val="none" w:sz="0" w:space="0" w:color="auto"/>
        <w:right w:val="none" w:sz="0" w:space="0" w:color="auto"/>
      </w:divBdr>
    </w:div>
    <w:div w:id="1673143034">
      <w:bodyDiv w:val="1"/>
      <w:marLeft w:val="0"/>
      <w:marRight w:val="0"/>
      <w:marTop w:val="0"/>
      <w:marBottom w:val="0"/>
      <w:divBdr>
        <w:top w:val="none" w:sz="0" w:space="0" w:color="auto"/>
        <w:left w:val="none" w:sz="0" w:space="0" w:color="auto"/>
        <w:bottom w:val="none" w:sz="0" w:space="0" w:color="auto"/>
        <w:right w:val="none" w:sz="0" w:space="0" w:color="auto"/>
      </w:divBdr>
      <w:divsChild>
        <w:div w:id="1226407621">
          <w:marLeft w:val="0"/>
          <w:marRight w:val="0"/>
          <w:marTop w:val="0"/>
          <w:marBottom w:val="0"/>
          <w:divBdr>
            <w:top w:val="none" w:sz="0" w:space="0" w:color="auto"/>
            <w:left w:val="none" w:sz="0" w:space="0" w:color="auto"/>
            <w:bottom w:val="none" w:sz="0" w:space="0" w:color="auto"/>
            <w:right w:val="none" w:sz="0" w:space="0" w:color="auto"/>
          </w:divBdr>
        </w:div>
        <w:div w:id="886768906">
          <w:marLeft w:val="0"/>
          <w:marRight w:val="0"/>
          <w:marTop w:val="0"/>
          <w:marBottom w:val="0"/>
          <w:divBdr>
            <w:top w:val="none" w:sz="0" w:space="0" w:color="auto"/>
            <w:left w:val="none" w:sz="0" w:space="0" w:color="auto"/>
            <w:bottom w:val="none" w:sz="0" w:space="0" w:color="auto"/>
            <w:right w:val="none" w:sz="0" w:space="0" w:color="auto"/>
          </w:divBdr>
        </w:div>
      </w:divsChild>
    </w:div>
    <w:div w:id="1673944142">
      <w:bodyDiv w:val="1"/>
      <w:marLeft w:val="0"/>
      <w:marRight w:val="0"/>
      <w:marTop w:val="0"/>
      <w:marBottom w:val="0"/>
      <w:divBdr>
        <w:top w:val="none" w:sz="0" w:space="0" w:color="auto"/>
        <w:left w:val="none" w:sz="0" w:space="0" w:color="auto"/>
        <w:bottom w:val="none" w:sz="0" w:space="0" w:color="auto"/>
        <w:right w:val="none" w:sz="0" w:space="0" w:color="auto"/>
      </w:divBdr>
    </w:div>
    <w:div w:id="1679692281">
      <w:bodyDiv w:val="1"/>
      <w:marLeft w:val="0"/>
      <w:marRight w:val="0"/>
      <w:marTop w:val="0"/>
      <w:marBottom w:val="0"/>
      <w:divBdr>
        <w:top w:val="none" w:sz="0" w:space="0" w:color="auto"/>
        <w:left w:val="none" w:sz="0" w:space="0" w:color="auto"/>
        <w:bottom w:val="none" w:sz="0" w:space="0" w:color="auto"/>
        <w:right w:val="none" w:sz="0" w:space="0" w:color="auto"/>
      </w:divBdr>
      <w:divsChild>
        <w:div w:id="1388188927">
          <w:marLeft w:val="0"/>
          <w:marRight w:val="0"/>
          <w:marTop w:val="0"/>
          <w:marBottom w:val="0"/>
          <w:divBdr>
            <w:top w:val="none" w:sz="0" w:space="0" w:color="auto"/>
            <w:left w:val="none" w:sz="0" w:space="0" w:color="auto"/>
            <w:bottom w:val="none" w:sz="0" w:space="0" w:color="auto"/>
            <w:right w:val="none" w:sz="0" w:space="0" w:color="auto"/>
          </w:divBdr>
        </w:div>
        <w:div w:id="1976566573">
          <w:marLeft w:val="0"/>
          <w:marRight w:val="0"/>
          <w:marTop w:val="0"/>
          <w:marBottom w:val="0"/>
          <w:divBdr>
            <w:top w:val="none" w:sz="0" w:space="0" w:color="auto"/>
            <w:left w:val="none" w:sz="0" w:space="0" w:color="auto"/>
            <w:bottom w:val="none" w:sz="0" w:space="0" w:color="auto"/>
            <w:right w:val="none" w:sz="0" w:space="0" w:color="auto"/>
          </w:divBdr>
        </w:div>
      </w:divsChild>
    </w:div>
    <w:div w:id="1683124007">
      <w:bodyDiv w:val="1"/>
      <w:marLeft w:val="0"/>
      <w:marRight w:val="0"/>
      <w:marTop w:val="0"/>
      <w:marBottom w:val="0"/>
      <w:divBdr>
        <w:top w:val="none" w:sz="0" w:space="0" w:color="auto"/>
        <w:left w:val="none" w:sz="0" w:space="0" w:color="auto"/>
        <w:bottom w:val="none" w:sz="0" w:space="0" w:color="auto"/>
        <w:right w:val="none" w:sz="0" w:space="0" w:color="auto"/>
      </w:divBdr>
    </w:div>
    <w:div w:id="1685202970">
      <w:bodyDiv w:val="1"/>
      <w:marLeft w:val="0"/>
      <w:marRight w:val="0"/>
      <w:marTop w:val="0"/>
      <w:marBottom w:val="0"/>
      <w:divBdr>
        <w:top w:val="none" w:sz="0" w:space="0" w:color="auto"/>
        <w:left w:val="none" w:sz="0" w:space="0" w:color="auto"/>
        <w:bottom w:val="none" w:sz="0" w:space="0" w:color="auto"/>
        <w:right w:val="none" w:sz="0" w:space="0" w:color="auto"/>
      </w:divBdr>
    </w:div>
    <w:div w:id="1688629007">
      <w:bodyDiv w:val="1"/>
      <w:marLeft w:val="0"/>
      <w:marRight w:val="0"/>
      <w:marTop w:val="0"/>
      <w:marBottom w:val="0"/>
      <w:divBdr>
        <w:top w:val="none" w:sz="0" w:space="0" w:color="auto"/>
        <w:left w:val="none" w:sz="0" w:space="0" w:color="auto"/>
        <w:bottom w:val="none" w:sz="0" w:space="0" w:color="auto"/>
        <w:right w:val="none" w:sz="0" w:space="0" w:color="auto"/>
      </w:divBdr>
    </w:div>
    <w:div w:id="1689024380">
      <w:bodyDiv w:val="1"/>
      <w:marLeft w:val="0"/>
      <w:marRight w:val="0"/>
      <w:marTop w:val="0"/>
      <w:marBottom w:val="0"/>
      <w:divBdr>
        <w:top w:val="none" w:sz="0" w:space="0" w:color="auto"/>
        <w:left w:val="none" w:sz="0" w:space="0" w:color="auto"/>
        <w:bottom w:val="none" w:sz="0" w:space="0" w:color="auto"/>
        <w:right w:val="none" w:sz="0" w:space="0" w:color="auto"/>
      </w:divBdr>
    </w:div>
    <w:div w:id="1690108680">
      <w:bodyDiv w:val="1"/>
      <w:marLeft w:val="0"/>
      <w:marRight w:val="0"/>
      <w:marTop w:val="0"/>
      <w:marBottom w:val="0"/>
      <w:divBdr>
        <w:top w:val="none" w:sz="0" w:space="0" w:color="auto"/>
        <w:left w:val="none" w:sz="0" w:space="0" w:color="auto"/>
        <w:bottom w:val="none" w:sz="0" w:space="0" w:color="auto"/>
        <w:right w:val="none" w:sz="0" w:space="0" w:color="auto"/>
      </w:divBdr>
    </w:div>
    <w:div w:id="1696492977">
      <w:bodyDiv w:val="1"/>
      <w:marLeft w:val="0"/>
      <w:marRight w:val="0"/>
      <w:marTop w:val="0"/>
      <w:marBottom w:val="0"/>
      <w:divBdr>
        <w:top w:val="none" w:sz="0" w:space="0" w:color="auto"/>
        <w:left w:val="none" w:sz="0" w:space="0" w:color="auto"/>
        <w:bottom w:val="none" w:sz="0" w:space="0" w:color="auto"/>
        <w:right w:val="none" w:sz="0" w:space="0" w:color="auto"/>
      </w:divBdr>
    </w:div>
    <w:div w:id="1705402907">
      <w:bodyDiv w:val="1"/>
      <w:marLeft w:val="0"/>
      <w:marRight w:val="0"/>
      <w:marTop w:val="0"/>
      <w:marBottom w:val="0"/>
      <w:divBdr>
        <w:top w:val="none" w:sz="0" w:space="0" w:color="auto"/>
        <w:left w:val="none" w:sz="0" w:space="0" w:color="auto"/>
        <w:bottom w:val="none" w:sz="0" w:space="0" w:color="auto"/>
        <w:right w:val="none" w:sz="0" w:space="0" w:color="auto"/>
      </w:divBdr>
    </w:div>
    <w:div w:id="1711611254">
      <w:bodyDiv w:val="1"/>
      <w:marLeft w:val="0"/>
      <w:marRight w:val="0"/>
      <w:marTop w:val="0"/>
      <w:marBottom w:val="0"/>
      <w:divBdr>
        <w:top w:val="none" w:sz="0" w:space="0" w:color="auto"/>
        <w:left w:val="none" w:sz="0" w:space="0" w:color="auto"/>
        <w:bottom w:val="none" w:sz="0" w:space="0" w:color="auto"/>
        <w:right w:val="none" w:sz="0" w:space="0" w:color="auto"/>
      </w:divBdr>
    </w:div>
    <w:div w:id="1749300590">
      <w:bodyDiv w:val="1"/>
      <w:marLeft w:val="0"/>
      <w:marRight w:val="0"/>
      <w:marTop w:val="0"/>
      <w:marBottom w:val="0"/>
      <w:divBdr>
        <w:top w:val="none" w:sz="0" w:space="0" w:color="auto"/>
        <w:left w:val="none" w:sz="0" w:space="0" w:color="auto"/>
        <w:bottom w:val="none" w:sz="0" w:space="0" w:color="auto"/>
        <w:right w:val="none" w:sz="0" w:space="0" w:color="auto"/>
      </w:divBdr>
      <w:divsChild>
        <w:div w:id="777799240">
          <w:marLeft w:val="0"/>
          <w:marRight w:val="0"/>
          <w:marTop w:val="0"/>
          <w:marBottom w:val="0"/>
          <w:divBdr>
            <w:top w:val="none" w:sz="0" w:space="0" w:color="auto"/>
            <w:left w:val="none" w:sz="0" w:space="0" w:color="auto"/>
            <w:bottom w:val="none" w:sz="0" w:space="0" w:color="auto"/>
            <w:right w:val="none" w:sz="0" w:space="0" w:color="auto"/>
          </w:divBdr>
        </w:div>
      </w:divsChild>
    </w:div>
    <w:div w:id="1787461238">
      <w:bodyDiv w:val="1"/>
      <w:marLeft w:val="0"/>
      <w:marRight w:val="0"/>
      <w:marTop w:val="0"/>
      <w:marBottom w:val="0"/>
      <w:divBdr>
        <w:top w:val="none" w:sz="0" w:space="0" w:color="auto"/>
        <w:left w:val="none" w:sz="0" w:space="0" w:color="auto"/>
        <w:bottom w:val="none" w:sz="0" w:space="0" w:color="auto"/>
        <w:right w:val="none" w:sz="0" w:space="0" w:color="auto"/>
      </w:divBdr>
    </w:div>
    <w:div w:id="1793210279">
      <w:bodyDiv w:val="1"/>
      <w:marLeft w:val="0"/>
      <w:marRight w:val="0"/>
      <w:marTop w:val="0"/>
      <w:marBottom w:val="0"/>
      <w:divBdr>
        <w:top w:val="none" w:sz="0" w:space="0" w:color="auto"/>
        <w:left w:val="none" w:sz="0" w:space="0" w:color="auto"/>
        <w:bottom w:val="none" w:sz="0" w:space="0" w:color="auto"/>
        <w:right w:val="none" w:sz="0" w:space="0" w:color="auto"/>
      </w:divBdr>
    </w:div>
    <w:div w:id="1798798225">
      <w:bodyDiv w:val="1"/>
      <w:marLeft w:val="0"/>
      <w:marRight w:val="0"/>
      <w:marTop w:val="0"/>
      <w:marBottom w:val="0"/>
      <w:divBdr>
        <w:top w:val="none" w:sz="0" w:space="0" w:color="auto"/>
        <w:left w:val="none" w:sz="0" w:space="0" w:color="auto"/>
        <w:bottom w:val="none" w:sz="0" w:space="0" w:color="auto"/>
        <w:right w:val="none" w:sz="0" w:space="0" w:color="auto"/>
      </w:divBdr>
    </w:div>
    <w:div w:id="1801797085">
      <w:bodyDiv w:val="1"/>
      <w:marLeft w:val="0"/>
      <w:marRight w:val="0"/>
      <w:marTop w:val="0"/>
      <w:marBottom w:val="0"/>
      <w:divBdr>
        <w:top w:val="none" w:sz="0" w:space="0" w:color="auto"/>
        <w:left w:val="none" w:sz="0" w:space="0" w:color="auto"/>
        <w:bottom w:val="none" w:sz="0" w:space="0" w:color="auto"/>
        <w:right w:val="none" w:sz="0" w:space="0" w:color="auto"/>
      </w:divBdr>
      <w:divsChild>
        <w:div w:id="2056849251">
          <w:marLeft w:val="0"/>
          <w:marRight w:val="0"/>
          <w:marTop w:val="0"/>
          <w:marBottom w:val="0"/>
          <w:divBdr>
            <w:top w:val="none" w:sz="0" w:space="0" w:color="auto"/>
            <w:left w:val="none" w:sz="0" w:space="0" w:color="auto"/>
            <w:bottom w:val="none" w:sz="0" w:space="0" w:color="auto"/>
            <w:right w:val="none" w:sz="0" w:space="0" w:color="auto"/>
          </w:divBdr>
        </w:div>
        <w:div w:id="1721785256">
          <w:marLeft w:val="0"/>
          <w:marRight w:val="0"/>
          <w:marTop w:val="0"/>
          <w:marBottom w:val="0"/>
          <w:divBdr>
            <w:top w:val="none" w:sz="0" w:space="0" w:color="auto"/>
            <w:left w:val="none" w:sz="0" w:space="0" w:color="auto"/>
            <w:bottom w:val="none" w:sz="0" w:space="0" w:color="auto"/>
            <w:right w:val="none" w:sz="0" w:space="0" w:color="auto"/>
          </w:divBdr>
        </w:div>
        <w:div w:id="1539512089">
          <w:marLeft w:val="0"/>
          <w:marRight w:val="0"/>
          <w:marTop w:val="0"/>
          <w:marBottom w:val="0"/>
          <w:divBdr>
            <w:top w:val="none" w:sz="0" w:space="0" w:color="auto"/>
            <w:left w:val="none" w:sz="0" w:space="0" w:color="auto"/>
            <w:bottom w:val="none" w:sz="0" w:space="0" w:color="auto"/>
            <w:right w:val="none" w:sz="0" w:space="0" w:color="auto"/>
          </w:divBdr>
        </w:div>
        <w:div w:id="744454190">
          <w:marLeft w:val="0"/>
          <w:marRight w:val="0"/>
          <w:marTop w:val="0"/>
          <w:marBottom w:val="0"/>
          <w:divBdr>
            <w:top w:val="none" w:sz="0" w:space="0" w:color="auto"/>
            <w:left w:val="none" w:sz="0" w:space="0" w:color="auto"/>
            <w:bottom w:val="none" w:sz="0" w:space="0" w:color="auto"/>
            <w:right w:val="none" w:sz="0" w:space="0" w:color="auto"/>
          </w:divBdr>
        </w:div>
        <w:div w:id="638613915">
          <w:marLeft w:val="0"/>
          <w:marRight w:val="0"/>
          <w:marTop w:val="0"/>
          <w:marBottom w:val="0"/>
          <w:divBdr>
            <w:top w:val="none" w:sz="0" w:space="0" w:color="auto"/>
            <w:left w:val="none" w:sz="0" w:space="0" w:color="auto"/>
            <w:bottom w:val="none" w:sz="0" w:space="0" w:color="auto"/>
            <w:right w:val="none" w:sz="0" w:space="0" w:color="auto"/>
          </w:divBdr>
        </w:div>
        <w:div w:id="1615165918">
          <w:marLeft w:val="0"/>
          <w:marRight w:val="0"/>
          <w:marTop w:val="0"/>
          <w:marBottom w:val="0"/>
          <w:divBdr>
            <w:top w:val="none" w:sz="0" w:space="0" w:color="auto"/>
            <w:left w:val="none" w:sz="0" w:space="0" w:color="auto"/>
            <w:bottom w:val="none" w:sz="0" w:space="0" w:color="auto"/>
            <w:right w:val="none" w:sz="0" w:space="0" w:color="auto"/>
          </w:divBdr>
        </w:div>
      </w:divsChild>
    </w:div>
    <w:div w:id="1810245180">
      <w:bodyDiv w:val="1"/>
      <w:marLeft w:val="0"/>
      <w:marRight w:val="0"/>
      <w:marTop w:val="0"/>
      <w:marBottom w:val="0"/>
      <w:divBdr>
        <w:top w:val="none" w:sz="0" w:space="0" w:color="auto"/>
        <w:left w:val="none" w:sz="0" w:space="0" w:color="auto"/>
        <w:bottom w:val="none" w:sz="0" w:space="0" w:color="auto"/>
        <w:right w:val="none" w:sz="0" w:space="0" w:color="auto"/>
      </w:divBdr>
      <w:divsChild>
        <w:div w:id="274990782">
          <w:marLeft w:val="0"/>
          <w:marRight w:val="0"/>
          <w:marTop w:val="0"/>
          <w:marBottom w:val="0"/>
          <w:divBdr>
            <w:top w:val="none" w:sz="0" w:space="0" w:color="auto"/>
            <w:left w:val="none" w:sz="0" w:space="0" w:color="auto"/>
            <w:bottom w:val="none" w:sz="0" w:space="0" w:color="auto"/>
            <w:right w:val="none" w:sz="0" w:space="0" w:color="auto"/>
          </w:divBdr>
          <w:divsChild>
            <w:div w:id="1865705540">
              <w:marLeft w:val="0"/>
              <w:marRight w:val="0"/>
              <w:marTop w:val="0"/>
              <w:marBottom w:val="0"/>
              <w:divBdr>
                <w:top w:val="none" w:sz="0" w:space="0" w:color="auto"/>
                <w:left w:val="none" w:sz="0" w:space="0" w:color="auto"/>
                <w:bottom w:val="none" w:sz="0" w:space="0" w:color="auto"/>
                <w:right w:val="none" w:sz="0" w:space="0" w:color="auto"/>
              </w:divBdr>
            </w:div>
            <w:div w:id="309794454">
              <w:marLeft w:val="0"/>
              <w:marRight w:val="0"/>
              <w:marTop w:val="0"/>
              <w:marBottom w:val="0"/>
              <w:divBdr>
                <w:top w:val="none" w:sz="0" w:space="0" w:color="auto"/>
                <w:left w:val="none" w:sz="0" w:space="0" w:color="auto"/>
                <w:bottom w:val="none" w:sz="0" w:space="0" w:color="auto"/>
                <w:right w:val="none" w:sz="0" w:space="0" w:color="auto"/>
              </w:divBdr>
            </w:div>
          </w:divsChild>
        </w:div>
        <w:div w:id="1838224041">
          <w:marLeft w:val="0"/>
          <w:marRight w:val="0"/>
          <w:marTop w:val="0"/>
          <w:marBottom w:val="0"/>
          <w:divBdr>
            <w:top w:val="none" w:sz="0" w:space="0" w:color="auto"/>
            <w:left w:val="none" w:sz="0" w:space="0" w:color="auto"/>
            <w:bottom w:val="none" w:sz="0" w:space="0" w:color="auto"/>
            <w:right w:val="none" w:sz="0" w:space="0" w:color="auto"/>
          </w:divBdr>
          <w:divsChild>
            <w:div w:id="999119819">
              <w:marLeft w:val="0"/>
              <w:marRight w:val="0"/>
              <w:marTop w:val="0"/>
              <w:marBottom w:val="0"/>
              <w:divBdr>
                <w:top w:val="none" w:sz="0" w:space="0" w:color="auto"/>
                <w:left w:val="none" w:sz="0" w:space="0" w:color="auto"/>
                <w:bottom w:val="none" w:sz="0" w:space="0" w:color="auto"/>
                <w:right w:val="none" w:sz="0" w:space="0" w:color="auto"/>
              </w:divBdr>
            </w:div>
            <w:div w:id="58584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763123">
      <w:bodyDiv w:val="1"/>
      <w:marLeft w:val="0"/>
      <w:marRight w:val="0"/>
      <w:marTop w:val="0"/>
      <w:marBottom w:val="0"/>
      <w:divBdr>
        <w:top w:val="none" w:sz="0" w:space="0" w:color="auto"/>
        <w:left w:val="none" w:sz="0" w:space="0" w:color="auto"/>
        <w:bottom w:val="none" w:sz="0" w:space="0" w:color="auto"/>
        <w:right w:val="none" w:sz="0" w:space="0" w:color="auto"/>
      </w:divBdr>
      <w:divsChild>
        <w:div w:id="1914315421">
          <w:marLeft w:val="0"/>
          <w:marRight w:val="0"/>
          <w:marTop w:val="0"/>
          <w:marBottom w:val="0"/>
          <w:divBdr>
            <w:top w:val="none" w:sz="0" w:space="0" w:color="auto"/>
            <w:left w:val="none" w:sz="0" w:space="0" w:color="auto"/>
            <w:bottom w:val="none" w:sz="0" w:space="0" w:color="auto"/>
            <w:right w:val="none" w:sz="0" w:space="0" w:color="auto"/>
          </w:divBdr>
        </w:div>
      </w:divsChild>
    </w:div>
    <w:div w:id="1850869851">
      <w:bodyDiv w:val="1"/>
      <w:marLeft w:val="0"/>
      <w:marRight w:val="0"/>
      <w:marTop w:val="0"/>
      <w:marBottom w:val="0"/>
      <w:divBdr>
        <w:top w:val="none" w:sz="0" w:space="0" w:color="auto"/>
        <w:left w:val="none" w:sz="0" w:space="0" w:color="auto"/>
        <w:bottom w:val="none" w:sz="0" w:space="0" w:color="auto"/>
        <w:right w:val="none" w:sz="0" w:space="0" w:color="auto"/>
      </w:divBdr>
    </w:div>
    <w:div w:id="1866168143">
      <w:bodyDiv w:val="1"/>
      <w:marLeft w:val="0"/>
      <w:marRight w:val="0"/>
      <w:marTop w:val="0"/>
      <w:marBottom w:val="0"/>
      <w:divBdr>
        <w:top w:val="none" w:sz="0" w:space="0" w:color="auto"/>
        <w:left w:val="none" w:sz="0" w:space="0" w:color="auto"/>
        <w:bottom w:val="none" w:sz="0" w:space="0" w:color="auto"/>
        <w:right w:val="none" w:sz="0" w:space="0" w:color="auto"/>
      </w:divBdr>
      <w:divsChild>
        <w:div w:id="2016221425">
          <w:marLeft w:val="0"/>
          <w:marRight w:val="0"/>
          <w:marTop w:val="0"/>
          <w:marBottom w:val="0"/>
          <w:divBdr>
            <w:top w:val="none" w:sz="0" w:space="0" w:color="auto"/>
            <w:left w:val="none" w:sz="0" w:space="0" w:color="auto"/>
            <w:bottom w:val="none" w:sz="0" w:space="0" w:color="auto"/>
            <w:right w:val="none" w:sz="0" w:space="0" w:color="auto"/>
          </w:divBdr>
          <w:divsChild>
            <w:div w:id="1467308989">
              <w:marLeft w:val="0"/>
              <w:marRight w:val="0"/>
              <w:marTop w:val="0"/>
              <w:marBottom w:val="0"/>
              <w:divBdr>
                <w:top w:val="none" w:sz="0" w:space="0" w:color="auto"/>
                <w:left w:val="none" w:sz="0" w:space="0" w:color="auto"/>
                <w:bottom w:val="none" w:sz="0" w:space="0" w:color="auto"/>
                <w:right w:val="none" w:sz="0" w:space="0" w:color="auto"/>
              </w:divBdr>
              <w:divsChild>
                <w:div w:id="2144879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536735">
      <w:bodyDiv w:val="1"/>
      <w:marLeft w:val="0"/>
      <w:marRight w:val="0"/>
      <w:marTop w:val="0"/>
      <w:marBottom w:val="0"/>
      <w:divBdr>
        <w:top w:val="none" w:sz="0" w:space="0" w:color="auto"/>
        <w:left w:val="none" w:sz="0" w:space="0" w:color="auto"/>
        <w:bottom w:val="none" w:sz="0" w:space="0" w:color="auto"/>
        <w:right w:val="none" w:sz="0" w:space="0" w:color="auto"/>
      </w:divBdr>
    </w:div>
    <w:div w:id="1875658682">
      <w:bodyDiv w:val="1"/>
      <w:marLeft w:val="0"/>
      <w:marRight w:val="0"/>
      <w:marTop w:val="0"/>
      <w:marBottom w:val="0"/>
      <w:divBdr>
        <w:top w:val="none" w:sz="0" w:space="0" w:color="auto"/>
        <w:left w:val="none" w:sz="0" w:space="0" w:color="auto"/>
        <w:bottom w:val="none" w:sz="0" w:space="0" w:color="auto"/>
        <w:right w:val="none" w:sz="0" w:space="0" w:color="auto"/>
      </w:divBdr>
    </w:div>
    <w:div w:id="1892617154">
      <w:bodyDiv w:val="1"/>
      <w:marLeft w:val="0"/>
      <w:marRight w:val="0"/>
      <w:marTop w:val="0"/>
      <w:marBottom w:val="0"/>
      <w:divBdr>
        <w:top w:val="none" w:sz="0" w:space="0" w:color="auto"/>
        <w:left w:val="none" w:sz="0" w:space="0" w:color="auto"/>
        <w:bottom w:val="none" w:sz="0" w:space="0" w:color="auto"/>
        <w:right w:val="none" w:sz="0" w:space="0" w:color="auto"/>
      </w:divBdr>
      <w:divsChild>
        <w:div w:id="786387917">
          <w:marLeft w:val="0"/>
          <w:marRight w:val="0"/>
          <w:marTop w:val="0"/>
          <w:marBottom w:val="0"/>
          <w:divBdr>
            <w:top w:val="none" w:sz="0" w:space="0" w:color="auto"/>
            <w:left w:val="none" w:sz="0" w:space="0" w:color="auto"/>
            <w:bottom w:val="none" w:sz="0" w:space="0" w:color="auto"/>
            <w:right w:val="none" w:sz="0" w:space="0" w:color="auto"/>
          </w:divBdr>
        </w:div>
      </w:divsChild>
    </w:div>
    <w:div w:id="1893615262">
      <w:bodyDiv w:val="1"/>
      <w:marLeft w:val="0"/>
      <w:marRight w:val="0"/>
      <w:marTop w:val="0"/>
      <w:marBottom w:val="0"/>
      <w:divBdr>
        <w:top w:val="none" w:sz="0" w:space="0" w:color="auto"/>
        <w:left w:val="none" w:sz="0" w:space="0" w:color="auto"/>
        <w:bottom w:val="none" w:sz="0" w:space="0" w:color="auto"/>
        <w:right w:val="none" w:sz="0" w:space="0" w:color="auto"/>
      </w:divBdr>
      <w:divsChild>
        <w:div w:id="1500390265">
          <w:marLeft w:val="0"/>
          <w:marRight w:val="0"/>
          <w:marTop w:val="0"/>
          <w:marBottom w:val="0"/>
          <w:divBdr>
            <w:top w:val="none" w:sz="0" w:space="0" w:color="auto"/>
            <w:left w:val="none" w:sz="0" w:space="0" w:color="auto"/>
            <w:bottom w:val="none" w:sz="0" w:space="0" w:color="auto"/>
            <w:right w:val="none" w:sz="0" w:space="0" w:color="auto"/>
          </w:divBdr>
        </w:div>
        <w:div w:id="1645769636">
          <w:marLeft w:val="0"/>
          <w:marRight w:val="0"/>
          <w:marTop w:val="0"/>
          <w:marBottom w:val="0"/>
          <w:divBdr>
            <w:top w:val="none" w:sz="0" w:space="0" w:color="auto"/>
            <w:left w:val="none" w:sz="0" w:space="0" w:color="auto"/>
            <w:bottom w:val="none" w:sz="0" w:space="0" w:color="auto"/>
            <w:right w:val="none" w:sz="0" w:space="0" w:color="auto"/>
          </w:divBdr>
        </w:div>
        <w:div w:id="2101177134">
          <w:marLeft w:val="0"/>
          <w:marRight w:val="0"/>
          <w:marTop w:val="0"/>
          <w:marBottom w:val="0"/>
          <w:divBdr>
            <w:top w:val="none" w:sz="0" w:space="0" w:color="auto"/>
            <w:left w:val="none" w:sz="0" w:space="0" w:color="auto"/>
            <w:bottom w:val="none" w:sz="0" w:space="0" w:color="auto"/>
            <w:right w:val="none" w:sz="0" w:space="0" w:color="auto"/>
          </w:divBdr>
        </w:div>
        <w:div w:id="1581140925">
          <w:marLeft w:val="0"/>
          <w:marRight w:val="0"/>
          <w:marTop w:val="0"/>
          <w:marBottom w:val="0"/>
          <w:divBdr>
            <w:top w:val="none" w:sz="0" w:space="0" w:color="auto"/>
            <w:left w:val="none" w:sz="0" w:space="0" w:color="auto"/>
            <w:bottom w:val="none" w:sz="0" w:space="0" w:color="auto"/>
            <w:right w:val="none" w:sz="0" w:space="0" w:color="auto"/>
          </w:divBdr>
        </w:div>
        <w:div w:id="932670858">
          <w:marLeft w:val="0"/>
          <w:marRight w:val="0"/>
          <w:marTop w:val="0"/>
          <w:marBottom w:val="0"/>
          <w:divBdr>
            <w:top w:val="none" w:sz="0" w:space="0" w:color="auto"/>
            <w:left w:val="none" w:sz="0" w:space="0" w:color="auto"/>
            <w:bottom w:val="none" w:sz="0" w:space="0" w:color="auto"/>
            <w:right w:val="none" w:sz="0" w:space="0" w:color="auto"/>
          </w:divBdr>
        </w:div>
      </w:divsChild>
    </w:div>
    <w:div w:id="1898779072">
      <w:bodyDiv w:val="1"/>
      <w:marLeft w:val="0"/>
      <w:marRight w:val="0"/>
      <w:marTop w:val="0"/>
      <w:marBottom w:val="0"/>
      <w:divBdr>
        <w:top w:val="none" w:sz="0" w:space="0" w:color="auto"/>
        <w:left w:val="none" w:sz="0" w:space="0" w:color="auto"/>
        <w:bottom w:val="none" w:sz="0" w:space="0" w:color="auto"/>
        <w:right w:val="none" w:sz="0" w:space="0" w:color="auto"/>
      </w:divBdr>
      <w:divsChild>
        <w:div w:id="1456563647">
          <w:marLeft w:val="0"/>
          <w:marRight w:val="0"/>
          <w:marTop w:val="0"/>
          <w:marBottom w:val="0"/>
          <w:divBdr>
            <w:top w:val="none" w:sz="0" w:space="0" w:color="auto"/>
            <w:left w:val="none" w:sz="0" w:space="0" w:color="auto"/>
            <w:bottom w:val="none" w:sz="0" w:space="0" w:color="auto"/>
            <w:right w:val="none" w:sz="0" w:space="0" w:color="auto"/>
          </w:divBdr>
          <w:divsChild>
            <w:div w:id="1052727942">
              <w:marLeft w:val="0"/>
              <w:marRight w:val="0"/>
              <w:marTop w:val="0"/>
              <w:marBottom w:val="0"/>
              <w:divBdr>
                <w:top w:val="none" w:sz="0" w:space="0" w:color="auto"/>
                <w:left w:val="none" w:sz="0" w:space="0" w:color="auto"/>
                <w:bottom w:val="none" w:sz="0" w:space="0" w:color="auto"/>
                <w:right w:val="none" w:sz="0" w:space="0" w:color="auto"/>
              </w:divBdr>
              <w:divsChild>
                <w:div w:id="690304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7840627">
      <w:bodyDiv w:val="1"/>
      <w:marLeft w:val="0"/>
      <w:marRight w:val="0"/>
      <w:marTop w:val="0"/>
      <w:marBottom w:val="0"/>
      <w:divBdr>
        <w:top w:val="none" w:sz="0" w:space="0" w:color="auto"/>
        <w:left w:val="none" w:sz="0" w:space="0" w:color="auto"/>
        <w:bottom w:val="none" w:sz="0" w:space="0" w:color="auto"/>
        <w:right w:val="none" w:sz="0" w:space="0" w:color="auto"/>
      </w:divBdr>
      <w:divsChild>
        <w:div w:id="1913737301">
          <w:marLeft w:val="0"/>
          <w:marRight w:val="0"/>
          <w:marTop w:val="0"/>
          <w:marBottom w:val="0"/>
          <w:divBdr>
            <w:top w:val="none" w:sz="0" w:space="0" w:color="auto"/>
            <w:left w:val="none" w:sz="0" w:space="0" w:color="auto"/>
            <w:bottom w:val="none" w:sz="0" w:space="0" w:color="auto"/>
            <w:right w:val="none" w:sz="0" w:space="0" w:color="auto"/>
          </w:divBdr>
          <w:divsChild>
            <w:div w:id="400490756">
              <w:marLeft w:val="0"/>
              <w:marRight w:val="0"/>
              <w:marTop w:val="0"/>
              <w:marBottom w:val="0"/>
              <w:divBdr>
                <w:top w:val="none" w:sz="0" w:space="0" w:color="auto"/>
                <w:left w:val="none" w:sz="0" w:space="0" w:color="auto"/>
                <w:bottom w:val="none" w:sz="0" w:space="0" w:color="auto"/>
                <w:right w:val="none" w:sz="0" w:space="0" w:color="auto"/>
              </w:divBdr>
            </w:div>
            <w:div w:id="48504010">
              <w:marLeft w:val="0"/>
              <w:marRight w:val="0"/>
              <w:marTop w:val="0"/>
              <w:marBottom w:val="0"/>
              <w:divBdr>
                <w:top w:val="none" w:sz="0" w:space="0" w:color="auto"/>
                <w:left w:val="none" w:sz="0" w:space="0" w:color="auto"/>
                <w:bottom w:val="none" w:sz="0" w:space="0" w:color="auto"/>
                <w:right w:val="none" w:sz="0" w:space="0" w:color="auto"/>
              </w:divBdr>
            </w:div>
            <w:div w:id="2041124039">
              <w:marLeft w:val="0"/>
              <w:marRight w:val="0"/>
              <w:marTop w:val="0"/>
              <w:marBottom w:val="0"/>
              <w:divBdr>
                <w:top w:val="none" w:sz="0" w:space="0" w:color="auto"/>
                <w:left w:val="none" w:sz="0" w:space="0" w:color="auto"/>
                <w:bottom w:val="none" w:sz="0" w:space="0" w:color="auto"/>
                <w:right w:val="none" w:sz="0" w:space="0" w:color="auto"/>
              </w:divBdr>
            </w:div>
            <w:div w:id="666633738">
              <w:marLeft w:val="0"/>
              <w:marRight w:val="0"/>
              <w:marTop w:val="0"/>
              <w:marBottom w:val="0"/>
              <w:divBdr>
                <w:top w:val="none" w:sz="0" w:space="0" w:color="auto"/>
                <w:left w:val="none" w:sz="0" w:space="0" w:color="auto"/>
                <w:bottom w:val="none" w:sz="0" w:space="0" w:color="auto"/>
                <w:right w:val="none" w:sz="0" w:space="0" w:color="auto"/>
              </w:divBdr>
            </w:div>
            <w:div w:id="849610774">
              <w:marLeft w:val="0"/>
              <w:marRight w:val="0"/>
              <w:marTop w:val="0"/>
              <w:marBottom w:val="0"/>
              <w:divBdr>
                <w:top w:val="none" w:sz="0" w:space="0" w:color="auto"/>
                <w:left w:val="none" w:sz="0" w:space="0" w:color="auto"/>
                <w:bottom w:val="none" w:sz="0" w:space="0" w:color="auto"/>
                <w:right w:val="none" w:sz="0" w:space="0" w:color="auto"/>
              </w:divBdr>
            </w:div>
            <w:div w:id="1177618417">
              <w:marLeft w:val="0"/>
              <w:marRight w:val="0"/>
              <w:marTop w:val="0"/>
              <w:marBottom w:val="0"/>
              <w:divBdr>
                <w:top w:val="none" w:sz="0" w:space="0" w:color="auto"/>
                <w:left w:val="none" w:sz="0" w:space="0" w:color="auto"/>
                <w:bottom w:val="none" w:sz="0" w:space="0" w:color="auto"/>
                <w:right w:val="none" w:sz="0" w:space="0" w:color="auto"/>
              </w:divBdr>
            </w:div>
            <w:div w:id="625505674">
              <w:marLeft w:val="0"/>
              <w:marRight w:val="0"/>
              <w:marTop w:val="0"/>
              <w:marBottom w:val="0"/>
              <w:divBdr>
                <w:top w:val="none" w:sz="0" w:space="0" w:color="auto"/>
                <w:left w:val="none" w:sz="0" w:space="0" w:color="auto"/>
                <w:bottom w:val="none" w:sz="0" w:space="0" w:color="auto"/>
                <w:right w:val="none" w:sz="0" w:space="0" w:color="auto"/>
              </w:divBdr>
            </w:div>
            <w:div w:id="148832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227867">
      <w:bodyDiv w:val="1"/>
      <w:marLeft w:val="0"/>
      <w:marRight w:val="0"/>
      <w:marTop w:val="0"/>
      <w:marBottom w:val="0"/>
      <w:divBdr>
        <w:top w:val="none" w:sz="0" w:space="0" w:color="auto"/>
        <w:left w:val="none" w:sz="0" w:space="0" w:color="auto"/>
        <w:bottom w:val="none" w:sz="0" w:space="0" w:color="auto"/>
        <w:right w:val="none" w:sz="0" w:space="0" w:color="auto"/>
      </w:divBdr>
    </w:div>
    <w:div w:id="1930580276">
      <w:bodyDiv w:val="1"/>
      <w:marLeft w:val="0"/>
      <w:marRight w:val="0"/>
      <w:marTop w:val="0"/>
      <w:marBottom w:val="0"/>
      <w:divBdr>
        <w:top w:val="none" w:sz="0" w:space="0" w:color="auto"/>
        <w:left w:val="none" w:sz="0" w:space="0" w:color="auto"/>
        <w:bottom w:val="none" w:sz="0" w:space="0" w:color="auto"/>
        <w:right w:val="none" w:sz="0" w:space="0" w:color="auto"/>
      </w:divBdr>
    </w:div>
    <w:div w:id="1932619235">
      <w:bodyDiv w:val="1"/>
      <w:marLeft w:val="0"/>
      <w:marRight w:val="0"/>
      <w:marTop w:val="0"/>
      <w:marBottom w:val="0"/>
      <w:divBdr>
        <w:top w:val="none" w:sz="0" w:space="0" w:color="auto"/>
        <w:left w:val="none" w:sz="0" w:space="0" w:color="auto"/>
        <w:bottom w:val="none" w:sz="0" w:space="0" w:color="auto"/>
        <w:right w:val="none" w:sz="0" w:space="0" w:color="auto"/>
      </w:divBdr>
      <w:divsChild>
        <w:div w:id="521477111">
          <w:marLeft w:val="0"/>
          <w:marRight w:val="0"/>
          <w:marTop w:val="0"/>
          <w:marBottom w:val="0"/>
          <w:divBdr>
            <w:top w:val="none" w:sz="0" w:space="0" w:color="auto"/>
            <w:left w:val="none" w:sz="0" w:space="0" w:color="auto"/>
            <w:bottom w:val="none" w:sz="0" w:space="0" w:color="auto"/>
            <w:right w:val="none" w:sz="0" w:space="0" w:color="auto"/>
          </w:divBdr>
        </w:div>
      </w:divsChild>
    </w:div>
    <w:div w:id="1939175708">
      <w:bodyDiv w:val="1"/>
      <w:marLeft w:val="0"/>
      <w:marRight w:val="0"/>
      <w:marTop w:val="0"/>
      <w:marBottom w:val="0"/>
      <w:divBdr>
        <w:top w:val="none" w:sz="0" w:space="0" w:color="auto"/>
        <w:left w:val="none" w:sz="0" w:space="0" w:color="auto"/>
        <w:bottom w:val="none" w:sz="0" w:space="0" w:color="auto"/>
        <w:right w:val="none" w:sz="0" w:space="0" w:color="auto"/>
      </w:divBdr>
    </w:div>
    <w:div w:id="1973824557">
      <w:bodyDiv w:val="1"/>
      <w:marLeft w:val="0"/>
      <w:marRight w:val="0"/>
      <w:marTop w:val="0"/>
      <w:marBottom w:val="0"/>
      <w:divBdr>
        <w:top w:val="none" w:sz="0" w:space="0" w:color="auto"/>
        <w:left w:val="none" w:sz="0" w:space="0" w:color="auto"/>
        <w:bottom w:val="none" w:sz="0" w:space="0" w:color="auto"/>
        <w:right w:val="none" w:sz="0" w:space="0" w:color="auto"/>
      </w:divBdr>
    </w:div>
    <w:div w:id="1976982332">
      <w:bodyDiv w:val="1"/>
      <w:marLeft w:val="0"/>
      <w:marRight w:val="0"/>
      <w:marTop w:val="0"/>
      <w:marBottom w:val="0"/>
      <w:divBdr>
        <w:top w:val="none" w:sz="0" w:space="0" w:color="auto"/>
        <w:left w:val="none" w:sz="0" w:space="0" w:color="auto"/>
        <w:bottom w:val="none" w:sz="0" w:space="0" w:color="auto"/>
        <w:right w:val="none" w:sz="0" w:space="0" w:color="auto"/>
      </w:divBdr>
    </w:div>
    <w:div w:id="1983316044">
      <w:bodyDiv w:val="1"/>
      <w:marLeft w:val="0"/>
      <w:marRight w:val="0"/>
      <w:marTop w:val="0"/>
      <w:marBottom w:val="0"/>
      <w:divBdr>
        <w:top w:val="none" w:sz="0" w:space="0" w:color="auto"/>
        <w:left w:val="none" w:sz="0" w:space="0" w:color="auto"/>
        <w:bottom w:val="none" w:sz="0" w:space="0" w:color="auto"/>
        <w:right w:val="none" w:sz="0" w:space="0" w:color="auto"/>
      </w:divBdr>
    </w:div>
    <w:div w:id="1987082234">
      <w:bodyDiv w:val="1"/>
      <w:marLeft w:val="0"/>
      <w:marRight w:val="0"/>
      <w:marTop w:val="0"/>
      <w:marBottom w:val="0"/>
      <w:divBdr>
        <w:top w:val="none" w:sz="0" w:space="0" w:color="auto"/>
        <w:left w:val="none" w:sz="0" w:space="0" w:color="auto"/>
        <w:bottom w:val="none" w:sz="0" w:space="0" w:color="auto"/>
        <w:right w:val="none" w:sz="0" w:space="0" w:color="auto"/>
      </w:divBdr>
    </w:div>
    <w:div w:id="1988632404">
      <w:bodyDiv w:val="1"/>
      <w:marLeft w:val="0"/>
      <w:marRight w:val="0"/>
      <w:marTop w:val="0"/>
      <w:marBottom w:val="0"/>
      <w:divBdr>
        <w:top w:val="none" w:sz="0" w:space="0" w:color="auto"/>
        <w:left w:val="none" w:sz="0" w:space="0" w:color="auto"/>
        <w:bottom w:val="none" w:sz="0" w:space="0" w:color="auto"/>
        <w:right w:val="none" w:sz="0" w:space="0" w:color="auto"/>
      </w:divBdr>
      <w:divsChild>
        <w:div w:id="1269502911">
          <w:marLeft w:val="0"/>
          <w:marRight w:val="0"/>
          <w:marTop w:val="0"/>
          <w:marBottom w:val="0"/>
          <w:divBdr>
            <w:top w:val="none" w:sz="0" w:space="0" w:color="auto"/>
            <w:left w:val="none" w:sz="0" w:space="0" w:color="auto"/>
            <w:bottom w:val="none" w:sz="0" w:space="0" w:color="auto"/>
            <w:right w:val="none" w:sz="0" w:space="0" w:color="auto"/>
          </w:divBdr>
          <w:divsChild>
            <w:div w:id="88359472">
              <w:marLeft w:val="0"/>
              <w:marRight w:val="0"/>
              <w:marTop w:val="0"/>
              <w:marBottom w:val="0"/>
              <w:divBdr>
                <w:top w:val="none" w:sz="0" w:space="0" w:color="auto"/>
                <w:left w:val="none" w:sz="0" w:space="0" w:color="auto"/>
                <w:bottom w:val="none" w:sz="0" w:space="0" w:color="auto"/>
                <w:right w:val="none" w:sz="0" w:space="0" w:color="auto"/>
              </w:divBdr>
              <w:divsChild>
                <w:div w:id="1299410178">
                  <w:marLeft w:val="0"/>
                  <w:marRight w:val="0"/>
                  <w:marTop w:val="0"/>
                  <w:marBottom w:val="0"/>
                  <w:divBdr>
                    <w:top w:val="none" w:sz="0" w:space="0" w:color="auto"/>
                    <w:left w:val="none" w:sz="0" w:space="0" w:color="auto"/>
                    <w:bottom w:val="none" w:sz="0" w:space="0" w:color="auto"/>
                    <w:right w:val="none" w:sz="0" w:space="0" w:color="auto"/>
                  </w:divBdr>
                  <w:divsChild>
                    <w:div w:id="1125583885">
                      <w:marLeft w:val="0"/>
                      <w:marRight w:val="0"/>
                      <w:marTop w:val="0"/>
                      <w:marBottom w:val="0"/>
                      <w:divBdr>
                        <w:top w:val="none" w:sz="0" w:space="0" w:color="auto"/>
                        <w:left w:val="none" w:sz="0" w:space="0" w:color="auto"/>
                        <w:bottom w:val="none" w:sz="0" w:space="0" w:color="auto"/>
                        <w:right w:val="none" w:sz="0" w:space="0" w:color="auto"/>
                      </w:divBdr>
                      <w:divsChild>
                        <w:div w:id="1133252312">
                          <w:marLeft w:val="0"/>
                          <w:marRight w:val="0"/>
                          <w:marTop w:val="0"/>
                          <w:marBottom w:val="0"/>
                          <w:divBdr>
                            <w:top w:val="none" w:sz="0" w:space="0" w:color="auto"/>
                            <w:left w:val="none" w:sz="0" w:space="0" w:color="auto"/>
                            <w:bottom w:val="none" w:sz="0" w:space="0" w:color="auto"/>
                            <w:right w:val="none" w:sz="0" w:space="0" w:color="auto"/>
                          </w:divBdr>
                        </w:div>
                        <w:div w:id="1961955302">
                          <w:marLeft w:val="0"/>
                          <w:marRight w:val="0"/>
                          <w:marTop w:val="0"/>
                          <w:marBottom w:val="0"/>
                          <w:divBdr>
                            <w:top w:val="none" w:sz="0" w:space="0" w:color="auto"/>
                            <w:left w:val="none" w:sz="0" w:space="0" w:color="auto"/>
                            <w:bottom w:val="none" w:sz="0" w:space="0" w:color="auto"/>
                            <w:right w:val="none" w:sz="0" w:space="0" w:color="auto"/>
                          </w:divBdr>
                        </w:div>
                        <w:div w:id="2146308769">
                          <w:marLeft w:val="0"/>
                          <w:marRight w:val="0"/>
                          <w:marTop w:val="0"/>
                          <w:marBottom w:val="0"/>
                          <w:divBdr>
                            <w:top w:val="none" w:sz="0" w:space="0" w:color="auto"/>
                            <w:left w:val="none" w:sz="0" w:space="0" w:color="auto"/>
                            <w:bottom w:val="none" w:sz="0" w:space="0" w:color="auto"/>
                            <w:right w:val="none" w:sz="0" w:space="0" w:color="auto"/>
                          </w:divBdr>
                        </w:div>
                        <w:div w:id="1224023219">
                          <w:marLeft w:val="0"/>
                          <w:marRight w:val="0"/>
                          <w:marTop w:val="0"/>
                          <w:marBottom w:val="0"/>
                          <w:divBdr>
                            <w:top w:val="none" w:sz="0" w:space="0" w:color="auto"/>
                            <w:left w:val="none" w:sz="0" w:space="0" w:color="auto"/>
                            <w:bottom w:val="none" w:sz="0" w:space="0" w:color="auto"/>
                            <w:right w:val="none" w:sz="0" w:space="0" w:color="auto"/>
                          </w:divBdr>
                        </w:div>
                        <w:div w:id="314145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3699392">
          <w:marLeft w:val="0"/>
          <w:marRight w:val="0"/>
          <w:marTop w:val="0"/>
          <w:marBottom w:val="0"/>
          <w:divBdr>
            <w:top w:val="none" w:sz="0" w:space="0" w:color="auto"/>
            <w:left w:val="none" w:sz="0" w:space="0" w:color="auto"/>
            <w:bottom w:val="none" w:sz="0" w:space="0" w:color="auto"/>
            <w:right w:val="none" w:sz="0" w:space="0" w:color="auto"/>
          </w:divBdr>
          <w:divsChild>
            <w:div w:id="1971016047">
              <w:marLeft w:val="0"/>
              <w:marRight w:val="0"/>
              <w:marTop w:val="0"/>
              <w:marBottom w:val="0"/>
              <w:divBdr>
                <w:top w:val="none" w:sz="0" w:space="0" w:color="auto"/>
                <w:left w:val="none" w:sz="0" w:space="0" w:color="auto"/>
                <w:bottom w:val="none" w:sz="0" w:space="0" w:color="auto"/>
                <w:right w:val="none" w:sz="0" w:space="0" w:color="auto"/>
              </w:divBdr>
              <w:divsChild>
                <w:div w:id="1653216350">
                  <w:marLeft w:val="0"/>
                  <w:marRight w:val="0"/>
                  <w:marTop w:val="0"/>
                  <w:marBottom w:val="0"/>
                  <w:divBdr>
                    <w:top w:val="none" w:sz="0" w:space="0" w:color="auto"/>
                    <w:left w:val="none" w:sz="0" w:space="0" w:color="auto"/>
                    <w:bottom w:val="none" w:sz="0" w:space="0" w:color="auto"/>
                    <w:right w:val="none" w:sz="0" w:space="0" w:color="auto"/>
                  </w:divBdr>
                  <w:divsChild>
                    <w:div w:id="838350641">
                      <w:marLeft w:val="0"/>
                      <w:marRight w:val="0"/>
                      <w:marTop w:val="0"/>
                      <w:marBottom w:val="0"/>
                      <w:divBdr>
                        <w:top w:val="none" w:sz="0" w:space="0" w:color="auto"/>
                        <w:left w:val="none" w:sz="0" w:space="0" w:color="auto"/>
                        <w:bottom w:val="none" w:sz="0" w:space="0" w:color="auto"/>
                        <w:right w:val="none" w:sz="0" w:space="0" w:color="auto"/>
                      </w:divBdr>
                      <w:divsChild>
                        <w:div w:id="507869997">
                          <w:marLeft w:val="0"/>
                          <w:marRight w:val="0"/>
                          <w:marTop w:val="0"/>
                          <w:marBottom w:val="0"/>
                          <w:divBdr>
                            <w:top w:val="none" w:sz="0" w:space="0" w:color="auto"/>
                            <w:left w:val="none" w:sz="0" w:space="0" w:color="auto"/>
                            <w:bottom w:val="none" w:sz="0" w:space="0" w:color="auto"/>
                            <w:right w:val="none" w:sz="0" w:space="0" w:color="auto"/>
                          </w:divBdr>
                        </w:div>
                        <w:div w:id="586692230">
                          <w:marLeft w:val="0"/>
                          <w:marRight w:val="0"/>
                          <w:marTop w:val="0"/>
                          <w:marBottom w:val="0"/>
                          <w:divBdr>
                            <w:top w:val="none" w:sz="0" w:space="0" w:color="auto"/>
                            <w:left w:val="none" w:sz="0" w:space="0" w:color="auto"/>
                            <w:bottom w:val="none" w:sz="0" w:space="0" w:color="auto"/>
                            <w:right w:val="none" w:sz="0" w:space="0" w:color="auto"/>
                          </w:divBdr>
                        </w:div>
                        <w:div w:id="1282494430">
                          <w:marLeft w:val="0"/>
                          <w:marRight w:val="0"/>
                          <w:marTop w:val="0"/>
                          <w:marBottom w:val="0"/>
                          <w:divBdr>
                            <w:top w:val="none" w:sz="0" w:space="0" w:color="auto"/>
                            <w:left w:val="none" w:sz="0" w:space="0" w:color="auto"/>
                            <w:bottom w:val="none" w:sz="0" w:space="0" w:color="auto"/>
                            <w:right w:val="none" w:sz="0" w:space="0" w:color="auto"/>
                          </w:divBdr>
                        </w:div>
                        <w:div w:id="595094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1664772">
      <w:bodyDiv w:val="1"/>
      <w:marLeft w:val="0"/>
      <w:marRight w:val="0"/>
      <w:marTop w:val="0"/>
      <w:marBottom w:val="0"/>
      <w:divBdr>
        <w:top w:val="none" w:sz="0" w:space="0" w:color="auto"/>
        <w:left w:val="none" w:sz="0" w:space="0" w:color="auto"/>
        <w:bottom w:val="none" w:sz="0" w:space="0" w:color="auto"/>
        <w:right w:val="none" w:sz="0" w:space="0" w:color="auto"/>
      </w:divBdr>
      <w:divsChild>
        <w:div w:id="98255826">
          <w:marLeft w:val="0"/>
          <w:marRight w:val="0"/>
          <w:marTop w:val="0"/>
          <w:marBottom w:val="0"/>
          <w:divBdr>
            <w:top w:val="none" w:sz="0" w:space="0" w:color="auto"/>
            <w:left w:val="none" w:sz="0" w:space="0" w:color="auto"/>
            <w:bottom w:val="none" w:sz="0" w:space="0" w:color="auto"/>
            <w:right w:val="none" w:sz="0" w:space="0" w:color="auto"/>
          </w:divBdr>
          <w:divsChild>
            <w:div w:id="339089787">
              <w:marLeft w:val="0"/>
              <w:marRight w:val="0"/>
              <w:marTop w:val="0"/>
              <w:marBottom w:val="0"/>
              <w:divBdr>
                <w:top w:val="none" w:sz="0" w:space="0" w:color="auto"/>
                <w:left w:val="none" w:sz="0" w:space="0" w:color="auto"/>
                <w:bottom w:val="none" w:sz="0" w:space="0" w:color="auto"/>
                <w:right w:val="none" w:sz="0" w:space="0" w:color="auto"/>
              </w:divBdr>
              <w:divsChild>
                <w:div w:id="1752577382">
                  <w:marLeft w:val="0"/>
                  <w:marRight w:val="0"/>
                  <w:marTop w:val="0"/>
                  <w:marBottom w:val="0"/>
                  <w:divBdr>
                    <w:top w:val="none" w:sz="0" w:space="0" w:color="auto"/>
                    <w:left w:val="none" w:sz="0" w:space="0" w:color="auto"/>
                    <w:bottom w:val="none" w:sz="0" w:space="0" w:color="auto"/>
                    <w:right w:val="none" w:sz="0" w:space="0" w:color="auto"/>
                  </w:divBdr>
                  <w:divsChild>
                    <w:div w:id="977538632">
                      <w:marLeft w:val="0"/>
                      <w:marRight w:val="0"/>
                      <w:marTop w:val="0"/>
                      <w:marBottom w:val="0"/>
                      <w:divBdr>
                        <w:top w:val="none" w:sz="0" w:space="0" w:color="auto"/>
                        <w:left w:val="none" w:sz="0" w:space="0" w:color="auto"/>
                        <w:bottom w:val="none" w:sz="0" w:space="0" w:color="auto"/>
                        <w:right w:val="none" w:sz="0" w:space="0" w:color="auto"/>
                      </w:divBdr>
                    </w:div>
                    <w:div w:id="1968774161">
                      <w:marLeft w:val="0"/>
                      <w:marRight w:val="0"/>
                      <w:marTop w:val="0"/>
                      <w:marBottom w:val="0"/>
                      <w:divBdr>
                        <w:top w:val="none" w:sz="0" w:space="0" w:color="auto"/>
                        <w:left w:val="none" w:sz="0" w:space="0" w:color="auto"/>
                        <w:bottom w:val="none" w:sz="0" w:space="0" w:color="auto"/>
                        <w:right w:val="none" w:sz="0" w:space="0" w:color="auto"/>
                      </w:divBdr>
                    </w:div>
                    <w:div w:id="114238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5375941">
      <w:bodyDiv w:val="1"/>
      <w:marLeft w:val="0"/>
      <w:marRight w:val="0"/>
      <w:marTop w:val="0"/>
      <w:marBottom w:val="0"/>
      <w:divBdr>
        <w:top w:val="none" w:sz="0" w:space="0" w:color="auto"/>
        <w:left w:val="none" w:sz="0" w:space="0" w:color="auto"/>
        <w:bottom w:val="none" w:sz="0" w:space="0" w:color="auto"/>
        <w:right w:val="none" w:sz="0" w:space="0" w:color="auto"/>
      </w:divBdr>
    </w:div>
    <w:div w:id="2006124604">
      <w:bodyDiv w:val="1"/>
      <w:marLeft w:val="0"/>
      <w:marRight w:val="0"/>
      <w:marTop w:val="0"/>
      <w:marBottom w:val="0"/>
      <w:divBdr>
        <w:top w:val="none" w:sz="0" w:space="0" w:color="auto"/>
        <w:left w:val="none" w:sz="0" w:space="0" w:color="auto"/>
        <w:bottom w:val="none" w:sz="0" w:space="0" w:color="auto"/>
        <w:right w:val="none" w:sz="0" w:space="0" w:color="auto"/>
      </w:divBdr>
    </w:div>
    <w:div w:id="2013485403">
      <w:bodyDiv w:val="1"/>
      <w:marLeft w:val="0"/>
      <w:marRight w:val="0"/>
      <w:marTop w:val="0"/>
      <w:marBottom w:val="0"/>
      <w:divBdr>
        <w:top w:val="none" w:sz="0" w:space="0" w:color="auto"/>
        <w:left w:val="none" w:sz="0" w:space="0" w:color="auto"/>
        <w:bottom w:val="none" w:sz="0" w:space="0" w:color="auto"/>
        <w:right w:val="none" w:sz="0" w:space="0" w:color="auto"/>
      </w:divBdr>
    </w:div>
    <w:div w:id="2029601014">
      <w:bodyDiv w:val="1"/>
      <w:marLeft w:val="0"/>
      <w:marRight w:val="0"/>
      <w:marTop w:val="0"/>
      <w:marBottom w:val="0"/>
      <w:divBdr>
        <w:top w:val="none" w:sz="0" w:space="0" w:color="auto"/>
        <w:left w:val="none" w:sz="0" w:space="0" w:color="auto"/>
        <w:bottom w:val="none" w:sz="0" w:space="0" w:color="auto"/>
        <w:right w:val="none" w:sz="0" w:space="0" w:color="auto"/>
      </w:divBdr>
      <w:divsChild>
        <w:div w:id="1883056963">
          <w:marLeft w:val="0"/>
          <w:marRight w:val="0"/>
          <w:marTop w:val="0"/>
          <w:marBottom w:val="0"/>
          <w:divBdr>
            <w:top w:val="none" w:sz="0" w:space="0" w:color="auto"/>
            <w:left w:val="none" w:sz="0" w:space="0" w:color="auto"/>
            <w:bottom w:val="none" w:sz="0" w:space="0" w:color="auto"/>
            <w:right w:val="none" w:sz="0" w:space="0" w:color="auto"/>
          </w:divBdr>
        </w:div>
        <w:div w:id="1138959105">
          <w:marLeft w:val="0"/>
          <w:marRight w:val="0"/>
          <w:marTop w:val="0"/>
          <w:marBottom w:val="0"/>
          <w:divBdr>
            <w:top w:val="none" w:sz="0" w:space="0" w:color="auto"/>
            <w:left w:val="none" w:sz="0" w:space="0" w:color="auto"/>
            <w:bottom w:val="none" w:sz="0" w:space="0" w:color="auto"/>
            <w:right w:val="none" w:sz="0" w:space="0" w:color="auto"/>
          </w:divBdr>
        </w:div>
      </w:divsChild>
    </w:div>
    <w:div w:id="2039427828">
      <w:bodyDiv w:val="1"/>
      <w:marLeft w:val="0"/>
      <w:marRight w:val="0"/>
      <w:marTop w:val="0"/>
      <w:marBottom w:val="0"/>
      <w:divBdr>
        <w:top w:val="none" w:sz="0" w:space="0" w:color="auto"/>
        <w:left w:val="none" w:sz="0" w:space="0" w:color="auto"/>
        <w:bottom w:val="none" w:sz="0" w:space="0" w:color="auto"/>
        <w:right w:val="none" w:sz="0" w:space="0" w:color="auto"/>
      </w:divBdr>
    </w:div>
    <w:div w:id="2063946378">
      <w:bodyDiv w:val="1"/>
      <w:marLeft w:val="0"/>
      <w:marRight w:val="0"/>
      <w:marTop w:val="0"/>
      <w:marBottom w:val="0"/>
      <w:divBdr>
        <w:top w:val="none" w:sz="0" w:space="0" w:color="auto"/>
        <w:left w:val="none" w:sz="0" w:space="0" w:color="auto"/>
        <w:bottom w:val="none" w:sz="0" w:space="0" w:color="auto"/>
        <w:right w:val="none" w:sz="0" w:space="0" w:color="auto"/>
      </w:divBdr>
    </w:div>
    <w:div w:id="2071611037">
      <w:bodyDiv w:val="1"/>
      <w:marLeft w:val="0"/>
      <w:marRight w:val="0"/>
      <w:marTop w:val="0"/>
      <w:marBottom w:val="0"/>
      <w:divBdr>
        <w:top w:val="none" w:sz="0" w:space="0" w:color="auto"/>
        <w:left w:val="none" w:sz="0" w:space="0" w:color="auto"/>
        <w:bottom w:val="none" w:sz="0" w:space="0" w:color="auto"/>
        <w:right w:val="none" w:sz="0" w:space="0" w:color="auto"/>
      </w:divBdr>
    </w:div>
    <w:div w:id="2074037277">
      <w:bodyDiv w:val="1"/>
      <w:marLeft w:val="0"/>
      <w:marRight w:val="0"/>
      <w:marTop w:val="0"/>
      <w:marBottom w:val="0"/>
      <w:divBdr>
        <w:top w:val="none" w:sz="0" w:space="0" w:color="auto"/>
        <w:left w:val="none" w:sz="0" w:space="0" w:color="auto"/>
        <w:bottom w:val="none" w:sz="0" w:space="0" w:color="auto"/>
        <w:right w:val="none" w:sz="0" w:space="0" w:color="auto"/>
      </w:divBdr>
    </w:div>
    <w:div w:id="2097021478">
      <w:bodyDiv w:val="1"/>
      <w:marLeft w:val="0"/>
      <w:marRight w:val="0"/>
      <w:marTop w:val="0"/>
      <w:marBottom w:val="0"/>
      <w:divBdr>
        <w:top w:val="none" w:sz="0" w:space="0" w:color="auto"/>
        <w:left w:val="none" w:sz="0" w:space="0" w:color="auto"/>
        <w:bottom w:val="none" w:sz="0" w:space="0" w:color="auto"/>
        <w:right w:val="none" w:sz="0" w:space="0" w:color="auto"/>
      </w:divBdr>
    </w:div>
    <w:div w:id="2097701442">
      <w:bodyDiv w:val="1"/>
      <w:marLeft w:val="0"/>
      <w:marRight w:val="0"/>
      <w:marTop w:val="0"/>
      <w:marBottom w:val="0"/>
      <w:divBdr>
        <w:top w:val="none" w:sz="0" w:space="0" w:color="auto"/>
        <w:left w:val="none" w:sz="0" w:space="0" w:color="auto"/>
        <w:bottom w:val="none" w:sz="0" w:space="0" w:color="auto"/>
        <w:right w:val="none" w:sz="0" w:space="0" w:color="auto"/>
      </w:divBdr>
      <w:divsChild>
        <w:div w:id="369651737">
          <w:marLeft w:val="0"/>
          <w:marRight w:val="0"/>
          <w:marTop w:val="0"/>
          <w:marBottom w:val="0"/>
          <w:divBdr>
            <w:top w:val="none" w:sz="0" w:space="0" w:color="auto"/>
            <w:left w:val="none" w:sz="0" w:space="0" w:color="auto"/>
            <w:bottom w:val="none" w:sz="0" w:space="0" w:color="auto"/>
            <w:right w:val="none" w:sz="0" w:space="0" w:color="auto"/>
          </w:divBdr>
        </w:div>
        <w:div w:id="437718340">
          <w:marLeft w:val="0"/>
          <w:marRight w:val="0"/>
          <w:marTop w:val="0"/>
          <w:marBottom w:val="0"/>
          <w:divBdr>
            <w:top w:val="none" w:sz="0" w:space="0" w:color="auto"/>
            <w:left w:val="none" w:sz="0" w:space="0" w:color="auto"/>
            <w:bottom w:val="none" w:sz="0" w:space="0" w:color="auto"/>
            <w:right w:val="none" w:sz="0" w:space="0" w:color="auto"/>
          </w:divBdr>
        </w:div>
      </w:divsChild>
    </w:div>
    <w:div w:id="2098284693">
      <w:bodyDiv w:val="1"/>
      <w:marLeft w:val="0"/>
      <w:marRight w:val="0"/>
      <w:marTop w:val="0"/>
      <w:marBottom w:val="0"/>
      <w:divBdr>
        <w:top w:val="none" w:sz="0" w:space="0" w:color="auto"/>
        <w:left w:val="none" w:sz="0" w:space="0" w:color="auto"/>
        <w:bottom w:val="none" w:sz="0" w:space="0" w:color="auto"/>
        <w:right w:val="none" w:sz="0" w:space="0" w:color="auto"/>
      </w:divBdr>
      <w:divsChild>
        <w:div w:id="437217220">
          <w:marLeft w:val="0"/>
          <w:marRight w:val="0"/>
          <w:marTop w:val="0"/>
          <w:marBottom w:val="0"/>
          <w:divBdr>
            <w:top w:val="none" w:sz="0" w:space="0" w:color="auto"/>
            <w:left w:val="none" w:sz="0" w:space="0" w:color="auto"/>
            <w:bottom w:val="none" w:sz="0" w:space="0" w:color="auto"/>
            <w:right w:val="none" w:sz="0" w:space="0" w:color="auto"/>
          </w:divBdr>
          <w:divsChild>
            <w:div w:id="1916470930">
              <w:marLeft w:val="0"/>
              <w:marRight w:val="0"/>
              <w:marTop w:val="0"/>
              <w:marBottom w:val="0"/>
              <w:divBdr>
                <w:top w:val="none" w:sz="0" w:space="0" w:color="auto"/>
                <w:left w:val="none" w:sz="0" w:space="0" w:color="auto"/>
                <w:bottom w:val="none" w:sz="0" w:space="0" w:color="auto"/>
                <w:right w:val="none" w:sz="0" w:space="0" w:color="auto"/>
              </w:divBdr>
              <w:divsChild>
                <w:div w:id="466163660">
                  <w:marLeft w:val="0"/>
                  <w:marRight w:val="0"/>
                  <w:marTop w:val="0"/>
                  <w:marBottom w:val="0"/>
                  <w:divBdr>
                    <w:top w:val="none" w:sz="0" w:space="0" w:color="auto"/>
                    <w:left w:val="none" w:sz="0" w:space="0" w:color="auto"/>
                    <w:bottom w:val="none" w:sz="0" w:space="0" w:color="auto"/>
                    <w:right w:val="none" w:sz="0" w:space="0" w:color="auto"/>
                  </w:divBdr>
                  <w:divsChild>
                    <w:div w:id="89274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5028232">
      <w:bodyDiv w:val="1"/>
      <w:marLeft w:val="0"/>
      <w:marRight w:val="0"/>
      <w:marTop w:val="0"/>
      <w:marBottom w:val="0"/>
      <w:divBdr>
        <w:top w:val="none" w:sz="0" w:space="0" w:color="auto"/>
        <w:left w:val="none" w:sz="0" w:space="0" w:color="auto"/>
        <w:bottom w:val="none" w:sz="0" w:space="0" w:color="auto"/>
        <w:right w:val="none" w:sz="0" w:space="0" w:color="auto"/>
      </w:divBdr>
    </w:div>
    <w:div w:id="2111582321">
      <w:bodyDiv w:val="1"/>
      <w:marLeft w:val="0"/>
      <w:marRight w:val="0"/>
      <w:marTop w:val="0"/>
      <w:marBottom w:val="0"/>
      <w:divBdr>
        <w:top w:val="none" w:sz="0" w:space="0" w:color="auto"/>
        <w:left w:val="none" w:sz="0" w:space="0" w:color="auto"/>
        <w:bottom w:val="none" w:sz="0" w:space="0" w:color="auto"/>
        <w:right w:val="none" w:sz="0" w:space="0" w:color="auto"/>
      </w:divBdr>
    </w:div>
    <w:div w:id="2119106816">
      <w:bodyDiv w:val="1"/>
      <w:marLeft w:val="0"/>
      <w:marRight w:val="0"/>
      <w:marTop w:val="0"/>
      <w:marBottom w:val="0"/>
      <w:divBdr>
        <w:top w:val="none" w:sz="0" w:space="0" w:color="auto"/>
        <w:left w:val="none" w:sz="0" w:space="0" w:color="auto"/>
        <w:bottom w:val="none" w:sz="0" w:space="0" w:color="auto"/>
        <w:right w:val="none" w:sz="0" w:space="0" w:color="auto"/>
      </w:divBdr>
    </w:div>
    <w:div w:id="2134907142">
      <w:bodyDiv w:val="1"/>
      <w:marLeft w:val="0"/>
      <w:marRight w:val="0"/>
      <w:marTop w:val="0"/>
      <w:marBottom w:val="0"/>
      <w:divBdr>
        <w:top w:val="none" w:sz="0" w:space="0" w:color="auto"/>
        <w:left w:val="none" w:sz="0" w:space="0" w:color="auto"/>
        <w:bottom w:val="none" w:sz="0" w:space="0" w:color="auto"/>
        <w:right w:val="none" w:sz="0" w:space="0" w:color="auto"/>
      </w:divBdr>
    </w:div>
    <w:div w:id="2137482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0b56a81cb4d1452eb5b9e468f616f9ef" PartId="4efffe4b7cc042b58534f368083553a5"/>
  <Part Type="pastraipa" DocPartId="eaeead2fca5a4615a3d6ae6c3c118426" PartId="d86a6605848e4b0189601f05c2ae7acc"/>
</Parts>
</file>

<file path=customXml/itemProps1.xml><?xml version="1.0" encoding="utf-8"?>
<ds:datastoreItem xmlns:ds="http://schemas.openxmlformats.org/officeDocument/2006/customXml" ds:itemID="{250AAE93-2240-4F6B-B3EA-E7F6FBFBEC3A}">
  <ds:schemaRefs>
    <ds:schemaRef ds:uri="http://schemas.openxmlformats.org/officeDocument/2006/bibliography"/>
  </ds:schemaRefs>
</ds:datastoreItem>
</file>

<file path=customXml/itemProps2.xml><?xml version="1.0" encoding="utf-8"?>
<ds:datastoreItem xmlns:ds="http://schemas.openxmlformats.org/officeDocument/2006/customXml" ds:itemID="{044790D8-54EB-4003-B665-C0A769E2BE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22975</Words>
  <Characters>162899</Characters>
  <Application>Microsoft Office Word</Application>
  <DocSecurity>4</DocSecurity>
  <Lines>4286</Lines>
  <Paragraphs>1705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184169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2022-10-27T12:22:00Z</dcterms:created>
  <dc:creator>Martynas Dobrovolskis</dc:creator>
  <lastModifiedBy>adlibuser</lastModifiedBy>
  <lastPrinted>2019-05-06T13:35:00Z</lastPrinted>
  <dcterms:modified xsi:type="dcterms:W3CDTF">2022-10-27T12:22:00Z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