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colors7.xml" ContentType="application/vnd.openxmlformats-officedocument.drawingml.diagramColors+xml"/>
  <Override PartName="/word/diagrams/colors8.xml" ContentType="application/vnd.openxmlformats-officedocument.drawingml.diagramColors+xml"/>
  <Override PartName="/word/diagrams/colors9.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ata7.xml" ContentType="application/vnd.openxmlformats-officedocument.drawingml.diagramData+xml"/>
  <Override PartName="/word/diagrams/data8.xml" ContentType="application/vnd.openxmlformats-officedocument.drawingml.diagramData+xml"/>
  <Override PartName="/word/diagrams/data9.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drawing7.xml" ContentType="application/vnd.ms-office.drawingml.diagramDrawing+xml"/>
  <Override PartName="/word/diagrams/drawing8.xml" ContentType="application/vnd.ms-office.drawingml.diagramDrawing+xml"/>
  <Override PartName="/word/diagrams/drawing9.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layout7.xml" ContentType="application/vnd.openxmlformats-officedocument.drawingml.diagramLayout+xml"/>
  <Override PartName="/word/diagrams/layout8.xml" ContentType="application/vnd.openxmlformats-officedocument.drawingml.diagramLayout+xml"/>
  <Override PartName="/word/diagrams/layout9.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iagrams/quickStyle7.xml" ContentType="application/vnd.openxmlformats-officedocument.drawingml.diagramStyle+xml"/>
  <Override PartName="/word/diagrams/quickStyle8.xml" ContentType="application/vnd.openxmlformats-officedocument.drawingml.diagramStyle+xml"/>
  <Override PartName="/word/diagrams/quickStyle9.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193cd810b594573b813b35e07b25ba8"/>
        <w:lock w:val="sdtLocked"/>
        <w:richText/>
      </w:sdtPr>
      <w:sdtContent>
        <w:p>
          <w:pPr>
            <w:tabs>
              <w:tab w:val="center" w:pos="4513"/>
              <w:tab w:val="right" w:pos="9026"/>
            </w:tabs>
          </w:pPr>
        </w:p>
      </w:sdtContent>
    </w:sdt>
    <w:sdt>
      <w:sdtPr>
        <w:alias w:val="patvirtinta"/>
        <w:tag w:val="part_b23a1012986345d6899e7993d125a4f5"/>
        <w:lock w:val="sdtLocked"/>
        <w:richText/>
      </w:sdtPr>
      <w:sdtContent>
        <w:p>
          <w:pPr>
            <w:ind w:left="5103"/>
            <w:rPr>
              <w:szCs w:val="24"/>
            </w:rPr>
          </w:pPr>
          <w:r>
            <w:rPr>
              <w:szCs w:val="24"/>
            </w:rPr>
            <w:t>PATVIRTINTA</w:t>
          </w:r>
        </w:p>
        <w:p>
          <w:pPr>
            <w:ind w:left="5103"/>
            <w:rPr>
              <w:szCs w:val="24"/>
            </w:rPr>
          </w:pPr>
          <w:r>
            <w:rPr>
              <w:szCs w:val="24"/>
            </w:rPr>
            <w:t>Šiaulių miesto savivaldybės tarybos</w:t>
          </w:r>
        </w:p>
        <w:p>
          <w:pPr>
            <w:ind w:left="5103"/>
            <w:rPr>
              <w:szCs w:val="24"/>
            </w:rPr>
          </w:pPr>
          <w:r>
            <w:rPr>
              <w:szCs w:val="24"/>
            </w:rPr>
            <w:t>20__m. _______d. sprendimu Nr. _______</w:t>
          </w:r>
        </w:p>
        <w:p>
          <w:pPr>
            <w:jc w:val="both"/>
            <w:rPr>
              <w:b/>
              <w:bCs/>
              <w:szCs w:val="24"/>
            </w:rPr>
          </w:pPr>
        </w:p>
        <w:p>
          <w:pPr>
            <w:jc w:val="both"/>
            <w:rPr>
              <w:b/>
              <w:bCs/>
              <w:szCs w:val="24"/>
            </w:rPr>
          </w:pPr>
        </w:p>
        <w:sdt>
          <w:sdtPr>
            <w:alias w:val="Pavadinimas"/>
            <w:tag w:val="title_b23a1012986345d6899e7993d125a4f5"/>
            <w:lock w:val="sdtLocked"/>
            <w:richText/>
          </w:sdtPr>
          <w:sdtContent>
            <w:p>
              <w:pPr>
                <w:jc w:val="center"/>
                <w:rPr>
                  <w:b/>
                  <w:bCs/>
                  <w:szCs w:val="24"/>
                </w:rPr>
              </w:pPr>
              <w:r>
                <w:rPr>
                  <w:b/>
                  <w:bCs/>
                  <w:szCs w:val="24"/>
                </w:rPr>
                <w:t>ŠIAULIŲ MIESTO SAVIVALDYBĖS</w:t>
              </w:r>
            </w:p>
            <w:p>
              <w:pPr>
                <w:jc w:val="center"/>
                <w:rPr>
                  <w:b/>
                  <w:bCs/>
                  <w:iCs/>
                  <w:szCs w:val="24"/>
                </w:rPr>
              </w:pPr>
              <w:r>
                <w:rPr>
                  <w:b/>
                  <w:bCs/>
                  <w:iCs/>
                  <w:szCs w:val="24"/>
                </w:rPr>
                <w:t>2025-2027 METŲ STRATEGINIS VEIKLOS PLANAS</w:t>
              </w:r>
            </w:p>
          </w:sdtContent>
        </w:sdt>
        <w:p>
          <w:pPr>
            <w:jc w:val="center"/>
            <w:rPr>
              <w:b/>
              <w:bCs/>
              <w:szCs w:val="24"/>
            </w:rPr>
          </w:pPr>
        </w:p>
        <w:sdt>
          <w:sdtPr>
            <w:alias w:val="skyrius"/>
            <w:tag w:val="part_8177e0d5cd0b49d682653a27bf094524"/>
            <w:lock w:val="sdtLocked"/>
            <w:richText/>
          </w:sdtPr>
          <w:sdtContent>
            <w:p>
              <w:pPr>
                <w:jc w:val="center"/>
                <w:rPr>
                  <w:b/>
                  <w:bCs/>
                  <w:color w:val="000000"/>
                  <w:szCs w:val="24"/>
                </w:rPr>
              </w:pPr>
              <w:sdt>
                <w:sdtPr>
                  <w:alias w:val="Numeris"/>
                  <w:tag w:val="nr_8177e0d5cd0b49d682653a27bf094524"/>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rPr>
              </w:pPr>
              <w:sdt>
                <w:sdtPr>
                  <w:alias w:val="Pavadinimas"/>
                  <w:tag w:val="title_8177e0d5cd0b49d682653a27bf094524"/>
                  <w:lock w:val="sdtLocked"/>
                  <w:richText/>
                </w:sdtPr>
                <w:sdtContent>
                  <w:r>
                    <w:rPr>
                      <w:b/>
                      <w:bCs/>
                      <w:color w:val="000000"/>
                      <w:szCs w:val="24"/>
                    </w:rPr>
                    <w:t>SAVIVALDYBĖS MISIJA IR VEIKLOS PRIORITETAI</w:t>
                  </w:r>
                </w:sdtContent>
              </w:sdt>
            </w:p>
            <w:p>
              <w:pPr>
                <w:rPr>
                  <w:sz w:val="10"/>
                  <w:szCs w:val="10"/>
                </w:rPr>
              </w:pPr>
            </w:p>
            <w:p>
              <w:pPr>
                <w:jc w:val="both"/>
                <w:rPr>
                  <w:color w:val="808080"/>
                  <w:szCs w:val="24"/>
                  <w:lang w:eastAsia="lt-LT"/>
                </w:rPr>
              </w:pPr>
            </w:p>
            <w:p>
              <w:pPr>
                <w:ind w:firstLine="720"/>
                <w:jc w:val="both"/>
                <w:rPr>
                  <w:lang w:eastAsia="ar-SA"/>
                </w:rPr>
              </w:pPr>
              <w:r>
                <w:rPr>
                  <w:lang w:eastAsia="ar-SA"/>
                </w:rPr>
                <w:t>Šiaulių miesto savivaldybės (toliau – Savivaldybė) misija:</w:t>
              </w:r>
            </w:p>
            <w:p>
              <w:pPr>
                <w:ind w:firstLine="720"/>
                <w:jc w:val="both"/>
                <w:rPr>
                  <w:lang w:eastAsia="ar-SA"/>
                </w:rPr>
              </w:pPr>
              <w:r>
                <w:rPr>
                  <w:lang w:eastAsia="ar-SA"/>
                </w:rPr>
                <w:t>Sudaryti kokybiškas gyvenimo ir darbo sąlygas miesto bendruomenei, užtikrinti gyventojų lūkesčius atitinkantį teikiamų viešojo administravimo ir viešųjų paslaugų lygį, nusipelnyti žmonių pasitikėjimą ir skatinti jų pasididžiavimą miestu.</w:t>
              </w:r>
            </w:p>
            <w:p>
              <w:pPr>
                <w:ind w:firstLine="720"/>
                <w:jc w:val="both"/>
                <w:rPr>
                  <w:lang w:eastAsia="ar-SA"/>
                </w:rPr>
              </w:pPr>
              <w:r>
                <w:rPr>
                  <w:lang w:eastAsia="ar-SA"/>
                </w:rPr>
                <w:t>Savivaldybės 2025</w:t>
              </w:r>
              <w:r>
                <w:rPr>
                  <w:color w:val="000000"/>
                  <w:kern w:val="2"/>
                  <w:szCs w:val="24"/>
                </w:rPr>
                <w:t>–2</w:t>
              </w:r>
              <w:r>
                <w:rPr>
                  <w:lang w:eastAsia="ar-SA"/>
                </w:rPr>
                <w:t xml:space="preserve">027 m. strateginis veiklos planas (toliau – SVP) rengiamas detalizuojant Šiaulių miesto savivaldybės 2025–2033 m. strateginio plėtros plano (toliau – ŠSPP) ir kitų Savivaldybės tarybos patvirtintų programavimo lygmens dokumentų tikslus, uždavinius bei priemones, susiejant šiuos elementus su finansiniais ir žmogiškaisiais ištekliais, kuriais disponuoja Savivaldybė. </w:t>
              </w:r>
            </w:p>
            <w:p>
              <w:pPr>
                <w:ind w:firstLine="720"/>
                <w:jc w:val="both"/>
                <w:rPr>
                  <w:lang w:eastAsia="ar-SA"/>
                </w:rPr>
              </w:pPr>
              <w:r>
                <w:rPr>
                  <w:lang w:eastAsia="ar-SA"/>
                </w:rPr>
                <w:t>Savivaldybės 2025–2027 m. veiklos prioritetai:</w:t>
              </w:r>
            </w:p>
            <w:p>
              <w:pPr>
                <w:ind w:firstLine="720"/>
                <w:jc w:val="both"/>
                <w:rPr>
                  <w:lang w:eastAsia="ar-SA"/>
                </w:rPr>
              </w:pPr>
              <w:r>
                <w:rPr>
                  <w:lang w:eastAsia="ar-SA"/>
                </w:rPr>
                <w:t>Sudaryti sąlygas aktyvios, kūrybingos, jaunatviškos ir atsakingos Šiaulių miesto bendruomenės kūrimuisi – kokybiškiausio išsilavinimo suteikimas vietoje, jaunimo išlaikymas, šeimų palaikymas, vyresniųjų aprūpinimas;</w:t>
              </w:r>
            </w:p>
            <w:p>
              <w:pPr>
                <w:ind w:firstLine="720"/>
                <w:jc w:val="both"/>
                <w:rPr>
                  <w:lang w:eastAsia="ar-SA"/>
                </w:rPr>
              </w:pPr>
              <w:r>
                <w:rPr>
                  <w:lang w:eastAsia="ar-SA"/>
                </w:rPr>
                <w:t>Siekti, kad Šiaulių miestas taptų regiono inovatyvios inžinerinės pramonės ir prekybos variklis, mokslo ir technologijų naujovių centras – aukštesnę pridėtinę vertę kuriančių darbo vietų atsiradimas, bendradarbiavimas su aukštosiomis, profesinėmis, bendrojo ugdymo mokyklomis, socialiniais-ekonominiais partneriais;</w:t>
              </w:r>
            </w:p>
            <w:p>
              <w:pPr>
                <w:ind w:firstLine="720"/>
                <w:jc w:val="both"/>
                <w:rPr>
                  <w:lang w:eastAsia="ar-SA"/>
                </w:rPr>
              </w:pPr>
              <w:r>
                <w:rPr>
                  <w:lang w:eastAsia="ar-SA"/>
                </w:rPr>
                <w:t>Kurti tvarią infrastruktūrą, patogią ir saugią gyvenamąją aplinką – kritinės, būtinosios, privalomosios infrastruktūros kūrimas ir išlaikymas;</w:t>
              </w:r>
            </w:p>
            <w:p>
              <w:pPr>
                <w:ind w:firstLine="720"/>
                <w:jc w:val="both"/>
                <w:rPr>
                  <w:lang w:eastAsia="ar-SA"/>
                </w:rPr>
              </w:pPr>
              <w:r>
                <w:rPr>
                  <w:lang w:eastAsia="ar-SA"/>
                </w:rPr>
                <w:t>Užtikrinti pažangų, efektyvų ir įtraukų Savivaldybės darbą – tikras, glaudus savivaldos, aukštesnės valdžios ir gyventojų bendradarbiavimas.</w:t>
              </w:r>
            </w:p>
            <w:p>
              <w:pPr>
                <w:ind w:firstLine="720"/>
                <w:jc w:val="both"/>
                <w:rPr>
                  <w:lang w:eastAsia="ar-SA"/>
                </w:rPr>
              </w:pPr>
              <w:r>
                <w:rPr>
                  <w:lang w:eastAsia="ar-SA"/>
                </w:rPr>
                <w:t>Veiklos prioritetus detalizuojantys uždaviniai, priemonės, jų lėšų poreikis ir siekiami rodikliai integruoti į 9 SVP programas.</w:t>
              </w:r>
            </w:p>
            <w:p>
              <w:pPr>
                <w:rPr>
                  <w:sz w:val="10"/>
                  <w:szCs w:val="10"/>
                </w:rPr>
              </w:pPr>
            </w:p>
          </w:sdtContent>
        </w:sdt>
        <w:sdt>
          <w:sdtPr>
            <w:alias w:val="skyrius"/>
            <w:tag w:val="part_87441ebef7ae4398afa6869dd3801cfe"/>
            <w:lock w:val="sdtLocked"/>
            <w:richText/>
          </w:sdtPr>
          <w:sdtContent>
            <w:p>
              <w:pPr>
                <w:jc w:val="center"/>
                <w:rPr>
                  <w:b/>
                  <w:bCs/>
                  <w:color w:val="000000"/>
                  <w:szCs w:val="24"/>
                </w:rPr>
              </w:pPr>
              <w:sdt>
                <w:sdtPr>
                  <w:alias w:val="Numeris"/>
                  <w:tag w:val="nr_87441ebef7ae4398afa6869dd3801cfe"/>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87441ebef7ae4398afa6869dd3801cfe"/>
                  <w:lock w:val="sdtLocked"/>
                  <w:richText/>
                </w:sdtPr>
                <w:sdtContent>
                  <w:r>
                    <w:rPr>
                      <w:b/>
                      <w:bCs/>
                      <w:color w:val="000000"/>
                      <w:szCs w:val="24"/>
                    </w:rPr>
                    <w:t>SAVIVALDYBĖS PLĖTROS TIKSLAI, UŽDAVINIAI IR JŲ STEBĖSENOS RODIKLIAI</w:t>
                  </w:r>
                </w:sdtContent>
              </w:sdt>
            </w:p>
            <w:p>
              <w:pPr>
                <w:rPr>
                  <w:sz w:val="20"/>
                </w:rPr>
              </w:pPr>
            </w:p>
            <w:p>
              <w:pPr>
                <w:tabs>
                  <w:tab w:val="left" w:pos="5070"/>
                  <w:tab w:val="left" w:pos="5366"/>
                  <w:tab w:val="left" w:pos="6771"/>
                  <w:tab w:val="left" w:pos="7363"/>
                </w:tabs>
                <w:suppressAutoHyphens/>
                <w:ind w:firstLine="709"/>
                <w:jc w:val="both"/>
                <w:rPr>
                  <w:rFonts w:eastAsia="Arial Unicode MS"/>
                  <w:szCs w:val="24"/>
                  <w:lang w:eastAsia="ar-SA"/>
                </w:rPr>
              </w:pPr>
              <w:r>
                <w:rPr>
                  <w:bCs/>
                  <w:iCs/>
                  <w:color w:val="000000"/>
                  <w:szCs w:val="24"/>
                  <w:lang w:eastAsia="ar-SA"/>
                </w:rPr>
                <w:t xml:space="preserve">Kad būtų užtikrintas Savivaldybės valdymo darnumas, Savivaldybės planavimo dokumentai yra tarpusavyje susieti aiškiais loginiais ryšiais, užtikrinamas Savivaldybės asignavimų </w:t>
              </w:r>
              <w:r>
                <w:rPr>
                  <w:rFonts w:eastAsia="Arial Unicode MS"/>
                  <w:bCs/>
                  <w:iCs/>
                  <w:color w:val="000000"/>
                  <w:szCs w:val="24"/>
                  <w:lang w:eastAsia="ar-SA"/>
                </w:rPr>
                <w:t>planavimas ir panaudojimo stebėsena.</w:t>
              </w:r>
              <w:r>
                <w:rPr>
                  <w:rFonts w:eastAsia="Arial Unicode MS"/>
                  <w:szCs w:val="24"/>
                  <w:lang w:eastAsia="ar-SA"/>
                </w:rPr>
                <w:t xml:space="preserve"> Savivaldybės taryba ilgalaikį strateginio planavimo dokumentą </w:t>
              </w:r>
              <w:r>
                <w:rPr>
                  <w:szCs w:val="24"/>
                  <w:lang w:eastAsia="ar-SA"/>
                </w:rPr>
                <w:t>–</w:t>
              </w:r>
              <w:r>
                <w:rPr>
                  <w:rFonts w:eastAsia="Arial Unicode MS"/>
                  <w:szCs w:val="24"/>
                  <w:lang w:eastAsia="ar-SA"/>
                </w:rPr>
                <w:t xml:space="preserve"> 2025</w:t>
              </w:r>
              <w:r>
                <w:rPr>
                  <w:szCs w:val="24"/>
                  <w:lang w:eastAsia="ar-SA"/>
                </w:rPr>
                <w:t>–</w:t>
              </w:r>
              <w:r>
                <w:rPr>
                  <w:rFonts w:eastAsia="Arial Unicode MS"/>
                  <w:szCs w:val="24"/>
                  <w:lang w:eastAsia="ar-SA"/>
                </w:rPr>
                <w:t>2033 metų Šiaulių miesto plėtros strateginį planą patvirtino 2024 m. birželio 06 d. sprendimu Nr. T</w:t>
              </w:r>
              <w:r>
                <w:rPr>
                  <w:szCs w:val="24"/>
                  <w:lang w:eastAsia="ar-SA"/>
                </w:rPr>
                <w:t>–</w:t>
              </w:r>
              <w:r>
                <w:rPr>
                  <w:rFonts w:eastAsia="Arial Unicode MS"/>
                  <w:szCs w:val="24"/>
                  <w:lang w:eastAsia="ar-SA"/>
                </w:rPr>
                <w:t xml:space="preserve">202. Šiame plane patvirtinta atnaujinta Šiaulių miesto vizija: </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ŠIAULIAI – SAULĖS MIESTAS: ATVIRAS, VERŽLUS IR SAUGUS:</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 xml:space="preserve">aktyvi, kūrybinga, jaunatviška ir atsakinga bendruomenė </w:t>
              </w:r>
              <w:r>
                <w:rPr>
                  <w:szCs w:val="24"/>
                  <w:lang w:eastAsia="ar-SA"/>
                </w:rPr>
                <w:t>–</w:t>
              </w:r>
              <w:r>
                <w:rPr>
                  <w:rFonts w:eastAsia="Arial Unicode MS"/>
                  <w:szCs w:val="24"/>
                  <w:lang w:eastAsia="ar-SA"/>
                </w:rPr>
                <w:t xml:space="preserve"> gyvybingas miestas;</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 xml:space="preserve">regiono inovatyvios inžinerinės pramonės ir prekybos variklis, mokslo ir technologijų naujovių centras </w:t>
              </w:r>
              <w:r>
                <w:rPr>
                  <w:szCs w:val="24"/>
                  <w:lang w:eastAsia="ar-SA"/>
                </w:rPr>
                <w:t>–</w:t>
              </w:r>
              <w:r>
                <w:rPr>
                  <w:rFonts w:eastAsia="Arial Unicode MS"/>
                  <w:szCs w:val="24"/>
                  <w:lang w:eastAsia="ar-SA"/>
                </w:rPr>
                <w:t xml:space="preserve"> traukiantis miestas;</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tvari infrastruktūra, patogi ir saugi gyvenamoji aplinka – kompaktiškas miestas.</w:t>
              </w:r>
            </w:p>
            <w:p>
              <w:pPr>
                <w:tabs>
                  <w:tab w:val="left" w:pos="5070"/>
                  <w:tab w:val="left" w:pos="5366"/>
                  <w:tab w:val="left" w:pos="6771"/>
                  <w:tab w:val="left" w:pos="7363"/>
                </w:tabs>
                <w:suppressAutoHyphens/>
                <w:ind w:firstLine="709"/>
                <w:jc w:val="both"/>
                <w:rPr>
                  <w:rFonts w:eastAsia="Arial Unicode MS"/>
                  <w:szCs w:val="24"/>
                  <w:lang w:eastAsia="ar-SA"/>
                </w:rPr>
              </w:pPr>
              <w:r>
                <w:rPr>
                  <w:rFonts w:eastAsia="Arial Unicode MS"/>
                  <w:szCs w:val="24"/>
                  <w:lang w:eastAsia="ar-SA"/>
                </w:rPr>
                <w:t xml:space="preserve">Įgyvendinant ŠSPP ir vadovaujantis Savivaldybės tarybos patvirtintu  Strateginio planavimo organizavimo Šiaulių miesto savivaldybėje tvarkos aprašu, yra parengtas Šiaulių miesto savivaldybės 2025–2027 m. SVP, įtraukiant biudžetinių įstaigų, Savivaldybės įstaigų ir Savivaldybės valdomų įmonių veiklos rezultatus ir atsižvelgiant į savivaldybės biudžeto pajamų ir kitų finansavimo šaltinių prognozę. Pagal Savivaldybės tarybos patvirtintą SVP yra formuojamas atitinkamų metų savivaldybės biudžetas. </w:t>
              </w:r>
            </w:p>
            <w:p>
              <w:pPr>
                <w:ind w:firstLine="744"/>
                <w:jc w:val="both"/>
                <w:rPr>
                  <w:b/>
                  <w:bCs/>
                  <w:szCs w:val="24"/>
                </w:rPr>
              </w:pPr>
              <w:r>
                <w:rPr>
                  <w:rFonts w:eastAsia="Arial Unicode MS"/>
                  <w:szCs w:val="24"/>
                  <w:lang w:eastAsia="ar-SA"/>
                </w:rPr>
                <w:t>2023</w:t>
              </w:r>
              <w:r>
                <w:rPr>
                  <w:color w:val="000000"/>
                  <w:kern w:val="2"/>
                  <w:szCs w:val="24"/>
                </w:rPr>
                <w:t>–</w:t>
              </w:r>
              <w:r>
                <w:rPr>
                  <w:rFonts w:eastAsia="Arial Unicode MS"/>
                  <w:szCs w:val="24"/>
                  <w:lang w:eastAsia="ar-SA"/>
                </w:rPr>
                <w:t>2024 m. parengtas ŠSPP yra glaudžiai susijęs su SVP, t. y. nustatyti tiesioginiai ryšiai tarp ŠSPP tikslų ir juos įgyvendinančių SVP programų, analogiška praktika pritaikyta ir uždavinių įgyvendinime – SVP numatyti plėtros uždaviniai, kurie atitinka ŠSPP plėtros uždavinius. Taip pat į SVP integruoti tęstinės veiklos uždaviniai, kurių nėra ŠSPP.</w:t>
              </w: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pPr>
            </w:p>
            <w:p>
              <w:pPr>
                <w:rPr>
                  <w:b/>
                  <w:bCs/>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276" w:right="567" w:bottom="1134" w:left="1418" w:header="567" w:footer="567" w:gutter="0"/>
                  <w:cols w:space="1296"/>
                  <w:titlePg/>
                  <w:docGrid w:linePitch="360"/>
                </w:sectPr>
              </w:pPr>
            </w:p>
            <w:p>
              <w:pPr>
                <w:rPr>
                  <w:sz w:val="22"/>
                  <w:szCs w:val="22"/>
                  <w:lang w:val="en-US"/>
                </w:rPr>
              </w:pPr>
              <w:r>
                <w:rPr>
                  <w:b/>
                  <w:bCs/>
                  <w:sz w:val="22"/>
                  <w:szCs w:val="22"/>
                </w:rPr>
                <w:t xml:space="preserve">1 lentelė. </w:t>
              </w:r>
              <w:r>
                <w:rPr>
                  <w:sz w:val="22"/>
                  <w:szCs w:val="22"/>
                </w:rPr>
                <w:t>Tikslai, uždaviniai ir jų stebėsenos rodikliai</w:t>
              </w:r>
            </w:p>
            <w:p>
              <w:pPr>
                <w:rPr>
                  <w:szCs w:val="24"/>
                </w:rPr>
              </w:pPr>
            </w:p>
            <w:tbl>
              <w:tblPr>
                <w:tblW w:w="15091" w:type="dxa"/>
                <w:tblInd w:w="118" w:type="dxa"/>
                <w:tblLook w:val="04A0" w:firstRow="1" w:lastRow="0" w:firstColumn="1" w:lastColumn="0" w:noHBand="0" w:noVBand="1"/>
              </w:tblPr>
              <w:tblGrid>
                <w:gridCol w:w="2684"/>
                <w:gridCol w:w="1219"/>
                <w:gridCol w:w="3458"/>
                <w:gridCol w:w="1559"/>
                <w:gridCol w:w="1183"/>
                <w:gridCol w:w="1183"/>
                <w:gridCol w:w="1186"/>
                <w:gridCol w:w="1343"/>
                <w:gridCol w:w="1276"/>
              </w:tblGrid>
              <w:tr>
                <w:trPr>
                  <w:trHeight w:val="760"/>
                  <w:tblHeader/>
                </w:trPr>
                <w:tc>
                  <w:tcPr>
                    <w:tcW w:w="2684"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ŠSPP tikslai ir uždaviniai</w:t>
                    </w:r>
                  </w:p>
                </w:tc>
                <w:tc>
                  <w:tcPr>
                    <w:tcW w:w="1219" w:type="dxa"/>
                    <w:vMerge w:val="restart"/>
                    <w:tcBorders>
                      <w:top w:val="single" w:sz="8" w:space="0" w:color="auto"/>
                      <w:left w:val="single" w:sz="8" w:space="0" w:color="auto"/>
                      <w:bottom w:val="single" w:sz="8" w:space="0" w:color="000000"/>
                      <w:right w:val="single" w:sz="8" w:space="0" w:color="auto"/>
                    </w:tcBorders>
                    <w:shd w:val="clear" w:color="auto" w:fill="DEEAF6" w:themeFill="accent5" w:themeFillTint="33"/>
                    <w:vAlign w:val="center"/>
                    <w:hideMark/>
                  </w:tcPr>
                  <w:p>
                    <w:pPr>
                      <w:jc w:val="center"/>
                      <w:rPr>
                        <w:b/>
                        <w:bCs/>
                        <w:color w:val="000000"/>
                        <w:sz w:val="20"/>
                        <w:lang w:eastAsia="lt-LT"/>
                      </w:rPr>
                    </w:pPr>
                    <w:r>
                      <w:rPr>
                        <w:b/>
                        <w:bCs/>
                        <w:color w:val="000000"/>
                        <w:sz w:val="20"/>
                        <w:lang w:eastAsia="lt-LT"/>
                      </w:rPr>
                      <w:t>Stebėsenos rodiklio Nr.</w:t>
                    </w:r>
                  </w:p>
                </w:tc>
                <w:tc>
                  <w:tcPr>
                    <w:tcW w:w="3458"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Stebėsenos rodiklis (matavimo vnt.)</w:t>
                    </w:r>
                  </w:p>
                </w:tc>
                <w:tc>
                  <w:tcPr>
                    <w:tcW w:w="1559" w:type="dxa"/>
                    <w:vMerge w:val="restart"/>
                    <w:tcBorders>
                      <w:top w:val="single" w:sz="8" w:space="0" w:color="auto"/>
                      <w:left w:val="single" w:sz="8" w:space="0" w:color="auto"/>
                      <w:bottom w:val="single" w:sz="8" w:space="0" w:color="000000"/>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 xml:space="preserve">Pradinė stebėsenos rodiklio reikšmė (metai) </w:t>
                    </w:r>
                  </w:p>
                </w:tc>
                <w:tc>
                  <w:tcPr>
                    <w:tcW w:w="3552" w:type="dxa"/>
                    <w:gridSpan w:val="3"/>
                    <w:tcBorders>
                      <w:top w:val="single" w:sz="8" w:space="0" w:color="auto"/>
                      <w:left w:val="nil"/>
                      <w:bottom w:val="single" w:sz="8" w:space="0" w:color="auto"/>
                      <w:right w:val="single" w:sz="8" w:space="0" w:color="000000"/>
                    </w:tcBorders>
                    <w:shd w:val="clear" w:color="000000" w:fill="DBE5F1"/>
                    <w:vAlign w:val="center"/>
                    <w:hideMark/>
                  </w:tcPr>
                  <w:p>
                    <w:pPr>
                      <w:jc w:val="center"/>
                      <w:rPr>
                        <w:b/>
                        <w:bCs/>
                        <w:color w:val="000000"/>
                        <w:sz w:val="20"/>
                        <w:lang w:eastAsia="lt-LT"/>
                      </w:rPr>
                    </w:pPr>
                    <w:r>
                      <w:rPr>
                        <w:b/>
                        <w:bCs/>
                        <w:color w:val="000000"/>
                        <w:sz w:val="20"/>
                        <w:lang w:eastAsia="lt-LT"/>
                      </w:rPr>
                      <w:t>Siektinos stebėsenos rodiklio reikšmės</w:t>
                    </w:r>
                    <w:r>
                      <w:rPr>
                        <w:color w:val="000000"/>
                        <w:sz w:val="20"/>
                        <w:lang w:eastAsia="lt-LT"/>
                      </w:rPr>
                      <w:t> </w:t>
                    </w:r>
                  </w:p>
                </w:tc>
                <w:tc>
                  <w:tcPr>
                    <w:tcW w:w="1343" w:type="dxa"/>
                    <w:tcBorders>
                      <w:top w:val="single" w:sz="8" w:space="0" w:color="auto"/>
                      <w:left w:val="single" w:sz="8" w:space="0" w:color="auto"/>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Faktinė stebėsenos rodiklio reikšmė (metai)</w:t>
                    </w:r>
                  </w:p>
                </w:tc>
                <w:tc>
                  <w:tcPr>
                    <w:tcW w:w="1276" w:type="dxa"/>
                    <w:tcBorders>
                      <w:top w:val="single" w:sz="8" w:space="0" w:color="auto"/>
                      <w:left w:val="single" w:sz="8" w:space="0" w:color="auto"/>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Siekiama stebėsenos rodiklio reikšmė (metai)</w:t>
                    </w:r>
                  </w:p>
                </w:tc>
              </w:tr>
              <w:tr>
                <w:trPr>
                  <w:trHeight w:val="300"/>
                  <w:tblHeader/>
                </w:trPr>
                <w:tc>
                  <w:tcPr>
                    <w:tcW w:w="2684" w:type="dxa"/>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20"/>
                        <w:lang w:eastAsia="lt-LT"/>
                      </w:rPr>
                    </w:pPr>
                  </w:p>
                </w:tc>
                <w:tc>
                  <w:tcPr>
                    <w:tcW w:w="1219" w:type="dxa"/>
                    <w:vMerge/>
                    <w:tcBorders>
                      <w:top w:val="single" w:sz="8" w:space="0" w:color="auto"/>
                      <w:left w:val="single" w:sz="8" w:space="0" w:color="auto"/>
                      <w:bottom w:val="single" w:sz="8" w:space="0" w:color="000000"/>
                      <w:right w:val="single" w:sz="8" w:space="0" w:color="auto"/>
                    </w:tcBorders>
                    <w:shd w:val="clear" w:color="auto" w:fill="DEEAF6" w:themeFill="accent5" w:themeFillTint="33"/>
                    <w:vAlign w:val="center"/>
                    <w:hideMark/>
                  </w:tcPr>
                  <w:p>
                    <w:pPr>
                      <w:rPr>
                        <w:b/>
                        <w:bCs/>
                        <w:color w:val="000000"/>
                        <w:sz w:val="20"/>
                        <w:lang w:eastAsia="lt-LT"/>
                      </w:rPr>
                    </w:pPr>
                  </w:p>
                </w:tc>
                <w:tc>
                  <w:tcPr>
                    <w:tcW w:w="3458" w:type="dxa"/>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20"/>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b/>
                        <w:bCs/>
                        <w:color w:val="000000"/>
                        <w:sz w:val="20"/>
                        <w:lang w:eastAsia="lt-LT"/>
                      </w:rPr>
                    </w:pPr>
                  </w:p>
                </w:tc>
                <w:tc>
                  <w:tcPr>
                    <w:tcW w:w="1183" w:type="dxa"/>
                    <w:tcBorders>
                      <w:top w:val="nil"/>
                      <w:left w:val="nil"/>
                      <w:bottom w:val="single" w:sz="8" w:space="0" w:color="auto"/>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2025 m.</w:t>
                    </w:r>
                  </w:p>
                </w:tc>
                <w:tc>
                  <w:tcPr>
                    <w:tcW w:w="1183" w:type="dxa"/>
                    <w:tcBorders>
                      <w:top w:val="nil"/>
                      <w:left w:val="nil"/>
                      <w:bottom w:val="single" w:sz="8" w:space="0" w:color="auto"/>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2026 m.</w:t>
                    </w:r>
                  </w:p>
                </w:tc>
                <w:tc>
                  <w:tcPr>
                    <w:tcW w:w="1186" w:type="dxa"/>
                    <w:tcBorders>
                      <w:top w:val="nil"/>
                      <w:left w:val="nil"/>
                      <w:bottom w:val="single" w:sz="8" w:space="0" w:color="auto"/>
                      <w:right w:val="single" w:sz="8" w:space="0" w:color="auto"/>
                    </w:tcBorders>
                    <w:shd w:val="clear" w:color="000000" w:fill="DBE5F1"/>
                    <w:vAlign w:val="center"/>
                    <w:hideMark/>
                  </w:tcPr>
                  <w:p>
                    <w:pPr>
                      <w:jc w:val="center"/>
                      <w:rPr>
                        <w:b/>
                        <w:bCs/>
                        <w:color w:val="000000"/>
                        <w:sz w:val="20"/>
                        <w:lang w:eastAsia="lt-LT"/>
                      </w:rPr>
                    </w:pPr>
                    <w:r>
                      <w:rPr>
                        <w:b/>
                        <w:bCs/>
                        <w:color w:val="000000"/>
                        <w:sz w:val="20"/>
                        <w:lang w:eastAsia="lt-LT"/>
                      </w:rPr>
                      <w:t>2027 m.</w:t>
                    </w:r>
                  </w:p>
                </w:tc>
                <w:tc>
                  <w:tcPr>
                    <w:tcW w:w="1343" w:type="dxa"/>
                    <w:tcBorders>
                      <w:left w:val="single" w:sz="8" w:space="0" w:color="auto"/>
                      <w:bottom w:val="single" w:sz="8" w:space="0" w:color="000000"/>
                      <w:right w:val="single" w:sz="8" w:space="0" w:color="auto"/>
                    </w:tcBorders>
                    <w:shd w:val="clear" w:color="auto" w:fill="DEEAF6" w:themeFill="accent5" w:themeFillTint="33"/>
                    <w:vAlign w:val="center"/>
                    <w:hideMark/>
                  </w:tcPr>
                  <w:p>
                    <w:pPr>
                      <w:rPr>
                        <w:b/>
                        <w:bCs/>
                        <w:color w:val="000000"/>
                        <w:sz w:val="20"/>
                        <w:lang w:eastAsia="lt-LT"/>
                      </w:rPr>
                    </w:pPr>
                  </w:p>
                </w:tc>
                <w:tc>
                  <w:tcPr>
                    <w:tcW w:w="1276" w:type="dxa"/>
                    <w:tcBorders>
                      <w:left w:val="single" w:sz="8" w:space="0" w:color="auto"/>
                      <w:bottom w:val="single" w:sz="8" w:space="0" w:color="000000"/>
                      <w:right w:val="single" w:sz="8" w:space="0" w:color="auto"/>
                    </w:tcBorders>
                    <w:shd w:val="clear" w:color="auto" w:fill="DEEAF6" w:themeFill="accent5" w:themeFillTint="33"/>
                    <w:vAlign w:val="center"/>
                    <w:hideMark/>
                  </w:tcPr>
                  <w:p>
                    <w:pPr>
                      <w:rPr>
                        <w:b/>
                        <w:bCs/>
                        <w:color w:val="000000"/>
                        <w:sz w:val="20"/>
                        <w:lang w:eastAsia="lt-LT"/>
                      </w:rPr>
                    </w:pPr>
                  </w:p>
                </w:tc>
              </w:tr>
              <w:tr>
                <w:trPr>
                  <w:trHeight w:val="270"/>
                  <w:tblHeader/>
                </w:trPr>
                <w:tc>
                  <w:tcPr>
                    <w:tcW w:w="2684" w:type="dxa"/>
                    <w:tcBorders>
                      <w:top w:val="single" w:sz="8" w:space="0" w:color="000000"/>
                      <w:left w:val="single" w:sz="8" w:space="0" w:color="auto"/>
                      <w:bottom w:val="single" w:sz="4"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1</w:t>
                    </w:r>
                  </w:p>
                </w:tc>
                <w:tc>
                  <w:tcPr>
                    <w:tcW w:w="1219" w:type="dxa"/>
                    <w:tcBorders>
                      <w:top w:val="nil"/>
                      <w:left w:val="nil"/>
                      <w:bottom w:val="single" w:sz="8" w:space="0" w:color="auto"/>
                      <w:right w:val="single" w:sz="8" w:space="0" w:color="auto"/>
                    </w:tcBorders>
                    <w:shd w:val="clear" w:color="auto" w:fill="DEEAF6" w:themeFill="accent5" w:themeFillTint="33"/>
                    <w:vAlign w:val="center"/>
                    <w:hideMark/>
                  </w:tcPr>
                  <w:p>
                    <w:pPr>
                      <w:jc w:val="center"/>
                      <w:rPr>
                        <w:color w:val="000000"/>
                        <w:sz w:val="20"/>
                        <w:lang w:eastAsia="lt-LT"/>
                      </w:rPr>
                    </w:pPr>
                    <w:r>
                      <w:rPr>
                        <w:color w:val="000000"/>
                        <w:sz w:val="20"/>
                        <w:lang w:eastAsia="lt-LT"/>
                      </w:rPr>
                      <w:t>2</w:t>
                    </w:r>
                  </w:p>
                </w:tc>
                <w:tc>
                  <w:tcPr>
                    <w:tcW w:w="3458"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3</w:t>
                    </w:r>
                  </w:p>
                </w:tc>
                <w:tc>
                  <w:tcPr>
                    <w:tcW w:w="1559"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4</w:t>
                    </w:r>
                  </w:p>
                </w:tc>
                <w:tc>
                  <w:tcPr>
                    <w:tcW w:w="1183"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5</w:t>
                    </w:r>
                  </w:p>
                </w:tc>
                <w:tc>
                  <w:tcPr>
                    <w:tcW w:w="1183"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6</w:t>
                    </w:r>
                  </w:p>
                </w:tc>
                <w:tc>
                  <w:tcPr>
                    <w:tcW w:w="1186"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7</w:t>
                    </w:r>
                  </w:p>
                </w:tc>
                <w:tc>
                  <w:tcPr>
                    <w:tcW w:w="1343"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8</w:t>
                    </w:r>
                  </w:p>
                </w:tc>
                <w:tc>
                  <w:tcPr>
                    <w:tcW w:w="1276" w:type="dxa"/>
                    <w:tcBorders>
                      <w:top w:val="nil"/>
                      <w:left w:val="nil"/>
                      <w:bottom w:val="single" w:sz="8" w:space="0" w:color="auto"/>
                      <w:right w:val="single" w:sz="8" w:space="0" w:color="auto"/>
                    </w:tcBorders>
                    <w:shd w:val="clear" w:color="000000" w:fill="DBE5F1"/>
                    <w:vAlign w:val="center"/>
                    <w:hideMark/>
                  </w:tcPr>
                  <w:p>
                    <w:pPr>
                      <w:jc w:val="center"/>
                      <w:rPr>
                        <w:color w:val="000000"/>
                        <w:sz w:val="20"/>
                        <w:lang w:eastAsia="lt-LT"/>
                      </w:rPr>
                    </w:pPr>
                    <w:r>
                      <w:rPr>
                        <w:color w:val="000000"/>
                        <w:sz w:val="20"/>
                        <w:lang w:eastAsia="lt-LT"/>
                      </w:rPr>
                      <w:t>9</w:t>
                    </w:r>
                  </w:p>
                </w:tc>
              </w:tr>
              <w:tr>
                <w:trPr>
                  <w:trHeight w:val="520"/>
                </w:trPr>
                <w:tc>
                  <w:tcPr>
                    <w:tcW w:w="268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11 Užtikrinti pažangų, efektyvų ir įtraukų Savivaldybės darbą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P-11-01 </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Gyventojų pasitenkinimas savivaldybės administracijos darbu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7,1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7,2</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7,3</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7,1 (2023)</w:t>
                    </w:r>
                  </w:p>
                </w:tc>
                <w:tc>
                  <w:tcPr>
                    <w:tcW w:w="1276"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r>
                      <w:rPr>
                        <w:color w:val="000000"/>
                        <w:sz w:val="20"/>
                        <w:lang w:eastAsia="lt-LT"/>
                      </w:rPr>
                      <w:t>7,6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El. būdu teikiamų paslaugų dalis nuo visų galimų teikti el. būdu paslaugų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74,9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77,9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80,9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83,9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74,9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P-11-03 </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Patvirtintų pareigybių skaičius savivaldybės administracijoje, tenkantis 1 tūkst. nuolatinių gyventojų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2,6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P-11-04 </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tenkantis vienam Šiaulių miesto gyventojui (Eur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2104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sz w:val="20"/>
                        <w:lang w:eastAsia="lt-LT"/>
                      </w:rPr>
                    </w:pPr>
                    <w:r>
                      <w:rPr>
                        <w:sz w:val="20"/>
                        <w:lang w:eastAsia="lt-LT"/>
                      </w:rPr>
                      <w:t>2 233,8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sz w:val="20"/>
                        <w:lang w:eastAsia="lt-LT"/>
                      </w:rPr>
                    </w:pPr>
                    <w:r>
                      <w:rPr>
                        <w:sz w:val="20"/>
                        <w:lang w:eastAsia="lt-LT"/>
                      </w:rPr>
                      <w:t>2 351,9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sz w:val="20"/>
                        <w:lang w:eastAsia="lt-LT"/>
                      </w:rPr>
                    </w:pPr>
                    <w:r>
                      <w:rPr>
                        <w:sz w:val="20"/>
                        <w:lang w:eastAsia="lt-LT"/>
                      </w:rPr>
                      <w:t>2 477,0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2104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3376 (2033)</w:t>
                    </w:r>
                  </w:p>
                </w:tc>
              </w:tr>
              <w:tr>
                <w:trPr>
                  <w:trHeight w:val="608"/>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11-01 Gerinti veiklos valdymą ir efektyviai išnaudoti pažangius skaitmeninius sprendimus teikiant paslaugas</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R-11-01-01 </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biudžetas, tenkantis vienai patvirtintai pareigybei savivaldybės administracijoje (mln. Eur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0,82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0,82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 (2033)</w:t>
                    </w:r>
                  </w:p>
                </w:tc>
              </w:tr>
              <w:tr>
                <w:trPr>
                  <w:trHeight w:val="462"/>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R-11-01-02 </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Vieta pagal lyčių lygybės stebėsenos savivaldybėse rodiklius (v.)</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 (2033)</w:t>
                    </w:r>
                  </w:p>
                </w:tc>
              </w:tr>
              <w:tr>
                <w:trPr>
                  <w:trHeight w:val="52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11-02 Skatinti įtraukų bendradarbiavimą su visuomene ir suinteresuotomis šalimis</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R-11-02-01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Gyventojų aktyvumas vietos savivaldos rinkimuose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45,8 (2023)</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45,8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50 (2033)</w:t>
                    </w:r>
                  </w:p>
                </w:tc>
              </w:tr>
              <w:tr>
                <w:trPr>
                  <w:trHeight w:val="52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12 Užtikrinti įtraukias, konkurencingas kultūrines paslaugas ir jų prieinamumą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Gyventojų pasitenkinimas kultūros paslaugomis (balas)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8,2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8,3</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8,2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12-01 Stiprinti miesto kultūrinio gyvenimo aktyvumą</w:t>
                    </w:r>
                  </w:p>
                </w:tc>
                <w:tc>
                  <w:tcPr>
                    <w:tcW w:w="1219" w:type="dxa"/>
                    <w:vMerge w:val="restart"/>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R-12-01-01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Kultūros įstaigų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983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992,7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1002,4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1012,1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983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1070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Bibliotekų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366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370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372</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366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384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Muziejų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129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130,2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131,4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132,6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129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Galerijų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63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63,4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63,8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64,2</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63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66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Teatrų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31,4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32,6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Koncertų salių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105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107,8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110,6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113,4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105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Kultūros centrų lankytojų skaičius (tūkst.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291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293,1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295,2</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297,3</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291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310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R-12-01-02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Naujų užsienio miestų (ir šalių), įtrauktų į ilgalaikę kultūros partnerystę (trunkančią ilgiau kaip 1 m.), skaičius (vnt.) </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 (2033)</w:t>
                    </w:r>
                  </w:p>
                </w:tc>
              </w:tr>
              <w:tr>
                <w:trPr>
                  <w:trHeight w:val="52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12-02 Išvystyti gyventojų poreikius atitinkančią kultūros įstaigų infrastruktūrą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R-12-02-01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Kultūros įstaigų pastatų, kurie yra geros būklės, skaičius nuo visų kultūros įstaigų pastatų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7/10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8/10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9/10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10/10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7/10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11/11 (2033)</w:t>
                    </w:r>
                  </w:p>
                </w:tc>
              </w:tr>
              <w:tr>
                <w:trPr>
                  <w:trHeight w:val="52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13 Pagerinti aplinkos kokybę mieste, užtikrinant poveikio klimatui neutralumą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P-13-01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darnios energetikos plėtros indeksas (balas)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26,5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34,5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39,5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26,5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46 (2033)</w:t>
                    </w:r>
                  </w:p>
                </w:tc>
              </w:tr>
              <w:tr>
                <w:trPr>
                  <w:trHeight w:val="516"/>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13-01 Mažinti aplinkos taršą ir kurti miesto ekosistemą, siekiant didinti atsparumą klimato kaitos padariniams</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R-13-01-01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Atsinaujinančių išteklių dalis pagal savivaldybės energijos balansą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31,89 (2021)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32,32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32,75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33,18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31,89 (2021)</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35,78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R-13-01-02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Gyventojų dalis, kurių būstai veikiami padidinto triukšmo lygio, nuo visų gyventojų skaičiaus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20,89 (2021)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20,24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19,59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18,94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20,89 (2021)</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R-13-01-03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Kietųjų dalelių skaičius (μg/m³)</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18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R-11-01-04</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Bendras viešųjų atskirųjų želdynų plotas, tenkantis vienam miesto gyventojui (m²)</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48,3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47</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48,3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44,9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13-02 Taikyti žiedinės ekonomikos principus komunalinių atliekų tvarkyme</w:t>
                    </w:r>
                  </w:p>
                </w:tc>
                <w:tc>
                  <w:tcPr>
                    <w:tcW w:w="1219" w:type="dxa"/>
                    <w:tcBorders>
                      <w:top w:val="nil"/>
                      <w:left w:val="nil"/>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R-13-02-01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Sąvartynuose šalinamų komunalinių atliekų dalis nuo visų susidariusių komunalinių atliekų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13,25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13,25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R-13-02-02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Atliekų, tenkančių vienam gyventojui, kiekis (kg/1 gyv.)</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358 (2033)</w:t>
                    </w:r>
                  </w:p>
                </w:tc>
              </w:tr>
              <w:tr>
                <w:trPr>
                  <w:trHeight w:val="336"/>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14 Formuoti gyvybingą, tvarią ir darniai sujungtą miesto struktūrą </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P-14-01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Miesto driekos indeksas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276"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r>
                      <w:rPr>
                        <w:color w:val="000000"/>
                        <w:sz w:val="20"/>
                        <w:lang w:eastAsia="lt-LT"/>
                      </w:rPr>
                      <w:t>- 20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P-14-02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Miesto patrauklumo gyventi vertinimas (balai)</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7,8</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8,4 (2033)</w:t>
                    </w:r>
                  </w:p>
                </w:tc>
              </w:tr>
              <w:tr>
                <w:trPr>
                  <w:trHeight w:val="78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14-01 Kompleksiškai planuoti gyvybingą ir nuoseklią miesto struktūrą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Kompleksiniais teritorijų planavimo dokumentais naujai suplanuotų teritorijų bendras plotas, palyginti su bendru miesto urbanizuotų teritorijų plotu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 (2033)</w:t>
                    </w:r>
                  </w:p>
                </w:tc>
              </w:tr>
              <w:tr>
                <w:trPr>
                  <w:trHeight w:val="518"/>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14-02 Formuoti darnias miesto jungtis, užtikrinančias tvarų ir saugų judėjimą mieste</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Neasfaltuotų gatvių dalis nuo viso gatvių tinklo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R-14-02-02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Atnaujintų pėsčiųjų takų dalis nuo bendro takų ilgio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 (2025)</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R-14-02-03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Dviračių takų ilgis metų pabaigoje, tenkantis 1 tūkst. gyventojų (km)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1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R-14-02-04</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Modalinis kelionių pasiskirstymas (automobiliu, viešuoju transportu, dviračiais, pėsčiomis, kita) (proc.)</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39/30/2/27 </w:t>
                      <w:br/>
                      <w:t>(2019)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33/33/10/24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33/33/10/24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33/33/10/24</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39/30/2/27 </w:t>
                      <w:br/>
                      <w:t>(2019)</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33/33/10/24</w:t>
                      <w:br/>
                      <w:t>(2033)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R-14-02-05</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Vidutiniškai vienam gyventojui tenkančių kelionių autobusais skaičius  (vnt. / 1 gyv.)</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96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96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105 (2033)</w:t>
                    </w:r>
                  </w:p>
                </w:tc>
              </w:tr>
              <w:tr>
                <w:trPr>
                  <w:trHeight w:val="441"/>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14-03 Užtikrinti tvarią, kokybišką miesto infrastruktūros plėtrą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R-14-03-01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Renovuotų daugiabučių dalis nuo visų renovuotinų daugiabučių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 (2033)</w:t>
                    </w:r>
                  </w:p>
                </w:tc>
              </w:tr>
              <w:tr>
                <w:trPr>
                  <w:trHeight w:val="335"/>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R-14-03-02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Naujai suplanuotų / atnaujintų viešųjų erdvių plotas 1 gyventojui (m²)</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 (2033)</w:t>
                    </w:r>
                  </w:p>
                </w:tc>
              </w:tr>
              <w:tr>
                <w:trPr>
                  <w:trHeight w:val="654"/>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15 Skatinti miesto ekonominę plėtrą, sudarant palankias sąlygas verslo, turizmo ir laisvalaikio vystymuisi</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P-15-01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Vidutinis mėnesinis bruto darbo užmokestis (santykis su LT vidurkiu) (Eur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1546 (0,86) </w:t>
                      <w:br/>
                      <w:t>(2022)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0,86</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0,87</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1546 (0,86) </w:t>
                      <w:br/>
                      <w:t>(2022)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0,92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P-15-02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Materialinės investicijos (MI), tenkančios 1 gyventojui (santykis su LT vidurkiu)  (Eur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3044 (0,69) </w:t>
                      <w:br/>
                      <w:t>(2022)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0,68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0,72</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0,76</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3044 (0,69) </w:t>
                      <w:br/>
                      <w:t>(2022)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0,9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P-15-03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Nakvynių ir turistų skaičius apgyvendinimo įstaigose (tūkst. vnt. / asm.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149,2 / 41,6 </w:t>
                      <w:br/>
                      <w:t>(2023)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152,9 / 44,7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156,5 / 47,9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160,1 / 51</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149,2 / 41,6 </w:t>
                      <w:br/>
                      <w:t>(2023)</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181,9 / 70 </w:t>
                      <w:br/>
                      <w:t>(2033)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P-15-04</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Vietos ir užsienio turistų pasitenkinimo lygis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55</w:t>
                    </w:r>
                  </w:p>
                </w:tc>
                <w:tc>
                  <w:tcPr>
                    <w:tcW w:w="1186"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n.d.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70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15-01 Pagerinti investicijų pritraukimo ir verslo plėtros sąlygas</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Tiesioginės užsienio investicijos (TUI), tenkančios 1 gyv. (santykis su LT vidurkiu) (Eur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3202 (0,31) </w:t>
                      <w:br/>
                      <w:t>(2022)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0,4</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3202 (0,31) </w:t>
                      <w:br/>
                      <w:t>(2022)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0,55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Registruotų bedarbių ir darbingo amžiaus gyventojų santykis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R-15-01-03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Veikiančių įmonių metų pradžioje skaičius, tenkantis 1 tūkst. gyv. (santykis su LT vidurkiu) (vnt.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30,7 (0,87) </w:t>
                      <w:br/>
                      <w:t>(2023)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0,9</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30,7 (0,87) </w:t>
                      <w:br/>
                      <w:t>(2023)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15-02 Stiprinti miesto patrauklumą plėtojant turizmo sektorių</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Turistų informacijos centro lankytojų ir interneto svetainių, socialinių tinklų vartotojų skaičius (tūkst. asm. per metus)</w:t>
                    </w:r>
                  </w:p>
                </w:tc>
                <w:tc>
                  <w:tcPr>
                    <w:tcW w:w="1559"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37,5 / 244,4 </w:t>
                      <w:br/>
                      <w:t>(2023)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301/ 259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317 / 274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334 / 288,8</w:t>
                    </w: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37,5 / 244,4 </w:t>
                      <w:br/>
                      <w:t>(2023)</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50,4 / 361 </w:t>
                      <w:br/>
                      <w:t>(2033)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R-15-02-02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Vietų skaičius apgyvendinimo įstaigose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1776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1 400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1 450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1 050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1 450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2400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R-15-02-03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Teigiamai Šiaulių miesto įvaizdį vertinančių miesto svečių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44,7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r>
                      <w:rPr>
                        <w:color w:val="000000"/>
                        <w:sz w:val="20"/>
                        <w:lang w:eastAsia="lt-LT"/>
                      </w:rPr>
                      <w:t>45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44,7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55 (2033)</w:t>
                    </w:r>
                  </w:p>
                </w:tc>
              </w:tr>
              <w:tr>
                <w:trPr>
                  <w:trHeight w:val="582"/>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15-03 Didinti Šiaulių miesto žinomumą ir teigiamą įvaizdį, stiprinant miesto identitetą ir rinkodarą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R-15-03-01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Bendras svetainės „www.siauliai.lt“ aktyvių vartotojų skaičius (tūkst. vnt.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351,2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373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384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351,2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450 (2033)</w:t>
                    </w:r>
                  </w:p>
                </w:tc>
              </w:tr>
              <w:tr>
                <w:trPr>
                  <w:trHeight w:val="78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R-15-03-02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Savivaldybės administracijos paskyrų  „Facebook“ / „Instagram“ socialiniuose tinkluose stebėtojų skaičius (tūkst. vnt.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21,4 / 1,7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24,2 / 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25,7 / 2,7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27,2 / 3,2</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21,4 / 1,7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 / 6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R-15-03-03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administracijos „YouTube“ kanalo prenumeratorių skaičius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560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746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560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1120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R-15-03-04</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Teigiamai Šiaulių miesto įvaizdį vertinančių studentų, verslo atstovų, miesto svečių ir gyventojų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44,6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45</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44,6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55 (2033)</w:t>
                    </w:r>
                  </w:p>
                </w:tc>
              </w:tr>
              <w:tr>
                <w:trPr>
                  <w:trHeight w:val="308"/>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16 Užtikrinti socialinės apsaugos sistemą, mažinančią socialinę atskirtį ir didinančią socialinę integraciją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P-16-01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Socialinių paslaugų gavėjų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P-16-02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Socialinio saugumo indeksas (balas)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6,2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P-16-03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Demografinės senatvės koeficientas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138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138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141 (2033)</w:t>
                    </w:r>
                  </w:p>
                </w:tc>
              </w:tr>
              <w:tr>
                <w:trPr>
                  <w:trHeight w:val="78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16-01 Užtikrinti nuoseklų ir efektyvų socialinių paslaugų teikimą </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R-16-01-01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Teikiamų socialinių paslaugų rūšių (bendrųjų socialinių paslaugų, socialinės priežiūros paslaugų, socialinės globos paslaugų) skaičius (vnt.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 (2023)</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r>
                      <w:rPr>
                        <w:color w:val="000000"/>
                        <w:sz w:val="20"/>
                        <w:lang w:eastAsia="lt-LT"/>
                      </w:rPr>
                      <w:t>28</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r>
                      <w:rPr>
                        <w:color w:val="000000"/>
                        <w:sz w:val="20"/>
                        <w:lang w:eastAsia="lt-LT"/>
                      </w:rPr>
                      <w:t>29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R-16-01-02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Asmenų ir šeimų, laukiančių socialinio būsto nuomos, laukimo laikas (metai)</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 (2033)</w:t>
                    </w:r>
                  </w:p>
                </w:tc>
              </w:tr>
              <w:tr>
                <w:trPr>
                  <w:trHeight w:val="104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16-02 Užtikrinti socialinių paslaugų prieinamumą ir kokybę, plečiant, atnaujinant ir modernizuojant socialinių paslaugų infrastruktūrą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R-16-02-01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Socialinių įstaigų pastatų, kurie yra geros būklės, skaičius nuo visų socialinių įstaigų pastatų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 / 13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 / 13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 / 13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 / 13</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 / 13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 / 19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17 Ugdyti fiziškai aktyvią ir sportuojančią bendruomenę</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P-17-01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Sporto varžybų ir sveikatingumo renginių dalyvių skaičius (tūkst.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69,4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70,6</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71,7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72,9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69,4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79,8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P-17-02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Vasaros olimpinių žaidynių / paralimpinių žaidynių dalyvių skaičius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 / 3 (2016-2021)</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343"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7 / 3 (2016-2021)</w:t>
                    </w:r>
                  </w:p>
                </w:tc>
                <w:tc>
                  <w:tcPr>
                    <w:tcW w:w="1276" w:type="dxa"/>
                    <w:tcBorders>
                      <w:top w:val="nil"/>
                      <w:left w:val="nil"/>
                      <w:bottom w:val="single" w:sz="4" w:space="0" w:color="auto"/>
                      <w:right w:val="single" w:sz="4" w:space="0" w:color="auto"/>
                    </w:tcBorders>
                    <w:shd w:val="clear" w:color="auto" w:fill="auto"/>
                    <w:vAlign w:val="center"/>
                    <w:hideMark/>
                  </w:tcPr>
                  <w:p>
                    <w:pPr>
                      <w:jc w:val="center"/>
                      <w:rPr>
                        <w:color w:val="000000"/>
                        <w:sz w:val="20"/>
                        <w:lang w:eastAsia="lt-LT"/>
                      </w:rPr>
                    </w:pPr>
                    <w:r>
                      <w:rPr>
                        <w:color w:val="000000"/>
                        <w:sz w:val="20"/>
                        <w:lang w:eastAsia="lt-LT"/>
                      </w:rPr>
                      <w:t xml:space="preserve">12 / 10 </w:t>
                      <w:br/>
                      <w:t>(2028-2032)</w:t>
                    </w:r>
                  </w:p>
                </w:tc>
              </w:tr>
              <w:tr>
                <w:trPr>
                  <w:trHeight w:val="718"/>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17-01 Skatinti gyventojų fizinio aktyvumo veiklas ir plėtoti aukšto meistriškumo sportininkų rengimo sistemą </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R-17-01-01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Sportuojančiųjų sporto klubuose ir ugdymo centruose dalis nuo gyventojų skaičiaus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8,8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9,2</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8,8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10,5 (2033)</w:t>
                    </w:r>
                  </w:p>
                </w:tc>
              </w:tr>
              <w:tr>
                <w:trPr>
                  <w:trHeight w:val="191"/>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R-17-01-02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Europos ir pasaulio suaugusiųjų čempionatų olimpinių sporto šakų 1–3 v. laimėtojai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13 (2023) </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13 (2023) </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 (2033)</w:t>
                    </w:r>
                  </w:p>
                </w:tc>
              </w:tr>
              <w:tr>
                <w:trPr>
                  <w:trHeight w:val="78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17-02 Išvystyti gyventojų poreikius atitinkančią sporto ir fizinio aktyvumo infrastruktūrą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R-17-02-01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sporto įstaigų pastatų / statinių, bazių, kurios yra geros būklės, skaičius nuo visų Savivaldybės sporto įstaigų pastatų / statinių, bazių skaičiaus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 / 20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12/20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13/20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15/21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 / 20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 / 21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R-17-02-02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sporto įstaigų pastatų / statinių, bazių, pritaikytų fizinę negalią turintiems asmenims,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68,75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68,75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100 (2033)</w:t>
                    </w:r>
                  </w:p>
                </w:tc>
              </w:tr>
              <w:tr>
                <w:trPr>
                  <w:trHeight w:val="612"/>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18 Užtikrinti įtraukias, kokybiškas, prieinamas švietimo paslaugas ir didinti galimybes jaunimui</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P-18-01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 xml:space="preserve">Vaikų ir jaunimo (0–29 m. amžiaus) dalis nuo bendro gyventojų skaičiaus (proc.) </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27,7 (2024)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28,1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27,7 (2024)</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P-18-02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Vaikų, dalyvaujančių ikimokykliniame ugdyme 3–5 metų, dalis nuo vaikų (3–5 m.)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98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P-18-03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Mokyklinio amžiaus vaikų, nesimokančių mokyklose skaičius, tenkantis 1000 gyv. (asm. / 1000 gyv.)</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3,8 </w:t>
                      <w:br/>
                      <w:t>(2022-2023)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 xml:space="preserve">3,8 </w:t>
                      <w:br/>
                      <w:t>(2022-2023)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2,7 (2033)</w:t>
                    </w:r>
                  </w:p>
                </w:tc>
              </w:tr>
              <w:tr>
                <w:trPr>
                  <w:trHeight w:val="78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P-18-04</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Neformaliojo švietimo veiklose dalyvaujančių mokinių dalis Šiaulių miesto savivaldybės mokyklose nuo visų mokinių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74,2 (2023-2024)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76,4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77,5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74,2 (2023-2024)</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84,2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P-18-05</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Studijuojančiųjų ir besimokančiųjų profesinėse mokymosi įstaigose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5,3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5,7</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5,3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6,5 (2033)</w:t>
                    </w:r>
                  </w:p>
                </w:tc>
              </w:tr>
              <w:tr>
                <w:trPr>
                  <w:trHeight w:val="52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18-01 Plėtoti inovatyvią švietimo sistemą, ugdančią aktyvią ir kūrybingą asmenybę </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Išlaikiusių brandos egzaminus dalis nuo laikiusiųjų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93,6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93</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val="en-US" w:eastAsia="lt-LT"/>
                      </w:rPr>
                    </w:pPr>
                    <w:r>
                      <w:rPr>
                        <w:color w:val="000000"/>
                        <w:sz w:val="20"/>
                        <w:lang w:eastAsia="lt-LT"/>
                      </w:rPr>
                      <w:t>96,4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97,5 (2033)</w:t>
                    </w:r>
                  </w:p>
                </w:tc>
              </w:tr>
              <w:tr>
                <w:trPr>
                  <w:trHeight w:val="191"/>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Įstojusių į aukštąsias mokyklas dalis (asmenys, baigę bendrojo ugdymo mokyklas Šiauliuose) nuo visų, gavusiųjų vidurinį išsilavinimą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64,5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64,5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68-70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R-18-01-03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Pagalbos mokiniui specialistų, tenkančių 100 mokinių, skaičius (asm. per metus)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0,84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0,84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 (2033)</w:t>
                    </w:r>
                  </w:p>
                </w:tc>
              </w:tr>
              <w:tr>
                <w:trPr>
                  <w:trHeight w:val="78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18-02 Užtikrinti švietimo paslaugų prieinamumą ir kokybę, gerinant ugdymo(-si) aplinką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Ikimokyklinio ugdymo įstaigų pastatų, kurie yra geros būklės, skaičius nuo visų ikimokyklinio ugdymo įstaigų pastatų skaičiaus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19/31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19/30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20/31</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21/31</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19/31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25/32(2033)</w:t>
                    </w:r>
                  </w:p>
                </w:tc>
              </w:tr>
              <w:tr>
                <w:trPr>
                  <w:trHeight w:val="78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R-18-02-02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Bendrojo ugdymo mokyklų pastatų, kurie yra geros būklės, skaičius nuo visų bendrojo ugdymo mokyklų pastatų skaičiaus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12/30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15/30</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16/30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17/30</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12/30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30/30 (2033)</w:t>
                    </w:r>
                  </w:p>
                </w:tc>
              </w:tr>
              <w:tr>
                <w:trPr>
                  <w:trHeight w:val="78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R-18-02-03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Neformaliojo švietimo įstaigų pastatų, kurie yra geros būklės, skaičius nuo visų neformaliojo švietimo įstaigų pastatų skaičiaus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1/10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3/9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1/10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10/10 (2033)</w:t>
                    </w:r>
                  </w:p>
                </w:tc>
              </w:tr>
              <w:tr>
                <w:trPr>
                  <w:trHeight w:val="780"/>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18-03 Sudaryti sąlygas jaunimo savirealizacijai jų poreikiams pritaikytoje aplinkoje</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R-18-03-01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Nepilnamečių, įtariamų padarius nusikalstamas veikas, skaičius, tenkantis 100 tūkst. 14−17 metų amžiaus vaikų (asm.) (santykis su LT vidurkiu)</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828 (1,5)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802,1</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750,3</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724,4</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828 (1,5)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569 (1)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R-18-03-02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Mokinių vasaros užimtumas nuo bendro mokinių skaičiaus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8,6</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8,8</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bottom"/>
                    <w:hideMark/>
                  </w:tcPr>
                  <w:p>
                    <w:pPr>
                      <w:rPr>
                        <w:color w:val="000000"/>
                        <w:sz w:val="20"/>
                        <w:lang w:eastAsia="lt-LT"/>
                      </w:rPr>
                    </w:pPr>
                    <w:r>
                      <w:rPr>
                        <w:color w:val="000000"/>
                        <w:sz w:val="20"/>
                        <w:lang w:eastAsia="lt-LT"/>
                      </w:rPr>
                      <w:t>R-18-03-03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Jaunimo organizacijose dalyvaujančių asmenų skaičius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1317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1482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1647</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1812</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1317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2800 (2033)</w:t>
                    </w:r>
                  </w:p>
                </w:tc>
              </w:tr>
              <w:tr>
                <w:trPr>
                  <w:trHeight w:val="778"/>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19 Sudaryti palankias sąlygas miesto bendruomenei sveikatinti ir gerinti sveikatos priežiūros paslaugų kokybę ir prieinamumą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P-19-01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Gyventojų pasitenkinimas sveikatos priežiūros centrų (poliklinikų, sveikatos biuro) paslaugomis</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6,6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6,7</w:t>
                    </w:r>
                  </w:p>
                </w:tc>
                <w:tc>
                  <w:tcPr>
                    <w:tcW w:w="1183" w:type="dxa"/>
                    <w:tcBorders>
                      <w:top w:val="nil"/>
                      <w:left w:val="nil"/>
                      <w:bottom w:val="single" w:sz="4" w:space="0" w:color="auto"/>
                      <w:right w:val="single" w:sz="4" w:space="0" w:color="auto"/>
                    </w:tcBorders>
                    <w:shd w:val="clear" w:color="auto" w:fill="auto"/>
                    <w:noWrap/>
                    <w:vAlign w:val="center"/>
                    <w:hideMark/>
                  </w:tcPr>
                  <w:p>
                    <w:pPr>
                      <w:ind w:firstLine="53"/>
                      <w:jc w:val="center"/>
                      <w:rPr>
                        <w:color w:val="000000"/>
                        <w:sz w:val="20"/>
                        <w:lang w:eastAsia="lt-LT"/>
                      </w:rPr>
                    </w:pP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6,6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P-19-02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Praktikuojančių sveikatos priežiūros specialistų skaičius, tenkantis 10 tūkst. gyventojų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175,33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175,33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175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P-19-03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Vidutinė gyvenimo trukmė (m.)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75,4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75,7</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75,4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77 (2033)</w:t>
                    </w:r>
                  </w:p>
                </w:tc>
              </w:tr>
              <w:tr>
                <w:trPr>
                  <w:trHeight w:val="586"/>
                </w:trPr>
                <w:tc>
                  <w:tcPr>
                    <w:tcW w:w="2684" w:type="dxa"/>
                    <w:vMerge w:val="restart"/>
                    <w:tcBorders>
                      <w:top w:val="nil"/>
                      <w:left w:val="single" w:sz="4" w:space="0" w:color="auto"/>
                      <w:bottom w:val="single" w:sz="4" w:space="0" w:color="000000"/>
                      <w:right w:val="single" w:sz="4" w:space="0" w:color="auto"/>
                    </w:tcBorders>
                    <w:shd w:val="clear" w:color="auto" w:fill="auto"/>
                    <w:vAlign w:val="center"/>
                    <w:hideMark/>
                  </w:tcPr>
                  <w:p>
                    <w:pPr>
                      <w:rPr>
                        <w:color w:val="000000"/>
                        <w:sz w:val="20"/>
                        <w:lang w:eastAsia="lt-LT"/>
                      </w:rPr>
                    </w:pPr>
                    <w:r>
                      <w:rPr>
                        <w:color w:val="000000"/>
                        <w:sz w:val="20"/>
                        <w:lang w:eastAsia="lt-LT"/>
                      </w:rPr>
                      <w:t xml:space="preserve">19-01 Plėtoti asmens ir visuomenės sveikatos priežiūros paslaugas, ugdyti visuomenės poreikį sveikai gyventi </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R-19-01-01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Paliatyvios pagalbos, globos, slaugos ir palaikomojo gydymo lovų skaičius, tenkantis 1 tūkst. gyventojų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2,22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2,22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2,2 (2033)</w:t>
                    </w:r>
                  </w:p>
                </w:tc>
              </w:tr>
              <w:tr>
                <w:trPr>
                  <w:trHeight w:val="52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R-19-01-02</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Pacientų, kurie pas šeimos gydytoją patenka per 7 kalendorines dienas, dalis (proc.)</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79 (2023)</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80,2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81,4</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82,6</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79 (2023)</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90 (2033)</w:t>
                    </w:r>
                  </w:p>
                </w:tc>
              </w:tr>
              <w:tr>
                <w:trPr>
                  <w:trHeight w:val="260"/>
                </w:trPr>
                <w:tc>
                  <w:tcPr>
                    <w:tcW w:w="2684"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R-19-01-03</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Savižudybių skaičius, tenkantis 100 tūkst. gyventojų (asm.)</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14,4 (2022)</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14,5</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14,0</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13,5</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14,4 (2022)</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10,5 (2033)</w:t>
                    </w:r>
                  </w:p>
                </w:tc>
              </w:tr>
              <w:tr>
                <w:trPr>
                  <w:trHeight w:val="1040"/>
                </w:trPr>
                <w:tc>
                  <w:tcPr>
                    <w:tcW w:w="2684" w:type="dxa"/>
                    <w:tcBorders>
                      <w:top w:val="nil"/>
                      <w:left w:val="single" w:sz="4" w:space="0" w:color="auto"/>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19-02 Užtikrinti asmens sveikatos priežiūros paslaugų prieinamumą ir kokybę, atnaujinant esamą bei įrengiant naują infrastruktūrą</w:t>
                    </w:r>
                  </w:p>
                </w:tc>
                <w:tc>
                  <w:tcPr>
                    <w:tcW w:w="1219"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R-19-02-01</w:t>
                    </w:r>
                  </w:p>
                </w:tc>
                <w:tc>
                  <w:tcPr>
                    <w:tcW w:w="3458" w:type="dxa"/>
                    <w:tcBorders>
                      <w:top w:val="nil"/>
                      <w:left w:val="nil"/>
                      <w:bottom w:val="single" w:sz="4" w:space="0" w:color="auto"/>
                      <w:right w:val="single" w:sz="4" w:space="0" w:color="auto"/>
                    </w:tcBorders>
                    <w:shd w:val="clear" w:color="auto" w:fill="auto"/>
                    <w:vAlign w:val="center"/>
                    <w:hideMark/>
                  </w:tcPr>
                  <w:p>
                    <w:pPr>
                      <w:rPr>
                        <w:color w:val="000000"/>
                        <w:sz w:val="20"/>
                        <w:lang w:eastAsia="lt-LT"/>
                      </w:rPr>
                    </w:pPr>
                    <w:r>
                      <w:rPr>
                        <w:color w:val="000000"/>
                        <w:sz w:val="20"/>
                        <w:lang w:eastAsia="lt-LT"/>
                      </w:rPr>
                      <w:t>Savivaldybės sveikatos įstaigų pastatų, kurie yra geros būklės, skaičius nuo visų sveikatos įstaigų pastatų skaičiaus (vnt. / vnt.)</w:t>
                    </w:r>
                  </w:p>
                </w:tc>
                <w:tc>
                  <w:tcPr>
                    <w:tcW w:w="1559"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 (2024)</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4/9</w:t>
                    </w:r>
                  </w:p>
                </w:tc>
                <w:tc>
                  <w:tcPr>
                    <w:tcW w:w="118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4/9</w:t>
                    </w:r>
                  </w:p>
                </w:tc>
                <w:tc>
                  <w:tcPr>
                    <w:tcW w:w="118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6/9</w:t>
                    </w:r>
                  </w:p>
                </w:tc>
                <w:tc>
                  <w:tcPr>
                    <w:tcW w:w="1343"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2/9 (2024)</w:t>
                    </w:r>
                  </w:p>
                </w:tc>
                <w:tc>
                  <w:tcPr>
                    <w:tcW w:w="1276" w:type="dxa"/>
                    <w:tcBorders>
                      <w:top w:val="nil"/>
                      <w:left w:val="nil"/>
                      <w:bottom w:val="single" w:sz="4" w:space="0" w:color="auto"/>
                      <w:right w:val="single" w:sz="4" w:space="0" w:color="auto"/>
                    </w:tcBorders>
                    <w:shd w:val="clear" w:color="auto" w:fill="auto"/>
                    <w:noWrap/>
                    <w:vAlign w:val="center"/>
                    <w:hideMark/>
                  </w:tcPr>
                  <w:p>
                    <w:pPr>
                      <w:jc w:val="center"/>
                      <w:rPr>
                        <w:color w:val="000000"/>
                        <w:sz w:val="20"/>
                        <w:lang w:eastAsia="lt-LT"/>
                      </w:rPr>
                    </w:pPr>
                    <w:r>
                      <w:rPr>
                        <w:color w:val="000000"/>
                        <w:sz w:val="20"/>
                        <w:lang w:eastAsia="lt-LT"/>
                      </w:rPr>
                      <w:t>9/9 (2033)</w:t>
                    </w:r>
                  </w:p>
                </w:tc>
              </w:tr>
            </w:tbl>
            <w:p>
              <w:pPr>
                <w:rPr>
                  <w:b/>
                  <w:bCs/>
                  <w:i/>
                  <w:color w:val="808080"/>
                  <w:szCs w:val="24"/>
                </w:rPr>
                <w:sectPr>
                  <w:pgSz w:w="16838" w:h="11906" w:orient="landscape"/>
                  <w:pgMar w:top="1276" w:right="1701" w:bottom="567" w:left="1418" w:header="567" w:footer="567" w:gutter="0"/>
                  <w:cols w:space="1296"/>
                  <w:docGrid w:linePitch="360"/>
                </w:sectPr>
              </w:pPr>
            </w:p>
          </w:sdtContent>
        </w:sdt>
        <w:sdt>
          <w:sdtPr>
            <w:alias w:val="skyrius"/>
            <w:tag w:val="part_b682e410130443f3b673edd8163ab34b"/>
            <w:lock w:val="sdtLocked"/>
            <w:richText/>
          </w:sdtPr>
          <w:sdtContent>
            <w:p>
              <w:pPr>
                <w:jc w:val="center"/>
                <w:rPr>
                  <w:b/>
                  <w:bCs/>
                  <w:color w:val="000000"/>
                  <w:szCs w:val="24"/>
                </w:rPr>
              </w:pPr>
              <w:sdt>
                <w:sdtPr>
                  <w:alias w:val="Numeris"/>
                  <w:tag w:val="nr_b682e410130443f3b673edd8163ab34b"/>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b682e410130443f3b673edd8163ab34b"/>
                  <w:lock w:val="sdtLocked"/>
                  <w:richText/>
                </w:sdtPr>
                <w:sdtContent>
                  <w:r>
                    <w:rPr>
                      <w:b/>
                      <w:bCs/>
                      <w:color w:val="000000"/>
                      <w:szCs w:val="24"/>
                    </w:rPr>
                    <w:t>PLANUOJAMI PASIEKTI REZULTATAI</w:t>
                  </w:r>
                </w:sdtContent>
              </w:sdt>
            </w:p>
            <w:p>
              <w:pPr>
                <w:jc w:val="both"/>
                <w:rPr>
                  <w:i/>
                  <w:szCs w:val="24"/>
                </w:rPr>
              </w:pPr>
            </w:p>
            <w:p>
              <w:pPr>
                <w:ind w:firstLine="720"/>
                <w:jc w:val="both"/>
                <w:rPr>
                  <w:szCs w:val="24"/>
                </w:rPr>
              </w:pPr>
              <w:r>
                <w:rPr>
                  <w:szCs w:val="24"/>
                </w:rPr>
                <w:t>Šiame skyriuje pateikiama glausta informacija pagal tematines veiklos sritis, SSPP nustatytus plėtros tikslus apie svarbiausius Savivaldybės planuojamus nuveikti darbus įgyvendinant 2025</w:t>
              </w:r>
              <w:r>
                <w:rPr>
                  <w:kern w:val="2"/>
                  <w:szCs w:val="24"/>
                </w:rPr>
                <w:t>–</w:t>
              </w:r>
              <w:r>
                <w:rPr>
                  <w:szCs w:val="24"/>
                </w:rPr>
                <w:t>2027 m. SVP.</w:t>
              </w:r>
            </w:p>
            <w:p>
              <w:pPr>
                <w:ind w:firstLine="720"/>
                <w:jc w:val="both"/>
                <w:rPr>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1710"/>
                <w:gridCol w:w="7929"/>
              </w:tblGrid>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Savivaldybės valdymas</w:t>
                    </w:r>
                  </w:p>
                </w:tc>
                <w:tc>
                  <w:tcPr>
                    <w:tcW w:w="8079" w:type="dxa"/>
                    <w:shd w:val="clear" w:color="000000" w:fill="auto"/>
                  </w:tcPr>
                  <w:p>
                    <w:pPr>
                      <w:jc w:val="both"/>
                      <w:rPr>
                        <w:szCs w:val="24"/>
                        <w:highlight w:val="yellow"/>
                      </w:rPr>
                    </w:pPr>
                    <w:r>
                      <w:rPr>
                        <w:b/>
                        <w:bCs/>
                        <w:kern w:val="2"/>
                        <w:szCs w:val="24"/>
                        <w:lang w:eastAsia="ar-SA"/>
                      </w:rPr>
                      <w:t>Administracija ir pavaldžios įstaigos.</w:t>
                    </w:r>
                    <w:r>
                      <w:rPr>
                        <w:kern w:val="2"/>
                        <w:szCs w:val="24"/>
                        <w:lang w:eastAsia="ar-SA"/>
                      </w:rPr>
                      <w:t xml:space="preserve"> Siekiama gerinti veiklos valdymą, paslaugų teikimą diegiant pažangius skaitmeninius sprendimus, didinant administracijos, jos teikiamų paslaugų skaitmenizacijos lygį. 2025</w:t>
                    </w:r>
                    <w:r>
                      <w:rPr>
                        <w:color w:val="000000"/>
                        <w:kern w:val="2"/>
                        <w:szCs w:val="24"/>
                      </w:rPr>
                      <w:t>–</w:t>
                    </w:r>
                    <w:r>
                      <w:rPr>
                        <w:kern w:val="2"/>
                        <w:szCs w:val="24"/>
                        <w:lang w:eastAsia="ar-SA"/>
                      </w:rPr>
                      <w:t xml:space="preserve">2027 m. planuojamos naujos veiklos sritys – žaliųjų, socialinių ir inovatyvių pirkimų skatinimas tiek Savivaldybės administracijoje, tiek jai pavaldžiose viešosiose ir biudžetinėse įstaigose, taip pat Savivaldybės ir jos įstaigų viešosios informacijos sistemų pritaikymas skirtingas negalias turintiems asmenims, pažangaus Savivaldybės ir jos įstaigų turto valdymo sprendimo sukūrimas, kultūros ir sporto renginių platformos įdiegimas. Kad būtų užtikrintas </w:t>
                    </w:r>
                    <w:r>
                      <w:rPr>
                        <w:szCs w:val="24"/>
                      </w:rPr>
                      <w:t xml:space="preserve">sklandus ir savalaikis Savivaldybės administracijos </w:t>
                    </w:r>
                    <w:r>
                      <w:rPr>
                        <w:kern w:val="2"/>
                        <w:szCs w:val="24"/>
                        <w:lang w:eastAsia="ar-SA"/>
                      </w:rPr>
                      <w:t>p</w:t>
                    </w:r>
                    <w:r>
                      <w:rPr>
                        <w:szCs w:val="24"/>
                      </w:rPr>
                      <w:t xml:space="preserve">asirengimas viešojo ir privataus sektorių partnerystei,  koncesininko atrankos proceso įgyvendinimui 2028 m., bus įgyvendinamas projektas „Šiaulių miesto Aukštabalio multifunkcinio komplekso valdymo modelio įgyvendinimas“. Projektu bus siekiama </w:t>
                    </w:r>
                    <w:r>
                      <w:rPr>
                        <w:color w:val="000000"/>
                        <w:szCs w:val="24"/>
                      </w:rPr>
                      <w:t>Koncesijų įstatymo nustatyta tvarka suteikti koncesiją dėl Šiaulių</w:t>
                    </w:r>
                    <w:r>
                      <w:rPr>
                        <w:szCs w:val="24"/>
                      </w:rPr>
                      <w:t xml:space="preserve"> </w:t>
                    </w:r>
                    <w:r>
                      <w:rPr>
                        <w:color w:val="000000"/>
                        <w:szCs w:val="24"/>
                      </w:rPr>
                      <w:t>miesto Aukštabalio multifunkcinio komplekso pastato su jame esančiu kitu turtu ir šalia esančia aikštele, J. Jablonskio g. 16, Šiauliuose valdymo ir naudojimo ir viešųjų paslaugų teikimo.</w:t>
                    </w:r>
                  </w:p>
                  <w:p>
                    <w:pPr>
                      <w:ind w:firstLine="720"/>
                      <w:jc w:val="both"/>
                      <w:rPr>
                        <w:kern w:val="2"/>
                        <w:lang w:eastAsia="ar-SA"/>
                      </w:rPr>
                    </w:pPr>
                    <w:r>
                      <w:rPr>
                        <w:kern w:val="2"/>
                        <w:szCs w:val="24"/>
                        <w:lang w:eastAsia="ar-SA"/>
                      </w:rPr>
                      <w:t xml:space="preserve">Atsižvelgiant į globalines aktualijas, numatomas didelis dėmesys saugumui – efektyviam ekstremaliųjų situacijų valdymui Šiaulių m. savivaldybėje, t.y. slėptuvės, Šiaulių m. savivaldybės ekstremaliųjų situacijų operacijų centro veiklai, įrengimas, </w:t>
                    </w:r>
                    <w:r>
                      <w:rPr>
                        <w:kern w:val="2"/>
                        <w:lang w:eastAsia="ar-SA"/>
                      </w:rPr>
                      <w:t>civilinės saugos infrastruktūros (kolektyvinės apsaugos statinių, priedangų) aprūpinimas reikalingais materialiniais ištekliais.</w:t>
                    </w:r>
                  </w:p>
                  <w:p>
                    <w:pPr>
                      <w:ind w:firstLine="720"/>
                      <w:jc w:val="both"/>
                      <w:rPr>
                        <w:kern w:val="2"/>
                        <w:szCs w:val="24"/>
                        <w:lang w:eastAsia="ar-SA"/>
                      </w:rPr>
                    </w:pPr>
                    <w:r>
                      <w:rPr>
                        <w:kern w:val="2"/>
                        <w:szCs w:val="24"/>
                        <w:lang w:eastAsia="ar-SA"/>
                      </w:rPr>
                      <w:t xml:space="preserve">Siekiant įgyvendinti lyčių lygybės, lygių galimybių ir korupcijos prevencijos principus, numatoma sudaryti darbuotojams palankias sąlygas derinti šeimos įsipareigojimus ir darbą (nuotolinio darbo savivaldybės administracijoje tvarkos atnaujinimas). 2025–2027 m. bus toliau įgyvendamos lygių galimybių veiksmų 2023–2025 m. plane numatytos priemonės siekiant sukurti struktūrinius ir kultūrinius pokyčius Savivaldybės lygių galimybių srityje, palengvinti saugaus ir lygiateisio klimato Savivaldybės administracijoje kūrimą, sumažinti vyraujančius pasirinkimo stereotipus ir užtikrinti  diskriminacijos prevenciją. Planuojamos apklausos tiek Savivaldybės administracijoje, tiek biudžetinėse įstaigose dėl darbuotojų psichologinio mikroklimato, tolerancijos korupcijai indeksui nustatyti ir pan.</w:t>
                    </w:r>
                  </w:p>
                  <w:p>
                    <w:pPr>
                      <w:ind w:firstLine="720"/>
                      <w:jc w:val="both"/>
                      <w:rPr>
                        <w:kern w:val="2"/>
                        <w:szCs w:val="24"/>
                        <w:lang w:eastAsia="ar-SA"/>
                      </w:rPr>
                    </w:pPr>
                    <w:r>
                      <w:rPr>
                        <w:b/>
                        <w:bCs/>
                        <w:kern w:val="2"/>
                        <w:szCs w:val="24"/>
                        <w:lang w:eastAsia="ar-SA"/>
                      </w:rPr>
                      <w:t>Bendruomenė.</w:t>
                    </w:r>
                    <w:r>
                      <w:rPr>
                        <w:kern w:val="2"/>
                        <w:szCs w:val="24"/>
                        <w:lang w:eastAsia="ar-SA"/>
                      </w:rPr>
                      <w:t xml:space="preserve"> Siekdama skatinti įtraukų bendradarbiavimą su visuomene ir suinteresuotomis šalimis bei norėdama sudaryti galimybes spręsti patiems miesto gyventojams, kaip panaudoti dalį biudžeto lėšų vystant ir puoselėjant gyvenamąją ir viešąją aplinką, Savivaldybės administracija įgyvendina dalyvaujamąjį biudžetą, kai miesto gyventojai siūlo projektų idėjas gyvenamajai aplinkai gerinti ir balsavimu yra pritariama įgyvendinti pasiūlytas projektų idėjas. 2025 m. bus įgyvendinti du dalyvaujamojo biudžeto projektai ir du mokinių dalyvaujamojo biudžeto iniciatyvos projektai.</w:t>
                    </w:r>
                  </w:p>
                  <w:p>
                    <w:pPr>
                      <w:ind w:firstLine="720"/>
                      <w:jc w:val="both"/>
                      <w:rPr>
                        <w:kern w:val="2"/>
                        <w:szCs w:val="24"/>
                        <w:lang w:eastAsia="ar-SA"/>
                      </w:rPr>
                    </w:pPr>
                    <w:r>
                      <w:rPr>
                        <w:kern w:val="2"/>
                        <w:szCs w:val="24"/>
                        <w:lang w:eastAsia="ar-SA"/>
                      </w:rPr>
                      <w:t xml:space="preserve">Skatinant Savivaldybės gyventojų pilietines iniciatyvas ir bendruomeniškumą skiriamas finansavimas bendruomenių ir nevyriausybinių organizacijų plėtrai, finansuojami jų veiklos projektai. </w:t>
                    </w:r>
                  </w:p>
                  <w:p>
                    <w:pPr>
                      <w:ind w:firstLine="720"/>
                      <w:jc w:val="both"/>
                      <w:rPr>
                        <w:kern w:val="2"/>
                        <w:szCs w:val="24"/>
                      </w:rPr>
                    </w:pPr>
                    <w:r>
                      <w:rPr>
                        <w:kern w:val="2"/>
                        <w:szCs w:val="24"/>
                        <w:lang w:eastAsia="ar-SA"/>
                      </w:rPr>
                      <w:t>Reaguojant į globalines aktualijas, padidėjusį žmonių mobilumą numatoma daug dėmesio, veiklų skirti sklandžios imigrantų integracijos Šiauliuose užtikrinimui.</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Kultūra</w:t>
                    </w:r>
                  </w:p>
                </w:tc>
                <w:tc>
                  <w:tcPr>
                    <w:tcW w:w="8079" w:type="dxa"/>
                    <w:shd w:val="clear" w:color="000000" w:fill="auto"/>
                  </w:tcPr>
                  <w:p>
                    <w:pPr>
                      <w:ind w:firstLine="720"/>
                      <w:jc w:val="both"/>
                      <w:rPr>
                        <w:kern w:val="2"/>
                        <w:szCs w:val="24"/>
                        <w:lang w:eastAsia="ar-SA"/>
                      </w:rPr>
                    </w:pPr>
                    <w:r>
                      <w:rPr>
                        <w:kern w:val="2"/>
                        <w:szCs w:val="24"/>
                        <w:lang w:eastAsia="ar-SA"/>
                      </w:rPr>
                      <w:t>Siekiama</w:t>
                    </w:r>
                    <w:r>
                      <w:rPr>
                        <w:b/>
                        <w:bCs/>
                        <w:kern w:val="2"/>
                        <w:szCs w:val="24"/>
                        <w:lang w:eastAsia="ar-SA"/>
                      </w:rPr>
                      <w:t xml:space="preserve"> s</w:t>
                    </w:r>
                    <w:r>
                      <w:rPr>
                        <w:kern w:val="2"/>
                        <w:szCs w:val="24"/>
                        <w:lang w:eastAsia="ar-SA"/>
                      </w:rPr>
                      <w:t xml:space="preserve">tiprinti miesto kultūrinio lauko aktyvumą, skatinant naujų idėjų, meninės raiškos formų atsiradimą ir jų raidą kultūros paslaugose. Bus didinama aprėptis teikiant kultūros paslaugas, t. y. įtraukiama vis daugiau gyventojų iš įvairių tikslinių grupių kaip, pavyzdžiui, asmenys patiriantys socialinęir kultūrinę atskirtį, tautinės mažumos, jaunieji meno kūrėjai ir pan. </w:t>
                    </w:r>
                  </w:p>
                  <w:p>
                    <w:pPr>
                      <w:ind w:firstLine="720"/>
                      <w:jc w:val="both"/>
                      <w:rPr>
                        <w:lang w:eastAsia="ar-SA"/>
                      </w:rPr>
                    </w:pPr>
                    <w:r>
                      <w:rPr>
                        <w:lang w:eastAsia="ar-SA"/>
                      </w:rPr>
                      <w:t xml:space="preserve">2025 m. Šiaulių m. koncertinėje įstaigoje „Saulė“ savo veiklą pradės simfoninis orkestras „Camerata Solaris“, išaugęs iš kamerinio orkestro, šiam pasipildžius 13 muzikantų.  Orkestrui tapus simfoniniu, atsiveria galimybės groti visą klasikinį repertuarą, jau sudarytas simfoninio orkestro 2025 m. veiklos planas. </w:t>
                    </w:r>
                  </w:p>
                  <w:p>
                    <w:pPr>
                      <w:ind w:firstLine="720"/>
                      <w:jc w:val="both"/>
                      <w:rPr>
                        <w:b/>
                        <w:bCs/>
                        <w:strike/>
                        <w:kern w:val="2"/>
                        <w:highlight w:val="yellow"/>
                        <w:lang w:eastAsia="ar-SA"/>
                      </w:rPr>
                    </w:pPr>
                    <w:r>
                      <w:rPr>
                        <w:color w:val="000000"/>
                        <w:shd w:val="clear" w:color="auto" w:fill="FFFFFF"/>
                      </w:rPr>
                      <w:t xml:space="preserve">2025 metais bus vykdomas projektas „Šiauliai </w:t>
                    </w:r>
                    <w:r>
                      <w:rPr>
                        <w:szCs w:val="24"/>
                        <w:lang w:eastAsia="ar-SA"/>
                      </w:rPr>
                      <w:t>–</w:t>
                    </w:r>
                    <w:r>
                      <w:rPr>
                        <w:color w:val="000000"/>
                        <w:shd w:val="clear" w:color="auto" w:fill="FFFFFF"/>
                      </w:rPr>
                      <w:t xml:space="preserve"> lietuvių kalbos dienų sostinė 2025: šiauliečio kalbinė ypatybė“. </w:t>
                    </w:r>
                    <w:r>
                      <w:rPr>
                        <w:kern w:val="2"/>
                        <w:lang w:eastAsia="ar-SA"/>
                      </w:rPr>
                      <w:t>Šis projektas įtrauktas į 2025 m. Lietuvių kalbos prestižo stiprinimo programos remtinų projektų sąrašą.</w:t>
                    </w:r>
                  </w:p>
                  <w:p>
                    <w:pPr>
                      <w:ind w:firstLine="720"/>
                      <w:jc w:val="both"/>
                      <w:rPr>
                        <w:kern w:val="2"/>
                        <w:szCs w:val="24"/>
                        <w:shd w:val="clear" w:color="auto" w:fill="FFFFFF"/>
                        <w:lang w:eastAsia="ar-SA"/>
                      </w:rPr>
                    </w:pPr>
                    <w:r>
                      <w:rPr>
                        <w:color w:val="000000"/>
                        <w:shd w:val="clear" w:color="auto" w:fill="FFFFFF"/>
                      </w:rPr>
                      <w:t xml:space="preserve">Nuo 2025 m. bus įgyvendinamos kultūros priemonės miesto įvaizdžiui gerinti. Viena iš priemonių </w:t>
                    </w:r>
                    <w:r>
                      <w:rPr>
                        <w:szCs w:val="24"/>
                        <w:lang w:eastAsia="ar-SA"/>
                      </w:rPr>
                      <w:t>–</w:t>
                    </w:r>
                    <w:r>
                      <w:rPr>
                        <w:color w:val="000000"/>
                        <w:shd w:val="clear" w:color="auto" w:fill="FFFFFF"/>
                      </w:rPr>
                      <w:t xml:space="preserve"> mokslinė konferencija, skirta Stasio Šalkauskio pedagoginės, kūrybinės, visuomeninės ir kultūrinės veiklos sklaidai paminėti.  </w:t>
                    </w:r>
                  </w:p>
                  <w:p>
                    <w:pPr>
                      <w:ind w:firstLine="720"/>
                      <w:jc w:val="both"/>
                      <w:rPr>
                        <w:kern w:val="2"/>
                        <w:szCs w:val="24"/>
                      </w:rPr>
                    </w:pPr>
                    <w:r>
                      <w:rPr>
                        <w:rFonts w:eastAsia="Calibri"/>
                        <w:kern w:val="2"/>
                        <w:szCs w:val="24"/>
                      </w:rPr>
                      <w:t>Siekiant sukurti modernių, patrauklių, kultūrinei veiklai ir visoms socialinėms visuomenės grupėms pritaikytų įstaigų infrastruktūrą ir sudaryti sąlygas kultūros ir meno paslaugų plėtrai, 2025 m. numatyta atnaujinti (modernizuoti) Šiaulių m. koncertinę įstaigą „Saulė“ rekonstruoti pastatą (atlikti administracinių patalpų remontą ir atnaujinti pastato fasadą).</w:t>
                    </w:r>
                  </w:p>
                  <w:p>
                    <w:pPr>
                      <w:ind w:firstLine="720"/>
                      <w:jc w:val="both"/>
                      <w:rPr>
                        <w:rFonts w:eastAsia="Calibri"/>
                        <w:kern w:val="2"/>
                      </w:rPr>
                    </w:pPr>
                    <w:r>
                      <w:rPr>
                        <w:rFonts w:eastAsia="Calibri"/>
                        <w:kern w:val="2"/>
                        <w:szCs w:val="24"/>
                      </w:rPr>
                      <w:t xml:space="preserve">Taip pat planuojama didinti Šiaulių m. kultūros centro „Laiptų galerija“ pastato </w:t>
                    </w:r>
                    <w:r>
                      <w:rPr>
                        <w:rFonts w:eastAsia="Calibri"/>
                        <w:kern w:val="2"/>
                      </w:rPr>
                      <w:t xml:space="preserve">(atlikti P. Bugailiškio namo interjero ir balkono tvarkybos darbus) </w:t>
                    </w:r>
                    <w:r>
                      <w:rPr>
                        <w:rFonts w:eastAsia="Calibri"/>
                        <w:kern w:val="2"/>
                        <w:szCs w:val="24"/>
                      </w:rPr>
                      <w:t xml:space="preserve">ir Šiaulių kultūros centro Rėkyvos kultūros namų </w:t>
                    </w:r>
                    <w:r>
                      <w:rPr>
                        <w:rFonts w:eastAsia="Calibri"/>
                        <w:kern w:val="2"/>
                      </w:rPr>
                      <w:t>(sutvarkyti teritoriją, įrengti daugiafunkcę erdvę)</w:t>
                    </w:r>
                    <w:r>
                      <w:rPr>
                        <w:rFonts w:eastAsia="Calibri"/>
                        <w:kern w:val="2"/>
                        <w:szCs w:val="24"/>
                      </w:rPr>
                      <w:t xml:space="preserve">funkcionalumą, atnaujinti (modernizuoti) funkcionalumą, </w:t>
                    </w:r>
                    <w:r>
                      <w:rPr>
                        <w:rFonts w:eastAsia="Calibri"/>
                        <w:kern w:val="2"/>
                      </w:rPr>
                      <w:t xml:space="preserve">atnaujinti (modernizuoti) Šiaulių dailės galerijos pastatą / patalpas </w:t>
                    </w:r>
                    <w:r>
                      <w:rPr>
                        <w:rFonts w:eastAsia="Calibri"/>
                      </w:rPr>
                      <w:t xml:space="preserve">(atlikti II a. ekspozicinių salių, holo ir informacinio centro remontą, įrengti rūbinę). </w:t>
                    </w:r>
                  </w:p>
                  <w:p>
                    <w:pPr>
                      <w:ind w:firstLine="720"/>
                      <w:jc w:val="both"/>
                      <w:rPr>
                        <w:rFonts w:eastAsia="Calibri"/>
                      </w:rPr>
                    </w:pPr>
                    <w:r>
                      <w:rPr>
                        <w:rFonts w:eastAsia="Calibri"/>
                        <w:kern w:val="2"/>
                      </w:rPr>
                      <w:t xml:space="preserve">Nuolat atnaujinant ir modernizuojant kultūros įstaigų pastatus, bus prisidedama ir prie jų patalpų pritaikymo fizinę negalią turintiems asmenims (įrengti pandusai Šiaulių miesto savivaldybės viešosios bibliotekos Lieporių filiale, </w:t>
                    </w:r>
                    <w:r>
                      <w:rPr>
                        <w:rFonts w:eastAsia="Calibri"/>
                      </w:rPr>
                      <w:t xml:space="preserve">Šiaulių m. koncertinėje įstaigoje „Saulė“). </w:t>
                    </w:r>
                  </w:p>
                  <w:p>
                    <w:pPr>
                      <w:ind w:firstLine="720"/>
                      <w:jc w:val="both"/>
                      <w:rPr>
                        <w:rFonts w:eastAsia="Calibri"/>
                        <w:kern w:val="2"/>
                        <w:szCs w:val="24"/>
                      </w:rPr>
                    </w:pPr>
                    <w:r>
                      <w:rPr>
                        <w:rFonts w:eastAsia="Calibri"/>
                        <w:kern w:val="2"/>
                        <w:szCs w:val="24"/>
                      </w:rPr>
                      <w:t>Nuolat atnaujinant ir modernizuojant kultūros įstaigų pastatus, bus prisidedama ir prie jų patalpų pritaikymo fizinę negalią turintiems asmenims.</w:t>
                    </w:r>
                    <w:r>
                      <w:rPr>
                        <w:color w:val="000000"/>
                        <w:sz w:val="16"/>
                        <w:szCs w:val="16"/>
                      </w:rPr>
                      <w:t xml:space="preserve"> </w:t>
                    </w:r>
                    <w:r>
                      <w:rPr>
                        <w:color w:val="000000"/>
                      </w:rPr>
                      <w:t>Bus įrengti pandusai lankytojams su neįgaliųjų vežimėliais Šiaulių miesto savivaldybės viešosios bibliotekos Lieporių filiale, Šiaulių m. koncertinėje įstaigoje „Saulė“.</w:t>
                    </w:r>
                  </w:p>
                  <w:p>
                    <w:pPr>
                      <w:ind w:firstLine="720"/>
                      <w:jc w:val="both"/>
                      <w:rPr>
                        <w:rFonts w:eastAsia="Calibri"/>
                        <w:kern w:val="2"/>
                        <w:szCs w:val="24"/>
                      </w:rPr>
                    </w:pPr>
                    <w:r>
                      <w:rPr>
                        <w:kern w:val="2"/>
                        <w:szCs w:val="24"/>
                      </w:rPr>
                      <w:t>Toliau bus sudaromos visos reikalingos sąlygos saugoti, įveiklinti miesto nekilnojamąjį kultūros paveldą.</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Aplinkos apsauga</w:t>
                    </w:r>
                  </w:p>
                </w:tc>
                <w:tc>
                  <w:tcPr>
                    <w:tcW w:w="8079" w:type="dxa"/>
                    <w:shd w:val="clear" w:color="000000" w:fill="auto"/>
                  </w:tcPr>
                  <w:p>
                    <w:pPr>
                      <w:ind w:firstLine="720"/>
                      <w:jc w:val="both"/>
                      <w:rPr>
                        <w:color w:val="000000"/>
                        <w:szCs w:val="24"/>
                        <w:lang w:eastAsia="lt-LT"/>
                      </w:rPr>
                    </w:pPr>
                    <w:r>
                      <w:rPr>
                        <w:color w:val="000000"/>
                        <w:szCs w:val="24"/>
                        <w:lang w:eastAsia="lt-LT"/>
                      </w:rPr>
                      <w:t>Pagrindinis siekis – pagerinti aplinkos kokybę mieste, užtikrinant poveikio klimatui neutralumą. Siekiant mažinti aplinkos taršą ir kurti miesto ekosistemą, numatytos pagrindinės veiklos: išsaugoti biologinę įvairovę: prižiūrėti ir plėsti atskirųjų želdynų plotus, įdiegti natūralias ir pusiau natūralias pievas, stengtis, kuo daugiau želdynų prižiūrėti robotizuotai, įdiegti mažos taršos zonas bei įgyvendinti kitas aplinkos oro kokybės valdymo programos priemones.</w:t>
                    </w:r>
                  </w:p>
                  <w:p>
                    <w:pPr>
                      <w:ind w:firstLine="720"/>
                      <w:jc w:val="both"/>
                      <w:rPr>
                        <w:color w:val="000000"/>
                        <w:szCs w:val="24"/>
                        <w:lang w:eastAsia="lt-LT"/>
                      </w:rPr>
                    </w:pPr>
                    <w:r>
                      <w:rPr>
                        <w:color w:val="000000"/>
                        <w:szCs w:val="24"/>
                        <w:lang w:eastAsia="lt-LT"/>
                      </w:rPr>
                      <w:t>Žiedinės ekonomikos principai bus taikomi ir komunalinių atliekų tvarkyme, kur siekiama, kad augtų išrūšiuotų (atskirai surinktų), atliekų dalis nuo visų komunalinių atliekų.</w:t>
                    </w:r>
                  </w:p>
                  <w:p>
                    <w:pPr>
                      <w:ind w:firstLine="720"/>
                      <w:jc w:val="both"/>
                      <w:rPr>
                        <w:color w:val="000000"/>
                        <w:szCs w:val="24"/>
                        <w:lang w:eastAsia="lt-LT"/>
                      </w:rPr>
                    </w:pPr>
                    <w:r>
                      <w:rPr>
                        <w:color w:val="000000"/>
                        <w:szCs w:val="24"/>
                        <w:lang w:eastAsia="lt-LT"/>
                      </w:rPr>
                      <w:t>Taip pat labai svarbu didinti gyventojų ir verslo organizacijų supratimą apie žiedinę ekonomiką ir skatinti sąmoningumą, siekiant gyventi tvariau. Atitinkamai bus vykdomos viešinimo kampanijos.</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Urbanistinė plėtra ir infrastruktūra</w:t>
                    </w:r>
                  </w:p>
                </w:tc>
                <w:tc>
                  <w:tcPr>
                    <w:tcW w:w="8079" w:type="dxa"/>
                    <w:shd w:val="clear" w:color="000000" w:fill="auto"/>
                  </w:tcPr>
                  <w:p>
                    <w:pPr>
                      <w:ind w:firstLine="720"/>
                      <w:jc w:val="both"/>
                      <w:rPr>
                        <w:kern w:val="2"/>
                        <w:szCs w:val="24"/>
                      </w:rPr>
                    </w:pPr>
                    <w:r>
                      <w:rPr>
                        <w:b/>
                        <w:bCs/>
                        <w:kern w:val="2"/>
                        <w:szCs w:val="24"/>
                      </w:rPr>
                      <w:t>Planavimas.</w:t>
                    </w:r>
                    <w:r>
                      <w:rPr>
                        <w:kern w:val="2"/>
                        <w:szCs w:val="24"/>
                      </w:rPr>
                      <w:t xml:space="preserve"> Siekiant kompleksiškai planuoti gyvybingą ir nuoseklią miesto struktūrą, būtina užtikrinti tvarų, miesto identitetą pabrėžiantį miesto planavimą. Atsižvelgiant į siekius, bus organizuojami detaliųjų ir specialiųjų planų rengimai. 2025 m. planuojama parengti miesto vizualinio identiteto strategiją, išryškinančią miesto identitetą, jį skatinančių, vizualinių, meninių priemonių / objektų, akcentų naudojimą.</w:t>
                    </w:r>
                    <w:r>
                      <w:t xml:space="preserve"> </w:t>
                    </w:r>
                    <w:r>
                      <w:rPr>
                        <w:kern w:val="2"/>
                        <w:szCs w:val="24"/>
                      </w:rPr>
                      <w:t>Konvertuojamos centro teritorijoje esančių pramoninių kompleksų teritorijos į mišrios paskirties miesto teritorijas. Planuojama nauja plėtra centrinėse, gerai aprūpintose miesto teritorijose, kur bus skatinamas mažaaukštės, bet tankios tipologijos atsiradimas (kotedžai).</w:t>
                    </w:r>
                  </w:p>
                  <w:p>
                    <w:pPr>
                      <w:ind w:firstLine="720"/>
                      <w:jc w:val="both"/>
                      <w:rPr>
                        <w:kern w:val="2"/>
                        <w:szCs w:val="24"/>
                      </w:rPr>
                    </w:pPr>
                    <w:r>
                      <w:rPr>
                        <w:kern w:val="2"/>
                        <w:szCs w:val="24"/>
                      </w:rPr>
                      <w:t>Kompleksiškai atnaujinamos mikrorajonų (laisvo planavimo daugiabučių teritorijos) teritorijos, suplanuojant nuoseklų žalių erdvių ir pėsčiųjų takų tinklą, užtikrinant tvarų judėjimą, monofunkciškumo mažinimą. Skatinamas naujų būsto tipologijų atsiradimas.</w:t>
                    </w:r>
                  </w:p>
                  <w:p>
                    <w:pPr>
                      <w:ind w:firstLine="720"/>
                      <w:jc w:val="both"/>
                      <w:textAlignment w:val="baseline"/>
                      <w:rPr>
                        <w:szCs w:val="24"/>
                        <w:lang w:eastAsia="lt-LT"/>
                      </w:rPr>
                    </w:pPr>
                    <w:r>
                      <w:rPr>
                        <w:b/>
                        <w:bCs/>
                        <w:kern w:val="2"/>
                        <w:szCs w:val="24"/>
                      </w:rPr>
                      <w:t>Susisiekimas.</w:t>
                    </w:r>
                    <w:r>
                      <w:rPr>
                        <w:kern w:val="2"/>
                        <w:szCs w:val="24"/>
                      </w:rPr>
                      <w:t xml:space="preserve"> Siekiant tobulinti miesto vidaus susisiekimo sistemą, bus remontuojamos ir rekonstruojamos gatvės, įrengiamos naujos jų atkarpos. 2025</w:t>
                    </w:r>
                    <w:r>
                      <w:rPr>
                        <w:color w:val="000000"/>
                        <w:bdr w:val="none" w:sz="0" w:space="0" w:color="auto" w:frame="1"/>
                      </w:rPr>
                      <w:t>–2027</w:t>
                    </w:r>
                    <w:r>
                      <w:rPr>
                        <w:kern w:val="2"/>
                        <w:szCs w:val="24"/>
                      </w:rPr>
                      <w:t xml:space="preserve"> m. gatvės tvarkomos pagal prioritetinį gatvių tvarkymo sąrašą. </w:t>
                    </w:r>
                    <w:r>
                      <w:rPr>
                        <w:szCs w:val="24"/>
                        <w:lang w:eastAsia="lt-LT"/>
                      </w:rPr>
                      <w:t xml:space="preserve">Toliau bus tęsiamas žvyruotų gatvių asfaltavimas pagal sudarytą asfaltuojamų gatvių sąrašą. </w:t>
                    </w:r>
                  </w:p>
                  <w:p>
                    <w:pPr>
                      <w:ind w:firstLine="720"/>
                      <w:jc w:val="both"/>
                      <w:rPr>
                        <w:kern w:val="2"/>
                        <w:szCs w:val="24"/>
                      </w:rPr>
                    </w:pPr>
                    <w:r>
                      <w:rPr>
                        <w:kern w:val="2"/>
                        <w:szCs w:val="24"/>
                      </w:rPr>
                      <w:t>2025–2027 m.</w:t>
                    </w:r>
                    <w:r>
                      <w:rPr>
                        <w:b/>
                        <w:kern w:val="2"/>
                        <w:szCs w:val="24"/>
                      </w:rPr>
                      <w:t xml:space="preserve"> </w:t>
                    </w:r>
                    <w:r>
                      <w:rPr>
                        <w:kern w:val="2"/>
                        <w:szCs w:val="24"/>
                      </w:rPr>
                      <w:t>planuojama rekonstruoti</w:t>
                    </w:r>
                    <w:r>
                      <w:rPr>
                        <w:b/>
                        <w:kern w:val="2"/>
                        <w:szCs w:val="24"/>
                      </w:rPr>
                      <w:t xml:space="preserve"> </w:t>
                    </w:r>
                    <w:r>
                      <w:rPr>
                        <w:kern w:val="2"/>
                        <w:szCs w:val="24"/>
                      </w:rPr>
                      <w:t>Tilžės g. viaduką per geležinkelį.</w:t>
                    </w:r>
                  </w:p>
                  <w:p>
                    <w:pPr>
                      <w:ind w:firstLine="720"/>
                      <w:jc w:val="both"/>
                      <w:rPr>
                        <w:kern w:val="2"/>
                        <w:szCs w:val="24"/>
                      </w:rPr>
                    </w:pPr>
                    <w:r>
                      <w:rPr>
                        <w:kern w:val="2"/>
                        <w:szCs w:val="24"/>
                      </w:rPr>
                      <w:t>Šiaulių m. teritorijos kompaktiškumas, nemotorizuotam transporto eismui palankus miesto reljefas, pagrindinių traukos objektų mieste išsidėstymas ir pasiekiamumas atstumo atžvilgiu yra pagrindiniai faktoriai, sukuriantys palankias sąlygas vystyti bevariklio transporto infrastruktūrą Šiaulių mieste. Įgyvendinant Šiaulių m. darnaus judumo planą, 2025</w:t>
                    </w:r>
                    <w:r>
                      <w:rPr>
                        <w:color w:val="000000"/>
                        <w:kern w:val="2"/>
                        <w:szCs w:val="24"/>
                      </w:rPr>
                      <w:t>–</w:t>
                    </w:r>
                    <w:r>
                      <w:rPr>
                        <w:kern w:val="2"/>
                        <w:szCs w:val="24"/>
                      </w:rPr>
                      <w:t>2027 m. bus projektuojama susisiekimo dviračiais infrastruktūra. Numatyta elektromobilių pakrovimo stotelių tinklo plėtra.</w:t>
                    </w:r>
                  </w:p>
                  <w:p>
                    <w:pPr>
                      <w:ind w:firstLine="720"/>
                      <w:jc w:val="both"/>
                      <w:textAlignment w:val="baseline"/>
                      <w:rPr>
                        <w:szCs w:val="24"/>
                        <w:lang w:eastAsia="lt-LT"/>
                      </w:rPr>
                    </w:pPr>
                    <w:r>
                      <w:rPr>
                        <w:szCs w:val="24"/>
                        <w:lang w:eastAsia="lt-LT"/>
                      </w:rPr>
                      <w:t>Nuolat siekiama gerinti viešojo transporto kokybę, skatinant keleivius rinktis šį keliavimo būdą, bus įdiegtas e. bilietas.</w:t>
                    </w:r>
                  </w:p>
                  <w:p>
                    <w:pPr>
                      <w:ind w:firstLine="720"/>
                      <w:jc w:val="both"/>
                      <w:rPr>
                        <w:kern w:val="2"/>
                        <w:szCs w:val="24"/>
                      </w:rPr>
                    </w:pPr>
                    <w:r>
                      <w:rPr>
                        <w:kern w:val="2"/>
                        <w:szCs w:val="24"/>
                      </w:rPr>
                      <w:t>Vykdant Savivaldybių infrastruktūros plėtros įstatymo nuostatas, 2025 m. dalį į programą surinktų infrastruktūros plėtros programos lėšų planuojama skirti gatvėms asfaltuoti. </w:t>
                    </w:r>
                  </w:p>
                  <w:p>
                    <w:pPr>
                      <w:ind w:firstLine="720"/>
                      <w:jc w:val="both"/>
                      <w:rPr>
                        <w:kern w:val="2"/>
                        <w:szCs w:val="24"/>
                      </w:rPr>
                    </w:pPr>
                    <w:r>
                      <w:rPr>
                        <w:kern w:val="2"/>
                        <w:szCs w:val="24"/>
                      </w:rPr>
                      <w:t xml:space="preserve">Aktyviau bus plėtojamas saugumą didinančių priemonių kiekis mieste,    t. y.</w:t>
                    </w:r>
                    <w:r>
                      <w:t xml:space="preserve"> į</w:t>
                    </w:r>
                    <w:r>
                      <w:rPr>
                        <w:kern w:val="2"/>
                        <w:szCs w:val="24"/>
                      </w:rPr>
                      <w:t>rengiamos saugios pėsčiųjų perėjos, saugumo kalneliai, atnaujinamos / įrengiamos sankryžos, kuriose numatytos saugos priemonės.</w:t>
                    </w:r>
                  </w:p>
                  <w:p>
                    <w:pPr>
                      <w:ind w:firstLine="720"/>
                      <w:jc w:val="both"/>
                      <w:rPr>
                        <w:kern w:val="2"/>
                        <w:szCs w:val="24"/>
                      </w:rPr>
                    </w:pPr>
                    <w:r>
                      <w:rPr>
                        <w:b/>
                        <w:kern w:val="2"/>
                        <w:szCs w:val="24"/>
                      </w:rPr>
                      <w:t>Savivaldybės įmonių veikla.</w:t>
                    </w:r>
                    <w:r>
                      <w:rPr>
                        <w:bCs/>
                        <w:kern w:val="2"/>
                        <w:szCs w:val="24"/>
                      </w:rPr>
                      <w:t xml:space="preserve"> Sa</w:t>
                    </w:r>
                    <w:r>
                      <w:rPr>
                        <w:kern w:val="2"/>
                        <w:szCs w:val="24"/>
                      </w:rPr>
                      <w:t>vivaldybės kapitalo valdomos komunalinių paslaugų įmonės užtikrina optimalų paslaugų kokybės ir kainos santykį. Šiaulių m. vykdomas centralizuotas geriamojo vandens ir šilumos tiekimas, nuotekų šalinimas, planuojama plėtra. Palaikoma sukurta ir sistemingai vystoma komunalinių atliekų tvarkymo sistema. </w:t>
                    </w:r>
                  </w:p>
                  <w:p>
                    <w:pPr>
                      <w:ind w:firstLine="720"/>
                      <w:jc w:val="both"/>
                      <w:rPr>
                        <w:kern w:val="2"/>
                        <w:szCs w:val="24"/>
                      </w:rPr>
                    </w:pPr>
                    <w:r>
                      <w:rPr>
                        <w:b/>
                        <w:bCs/>
                        <w:kern w:val="2"/>
                        <w:szCs w:val="24"/>
                      </w:rPr>
                      <w:t>Viešosios erdvės.</w:t>
                    </w:r>
                    <w:r>
                      <w:rPr>
                        <w:kern w:val="2"/>
                        <w:szCs w:val="24"/>
                      </w:rPr>
                      <w:t xml:space="preserve"> Gerinama viešųjų erdvių bei teritorijų kokybė, t. y. pritaikomos viešosios erdvės, panaudojant gamtos resursus rekreacijai, vystoma parkų infrastruktūra. 2025</w:t>
                    </w:r>
                    <w:r>
                      <w:rPr>
                        <w:color w:val="000000"/>
                        <w:kern w:val="2"/>
                        <w:szCs w:val="24"/>
                      </w:rPr>
                      <w:t>–</w:t>
                    </w:r>
                    <w:r>
                      <w:rPr>
                        <w:kern w:val="2"/>
                        <w:szCs w:val="24"/>
                      </w:rPr>
                      <w:t xml:space="preserve">2027 m. planuojama įgyvendinti projektą </w:t>
                    </w:r>
                    <w:r>
                      <w:rPr>
                        <w:color w:val="000000"/>
                        <w:kern w:val="2"/>
                        <w:szCs w:val="24"/>
                      </w:rPr>
                      <w:t>„</w:t>
                    </w:r>
                    <w:r>
                      <w:rPr>
                        <w:kern w:val="2"/>
                        <w:szCs w:val="24"/>
                      </w:rPr>
                      <w:t>Lieporių parko atgaivinimas ir pritaikymas bendruomenės poreikiams“.</w:t>
                    </w:r>
                  </w:p>
                </w:tc>
              </w:tr>
              <w:tr>
                <w:trPr>
                  <w:trHeight w:val="290"/>
                </w:trPr>
                <w:tc>
                  <w:tcPr>
                    <w:tcW w:w="1560" w:type="dxa"/>
                    <w:shd w:val="clear" w:color="000000" w:fill="auto"/>
                    <w:noWrap/>
                    <w:hideMark/>
                  </w:tcPr>
                  <w:p>
                    <w:pPr>
                      <w:rPr>
                        <w:b/>
                        <w:bCs/>
                        <w:szCs w:val="24"/>
                        <w:lang w:eastAsia="lt-LT"/>
                      </w:rPr>
                    </w:pPr>
                    <w:r>
                      <w:rPr>
                        <w:b/>
                        <w:bCs/>
                        <w:szCs w:val="24"/>
                        <w:lang w:eastAsia="lt-LT"/>
                      </w:rPr>
                      <w:t>Ekonominė plėtra</w:t>
                    </w:r>
                  </w:p>
                </w:tc>
                <w:tc>
                  <w:tcPr>
                    <w:tcW w:w="8079" w:type="dxa"/>
                    <w:shd w:val="clear" w:color="000000" w:fill="auto"/>
                  </w:tcPr>
                  <w:p>
                    <w:pPr>
                      <w:ind w:firstLine="720"/>
                      <w:jc w:val="both"/>
                      <w:rPr>
                        <w:rFonts w:eastAsia="Calibri"/>
                        <w:kern w:val="2"/>
                        <w:szCs w:val="24"/>
                      </w:rPr>
                    </w:pPr>
                    <w:r>
                      <w:rPr>
                        <w:rFonts w:eastAsia="Calibri"/>
                        <w:b/>
                        <w:bCs/>
                        <w:kern w:val="2"/>
                        <w:szCs w:val="24"/>
                      </w:rPr>
                      <w:t>Investicijos ir ekonomika</w:t>
                    </w:r>
                    <w:r>
                      <w:rPr>
                        <w:rFonts w:eastAsia="Calibri"/>
                        <w:kern w:val="2"/>
                        <w:szCs w:val="24"/>
                      </w:rPr>
                      <w:t xml:space="preserve">. Norint pasiekti pažangos, būtina vystyti kryptingą bendradarbiavimą skatinant verslą ir investicijas. Tuo tikslu bus dirbama smulkaus ir vidutinio verslo skatinimo, investicijų pritraukimo ir miesto žinomumo didinimo linkme.  </w:t>
                    </w:r>
                  </w:p>
                  <w:p>
                    <w:pPr>
                      <w:ind w:firstLine="720"/>
                      <w:jc w:val="both"/>
                      <w:rPr>
                        <w:rFonts w:eastAsia="Calibri"/>
                        <w:kern w:val="2"/>
                        <w:szCs w:val="24"/>
                      </w:rPr>
                    </w:pPr>
                    <w:r>
                      <w:rPr>
                        <w:rFonts w:eastAsia="Calibri"/>
                        <w:kern w:val="2"/>
                        <w:szCs w:val="24"/>
                      </w:rPr>
                      <w:t>Smulkaus ir vidutinio verslo plėtra yra vienas iš prioritetinių Europos Sąjungos ir Lietuvos politinių tikslų, todėl, siekiant skatinti verslumą, 2025</w:t>
                    </w:r>
                    <w:r>
                      <w:rPr>
                        <w:color w:val="000000"/>
                        <w:kern w:val="2"/>
                        <w:szCs w:val="24"/>
                      </w:rPr>
                      <w:t>–</w:t>
                    </w:r>
                    <w:r>
                      <w:rPr>
                        <w:rFonts w:eastAsia="Calibri"/>
                        <w:kern w:val="2"/>
                        <w:szCs w:val="24"/>
                      </w:rPr>
                      <w:t>2027 m. yra numatoma smulkaus ir vidutinio verslo skatinimo programos realizacija, skiriant didelį dėmesį besikuriančioms naujoms įmonėms, vyresnio amžiaus asmenims ir jaunimui, ketinančiam pradėti savo verslą, taip pat inovatyviam verslui. 2025</w:t>
                    </w:r>
                    <w:r>
                      <w:rPr>
                        <w:color w:val="000000"/>
                        <w:kern w:val="2"/>
                        <w:szCs w:val="24"/>
                      </w:rPr>
                      <w:t>–</w:t>
                    </w:r>
                    <w:r>
                      <w:rPr>
                        <w:rFonts w:eastAsia="Calibri"/>
                        <w:kern w:val="2"/>
                        <w:szCs w:val="24"/>
                      </w:rPr>
                      <w:t>2027 m. ir toliau bus teikiamos naudingos paslaugos tiek verslo pradžiai, tiek tolesniam verslo plėtojimui. Taip pat bus įgyvendinama INOSTART programa, kuri skatina studentų, mokslininkų, dėstytojų ir kitų ūkio subjektų bendradarbiavimą, reikalingą inovacijoms kurti, studentų žinioms gilinti ir įgūdžiams tobulinti vystant produktą pagal konkretų ūkio subjekto užsakymą. Siekiant reprezentatyvaus miesto atstovavimo bus parengtas ir pristatytas praktinis Šiaulių miesto stiliaus knygos (angl. brand book) paketas verslo asocijuotoms struktūroms.</w:t>
                    </w:r>
                  </w:p>
                  <w:p>
                    <w:pPr>
                      <w:ind w:firstLine="720"/>
                      <w:jc w:val="both"/>
                      <w:rPr>
                        <w:rFonts w:eastAsia="Calibri"/>
                        <w:kern w:val="2"/>
                        <w:szCs w:val="24"/>
                      </w:rPr>
                    </w:pPr>
                    <w:r>
                      <w:rPr>
                        <w:rFonts w:eastAsia="Calibri"/>
                        <w:kern w:val="2"/>
                        <w:szCs w:val="24"/>
                      </w:rPr>
                      <w:t>Siekiant būti matomiems, atviriems ir novatoriškiems, 2025</w:t>
                    </w:r>
                    <w:r>
                      <w:rPr>
                        <w:color w:val="000000"/>
                        <w:kern w:val="2"/>
                        <w:szCs w:val="24"/>
                      </w:rPr>
                      <w:t>–</w:t>
                    </w:r>
                    <w:r>
                      <w:rPr>
                        <w:rFonts w:eastAsia="Calibri"/>
                        <w:kern w:val="2"/>
                        <w:szCs w:val="24"/>
                      </w:rPr>
                      <w:t>2027 m. planuojama organizuoti ir dalyvauti verslo misijose, organizuoti rinkodaros įgūdžių gerinimo, verslo skatinimo renginius, kurti edukacines, rinkodaros priemones, kurti ir pirkti publikacijas, įrašus, reklamas ir pan. vietos ir užsienio žiniasklaidos priemonėse. Bus įgyvendinamos priemonės, skatinančios mokytis, gyventi ir dirbti Šiauliuose, viešinamos miesto sėkmės istorijos, interviu, vykdomos tikslinės viešinimo kampanijos, vykdoma komunikacija socialiniuose tinkluose, siekiant specialistų, investuotojų pritraukimo ir miesto įvaizdžio gerinimo, žinomumo didinimo. Bus tęsiama Savivaldybės administracijos narystė Lietuvos marketingo asociacijoje, tokiu būdu palaikant ryšius su šios srities profesionalais.</w:t>
                    </w:r>
                  </w:p>
                  <w:p>
                    <w:pPr>
                      <w:ind w:firstLine="720"/>
                      <w:jc w:val="both"/>
                      <w:rPr>
                        <w:rFonts w:eastAsia="Calibri"/>
                        <w:kern w:val="2"/>
                        <w:szCs w:val="24"/>
                      </w:rPr>
                    </w:pPr>
                    <w:r>
                      <w:rPr>
                        <w:rFonts w:eastAsia="Calibri"/>
                        <w:kern w:val="2"/>
                        <w:szCs w:val="24"/>
                      </w:rPr>
                      <w:t xml:space="preserve">Siekiant pritraukti aukštos profesinės kvalifikacijos specialistus į Šiaulių m., bus įgyvendinama viena iš Ekonominės plėtros ir investicijų pritraukimo ilgalaikės strategijos veiklų, t. y. į Šiaulių miestą pritraukiami reikalingi aukštos profesinės kvalifikacijos specialistai, kurie gali pasinaudoti finansine parama tik įsipareigodami dirbti Šiaulių m. įmonėje ne trumpiau kaip dvejus metus. Kartu planuojama integruoti ir kitas specialistų pritraukimo iniciatyvas (būsto lengvatos, ambasadoriai užsienyje, susitikimai su diasporos atstovais ir t. t.). </w:t>
                    </w:r>
                  </w:p>
                  <w:p>
                    <w:pPr>
                      <w:ind w:firstLine="720"/>
                      <w:jc w:val="both"/>
                      <w:rPr>
                        <w:rFonts w:eastAsia="Calibri"/>
                        <w:kern w:val="2"/>
                        <w:szCs w:val="24"/>
                      </w:rPr>
                    </w:pPr>
                    <w:r>
                      <w:rPr>
                        <w:rFonts w:eastAsia="Calibri"/>
                        <w:kern w:val="2"/>
                        <w:szCs w:val="24"/>
                      </w:rPr>
                      <w:t xml:space="preserve">Savivaldybė, kartu su Vilniaus universiteto Šiaulių akademija, Šiaulių valstybine kolegija, Šiaulių technologijų mokymo centru, Šiaulių prekybos, pramonės ir amatų rūmais įgyvendins  tęstinį projektą „Karjera Šiauliuose“, kurio tikslas – pritraukti ir išlaikyti jaunimą mieste. </w:t>
                    </w:r>
                  </w:p>
                  <w:p>
                    <w:pPr>
                      <w:ind w:firstLine="720"/>
                      <w:jc w:val="both"/>
                      <w:rPr>
                        <w:rFonts w:eastAsia="Calibri"/>
                        <w:kern w:val="2"/>
                        <w:szCs w:val="24"/>
                      </w:rPr>
                    </w:pPr>
                    <w:r>
                      <w:rPr>
                        <w:rFonts w:eastAsia="Calibri"/>
                        <w:kern w:val="2"/>
                        <w:szCs w:val="24"/>
                      </w:rPr>
                      <w:t>Kita kryptis, kuria bus dirbama siekiant padidinti miesto konkurencingumą – investicijų pritraukimas. Šiaulių pramoninio parko ir Šiaulių laisvosios ekonominės zonos infrastruktūros vystymas siekiant gerinti investicinę aplinką bei pritraukti investicijas, 2025</w:t>
                    </w:r>
                    <w:r>
                      <w:rPr>
                        <w:color w:val="000000"/>
                        <w:kern w:val="2"/>
                        <w:szCs w:val="24"/>
                      </w:rPr>
                      <w:t>–</w:t>
                    </w:r>
                    <w:r>
                      <w:rPr>
                        <w:rFonts w:eastAsia="Calibri"/>
                        <w:kern w:val="2"/>
                        <w:szCs w:val="24"/>
                      </w:rPr>
                      <w:t xml:space="preserve">2027 m. laikotarpiu planuojama padidinti elektros galios apimtis stambiems investuotojams. Verslui ir toliau bus siūlomos laisvos nesuplanuotos teritorijos savivaldybėje. Siekiant kuo efektyviau ir greičiau aptarnauti investuotojus, savivaldybėje veikia investuotojų aptarnavimo modelis, kai visais jiems rūpimais klausimais investuotojai gali kreiptis į vieną asmenį. </w:t>
                    </w:r>
                  </w:p>
                  <w:p>
                    <w:pPr>
                      <w:ind w:firstLine="720"/>
                      <w:jc w:val="both"/>
                      <w:rPr>
                        <w:rFonts w:eastAsia="Calibri"/>
                        <w:kern w:val="2"/>
                        <w:szCs w:val="24"/>
                      </w:rPr>
                    </w:pPr>
                    <w:r>
                      <w:rPr>
                        <w:rFonts w:eastAsia="Calibri"/>
                        <w:kern w:val="2"/>
                        <w:szCs w:val="24"/>
                      </w:rPr>
                      <w:t>Vystant Šiaulių oro uosto veiklą, Savivaldybės įmonė Šaulių oro uostas ir toliau teiks aviacijos saugumo užtikrinimo ir antžemines su oro uostų veikla susijusias paslaugas. Per 2025</w:t>
                    </w:r>
                    <w:r>
                      <w:rPr>
                        <w:color w:val="000000"/>
                        <w:kern w:val="2"/>
                        <w:szCs w:val="24"/>
                      </w:rPr>
                      <w:t>–</w:t>
                    </w:r>
                    <w:r>
                      <w:rPr>
                        <w:rFonts w:eastAsia="Calibri"/>
                        <w:kern w:val="2"/>
                        <w:szCs w:val="24"/>
                      </w:rPr>
                      <w:t>2027 m. planuojama pritaikyti dalį Šiaulių viešojo logistikos centro teritorijos muitinės veiklai. Šie darbai padės kurti naujas darbo vietas, surinkti daugiau mokesčių ir prisidės prie Savivaldybės ir viso regiono konkurencingumo didinimo.</w:t>
                    </w:r>
                  </w:p>
                  <w:p>
                    <w:pPr>
                      <w:ind w:firstLine="720"/>
                      <w:jc w:val="both"/>
                      <w:rPr>
                        <w:rFonts w:eastAsia="Calibri"/>
                        <w:kern w:val="2"/>
                        <w:szCs w:val="24"/>
                      </w:rPr>
                    </w:pPr>
                    <w:r>
                      <w:rPr>
                        <w:rFonts w:eastAsia="Calibri"/>
                        <w:b/>
                        <w:bCs/>
                        <w:kern w:val="2"/>
                        <w:szCs w:val="24"/>
                      </w:rPr>
                      <w:t>Miesto rinkodara</w:t>
                    </w:r>
                    <w:r>
                      <w:rPr>
                        <w:rFonts w:eastAsia="Calibri"/>
                        <w:kern w:val="2"/>
                        <w:szCs w:val="24"/>
                      </w:rPr>
                      <w:t>. 2025</w:t>
                    </w:r>
                    <w:r>
                      <w:rPr>
                        <w:color w:val="000000"/>
                        <w:kern w:val="2"/>
                        <w:szCs w:val="24"/>
                      </w:rPr>
                      <w:t>–</w:t>
                    </w:r>
                    <w:r>
                      <w:rPr>
                        <w:rFonts w:eastAsia="Calibri"/>
                        <w:kern w:val="2"/>
                        <w:szCs w:val="24"/>
                      </w:rPr>
                      <w:t>2027 m. keliamas naujas siekis – didinti Šiaulių m. žinomumą ir teigiamą įvaizdį, stiprinant miesto identitetą ir rinkodarą bei numatomos viešinimo priemonės, kurios papildytų jau atliekamus specializuotus komunikacijos veiksmus dėl verslo ir investicijų pritraukimo. Planuojama įsivertinti naujų nacionalinių ir tarptautinių standartų, narysčių vertę ir galimybes. Įgyvendinti žinomumą ir patriotiškumą didinančias viešinimo kampanijas, parengti miesto identiteto, rinkodaros ir turizmo strategiją, padidinti Šiaulių matomumą tarptautiniuose ir nacionaliniuose informacijos sklaidos kanaluose viešinant įvairaus formato turinio vienetus (straipsniai, reklamos, TV laidos, reportažai, sėkmės istorijos ir kt.).</w:t>
                    </w:r>
                  </w:p>
                  <w:p>
                    <w:pPr>
                      <w:ind w:firstLine="720"/>
                      <w:jc w:val="both"/>
                      <w:rPr>
                        <w:rFonts w:eastAsia="Calibri"/>
                        <w:kern w:val="2"/>
                        <w:szCs w:val="24"/>
                      </w:rPr>
                    </w:pPr>
                    <w:r>
                      <w:rPr>
                        <w:rFonts w:eastAsia="Calibri"/>
                        <w:b/>
                        <w:bCs/>
                        <w:kern w:val="2"/>
                        <w:szCs w:val="24"/>
                      </w:rPr>
                      <w:t>Turizmas.</w:t>
                    </w:r>
                    <w:r>
                      <w:rPr>
                        <w:rFonts w:eastAsia="Calibri"/>
                        <w:kern w:val="2"/>
                        <w:szCs w:val="24"/>
                      </w:rPr>
                      <w:t xml:space="preserve"> </w:t>
                    </w:r>
                    <w:r>
                      <w:rPr>
                        <w:rFonts w:eastAsia="Calibri"/>
                        <w:kern w:val="2"/>
                      </w:rPr>
                      <w:t xml:space="preserve">Atsižvelgiant į tai, kad </w:t>
                    </w:r>
                    <w:r>
                      <w:rPr>
                        <w:szCs w:val="24"/>
                      </w:rPr>
                      <w:t xml:space="preserve">turizmas yra reikšminga ekonomikos vystymosi dalis, </w:t>
                    </w:r>
                    <w:r>
                      <w:rPr>
                        <w:kern w:val="2"/>
                        <w:szCs w:val="24"/>
                      </w:rPr>
                      <w:t>2025</w:t>
                    </w:r>
                    <w:r>
                      <w:rPr>
                        <w:color w:val="000000"/>
                        <w:kern w:val="2"/>
                        <w:szCs w:val="24"/>
                      </w:rPr>
                      <w:t>–</w:t>
                    </w:r>
                    <w:r>
                      <w:rPr>
                        <w:kern w:val="2"/>
                        <w:szCs w:val="24"/>
                      </w:rPr>
                      <w:t xml:space="preserve">2027 m. SVP Ekonominės plėtros programoje atsirado atskiras uždavinys, skirtas turizmo sektoriaus plėtrai. Planuojama </w:t>
                    </w:r>
                    <w:r>
                      <w:rPr>
                        <w:szCs w:val="24"/>
                      </w:rPr>
                      <w:t xml:space="preserve">tęsti turizmo informacinės sistemos infrastruktūros atnaujinimą, </w:t>
                    </w:r>
                    <w:r>
                      <w:rPr>
                        <w:kern w:val="2"/>
                        <w:szCs w:val="24"/>
                      </w:rPr>
                      <w:t xml:space="preserve">įgyvendinti miesto turizmo rinkodaros ir komunikacijos priemones, </w:t>
                    </w:r>
                    <w:r>
                      <w:rPr>
                        <w:szCs w:val="24"/>
                      </w:rPr>
                      <w:t>plėtojant ir stiprinant prioritetines Šiaulių miesto ir regiono turizmo rūšis vykdyti kultūros kelių („Baltų kelias“ ir kitų kultūros, turistinių kelių, maršrutų) rinkodaros veiklas, komunikacijos priemones, vykdyti Šiaulių miesto turizmo išteklių pristatymą t</w:t>
                    </w:r>
                    <w:r>
                      <w:rPr>
                        <w:color w:val="000000"/>
                        <w:szCs w:val="24"/>
                      </w:rPr>
                      <w:t xml:space="preserve">arptautinėse, nacionalinėse, regioninėse turizmo, kultūros, parodose, šventėse, renginiuose, </w:t>
                    </w:r>
                    <w:r>
                      <w:rPr>
                        <w:rFonts w:eastAsia="Calibri"/>
                        <w:kern w:val="2"/>
                      </w:rPr>
                      <w:t xml:space="preserve">vykdyti turizmo ir laisvalaikio  sezoniškumą mažinančias priemones. Šie darbai sukurtų prielaidas apgyvendinimo sektoriaus, prioritetinių Šiaulių miesto ir regiono turizmo rūšių plėtrai bei didesniam turistų srautui mieste.</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Socialinė apsauga</w:t>
                    </w:r>
                  </w:p>
                </w:tc>
                <w:tc>
                  <w:tcPr>
                    <w:tcW w:w="8079" w:type="dxa"/>
                    <w:shd w:val="clear" w:color="000000" w:fill="auto"/>
                  </w:tcPr>
                  <w:p>
                    <w:pPr>
                      <w:ind w:firstLine="720"/>
                      <w:jc w:val="both"/>
                      <w:rPr>
                        <w:kern w:val="2"/>
                        <w:szCs w:val="24"/>
                      </w:rPr>
                    </w:pPr>
                    <w:r>
                      <w:rPr>
                        <w:kern w:val="2"/>
                        <w:szCs w:val="24"/>
                      </w:rPr>
                      <w:t xml:space="preserve">Siekiant padėti asmeniui (šeimai) ir (ar) bendruomenei išvengti galimų socialinių problemų ir (ar) socialinės rizikos atsiradimo, sudaryti sąlygas asmeniui (šeimai) ugdyti ir (ar) stiprinti gebėjimus savarankiškai spręsti socialines problemas, palaikyti socialinius ryšius su visuomene, didinti socialinę įtrauktį, ugdyti asmens gebėjimus savarankiškai rūpintis asmeniniu (šeimos) gyvenimu ar grąžinti asmens (šeimos) gebėjimus pasirūpinti savimi, ir teikti socialinę pagalbą, kai asmuo (šeima) nebegali pats pasirūpinti, bus tęsiamas prevencinių, bendrųjų, specialiųjų (socialinės priežiūros) ir socialinės globos paslaugų teikimas. </w:t>
                    </w:r>
                  </w:p>
                  <w:p>
                    <w:pPr>
                      <w:ind w:firstLine="720"/>
                      <w:jc w:val="both"/>
                      <w:rPr>
                        <w:kern w:val="2"/>
                        <w:szCs w:val="24"/>
                      </w:rPr>
                    </w:pPr>
                    <w:r>
                      <w:rPr>
                        <w:kern w:val="2"/>
                        <w:szCs w:val="24"/>
                      </w:rPr>
                      <w:t>Numatyta skatinti nevyriausybines organizacijas ir privačius tiekėjus įsitraukti į socialinių paslaugų teikimą ir stiprinti jų kompetencijos.</w:t>
                    </w:r>
                  </w:p>
                  <w:p>
                    <w:pPr>
                      <w:ind w:firstLine="720"/>
                      <w:jc w:val="both"/>
                      <w:rPr>
                        <w:kern w:val="2"/>
                        <w:szCs w:val="24"/>
                      </w:rPr>
                    </w:pPr>
                    <w:r>
                      <w:rPr>
                        <w:kern w:val="2"/>
                        <w:szCs w:val="24"/>
                      </w:rPr>
                      <w:t xml:space="preserve">Įgyvendinus projektą „Bendruomeninių apgyvendinimo bei užimtumo paslaugų asmenims su proto ir psichikos negalia plėtra Šiaulių mieste“ bus pradėtos teikti specializuotos slaugos ir užimtumo paslaugos, dėl to bus didinamas socialinių paslaugų prieinamumas proto negalią ar psichikos sutrikimų turintiems asmenims bendruomenėje ir tai padės sumažinti stacionariose įstaigose gyvenančių proto ir (ar) psichikos negalią turinčių asmenų skaičių. Nauji paslaugų gavėjai, šiuo metu negyvenantys globos įstaigose, nebepateks į jas dėl išvystytų paslaugų bendruomenėje. Modernizuotose ir naujai įkurtuose grupinio gyvenimo namuose  bus apgyvendinti ir paslaugas gaus asmenys, kuriems nustatytas atitinkamas socialinių paslaugų poreikis.</w:t>
                    </w:r>
                  </w:p>
                  <w:p>
                    <w:pPr>
                      <w:ind w:firstLine="720"/>
                      <w:jc w:val="both"/>
                      <w:rPr>
                        <w:kern w:val="2"/>
                        <w:szCs w:val="24"/>
                      </w:rPr>
                    </w:pPr>
                    <w:r>
                      <w:rPr>
                        <w:kern w:val="2"/>
                        <w:szCs w:val="24"/>
                      </w:rPr>
                      <w:t xml:space="preserve">Vykdomas projektas „Kompleksinės paslaugos (KOPA)“, kuriuo tęsiamos veiklos vykdytos įgyvendinant projektą „Kompleksinės paslaugos šeimai Šiaulių miesto savivaldybėje“. Atrinktos įstaigos įkurtuose  Bendruomeniniuose šeimos namuose, teikia kompleksines paslaugas šeimai: padeda spręsti krizines situacijas, įveikti iškilusias problemas, gerinti pozityvios tėvystės įgūdžius, teikia psichologo ir mediacijos paslaugas, bei prevencines socialines paslaugas.</w:t>
                    </w:r>
                  </w:p>
                  <w:p>
                    <w:pPr>
                      <w:ind w:firstLine="720"/>
                      <w:jc w:val="both"/>
                      <w:rPr>
                        <w:kern w:val="2"/>
                        <w:szCs w:val="24"/>
                      </w:rPr>
                    </w:pPr>
                    <w:r>
                      <w:rPr>
                        <w:kern w:val="2"/>
                        <w:szCs w:val="24"/>
                      </w:rPr>
                      <w:t>Įgyvendinant Savivaldybės 2025–2027 m. veiklos prioritetą „Sudaryti sąlygas aktyvios, kūrybingos, jaunatviškos ir atsakingos Šiaulių miesto bendruomenės kūrimuisi – kokybiškiausio išsilavinimo suteikimas vietoje, jaunimo išlaikymas, šeimų palaikymas, vyresniųjų aprūpinimas” ir vieną iš tikslų „Užtikrinti nuoseklų ir efektyvų socialinių paslaugų teikimą”, Savivaldybė atsižvelgdama į gyventojų socialinių paslaugų poreikius lemiančius objektyvius ir subjektyvius veiksnius, – visuomenės senėjimą, vidutinės gyvenimo trukmės ilgėjimą, nedarbo lygį, asmenų su negalia ar dalyvumo lygių skaičių, inicijuoja ir teikia šias socialines paslaugas: </w:t>
                    </w:r>
                  </w:p>
                  <w:p>
                    <w:pPr>
                      <w:ind w:firstLine="782"/>
                      <w:jc w:val="both"/>
                      <w:rPr>
                        <w:kern w:val="2"/>
                        <w:szCs w:val="24"/>
                      </w:rPr>
                    </w:pPr>
                    <w:r>
                      <w:rPr>
                        <w:kern w:val="2"/>
                        <w:szCs w:val="24"/>
                      </w:rPr>
                      <w:t>1) prevencines, kurių tikslas – 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 </w:t>
                    </w:r>
                  </w:p>
                  <w:p>
                    <w:pPr>
                      <w:ind w:firstLine="720"/>
                      <w:jc w:val="both"/>
                      <w:rPr>
                        <w:kern w:val="2"/>
                        <w:szCs w:val="24"/>
                      </w:rPr>
                    </w:pPr>
                    <w:r>
                      <w:rPr>
                        <w:kern w:val="2"/>
                        <w:szCs w:val="24"/>
                      </w:rPr>
                      <w:t>2) bendrąsias, kurios teikiamos be nuolatinės specialistų pagalbos ir jų tikslas – ugdyti ar kompensuoti asmens (šeimos) gebėjimus savarankiškai rūpintis savo (šeimos) gyvenimu ir dalyvauti visuomenės gyvenime; </w:t>
                    </w:r>
                  </w:p>
                  <w:p>
                    <w:pPr>
                      <w:ind w:firstLine="720"/>
                      <w:jc w:val="both"/>
                      <w:rPr>
                        <w:kern w:val="2"/>
                        <w:szCs w:val="24"/>
                      </w:rPr>
                    </w:pPr>
                    <w:r>
                      <w:rPr>
                        <w:kern w:val="2"/>
                        <w:szCs w:val="24"/>
                      </w:rPr>
                      <w:t>3) specialiąsias (socialinės priežiūros, socialinės globos ir laikino atokvėpio paslaugas), kurios teikiamos asmeniui (šeimai), kurio (kurios) gebėjimams savarankiškai rūpintis savo (šeimos) gyvenimu ir dalyvauti visuomenės gyvenime ugdyti ar jiems kompensuoti prevencinių ir (ar) bendrųjų socialinių paslaugų neužtenka. Šių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 </w:t>
                    </w:r>
                  </w:p>
                  <w:p>
                    <w:pPr>
                      <w:ind w:firstLine="720"/>
                      <w:jc w:val="both"/>
                      <w:rPr>
                        <w:kern w:val="2"/>
                        <w:szCs w:val="24"/>
                      </w:rPr>
                    </w:pPr>
                    <w:r>
                      <w:rPr>
                        <w:kern w:val="2"/>
                        <w:szCs w:val="24"/>
                      </w:rPr>
                      <w:t>Savivaldybė, siekdama suteikti asmeniui individualią pagalbą, kuri padėtų gyventi savarankiškai ar iš dalies savarankiškai ir atliepti individualius asmens poreikius įvairių amžiaus gupių gyventojų, turinčių negalią, dalyvumo lygį ir (ar) sukakusiems pensinio mažiaus, ar stokojantiems galimybių savarankiškai gyventi, ar turintiems mažas pajamas, poreikius,  finansuoja šias socialines  paslaugas: dienos socialinę globą, trumpalaikę ir ilgalaikę socialinę globą, pagalbą į namus; socialinę priežiūrą šeimoms, patiriančioms soc. riziką, kai taikoma atvejo vadyba; teikia individualios priežiūros paslaugas riziką patiriančioms šeimoms, kurios augina vaikus iki 24 mėn. amžiaus ar vaikus su negalia iki 36 mėn. amžiaus; socialinės priežiūros šeimoms paslaugas; intensyvios krizių įveikimo pagalbos paslaugas šeimoms;</w:t>
                    </w:r>
                    <w:r>
                      <w:rPr>
                        <w:b/>
                        <w:bCs/>
                        <w:kern w:val="2"/>
                        <w:szCs w:val="24"/>
                      </w:rPr>
                      <w:t xml:space="preserve"> </w:t>
                    </w:r>
                    <w:r>
                      <w:rPr>
                        <w:kern w:val="2"/>
                        <w:szCs w:val="24"/>
                      </w:rPr>
                      <w:t>laikino apnakvindinimo ar apgyvendinimo nakvynės namuose paslaugas; laikino atokvėpio paslaugas asmenims prižiūrintiems savo artimuosius turinčius negalią;</w:t>
                    </w:r>
                    <w:r>
                      <w:rPr>
                        <w:b/>
                        <w:bCs/>
                        <w:kern w:val="2"/>
                        <w:szCs w:val="24"/>
                      </w:rPr>
                      <w:t xml:space="preserve"> </w:t>
                    </w:r>
                    <w:r>
                      <w:rPr>
                        <w:kern w:val="2"/>
                        <w:szCs w:val="24"/>
                      </w:rPr>
                      <w:t>apgyvendinimą savarankiško gyvenimo namuose; apsaugoto būsto paslaugą; palydėjimo paslaugą jaunuoliams; socialinių įgūdžių ugdymo, palaikymo ir (ar) atkūrimo paslaugą; socialinių dirbtuvių paslaugą; socialinės reabilitacijos asmenims su negalia bendruomenėje paslaugas; vaikų dienos socialinės priežiūros paslaugas; atvirą darbą su jaunimu gatvėje; aprūpinimo būtiniausiais drabužiais ir avalyne; maitinimo organizavimo ir transporto organizavimo paslaugas bei asmeninę pagalbą.   </w:t>
                      <w:br/>
                      <w:t xml:space="preserve">           Siekdama užtikrinti socialinės globos paslaugų teikimą vaikams, likusiems be tėvų globos yra mokami pagalbos pinigai globėjams, kai Savivaldybės nustatytais atvejais vaikus prižiūri ar juos globoja šeimos ar budintys globotojai. Vaikams teikiama globa šeimoje, šeimynoje, Šeiminiuose namuose. </w:t>
                    </w:r>
                  </w:p>
                  <w:p>
                    <w:pPr>
                      <w:ind w:firstLine="720"/>
                      <w:jc w:val="both"/>
                      <w:rPr>
                        <w:kern w:val="2"/>
                        <w:szCs w:val="24"/>
                      </w:rPr>
                    </w:pPr>
                    <w:r>
                      <w:rPr>
                        <w:kern w:val="2"/>
                        <w:szCs w:val="24"/>
                      </w:rPr>
                      <w:t>Siekiant padėti šeimos nariams, prižiūrintiems savo artimuosius turinčius negalią, derinti šeimos ir darbo įsipareigojimus, asmenims jų namuose teikiamos integralios pagalbos paslaugos (socialinės globos ir slaugos paslaugos), įgyvendinant projektą „Integrali pagalba į namus Šiaulių mieste“. Įvykdžius partnerių atranką, integralios pagalbos paslaugų teikimas yra tęsiamas, kurias teikia 3 įstaigos, ir jos finansuojamoss ES fondų ir valstybės biudžeto lėšomis, gyvendinant „Integralios pagalbos plėtros 2022–2029 metų veiksmų planą“.  </w:t>
                    </w:r>
                  </w:p>
                  <w:p>
                    <w:pPr>
                      <w:ind w:firstLine="720"/>
                      <w:jc w:val="both"/>
                      <w:rPr>
                        <w:kern w:val="2"/>
                        <w:szCs w:val="24"/>
                      </w:rPr>
                    </w:pPr>
                    <w:r>
                      <w:rPr>
                        <w:kern w:val="2"/>
                        <w:szCs w:val="24"/>
                      </w:rPr>
                      <w:t>Siekiant spręsti materialinio nepritekliaus problemą labiausiai skurstantiems asmenims, suteikiant pagalbą asmenims įsigyti maisto produktus ir (ar) būtinojo vartojimo prekes, įgyvendinama 2021–2027 metų materialinio nepritekliaus mažinimo programa.  </w:t>
                    </w:r>
                  </w:p>
                  <w:p>
                    <w:pPr>
                      <w:ind w:firstLine="720"/>
                      <w:jc w:val="both"/>
                      <w:rPr>
                        <w:kern w:val="2"/>
                        <w:szCs w:val="24"/>
                      </w:rPr>
                    </w:pPr>
                    <w:r>
                      <w:rPr>
                        <w:kern w:val="2"/>
                        <w:szCs w:val="24"/>
                      </w:rPr>
                      <w:t>Siekiant sudaryti sąlygas darbo rinkai besirengiančių asmenų integracijai į darbo rinką, teikiant užimtumo skatinimo ir motyvavimo paslaugas, įgyvendinama Šiaulių miesto savivaldybės 2023–2025 metų užimtumo didinimo programa, kurios pagrindiniai tikslai yra šie: mažinti darbo rinkai besirengiančių Šiaulių miesto gyventojų socialinę atskirtį dėl negaunamų ar nepakankamai gaunamų paslaugų; palengvinti ilgą laiką nedirbusių asmenų perėjimą nuo nedarbo prie užimtumo darbo rinkoje; paslaugas ir piniginę socialinę paramą mokamą pagal Lietuvos Respublikos piniginės socialinės paramos nepasiturintiems gyventojams įstatymą (toliau – socialinė parama) nedirbantiems asmenims, veiklos koordinavimą ir skatinti jų bendradarbiavimą. </w:t>
                    </w:r>
                  </w:p>
                  <w:p>
                    <w:pPr>
                      <w:ind w:firstLine="720"/>
                      <w:jc w:val="both"/>
                      <w:rPr>
                        <w:kern w:val="2"/>
                        <w:szCs w:val="24"/>
                      </w:rPr>
                    </w:pPr>
                    <w:r>
                      <w:rPr>
                        <w:kern w:val="2"/>
                        <w:szCs w:val="24"/>
                      </w:rPr>
                      <w:t>Siekiant užtikrinti iš pataisos įstaigų paleidžiamų (paleistų) asmenų socialinės integracijos procesus bei sklandų asmens perėjimą į socialinės integracijos antrąjį etapą, teikiama palydimoji paslauga, kurią teikia Socialinių paslaugų centras.  </w:t>
                    </w:r>
                  </w:p>
                  <w:p>
                    <w:pPr>
                      <w:ind w:firstLine="720"/>
                      <w:jc w:val="both"/>
                      <w:rPr>
                        <w:kern w:val="2"/>
                        <w:szCs w:val="24"/>
                      </w:rPr>
                    </w:pPr>
                    <w:r>
                      <w:rPr>
                        <w:kern w:val="2"/>
                        <w:szCs w:val="24"/>
                      </w:rPr>
                      <w:t>Socialinės paslaugos teikiamos vadovaujantis Socialinių paslaugų katalogu, kuris reglamentuoja socialinių paslaugų rūšis, jų turinį (apibrėžtis, gavėjai, paslaugos teikimo vieta, trukmė ir dažnumas, paslaugos sudėtis, paslaugas teikiančių specialistų kategorijos, paslaugos teikimo ypatumai), socialinių paslaugų teikėjus ir socialinių paslaugų įstaigų tipus. </w:t>
                    </w:r>
                  </w:p>
                  <w:p>
                    <w:pPr>
                      <w:ind w:firstLine="720"/>
                      <w:jc w:val="both"/>
                      <w:rPr>
                        <w:kern w:val="2"/>
                        <w:szCs w:val="24"/>
                      </w:rPr>
                    </w:pPr>
                    <w:r>
                      <w:rPr>
                        <w:kern w:val="2"/>
                        <w:szCs w:val="24"/>
                      </w:rPr>
                      <w:t>Socialinių paslaugų rūšys, jų teikimo mastas ir finansavimo poreikis nustatomas, įvertinus pagrindinius socialinės ir ekonominės būklės duomenis Savivaldybėje, demografinę situaciją, informaciją apie gautus, bet nepatenkintus asmenų (šeimų) prašymus gauti socialines paslaugas, skirtas, bet nepradėtas teikti socialines paslaugas (eiles gauti socialines paslaugas), ir kitą informaciją apie asmenų pagalbos poreikius, gaunamą iš Savivaldybės šeimos tarybos, Savivaldybės asmens su negalia gerovės tarybos, Savivaldybės nevyriausybinių organizacijų tarybos, Savivaldybės jaunimo reikalų tarybos, tarpinstitucinių grupių, Asmens su negalia teisių apsaugos agentūros prie Socialinės apsaugos ir darbo ministerijos teritorinio skyriaus, Užimtumo tarnybos prie Socialinės apsaugos ir darbo ministerijos teritorinio skyriaus, Valstybės vaiko teisių apsaugos ir įvaikinimo tarnybos prie Socialinės apsaugos ir darbo ministerijos teritorinio skyriaus, globos centrų, psichikos sveikatos priežiūros įstaigų, bendruomeninių šeimos namų, nevyriausybinių organizacijų ir kt.  </w:t>
                    </w:r>
                  </w:p>
                  <w:p>
                    <w:pPr>
                      <w:ind w:firstLine="720"/>
                      <w:jc w:val="both"/>
                      <w:rPr>
                        <w:kern w:val="2"/>
                        <w:szCs w:val="24"/>
                      </w:rPr>
                    </w:pPr>
                    <w:r>
                      <w:rPr>
                        <w:kern w:val="2"/>
                        <w:szCs w:val="24"/>
                      </w:rPr>
                      <w:t>Be projektinės veiklos ir toliau siekiama prisidėti prie esamų socialinių įstaigų atnaujinimo ir modernizavimo.</w:t>
                    </w:r>
                  </w:p>
                  <w:p>
                    <w:pPr>
                      <w:ind w:firstLine="720"/>
                      <w:jc w:val="both"/>
                      <w:rPr>
                        <w:b/>
                        <w:bCs/>
                        <w:color w:val="000000"/>
                        <w:szCs w:val="24"/>
                        <w:lang w:eastAsia="lt-LT"/>
                      </w:rPr>
                    </w:pPr>
                    <w:r>
                      <w:rPr>
                        <w:kern w:val="2"/>
                        <w:szCs w:val="24"/>
                      </w:rPr>
                      <w:t>Siekiant sumažinti laukiančiųjų socialinio būsto eiles bus didinamas socialinio būsto prieinamumas, t. y. planuojama įsigyti naujų būstų tiek įgyvendinant projektines veiklas, tiek iš savivaldybės biudžeto lėšų.</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Sportas</w:t>
                    </w:r>
                  </w:p>
                </w:tc>
                <w:tc>
                  <w:tcPr>
                    <w:tcW w:w="8079" w:type="dxa"/>
                    <w:shd w:val="clear" w:color="000000" w:fill="auto"/>
                  </w:tcPr>
                  <w:p>
                    <w:pPr>
                      <w:ind w:firstLine="720"/>
                      <w:jc w:val="both"/>
                      <w:rPr>
                        <w:color w:val="000000"/>
                        <w:kern w:val="2"/>
                        <w:szCs w:val="24"/>
                        <w:lang w:eastAsia="ar-SA"/>
                      </w:rPr>
                    </w:pPr>
                    <w:r>
                      <w:rPr>
                        <w:color w:val="000000"/>
                        <w:kern w:val="2"/>
                        <w:szCs w:val="24"/>
                        <w:lang w:eastAsia="ar-SA"/>
                      </w:rPr>
                      <w:t>Siekiant toliau tobulinti sporto sistemą, 2025</w:t>
                    </w:r>
                    <w:r>
                      <w:rPr>
                        <w:color w:val="000000"/>
                        <w:kern w:val="2"/>
                        <w:szCs w:val="24"/>
                      </w:rPr>
                      <w:t>–</w:t>
                    </w:r>
                    <w:r>
                      <w:rPr>
                        <w:color w:val="000000"/>
                        <w:kern w:val="2"/>
                        <w:szCs w:val="24"/>
                        <w:lang w:eastAsia="ar-SA"/>
                      </w:rPr>
                      <w:t xml:space="preserve">2027 m. planuojama skatinti lyčių lygybę ir sportininkų su negalia rengimą nevyriausybinėse sporto organizacijose. Taip pat numatoma gerinti veiklos sąlygas sporto įstaigose ir organizacijose, t. y. stiprinti sportininkų medicininio aptarnavimo pajėgumus. Tarp gyventojų bus aktyvinamas sveikas gyvenimo būdas, siekiama sudaryti sąlygas ugdyti sveiką ir fiziškai aktyvią visuomenę, kuo daugiau gyventojų įtraukiant į organizuotas ir savarankiškas fizinio aktyvumo veiklas bei renginius. Numatoma plėtoti aukšto meistriškumo sportininkų rengimo sistemą, t. y. kuo daugiau sporto šakų vystyti „piramidės“ principu, sekti ir vertinti ne tik aukštus sportininkų, bet ir jų trenerių pasiekimus, indėlį į šalies sporto sistemos plėtrą, tobulėjimą.   </w:t>
                    </w:r>
                  </w:p>
                  <w:p>
                    <w:pPr>
                      <w:ind w:firstLine="744"/>
                      <w:jc w:val="both"/>
                      <w:rPr>
                        <w:color w:val="000000"/>
                        <w:kern w:val="2"/>
                        <w:szCs w:val="24"/>
                        <w:lang w:eastAsia="ar-SA"/>
                      </w:rPr>
                    </w:pPr>
                    <w:r>
                      <w:rPr>
                        <w:color w:val="000000"/>
                        <w:kern w:val="2"/>
                        <w:szCs w:val="24"/>
                        <w:lang w:eastAsia="ar-SA"/>
                      </w:rPr>
                      <w:t>Skatinant gyventojų ir aukšto meistriškumo sportininkų visapusišką tobulėjimą, bus kuriama ir patogi, lengvai prieinama sporto infrastruktūra gyventojų laisvalaikiui gerinti, profesionalaus sporto pasiekimams didinti ir sveikatai stiprinti. 2025</w:t>
                    </w:r>
                    <w:r>
                      <w:rPr>
                        <w:color w:val="000000"/>
                        <w:kern w:val="2"/>
                        <w:szCs w:val="24"/>
                      </w:rPr>
                      <w:t>–</w:t>
                    </w:r>
                    <w:r>
                      <w:rPr>
                        <w:color w:val="000000"/>
                        <w:kern w:val="2"/>
                        <w:szCs w:val="24"/>
                        <w:lang w:eastAsia="ar-SA"/>
                      </w:rPr>
                      <w:t xml:space="preserve">2027 m. planuojama pabaigti Sporto komplekso (futbolo ir regbio maniežo) statybos darbus, rekonstruoti Šiaulių m. stadiono kompleksą ir renovuoti ar pastatyti naujas patalpas VšĮ Šiaulių krepšinio akademijai „Saulė“. </w:t>
                    </w:r>
                  </w:p>
                  <w:p>
                    <w:pPr>
                      <w:ind w:firstLine="744"/>
                      <w:jc w:val="both"/>
                      <w:rPr>
                        <w:b/>
                        <w:bCs/>
                        <w:color w:val="000000"/>
                        <w:szCs w:val="24"/>
                        <w:lang w:eastAsia="lt-LT"/>
                      </w:rPr>
                    </w:pPr>
                    <w:r>
                      <w:rPr>
                        <w:color w:val="000000"/>
                        <w:kern w:val="2"/>
                        <w:szCs w:val="24"/>
                        <w:lang w:eastAsia="ar-SA"/>
                      </w:rPr>
                      <w:t>Numatomas dėmesys ir vandens sporto vystymui, t. y. irklavimo bazės statybos, buriavimo elingo prie Rėkyvos projektavimas.</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Švietimas ir jaunimas</w:t>
                    </w:r>
                  </w:p>
                </w:tc>
                <w:tc>
                  <w:tcPr>
                    <w:tcW w:w="8079" w:type="dxa"/>
                    <w:shd w:val="clear" w:color="000000" w:fill="auto"/>
                  </w:tcPr>
                  <w:p>
                    <w:pPr>
                      <w:ind w:firstLine="720"/>
                      <w:jc w:val="both"/>
                      <w:rPr>
                        <w:kern w:val="2"/>
                        <w:szCs w:val="24"/>
                      </w:rPr>
                    </w:pPr>
                    <w:r>
                      <w:rPr>
                        <w:kern w:val="2"/>
                        <w:szCs w:val="24"/>
                      </w:rPr>
                      <w:t xml:space="preserve">Nuolat siekiama naujos švietimo paslaugų kokybės, ruošiant mokinius gyvenimui, savo bendruomenės ir valstybės ateities kūrimui rinkos sąlygomis besikeičiančioje visuomenėje. </w:t>
                    </w:r>
                  </w:p>
                  <w:p>
                    <w:pPr>
                      <w:ind w:firstLine="720"/>
                      <w:jc w:val="both"/>
                      <w:rPr>
                        <w:kern w:val="2"/>
                        <w:szCs w:val="24"/>
                      </w:rPr>
                    </w:pPr>
                    <w:r>
                      <w:rPr>
                        <w:kern w:val="2"/>
                        <w:szCs w:val="24"/>
                      </w:rPr>
                      <w:t>Ikimokyklinio ugdymo įstaigos užtikrina vaikų ugdymą pagal savitas ir modernias ikimokyklinio ugdymo programas.</w:t>
                    </w:r>
                    <w:r>
                      <w:rPr>
                        <w:b/>
                        <w:bCs/>
                        <w:kern w:val="2"/>
                        <w:szCs w:val="24"/>
                      </w:rPr>
                      <w:t xml:space="preserve"> </w:t>
                    </w:r>
                    <w:r>
                      <w:rPr>
                        <w:kern w:val="2"/>
                        <w:szCs w:val="24"/>
                      </w:rPr>
                      <w:t>Siekiant kokybiško ikimokyklinio ir priešmokyklinio ugdymo, vaikų ugdymo pasiekimai vertinami du kartus per metus pagal ikimokyklinio ir priešmokyklinio amžiaus vaikų pasiekimų aprašus. Ypatingas dėmesys skiriamas vaikų fizinės ir psichinės sveikatos saugojimui ir stiprinimui: bus įgyvendinamos programos „Augu sveikas ir stiprus“, vaisių ir daržovių vartojimo skatinimo programa, visi lopšeliai-darželiai dalyvauja sveikatą stiprinančių mokyklų tinklo veiklose, ilgalaikio projekto „Lietuvos mažųjų žaidynės“ konkursuose ir olimpiadose</w:t>
                    </w:r>
                    <w:r>
                      <w:rPr>
                        <w:b/>
                        <w:bCs/>
                        <w:kern w:val="2"/>
                        <w:szCs w:val="24"/>
                      </w:rPr>
                      <w:t>,</w:t>
                    </w:r>
                    <w:r>
                      <w:rPr>
                        <w:kern w:val="2"/>
                        <w:szCs w:val="24"/>
                      </w:rPr>
                      <w:t xml:space="preserve"> vykdo socialinio emocinio ugdymo programas „Kimočis“ ir „Zipio draugai“, socialinės atsakomybės projektą „Sveikatiada“. Įgyvendinami Darnaus vystymosi strategijos tikslai (tvarūs sprendimai integruojami ne tik į ugdymo turinį, bet ir į įstaigos valdymą, infrastruktūrą). Įstaigų ugdymo procese bus taikoma mąstymo gebėjimų ugdymo metodika. </w:t>
                    </w:r>
                  </w:p>
                  <w:p>
                    <w:pPr>
                      <w:ind w:firstLine="720"/>
                      <w:jc w:val="both"/>
                      <w:rPr>
                        <w:kern w:val="2"/>
                        <w:szCs w:val="24"/>
                      </w:rPr>
                    </w:pPr>
                    <w:r>
                      <w:rPr>
                        <w:kern w:val="2"/>
                        <w:szCs w:val="24"/>
                      </w:rPr>
                      <w:t xml:space="preserve">Bendrojo ugdymo mokyklose siekiama geriau tenkinti individualius mokinių ugdymo(si) poreikius, tobulinant ugdymo procesą. Siekiant efektyvesnio ir įdomesnio mokymosi turinio įsisavinimo, tobulinamas šiuolaikiškas ugdymas, miesto mokyklose sukurtos skaitmeninės mokymosi aplinkos. Mokiniai ir mokytojai turi galimybę dirbti su skaitmeniniais vadovėliais ir jų komplektais, gali dirbti su įvairaus tipo skaitmeninėmis užduotimis. Diferencijuotas ir individualizuotas mokymas(is) tampa efektyvesnis, lengviau analizuojami mokinių pasiekimai. Kasmet visoms mokykloms suteikiamas „Kultūros krepšelis“, kuriuo pasinaudodami mokiniai turi galimybę lankytis visuose Šiaulių regiono muziejuose nemokamai. </w:t>
                    </w:r>
                  </w:p>
                  <w:p>
                    <w:pPr>
                      <w:ind w:firstLine="720"/>
                      <w:jc w:val="both"/>
                      <w:rPr>
                        <w:kern w:val="2"/>
                        <w:szCs w:val="24"/>
                      </w:rPr>
                    </w:pPr>
                    <w:r>
                      <w:rPr>
                        <w:kern w:val="2"/>
                        <w:szCs w:val="24"/>
                      </w:rPr>
                      <w:t xml:space="preserve">Šiaulių m. savivaldybė dalyvauja „Tūkstantmečio mokyklų“ programoje, kurios tikslas – iki 2030 m. kiekvienoje Lietuvos savivaldybėje sukurti integralias, optimalias ir kokybiškas ugdymo(si) sąlygas mokinių pasiekimų atotrūkiams mažinti. Programoje  dalyvauja 5 miesto mokyklos: Gytarių, Salduvės, Ragainės progimnazijos ir Stasio Šalkauskio, Universitetinė gimnazijos. </w:t>
                    </w:r>
                  </w:p>
                  <w:p>
                    <w:pPr>
                      <w:ind w:firstLine="720"/>
                      <w:jc w:val="both"/>
                      <w:rPr>
                        <w:kern w:val="2"/>
                        <w:szCs w:val="24"/>
                      </w:rPr>
                    </w:pPr>
                    <w:r>
                      <w:rPr>
                        <w:kern w:val="2"/>
                        <w:szCs w:val="24"/>
                      </w:rPr>
                      <w:t xml:space="preserve">Nuolat kintant darbo rinkai, augant kvalifikuotos darbo jėgos nutekėjimo į kitas Europos Sąjungos šalis mastams, itin aktualus tampa mokinio parengimo perėjimui iš švietimo į darbo rinkos sistemą procesas. Siekiama užtikrinti, kad ugdymo karjerai specialistai, mokytojai ir kiti mokinių ugdymo procesą organizuojantys bei koordinuojantys asmenys gebėtų padėti mokiniams atskleisti asmenines galimybes, galėtų suteikti reikiamą informaciją studijų, darbo, profesijos ar specialybės pasirinkimo srityse. Nuo 2017 m. pradėtas vykdyti Savivaldybės ir miesto teritorijoje veikiančių aukštųjų mokyklų bendradarbiavimo programų finansavimas, kurį planuojama tęsti ir 2025 m. Siekiant vystyti aukštąjį mokslą ir profesinį rengimą Šiauliuose, stiprinant inžinerinių studijų patrauklumą, didinant mokinių kompleksišką tikrovės reiškinių pažinimą ir gebėjimų ugdymą gamtos mokslų, matematikos, technologijų, inžinerijos ir meno kontekste, Savivaldybės taryba patvirtino STEAM krypties programų finansavimo tvarkos aprašą. Vadovaujantis minėtu aprašu, lėšos numatytos STEAM ir kitos edukacinės veiklos mokiniams, kvalifikacijos tobulinimo programos  pagrindinio ir vidurinio ugdymo STEAM dalykų pedagogams. Savivaldybės biudžeto lėšos skiriamos suaugusiųjų, kurie mokosi pagal suaugusiųjų neformaliojo švietimo ir tęstinio mokymosi programas, mokymuisi finansuoti pagal Vyriausybės patvirtintas metodikas.  </w:t>
                    </w:r>
                  </w:p>
                  <w:p>
                    <w:pPr>
                      <w:ind w:firstLine="720"/>
                      <w:jc w:val="both"/>
                      <w:rPr>
                        <w:kern w:val="2"/>
                        <w:szCs w:val="24"/>
                      </w:rPr>
                    </w:pPr>
                    <w:r>
                      <w:rPr>
                        <w:kern w:val="2"/>
                        <w:szCs w:val="24"/>
                      </w:rPr>
                      <w:t>Siekiant spręsti netolygios švietimo infrastruktūros išvystymo problemas, pagerinti besimokančių moksleivių sąlygas, 2025</w:t>
                    </w:r>
                    <w:r>
                      <w:rPr>
                        <w:color w:val="000000"/>
                        <w:kern w:val="2"/>
                        <w:szCs w:val="24"/>
                      </w:rPr>
                      <w:t>–</w:t>
                    </w:r>
                    <w:r>
                      <w:rPr>
                        <w:kern w:val="2"/>
                        <w:szCs w:val="24"/>
                      </w:rPr>
                      <w:t xml:space="preserve">2027 m. tęsiami ir planuojami kapitaliniai pastatų (jų dalių) ir vidaus patalpų remonto darbai: </w:t>
                    </w:r>
                    <w:r>
                      <w:rPr>
                        <w:kern w:val="2"/>
                      </w:rPr>
                      <w:t>Ragainės ir Vinco Kudirkos progimnazijų, Sporto, „Santarvės“, Didždvario</w:t>
                    </w:r>
                    <w:r>
                      <w:rPr>
                        <w:szCs w:val="24"/>
                      </w:rPr>
                      <w:t xml:space="preserve"> </w:t>
                    </w:r>
                    <w:r>
                      <w:rPr>
                        <w:kern w:val="2"/>
                      </w:rPr>
                      <w:t>gimnazijų, Simono Daukanto inžinerijos gimnazijos, „Dagilėlio” dainavimo mokyklos pastatai.</w:t>
                    </w:r>
                  </w:p>
                  <w:p>
                    <w:pPr>
                      <w:ind w:firstLine="720"/>
                      <w:jc w:val="both"/>
                      <w:rPr>
                        <w:kern w:val="2"/>
                        <w:szCs w:val="24"/>
                      </w:rPr>
                    </w:pPr>
                    <w:r>
                      <w:rPr>
                        <w:kern w:val="2"/>
                        <w:szCs w:val="24"/>
                      </w:rPr>
                      <w:t xml:space="preserve">Vėliau planuojama atnaujinti: Jovaro, „Rasos“, Salduvės progimnazijų, „Saulės“ pradinės mokyklos pastatus. </w:t>
                    </w:r>
                  </w:p>
                  <w:p>
                    <w:pPr>
                      <w:ind w:firstLine="720"/>
                      <w:jc w:val="both"/>
                      <w:rPr>
                        <w:kern w:val="2"/>
                        <w:szCs w:val="24"/>
                      </w:rPr>
                    </w:pPr>
                    <w:r>
                      <w:rPr>
                        <w:kern w:val="2"/>
                        <w:szCs w:val="24"/>
                      </w:rPr>
                      <w:t xml:space="preserve">Taip pat numatoma įgyvendinti projektą „Didinti ikimokyklinio ugdymo paslaugų prieinamumą, pritaikant ikimokykliniam ugdymui pastatą adresu Pabalių g. 53“ renovuojant buvusios Jaunimo mokyklos pastatą Pabaliuose ir pritaikant jį penkių grupių lopšelio-darželio poreikiams. </w:t>
                    </w:r>
                  </w:p>
                  <w:p>
                    <w:pPr>
                      <w:ind w:firstLine="720"/>
                      <w:jc w:val="both"/>
                      <w:rPr>
                        <w:kern w:val="2"/>
                        <w:szCs w:val="24"/>
                      </w:rPr>
                    </w:pPr>
                    <w:r>
                      <w:rPr>
                        <w:kern w:val="2"/>
                        <w:szCs w:val="24"/>
                      </w:rPr>
                      <w:t>Siekiama turėti kuo daugiau ikimokyklinio ugdymo įstaigų, kurių erdvės modernizuotos (atitinkančios universalaus dizaino reikalavimus) ir pritaikytos šiuolaikinio ugdymo reikalavimams. Taip pat įrengiamos edukacines erdvės bendrojo ugdymo mokyklose, plėtojant visos dienos mokyklos veiklas.</w:t>
                    </w:r>
                  </w:p>
                  <w:p>
                    <w:pPr>
                      <w:ind w:firstLine="720"/>
                      <w:jc w:val="both"/>
                      <w:rPr>
                        <w:kern w:val="2"/>
                        <w:szCs w:val="24"/>
                      </w:rPr>
                    </w:pPr>
                    <w:r>
                      <w:rPr>
                        <w:kern w:val="2"/>
                        <w:szCs w:val="24"/>
                      </w:rPr>
                      <w:t xml:space="preserve">Tobulinant sportinio ugdymo infrastruktūrą, bus </w:t>
                    </w:r>
                    <w:r>
                      <w:rPr>
                        <w:kern w:val="2"/>
                      </w:rPr>
                      <w:t xml:space="preserve">atnaujintos sporto salės bendrojo ugdymo mokyklose, kasmet įrenginėjami sporto aikštynai pagal Darbo grupės, sudarytos 2019 m. lapkričio 6 d. Administracijos direktoriaus įsakymu Nr. A-1582 nustatytus prioritetus.  </w:t>
                    </w:r>
                    <w:r>
                      <w:t xml:space="preserve"> </w:t>
                    </w:r>
                  </w:p>
                  <w:p>
                    <w:pPr>
                      <w:ind w:firstLine="720"/>
                      <w:jc w:val="both"/>
                      <w:rPr>
                        <w:kern w:val="2"/>
                        <w:szCs w:val="24"/>
                      </w:rPr>
                    </w:pPr>
                    <w:r>
                      <w:rPr>
                        <w:kern w:val="2"/>
                        <w:szCs w:val="24"/>
                      </w:rPr>
                      <w:t>2025 m. planuojama vykdyti tęstinius švietimo įstaigų vamzdynų ir santechninių mazgų atnaujinimo, elektros instaliacijos, virtuvių remonto darbus. Atnaujinti švietimo įstaigų lauko teritorijas ir įrenginius.</w:t>
                    </w:r>
                  </w:p>
                  <w:p>
                    <w:pPr>
                      <w:ind w:firstLine="720"/>
                      <w:jc w:val="both"/>
                      <w:rPr>
                        <w:b/>
                        <w:bCs/>
                        <w:kern w:val="2"/>
                        <w:highlight w:val="yellow"/>
                      </w:rPr>
                    </w:pPr>
                    <w:r>
                      <w:rPr>
                        <w:kern w:val="2"/>
                        <w:szCs w:val="24"/>
                      </w:rPr>
                      <w:t xml:space="preserve">Gerinant švietimo paslaugų prieinamumą ir kokybę, aktualus išlieka ugdymo aplinkų pritaikymas neįgaliesiems.  </w:t>
                    </w:r>
                    <w:r>
                      <w:rPr>
                        <w:kern w:val="2"/>
                      </w:rPr>
                      <w:t>2025 m. planuojama įrengti liftus Salduvės progimnazijoje ir Dailės mokykloje.</w:t>
                    </w:r>
                    <w:r>
                      <w:rPr>
                        <w:b/>
                        <w:bCs/>
                        <w:kern w:val="2"/>
                      </w:rPr>
                      <w:t xml:space="preserve"> </w:t>
                    </w:r>
                  </w:p>
                  <w:p>
                    <w:pPr>
                      <w:ind w:firstLine="720"/>
                      <w:jc w:val="both"/>
                      <w:rPr>
                        <w:color w:val="000000"/>
                        <w:kern w:val="2"/>
                        <w:szCs w:val="24"/>
                      </w:rPr>
                    </w:pPr>
                    <w:r>
                      <w:rPr>
                        <w:color w:val="000000"/>
                        <w:kern w:val="2"/>
                        <w:szCs w:val="24"/>
                      </w:rPr>
                      <w:t>Siekiant sudaryti sąlygas jaunimo savirealizacijai jų poreikiams pritaikytoje aplinkoje, būtina užtikrinti kryptingą jaunimo politikos įgyvendinimą, kur skatinamas jauno žmogaus aktyvus dalyvavimas visuomeninėje veikloje, įgūdžių lavinimas ir įsitraukimas į miesto gyvenimą. Organizuojamas kokybiškas jaunimo užimtumas ir laisvalaikio praleidimas, t. y. masiniai renginiai, numatomas festivalis jaunimui.</w:t>
                    </w:r>
                  </w:p>
                  <w:p>
                    <w:pPr>
                      <w:ind w:firstLine="720"/>
                      <w:jc w:val="both"/>
                      <w:rPr>
                        <w:b/>
                        <w:bCs/>
                        <w:color w:val="000000"/>
                        <w:szCs w:val="24"/>
                        <w:lang w:eastAsia="lt-LT"/>
                      </w:rPr>
                    </w:pPr>
                    <w:r>
                      <w:rPr>
                        <w:color w:val="000000"/>
                        <w:kern w:val="2"/>
                        <w:szCs w:val="24"/>
                      </w:rPr>
                      <w:t>Siekiant užtikrinti atvirojo darbo su jaunimu formų plėtrą ir kokybę būtina palaikyti, atnaujinti ar plėsti atvirus jaunimo centrus ir atviras jaunimo erdves, užtikrinti darbo su jaunimu gatvėje plėtrą. Jaunų žmonių įsitraukimas į savanorišką veiklą sudaro sąlygas skatinti pilietiškumą, didinti visuomeninį aktyvumą, įgyti darbinių įgūdžių. Jaunimo savanoriška veikla bus užtikrinama įgyvendinant savanoriškos tarnybos modelį Savivaldybėje ir palaikant tarptautinę savanorystę.</w:t>
                    </w:r>
                  </w:p>
                </w:tc>
              </w:tr>
              <w:tr>
                <w:trPr>
                  <w:trHeight w:val="290"/>
                </w:trPr>
                <w:tc>
                  <w:tcPr>
                    <w:tcW w:w="1560" w:type="dxa"/>
                    <w:shd w:val="clear" w:color="000000" w:fill="auto"/>
                    <w:noWrap/>
                    <w:hideMark/>
                  </w:tcPr>
                  <w:p>
                    <w:pPr>
                      <w:rPr>
                        <w:b/>
                        <w:bCs/>
                        <w:color w:val="000000"/>
                        <w:szCs w:val="24"/>
                        <w:lang w:eastAsia="lt-LT"/>
                      </w:rPr>
                    </w:pPr>
                    <w:r>
                      <w:rPr>
                        <w:b/>
                        <w:bCs/>
                        <w:color w:val="000000"/>
                        <w:szCs w:val="24"/>
                        <w:lang w:eastAsia="lt-LT"/>
                      </w:rPr>
                      <w:t>Sveikata</w:t>
                    </w:r>
                  </w:p>
                </w:tc>
                <w:tc>
                  <w:tcPr>
                    <w:tcW w:w="8079" w:type="dxa"/>
                    <w:shd w:val="clear" w:color="000000" w:fill="auto"/>
                  </w:tcPr>
                  <w:p>
                    <w:pPr>
                      <w:ind w:firstLine="720"/>
                      <w:jc w:val="both"/>
                      <w:rPr>
                        <w:kern w:val="2"/>
                        <w:szCs w:val="24"/>
                      </w:rPr>
                    </w:pPr>
                    <w:r>
                      <w:rPr>
                        <w:kern w:val="2"/>
                        <w:szCs w:val="24"/>
                      </w:rPr>
                      <w:t xml:space="preserve">Ir toliau bus skiriamas dėmesys sudaryti kuo palankesnes sąlygas miesto bendruomenei sveikatinti, lavinti sveikatos raštingumą nuo pat vaikystės, sveikam senėjimui, </w:t>
                    </w:r>
                    <w:r>
                      <w:rPr>
                        <w:color w:val="000000"/>
                        <w:kern w:val="2"/>
                        <w:szCs w:val="24"/>
                      </w:rPr>
                      <w:t>mažinant sergamumą, ligotumą, neįgalumą, sudarant prielaidas ilgesniam ir sveikesniam gyvenimui. T</w:t>
                    </w:r>
                    <w:r>
                      <w:rPr>
                        <w:kern w:val="2"/>
                        <w:szCs w:val="24"/>
                      </w:rPr>
                      <w:t>uo tikslu 2025</w:t>
                    </w:r>
                    <w:r>
                      <w:rPr>
                        <w:color w:val="000000"/>
                        <w:kern w:val="2"/>
                        <w:szCs w:val="24"/>
                      </w:rPr>
                      <w:t>–</w:t>
                    </w:r>
                    <w:r>
                      <w:rPr>
                        <w:kern w:val="2"/>
                        <w:szCs w:val="24"/>
                      </w:rPr>
                      <w:t>2027 m. Šiauliuose bus organizuojami renginiai, užsiėmimai, skatinantys gyventojus judėti, tęsiamos sveikatinimo iniciatyvos, toliau aktyvinamas prevencinių programų vykdymas, kompensuojamos baseino paslaugos numatytoms tikslinėms grupėms.</w:t>
                    </w:r>
                  </w:p>
                  <w:p>
                    <w:pPr>
                      <w:ind w:firstLine="720"/>
                      <w:jc w:val="both"/>
                      <w:rPr>
                        <w:kern w:val="2"/>
                        <w:szCs w:val="24"/>
                      </w:rPr>
                    </w:pPr>
                    <w:r>
                      <w:rPr>
                        <w:kern w:val="2"/>
                        <w:szCs w:val="24"/>
                      </w:rPr>
                      <w:t xml:space="preserve">Siekiant gerinti sveikatos paslaugų prieinamumą 2025 m., planuojama pritraukti 14 gydytojų specialistų dirbti ir teikti sveikatos priežiūros paslaugas Šiaulių m. sveikatos priežiūros įstaigose ir </w:t>
                    </w:r>
                    <w:r>
                      <w:rPr>
                        <w:color w:val="000000"/>
                        <w:kern w:val="2"/>
                        <w:szCs w:val="24"/>
                      </w:rPr>
                      <w:t>finansuoti 8 sveikatos mokslų studentų studijas.</w:t>
                    </w:r>
                  </w:p>
                  <w:p>
                    <w:pPr>
                      <w:ind w:firstLine="720"/>
                      <w:jc w:val="both"/>
                      <w:rPr>
                        <w:kern w:val="2"/>
                        <w:szCs w:val="24"/>
                      </w:rPr>
                    </w:pPr>
                    <w:r>
                      <w:rPr>
                        <w:color w:val="000000"/>
                        <w:kern w:val="2"/>
                        <w:szCs w:val="24"/>
                      </w:rPr>
                      <w:t xml:space="preserve">Šiaulių m. savivaldybės visuomenės sveikatos biuras toliau vykdys visuomenės sveikatos priežiūrą Savivaldybės teritorijoje esančiose ugdymo įstaigose ugdomų mokinių pagal ikimokyklinio, priešmokyklinio, pradinio, pagrindinio ir vidurinio ugdymo programas, toliau stiprins bendradarbiavimą su asmens sveikatos priežiūros įstaigomis vykdant prevencines sveikatos stiprinimo programas ir intensyviai plėtos visuomenės psichikos sveikatos paslaugų prieinamumą, ankstyvojo savižudybių atpažinimo ir kompleksinės pagalbos teikimo sistemą. </w:t>
                    </w:r>
                    <w:r>
                      <w:rPr>
                        <w:kern w:val="2"/>
                        <w:szCs w:val="24"/>
                      </w:rPr>
                      <w:t xml:space="preserve">Prie platesnio psichoemocinės pagalbos prieinamumo prisidės Šiaulių miesto savivaldybės visuomenės sveikatos biuras, VšĮ Šiaulių centro poliklinikos Psichikos sveikatos centras, VšĮ Dainų pirminės sveikatos priežiūros centras. </w:t>
                    </w:r>
                  </w:p>
                  <w:p>
                    <w:pPr>
                      <w:ind w:firstLine="720"/>
                      <w:jc w:val="both"/>
                      <w:rPr>
                        <w:kern w:val="2"/>
                        <w:szCs w:val="24"/>
                      </w:rPr>
                    </w:pPr>
                    <w:r>
                      <w:rPr>
                        <w:kern w:val="2"/>
                        <w:szCs w:val="24"/>
                      </w:rPr>
                      <w:t>Nuo 2025 m. bus pradėta įgyvendinti nauja priemonė, kurios tikslas – gerinti medicinos srities įvaizdį visuomenėje. Įtraukiama vis daugiau švietimo įstaigų, kurios dalyvaus sveikatos srities patrauklumo didinimo projektuose. Skatinamas daugiašalių bendradarbiavimo iniciatyvų atsiradimas šioje srityje.</w:t>
                    </w:r>
                  </w:p>
                  <w:p>
                    <w:pPr>
                      <w:ind w:firstLine="720"/>
                      <w:jc w:val="both"/>
                      <w:rPr>
                        <w:kern w:val="2"/>
                        <w:szCs w:val="24"/>
                      </w:rPr>
                    </w:pPr>
                    <w:r>
                      <w:rPr>
                        <w:kern w:val="2"/>
                        <w:szCs w:val="24"/>
                      </w:rPr>
                      <w:t xml:space="preserve">Norint užtikrinti asmens sveikatos priežiūros paslaugų prieinamumą ir kokybę, būtina ir toliau atnaujinti esamą bei įrengti naują infrastruktūrą, t. y. modernizuoti VšĮ Šiaulių ilgalaikio gydymo ir geriatrijos centrą, VšĮ Šiaulių centro polikliniką, didinti VšĮ Dainų pirminės sveikatos priežiūros centro funkcionalumą. </w:t>
                    </w:r>
                  </w:p>
                  <w:p>
                    <w:pPr>
                      <w:ind w:firstLine="720"/>
                      <w:jc w:val="both"/>
                      <w:rPr>
                        <w:color w:val="000000"/>
                        <w:kern w:val="2"/>
                        <w:szCs w:val="24"/>
                      </w:rPr>
                    </w:pPr>
                    <w:r>
                      <w:rPr>
                        <w:kern w:val="2"/>
                        <w:szCs w:val="24"/>
                      </w:rPr>
                      <w:t xml:space="preserve">Su sveikatos centrais planuojama įgyvendinti šiuos Europos Sąjungos lėšomis finansuojamius projektus: Sveikatos centrų sudėtyje teikiamų sveikatos priežiūros paslaugų infrastruktūros modernizavimas Šiaulių miesto savivaldybėje; Ilgalaikės priežiūros dienos centrų įrengimas, mobilių komandų aprūpinimas įranga ir transporto priemonėmis; </w:t>
                    </w:r>
                    <w:r>
                      <w:t>Sveikatos specialistų rengimas, pritraukimas Šiaulių miesto savivaldybėje; Sveikatos centrų veiklos modelio diegimas Šiaulių miesto savivaldybėje</w:t>
                    </w:r>
                    <w:r>
                      <w:rPr>
                        <w:kern w:val="2"/>
                      </w:rPr>
                      <w:t>.</w:t>
                    </w:r>
                  </w:p>
                </w:tc>
              </w:tr>
            </w:tbl>
            <w:p>
              <w:pPr>
                <w:ind w:firstLine="720"/>
                <w:jc w:val="both"/>
                <w:rPr>
                  <w:szCs w:val="24"/>
                </w:rPr>
              </w:pPr>
            </w:p>
            <w:p>
              <w:pPr>
                <w:rPr>
                  <w:sz w:val="20"/>
                </w:rPr>
              </w:pPr>
            </w:p>
          </w:sdtContent>
        </w:sdt>
        <w:sdt>
          <w:sdtPr>
            <w:alias w:val="skyrius"/>
            <w:tag w:val="part_2577cd50f1d6462b9814e30d2bde5815"/>
            <w:lock w:val="sdtLocked"/>
            <w:richText/>
          </w:sdtPr>
          <w:sdtContent>
            <w:p>
              <w:pPr>
                <w:jc w:val="center"/>
                <w:rPr>
                  <w:b/>
                  <w:bCs/>
                  <w:color w:val="000000"/>
                  <w:szCs w:val="24"/>
                </w:rPr>
              </w:pPr>
              <w:sdt>
                <w:sdtPr>
                  <w:alias w:val="Numeris"/>
                  <w:tag w:val="nr_2577cd50f1d6462b9814e30d2bde5815"/>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2577cd50f1d6462b9814e30d2bde5815"/>
                  <w:lock w:val="sdtLocked"/>
                  <w:richText/>
                </w:sdtPr>
                <w:sdtContent>
                  <w:r>
                    <w:rPr>
                      <w:b/>
                      <w:bCs/>
                      <w:color w:val="000000"/>
                      <w:szCs w:val="24"/>
                    </w:rPr>
                    <w:t>PROGRAMOS</w:t>
                  </w:r>
                </w:sdtContent>
              </w:sdt>
            </w:p>
            <w:p>
              <w:pPr>
                <w:rPr>
                  <w:sz w:val="20"/>
                </w:rPr>
              </w:pPr>
            </w:p>
            <w:p>
              <w:pPr>
                <w:ind w:firstLine="709"/>
                <w:jc w:val="both"/>
                <w:rPr>
                  <w:iCs/>
                  <w:szCs w:val="24"/>
                </w:rPr>
              </w:pPr>
              <w:r>
                <w:rPr>
                  <w:iCs/>
                  <w:szCs w:val="24"/>
                </w:rPr>
                <w:t>Savivaldybė 2025</w:t>
              </w:r>
              <w:r>
                <w:rPr>
                  <w:color w:val="000000"/>
                  <w:kern w:val="2"/>
                  <w:szCs w:val="24"/>
                </w:rPr>
                <w:t>–</w:t>
              </w:r>
              <w:r>
                <w:rPr>
                  <w:iCs/>
                  <w:szCs w:val="24"/>
                </w:rPr>
                <w:t>2027 metų laikotarpiu vykdys 9 programas (1 valdymo programa ir 8 funkcijų vykdymo programos):</w:t>
              </w:r>
            </w:p>
            <w:tbl>
              <w:tblPr>
                <w:tblW w:w="6780" w:type="dxa"/>
                <w:jc w:val="center"/>
                <w:shd w:val="clear" w:color="000000" w:fill="auto"/>
                <w:tblLook w:val="04A0" w:firstRow="1" w:lastRow="0" w:firstColumn="1" w:lastColumn="0" w:noHBand="0" w:noVBand="1"/>
              </w:tblPr>
              <w:tblGrid>
                <w:gridCol w:w="600"/>
                <w:gridCol w:w="6180"/>
              </w:tblGrid>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01</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Savivaldybės valdymo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02</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Kultūros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03</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Aplinkos apsaugos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04</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Urbanistinės plėtros ir infrastruktūros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05</w:t>
                    </w:r>
                  </w:p>
                </w:tc>
                <w:tc>
                  <w:tcPr>
                    <w:tcW w:w="6180" w:type="dxa"/>
                    <w:tcBorders>
                      <w:top w:val="nil"/>
                      <w:left w:val="nil"/>
                      <w:bottom w:val="nil"/>
                      <w:right w:val="nil"/>
                    </w:tcBorders>
                    <w:shd w:val="clear" w:color="000000" w:fill="auto"/>
                    <w:noWrap/>
                    <w:vAlign w:val="bottom"/>
                    <w:hideMark/>
                  </w:tcPr>
                  <w:p>
                    <w:pPr>
                      <w:rPr>
                        <w:szCs w:val="24"/>
                        <w:lang w:eastAsia="lt-LT"/>
                      </w:rPr>
                    </w:pPr>
                    <w:r>
                      <w:rPr>
                        <w:szCs w:val="24"/>
                        <w:lang w:eastAsia="lt-LT"/>
                      </w:rPr>
                      <w:t>Ekonominės plėtros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06</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Socialinės apsaugos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07</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Sporto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08</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Švietimo programa</w:t>
                    </w:r>
                  </w:p>
                </w:tc>
              </w:tr>
              <w:tr>
                <w:trPr>
                  <w:trHeight w:val="290"/>
                  <w:jc w:val="center"/>
                </w:trPr>
                <w:tc>
                  <w:tcPr>
                    <w:tcW w:w="600" w:type="dxa"/>
                    <w:tcBorders>
                      <w:top w:val="nil"/>
                      <w:left w:val="nil"/>
                      <w:bottom w:val="nil"/>
                      <w:right w:val="nil"/>
                    </w:tcBorders>
                    <w:shd w:val="clear" w:color="000000" w:fill="auto"/>
                    <w:noWrap/>
                    <w:vAlign w:val="center"/>
                    <w:hideMark/>
                  </w:tcPr>
                  <w:p>
                    <w:pPr>
                      <w:rPr>
                        <w:color w:val="000000"/>
                        <w:szCs w:val="24"/>
                        <w:lang w:eastAsia="lt-LT"/>
                      </w:rPr>
                    </w:pPr>
                    <w:r>
                      <w:rPr>
                        <w:color w:val="000000"/>
                        <w:szCs w:val="24"/>
                        <w:lang w:eastAsia="lt-LT"/>
                      </w:rPr>
                      <w:t>09</w:t>
                    </w:r>
                  </w:p>
                </w:tc>
                <w:tc>
                  <w:tcPr>
                    <w:tcW w:w="6180" w:type="dxa"/>
                    <w:tcBorders>
                      <w:top w:val="nil"/>
                      <w:left w:val="nil"/>
                      <w:bottom w:val="nil"/>
                      <w:right w:val="nil"/>
                    </w:tcBorders>
                    <w:shd w:val="clear" w:color="000000" w:fill="auto"/>
                    <w:noWrap/>
                    <w:vAlign w:val="bottom"/>
                    <w:hideMark/>
                  </w:tcPr>
                  <w:p>
                    <w:pPr>
                      <w:rPr>
                        <w:color w:val="000000"/>
                        <w:szCs w:val="24"/>
                        <w:lang w:eastAsia="lt-LT"/>
                      </w:rPr>
                    </w:pPr>
                    <w:r>
                      <w:rPr>
                        <w:color w:val="000000"/>
                        <w:szCs w:val="24"/>
                        <w:lang w:eastAsia="lt-LT"/>
                      </w:rPr>
                      <w:t>Sveikatos programa</w:t>
                    </w:r>
                  </w:p>
                </w:tc>
              </w:tr>
            </w:tbl>
            <w:p>
              <w:pPr>
                <w:ind w:firstLine="1296"/>
                <w:jc w:val="both"/>
                <w:rPr>
                  <w:iCs/>
                  <w:szCs w:val="24"/>
                </w:rPr>
              </w:pPr>
            </w:p>
            <w:p>
              <w:pPr>
                <w:ind w:firstLine="709"/>
                <w:jc w:val="both"/>
                <w:rPr>
                  <w:iCs/>
                  <w:szCs w:val="24"/>
                </w:rPr>
              </w:pPr>
              <w:r>
                <w:rPr>
                  <w:iCs/>
                  <w:szCs w:val="24"/>
                </w:rPr>
                <w:t>2 lentelėje nurodomos Savivaldybės SVP programos, asignavimų ir kitų lėšų planas 2025–2027 metams.</w:t>
              </w:r>
            </w:p>
            <w:p>
              <w:pPr>
                <w:jc w:val="both"/>
                <w:rPr>
                  <w:b/>
                  <w:bCs/>
                  <w:szCs w:val="24"/>
                </w:rPr>
              </w:pPr>
            </w:p>
            <w:p>
              <w:pPr>
                <w:jc w:val="both"/>
                <w:rPr>
                  <w:sz w:val="22"/>
                  <w:szCs w:val="22"/>
                </w:rPr>
              </w:pPr>
              <w:r>
                <w:rPr>
                  <w:b/>
                  <w:bCs/>
                  <w:sz w:val="22"/>
                  <w:szCs w:val="22"/>
                </w:rPr>
                <w:t>2 lentelė</w:t>
              </w:r>
              <w:r>
                <w:rPr>
                  <w:sz w:val="22"/>
                  <w:szCs w:val="22"/>
                </w:rPr>
                <w:t>.</w:t>
              </w:r>
              <w:r>
                <w:rPr>
                  <w:i/>
                  <w:sz w:val="22"/>
                  <w:szCs w:val="22"/>
                </w:rPr>
                <w:t xml:space="preserve"> </w:t>
              </w:r>
              <w:r>
                <w:rPr>
                  <w:iCs/>
                  <w:sz w:val="22"/>
                  <w:szCs w:val="22"/>
                </w:rPr>
                <w:t>2025</w:t>
              </w:r>
              <w:r>
                <w:rPr>
                  <w:color w:val="000000"/>
                  <w:kern w:val="2"/>
                  <w:szCs w:val="24"/>
                </w:rPr>
                <w:t>–</w:t>
              </w:r>
              <w:r>
                <w:rPr>
                  <w:iCs/>
                  <w:sz w:val="22"/>
                  <w:szCs w:val="22"/>
                </w:rPr>
                <w:t>2027 metų</w:t>
              </w:r>
              <w:r>
                <w:rPr>
                  <w:sz w:val="22"/>
                  <w:szCs w:val="22"/>
                </w:rPr>
                <w:t xml:space="preserve"> asignavimų ir kitų lėšų pasiskirstymas (patvirtintas) pagal programas (tūkst. Eur) </w:t>
              </w:r>
            </w:p>
            <w:p>
              <w:pPr>
                <w:jc w:val="both"/>
                <w:rPr>
                  <w:szCs w:val="24"/>
                </w:rPr>
              </w:pPr>
            </w:p>
            <w:tbl>
              <w:tblPr>
                <w:tblW w:w="10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3318"/>
                <w:gridCol w:w="2115"/>
                <w:gridCol w:w="1961"/>
                <w:gridCol w:w="2126"/>
              </w:tblGrid>
              <w:tr>
                <w:trPr>
                  <w:trHeight w:val="252"/>
                  <w:jc w:val="center"/>
                </w:trPr>
                <w:tc>
                  <w:tcPr>
                    <w:tcW w:w="51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Eil. Nr.</w:t>
                    </w:r>
                  </w:p>
                </w:tc>
                <w:tc>
                  <w:tcPr>
                    <w:tcW w:w="331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Programos kodas ir pavadinimas</w:t>
                    </w:r>
                  </w:p>
                </w:tc>
                <w:tc>
                  <w:tcPr>
                    <w:tcW w:w="211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2025 m. asignavimai ir kitos lėšos</w:t>
                    </w:r>
                  </w:p>
                </w:tc>
                <w:tc>
                  <w:tcPr>
                    <w:tcW w:w="196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color w:val="000000"/>
                        <w:sz w:val="20"/>
                      </w:rPr>
                    </w:pPr>
                    <w:r>
                      <w:rPr>
                        <w:b/>
                        <w:bCs/>
                        <w:color w:val="000000"/>
                        <w:sz w:val="20"/>
                      </w:rPr>
                      <w:t>2026 m. asignavimai ir kitos lėšos</w:t>
                    </w:r>
                  </w:p>
                </w:tc>
                <w:tc>
                  <w:tcPr>
                    <w:tcW w:w="212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ind w:right="34"/>
                      <w:jc w:val="center"/>
                      <w:rPr>
                        <w:b/>
                        <w:bCs/>
                        <w:color w:val="000000"/>
                        <w:sz w:val="20"/>
                      </w:rPr>
                    </w:pPr>
                    <w:r>
                      <w:rPr>
                        <w:b/>
                        <w:bCs/>
                        <w:color w:val="000000"/>
                        <w:sz w:val="20"/>
                      </w:rPr>
                      <w:t>2027 m. asignavimai ir kitos lėšos</w:t>
                    </w:r>
                  </w:p>
                </w:tc>
              </w:tr>
              <w:tr>
                <w:trPr>
                  <w:trHeight w:val="90"/>
                  <w:jc w:val="center"/>
                </w:trPr>
                <w:tc>
                  <w:tcPr>
                    <w:tcW w:w="51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20"/>
                      </w:rPr>
                    </w:pPr>
                    <w:r>
                      <w:rPr>
                        <w:color w:val="000000"/>
                        <w:sz w:val="20"/>
                      </w:rPr>
                      <w:t>1</w:t>
                    </w:r>
                  </w:p>
                </w:tc>
                <w:tc>
                  <w:tcPr>
                    <w:tcW w:w="3318"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20"/>
                      </w:rPr>
                    </w:pPr>
                    <w:r>
                      <w:rPr>
                        <w:color w:val="000000"/>
                        <w:sz w:val="20"/>
                      </w:rPr>
                      <w:t>2</w:t>
                    </w:r>
                  </w:p>
                </w:tc>
                <w:tc>
                  <w:tcPr>
                    <w:tcW w:w="2115"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20"/>
                      </w:rPr>
                    </w:pPr>
                    <w:r>
                      <w:rPr>
                        <w:color w:val="000000"/>
                        <w:sz w:val="20"/>
                      </w:rPr>
                      <w:t>3</w:t>
                    </w:r>
                  </w:p>
                </w:tc>
                <w:tc>
                  <w:tcPr>
                    <w:tcW w:w="1961"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20"/>
                      </w:rPr>
                    </w:pPr>
                    <w:r>
                      <w:rPr>
                        <w:color w:val="000000"/>
                        <w:sz w:val="20"/>
                      </w:rPr>
                      <w:t>4</w:t>
                    </w:r>
                  </w:p>
                </w:tc>
                <w:tc>
                  <w:tcPr>
                    <w:tcW w:w="212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color w:val="000000"/>
                        <w:sz w:val="20"/>
                      </w:rPr>
                    </w:pPr>
                    <w:r>
                      <w:rPr>
                        <w:color w:val="000000"/>
                        <w:sz w:val="20"/>
                      </w:rPr>
                      <w:t>5</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01 Savivaldybės valdymo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30 653,0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29 777,9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32 729,1</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2</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02 Kultūros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10 291,2</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9 651,2</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9 054,8</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03 Aplinkos apsaugos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6 416,5</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6 115,9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5 810,1</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4</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04 Urbanistinės plėtros ir infrastruktūros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55 803,9</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60 829,1</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53 697,1</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5</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05 Ekonominės plėtros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2 241,2</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1 706,3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1 376,0</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06 Socialinės apsaugos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79 042,1</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78 998,5</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80 698,1</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7</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07 Sporto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23 740,6</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18 228,6</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16 026,3</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8</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08 Švietimo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161 680,0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159 346,9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157 841,1</w:t>
                    </w:r>
                  </w:p>
                </w:tc>
              </w:tr>
              <w:tr>
                <w:trPr>
                  <w:trHeight w:val="324"/>
                  <w:jc w:val="center"/>
                </w:trPr>
                <w:tc>
                  <w:tcPr>
                    <w:tcW w:w="51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9</w:t>
                    </w:r>
                  </w:p>
                </w:tc>
                <w:tc>
                  <w:tcPr>
                    <w:tcW w:w="3318" w:type="dxa"/>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09 Sveikatos programa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7 415,5</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5 971,0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b/>
                        <w:bCs/>
                        <w:color w:val="000000"/>
                        <w:sz w:val="20"/>
                      </w:rPr>
                    </w:pPr>
                    <w:r>
                      <w:rPr>
                        <w:b/>
                        <w:bCs/>
                        <w:color w:val="000000"/>
                        <w:sz w:val="20"/>
                      </w:rPr>
                      <w:t>4 995,8</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hideMark/>
                  </w:tcPr>
                  <w:p>
                    <w:pPr>
                      <w:rPr>
                        <w:b/>
                        <w:bCs/>
                        <w:color w:val="000000"/>
                        <w:sz w:val="20"/>
                      </w:rPr>
                    </w:pPr>
                    <w:r>
                      <w:rPr>
                        <w:b/>
                        <w:bCs/>
                        <w:color w:val="000000"/>
                        <w:sz w:val="20"/>
                      </w:rPr>
                      <w:t>SAVIVALDYBĖS BIUDŽETAS IŠ VISO, IŠ JO:</w:t>
                    </w:r>
                  </w:p>
                </w:tc>
                <w:tc>
                  <w:tcPr>
                    <w:tcW w:w="2115"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323 671,5</w:t>
                    </w:r>
                  </w:p>
                </w:tc>
                <w:tc>
                  <w:tcPr>
                    <w:tcW w:w="1961"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317 942,6</w:t>
                    </w:r>
                  </w:p>
                </w:tc>
                <w:tc>
                  <w:tcPr>
                    <w:tcW w:w="2126"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309 862,9</w:t>
                    </w:r>
                  </w:p>
                </w:tc>
              </w:tr>
              <w:tr>
                <w:trPr>
                  <w:trHeight w:val="18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ind w:left="450" w:hanging="450"/>
                      <w:rPr>
                        <w:color w:val="000000"/>
                        <w:sz w:val="20"/>
                      </w:rPr>
                    </w:pPr>
                    <w:r>
                      <w:rPr>
                        <w:color w:val="000000"/>
                        <w:sz w:val="20"/>
                      </w:rPr>
                      <w:t>1.01.</w:t>
                      <w:tab/>
                      <w:t>Savivaldybės biudžeto lėšos (SB)</w:t>
                    </w:r>
                  </w:p>
                  <w:p>
                    <w:pPr>
                      <w:ind w:left="450"/>
                      <w:rPr>
                        <w:color w:val="000000"/>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137 857,9</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146 123,8</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154 411,8</w:t>
                    </w:r>
                  </w:p>
                </w:tc>
              </w:tr>
              <w:tr>
                <w:trPr>
                  <w:trHeight w:val="230"/>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ind w:left="450" w:hanging="450"/>
                      <w:rPr>
                        <w:color w:val="000000"/>
                        <w:sz w:val="20"/>
                      </w:rPr>
                    </w:pPr>
                    <w:r>
                      <w:rPr>
                        <w:color w:val="000000"/>
                        <w:sz w:val="20"/>
                      </w:rPr>
                      <w:t>1.02.</w:t>
                      <w:tab/>
                      <w:t>Skolintos lėšos (PS)</w:t>
                    </w:r>
                  </w:p>
                  <w:p>
                    <w:pPr>
                      <w:ind w:left="450"/>
                      <w:rPr>
                        <w:color w:val="000000"/>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12 500,0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11 400,0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11 700,0</w:t>
                    </w:r>
                  </w:p>
                </w:tc>
              </w:tr>
              <w:tr>
                <w:trPr>
                  <w:trHeight w:val="131"/>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ind w:left="450" w:hanging="450"/>
                      <w:rPr>
                        <w:color w:val="000000"/>
                        <w:sz w:val="20"/>
                      </w:rPr>
                    </w:pPr>
                    <w:r>
                      <w:rPr>
                        <w:color w:val="000000"/>
                        <w:sz w:val="20"/>
                      </w:rPr>
                      <w:t>1.03.</w:t>
                      <w:tab/>
                      <w:t>Lėšos ugdymo reikmėms VB (UR)</w:t>
                    </w:r>
                  </w:p>
                  <w:p>
                    <w:pPr>
                      <w:ind w:left="450"/>
                      <w:rPr>
                        <w:color w:val="000000"/>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70 673,5</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71 910,9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71 910,9</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1.04. Lėšos valstybinėms funkcijoms VB (VF)</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10 459,3</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10 482,2</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10 505,8</w:t>
                    </w:r>
                  </w:p>
                </w:tc>
              </w:tr>
              <w:tr>
                <w:trPr>
                  <w:trHeight w:val="222"/>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1.05. Valstybės biudžeto lėšos (VB)</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13 903,8</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14 037,5</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12 040,8</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1.06. Kelių priežiūros ir plėtros programos lėšos VB (KPPP)</w:t>
                    </w:r>
                  </w:p>
                </w:tc>
                <w:tc>
                  <w:tcPr>
                    <w:tcW w:w="2115" w:type="dxa"/>
                    <w:tcBorders>
                      <w:top w:val="single" w:sz="4" w:space="0" w:color="auto"/>
                      <w:left w:val="single" w:sz="4" w:space="0" w:color="auto"/>
                      <w:bottom w:val="single" w:sz="4" w:space="0" w:color="auto"/>
                      <w:right w:val="single" w:sz="4" w:space="0" w:color="auto"/>
                    </w:tcBorders>
                    <w:vAlign w:val="center"/>
                  </w:tcPr>
                  <w:p>
                    <w:pPr>
                      <w:ind w:firstLine="53"/>
                      <w:jc w:val="center"/>
                      <w:rPr>
                        <w:color w:val="000000"/>
                        <w:sz w:val="20"/>
                      </w:rPr>
                    </w:pPr>
                    <w:r>
                      <w:rPr>
                        <w:color w:val="000000"/>
                        <w:sz w:val="20"/>
                      </w:rPr>
                      <w:t>8 663,0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8 673,0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8 664,0</w:t>
                    </w:r>
                  </w:p>
                </w:tc>
              </w:tr>
              <w:tr>
                <w:trPr>
                  <w:trHeight w:val="181"/>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1.08. Europos Sąjungos lėšos (ES)</w:t>
                    </w:r>
                  </w:p>
                  <w:p>
                    <w:pPr>
                      <w:rPr>
                        <w:color w:val="000000"/>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26 230,0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29 389,3</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16 379,5</w:t>
                    </w:r>
                  </w:p>
                </w:tc>
              </w:tr>
              <w:tr>
                <w:trPr>
                  <w:trHeight w:val="21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1.09. Įstaigos pajamų lėšos (PL)</w:t>
                    </w:r>
                  </w:p>
                  <w:p>
                    <w:pPr>
                      <w:rPr>
                        <w:color w:val="000000"/>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6 880,0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6 893,5</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6 901,8</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color w:val="000000"/>
                        <w:sz w:val="20"/>
                      </w:rPr>
                    </w:pPr>
                    <w:r>
                      <w:rPr>
                        <w:color w:val="000000"/>
                        <w:sz w:val="20"/>
                      </w:rPr>
                      <w:t>1.10. Lėšų likutis ataskaitinio laikotarpio pabaigoje (LIK)</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35 453,1</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18 432,4</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16 748,1</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1.11. Aplinkos apsaugos rėmimo specialiosios programos lėšos SB (AA)</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600,0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600,0</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600,1</w:t>
                    </w:r>
                  </w:p>
                </w:tc>
              </w:tr>
              <w:tr>
                <w:trPr>
                  <w:trHeight w:val="599"/>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1.12. Lėšų likutis iš Aplinkos apsaugos rėmimo specialiosios programos SB (AA/LIK)</w:t>
                    </w: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450,9</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p>
                </w:tc>
              </w:tr>
              <w:tr>
                <w:trPr>
                  <w:trHeight w:val="184"/>
                  <w:jc w:val="center"/>
                </w:trPr>
                <w:tc>
                  <w:tcPr>
                    <w:tcW w:w="3829" w:type="dxa"/>
                    <w:gridSpan w:val="2"/>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rPr>
                        <w:b/>
                        <w:bCs/>
                        <w:sz w:val="20"/>
                      </w:rPr>
                    </w:pPr>
                  </w:p>
                  <w:p>
                    <w:pPr>
                      <w:rPr>
                        <w:b/>
                        <w:bCs/>
                        <w:sz w:val="20"/>
                      </w:rPr>
                    </w:pPr>
                    <w:r>
                      <w:rPr>
                        <w:b/>
                        <w:bCs/>
                        <w:sz w:val="20"/>
                      </w:rPr>
                      <w:t>KITOS LĖŠOS IŠ VISO, IŠ JŲ:</w:t>
                    </w:r>
                  </w:p>
                  <w:p>
                    <w:pPr>
                      <w:rPr>
                        <w:b/>
                        <w:bCs/>
                        <w:sz w:val="20"/>
                      </w:rPr>
                    </w:pPr>
                  </w:p>
                </w:tc>
                <w:tc>
                  <w:tcPr>
                    <w:tcW w:w="2115"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53 612,7</w:t>
                    </w:r>
                  </w:p>
                </w:tc>
                <w:tc>
                  <w:tcPr>
                    <w:tcW w:w="1961"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52 682,9</w:t>
                    </w:r>
                  </w:p>
                </w:tc>
                <w:tc>
                  <w:tcPr>
                    <w:tcW w:w="2126"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52 365,5</w:t>
                    </w:r>
                  </w:p>
                </w:tc>
              </w:tr>
              <w:tr>
                <w:trPr>
                  <w:trHeight w:val="230"/>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2.01. Valstybės biudžeto lėšos KT (VB)</w:t>
                    </w:r>
                  </w:p>
                  <w:p>
                    <w:pPr>
                      <w:rPr>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49 390,8</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49 332,4</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49 332,4</w:t>
                    </w:r>
                  </w:p>
                </w:tc>
              </w:tr>
              <w:tr>
                <w:trPr>
                  <w:trHeight w:val="13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2.02. Europos Sąjungos lėšos KT (ES)</w:t>
                    </w:r>
                  </w:p>
                  <w:p>
                    <w:pPr>
                      <w:rPr>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2 663,9</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2 000,6</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1 723,3</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2.03. Kitų šaltinių lėšos KT (KL)</w:t>
                    </w:r>
                  </w:p>
                  <w:p>
                    <w:pPr>
                      <w:rPr>
                        <w:sz w:val="20"/>
                      </w:rPr>
                    </w:pPr>
                  </w:p>
                </w:tc>
                <w:tc>
                  <w:tcPr>
                    <w:tcW w:w="2115"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1 558,0</w:t>
                    </w:r>
                  </w:p>
                </w:tc>
                <w:tc>
                  <w:tcPr>
                    <w:tcW w:w="1961"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1 349,9</w:t>
                    </w:r>
                  </w:p>
                </w:tc>
                <w:tc>
                  <w:tcPr>
                    <w:tcW w:w="212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1 309,8</w:t>
                    </w:r>
                  </w:p>
                </w:tc>
              </w:tr>
              <w:tr>
                <w:trPr>
                  <w:trHeight w:val="324"/>
                  <w:jc w:val="center"/>
                </w:trPr>
                <w:tc>
                  <w:tcPr>
                    <w:tcW w:w="3829" w:type="dxa"/>
                    <w:gridSpan w:val="2"/>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rPr>
                        <w:b/>
                        <w:bCs/>
                        <w:sz w:val="20"/>
                      </w:rPr>
                    </w:pPr>
                    <w:r>
                      <w:rPr>
                        <w:b/>
                        <w:bCs/>
                        <w:sz w:val="20"/>
                      </w:rPr>
                      <w:t>IŠ VISO programoms finansuoti pagal finansavimo šaltinius:</w:t>
                    </w:r>
                  </w:p>
                </w:tc>
                <w:tc>
                  <w:tcPr>
                    <w:tcW w:w="2115"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377 284,2</w:t>
                    </w:r>
                  </w:p>
                </w:tc>
                <w:tc>
                  <w:tcPr>
                    <w:tcW w:w="1961"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370 625,5</w:t>
                    </w:r>
                  </w:p>
                </w:tc>
                <w:tc>
                  <w:tcPr>
                    <w:tcW w:w="2126" w:type="dxa"/>
                    <w:tcBorders>
                      <w:top w:val="single" w:sz="4" w:space="0" w:color="auto"/>
                      <w:left w:val="single" w:sz="4" w:space="0" w:color="auto"/>
                      <w:bottom w:val="single" w:sz="4" w:space="0" w:color="auto"/>
                      <w:right w:val="single" w:sz="4" w:space="0" w:color="auto"/>
                    </w:tcBorders>
                    <w:shd w:val="clear" w:color="auto" w:fill="EDEDED" w:themeFill="accent3" w:themeFillTint="33"/>
                    <w:vAlign w:val="center"/>
                  </w:tcPr>
                  <w:p>
                    <w:pPr>
                      <w:jc w:val="center"/>
                      <w:rPr>
                        <w:b/>
                        <w:bCs/>
                        <w:color w:val="000000"/>
                        <w:sz w:val="20"/>
                      </w:rPr>
                    </w:pPr>
                    <w:r>
                      <w:rPr>
                        <w:b/>
                        <w:bCs/>
                        <w:color w:val="000000"/>
                        <w:sz w:val="20"/>
                      </w:rPr>
                      <w:t>362 228,4</w:t>
                    </w:r>
                  </w:p>
                </w:tc>
              </w:tr>
            </w:tbl>
            <w:p>
              <w:pPr>
                <w:rPr>
                  <w:b/>
                  <w:bCs/>
                  <w:color w:val="000000"/>
                  <w:sz w:val="16"/>
                </w:rPr>
              </w:pPr>
            </w:p>
            <w:p>
              <w:pPr>
                <w:rPr>
                  <w:b/>
                  <w:bCs/>
                  <w:color w:val="000000"/>
                  <w:sz w:val="16"/>
                </w:rPr>
                <w:sectPr>
                  <w:pgSz w:w="11906" w:h="16838"/>
                  <w:pgMar w:top="1134" w:right="567" w:bottom="1134" w:left="1418" w:header="567" w:footer="567" w:gutter="0"/>
                  <w:cols w:space="1296"/>
                  <w:docGrid w:linePitch="360"/>
                </w:sectPr>
              </w:pPr>
            </w:p>
            <w:p>
              <w:pPr>
                <w:rPr>
                  <w:b/>
                  <w:bCs/>
                  <w:color w:val="000000"/>
                  <w:sz w:val="16"/>
                </w:rPr>
              </w:pPr>
            </w:p>
            <w:p>
              <w:pPr>
                <w:rPr>
                  <w:b/>
                  <w:bCs/>
                  <w:sz w:val="22"/>
                  <w:szCs w:val="22"/>
                </w:rPr>
              </w:pPr>
            </w:p>
            <w:p>
              <w:pPr>
                <w:rPr>
                  <w:b/>
                  <w:bCs/>
                  <w:i/>
                  <w:color w:val="808080"/>
                  <w:sz w:val="22"/>
                  <w:szCs w:val="22"/>
                </w:rPr>
              </w:pPr>
              <w:r>
                <w:rPr>
                  <w:b/>
                  <w:bCs/>
                  <w:sz w:val="22"/>
                  <w:szCs w:val="22"/>
                </w:rPr>
                <w:t>1 grafikas. 2025</w:t>
              </w:r>
              <w:r>
                <w:rPr>
                  <w:color w:val="000000"/>
                  <w:kern w:val="2"/>
                  <w:szCs w:val="24"/>
                </w:rPr>
                <w:t>–</w:t>
              </w:r>
              <w:r>
                <w:rPr>
                  <w:b/>
                  <w:bCs/>
                  <w:sz w:val="22"/>
                  <w:szCs w:val="22"/>
                </w:rPr>
                <w:t>2027 metų asignavimų ir kitų lėšų pasiskirstymas (patvirtintas) pagal programas</w:t>
              </w:r>
            </w:p>
            <w:p>
              <w:pPr>
                <w:rPr>
                  <w:b/>
                  <w:bCs/>
                  <w:i/>
                  <w:color w:val="808080"/>
                  <w:sz w:val="20"/>
                </w:rPr>
              </w:pPr>
            </w:p>
            <w:p>
              <w:pPr>
                <w:jc w:val="both"/>
                <w:rPr>
                  <w:rFonts w:eastAsia="Calibri"/>
                  <w:b/>
                  <w:bCs/>
                  <w:i/>
                  <w:color w:val="808080"/>
                  <w:sz w:val="20"/>
                </w:rPr>
                <w:sectPr>
                  <w:type w:val="continuous"/>
                  <w:pgSz w:w="11906" w:h="16838"/>
                  <w:pgMar w:top="1701" w:right="567" w:bottom="1134" w:left="1418" w:header="567" w:footer="567" w:gutter="0"/>
                  <w:cols w:space="1296"/>
                  <w:docGrid w:linePitch="360"/>
                </w:sectPr>
              </w:pPr>
              <w:r>
                <w:rPr>
                  <w:lang w:val="en-US"/>
                </w:rPr>
                <w:drawing>
                  <wp:inline distT="0" distB="0" distL="0" distR="0" wp14:anchorId="797EF376" wp14:editId="558C5CD3">
                    <wp:extent cx="6010910" cy="5112688"/>
                    <wp:effectExtent l="0" t="0" r="8890" b="12065"/>
                    <wp:docPr id="511539046" name="Diagrama 1">
                      <a:extLst xmlns:a="http://schemas.openxmlformats.org/drawingml/2006/main">
                        <a:ext uri="{FF2B5EF4-FFF2-40B4-BE49-F238E27FC236}">
                          <a16:creationId xmlns:a16="http://schemas.microsoft.com/office/drawing/2014/main" id="{62E5FB15-BEBB-4BF0-9279-F79771BF1B2E}"/>
                        </a:ext>
                      </a:extLst>
                    </wp:docPr>
                    <wp:cNvGraphicFramePr/>
                    <a:graphic xmlns:a="http://schemas.openxmlformats.org/drawingml/2006/main">
                      <a:graphicData uri="http://schemas.openxmlformats.org/drawingml/2006/chart">
                        <c:chart xmlns:c="http://schemas.openxmlformats.org/drawingml/2006/chart" r:id="rId13"/>
                      </a:graphicData>
                    </a:graphic>
                  </wp:inline>
                </w:drawing>
              </w: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01 Savivaldybės valdymo programa</w:t>
                    </w:r>
                  </w:p>
                </w:tc>
              </w:tr>
            </w:tbl>
            <w:p>
              <w:pPr>
                <w:ind w:firstLine="709"/>
                <w:jc w:val="both"/>
                <w:rPr>
                  <w:iCs/>
                  <w:color w:val="FF0000"/>
                  <w:szCs w:val="24"/>
                </w:rPr>
              </w:pPr>
            </w:p>
            <w:p>
              <w:pPr>
                <w:ind w:firstLine="709"/>
                <w:jc w:val="both"/>
                <w:rPr>
                  <w:iCs/>
                  <w:szCs w:val="24"/>
                </w:rPr>
              </w:pPr>
              <w:r>
                <w:rPr>
                  <w:iCs/>
                  <w:szCs w:val="24"/>
                </w:rPr>
                <w:t xml:space="preserve">Įgyvendinant programą siekiama užtikrinti pažangų, efektyvų ir įtraukų Savivaldybės darbą. </w:t>
              </w:r>
            </w:p>
            <w:p>
              <w:pPr>
                <w:ind w:firstLine="709"/>
                <w:jc w:val="both"/>
                <w:rPr>
                  <w:b/>
                  <w:bCs/>
                  <w:i/>
                  <w:szCs w:val="24"/>
                </w:rPr>
              </w:pPr>
              <w:r>
                <w:rPr>
                  <w:iCs/>
                  <w:szCs w:val="24"/>
                </w:rPr>
                <w:t xml:space="preserve">Programos įgyvendinimui numatyti 6 uždaviniai. </w:t>
              </w:r>
            </w:p>
            <w:p>
              <w:pPr>
                <w:tabs>
                  <w:tab w:val="left" w:pos="34"/>
                  <w:tab w:val="left" w:pos="284"/>
                </w:tabs>
                <w:jc w:val="both"/>
                <w:rPr>
                  <w:b/>
                  <w:bCs/>
                  <w:i/>
                  <w:color w:val="808080"/>
                  <w:szCs w:val="24"/>
                </w:rPr>
              </w:pPr>
            </w:p>
            <w:sdt>
              <w:sdtPr>
                <w:alias w:val="poskyris"/>
                <w:tag w:val="part_9b2d62aaa3024b93b5b095782d11d82c"/>
                <w:lock w:val="sdtLocked"/>
                <w:richText/>
              </w:sdtPr>
              <w:sdtContent>
                <w:p>
                  <w:pPr>
                    <w:jc w:val="both"/>
                    <w:rPr>
                      <w:b/>
                      <w:bCs/>
                      <w:sz w:val="22"/>
                      <w:szCs w:val="22"/>
                    </w:rPr>
                  </w:pPr>
                  <w:sdt>
                    <w:sdtPr>
                      <w:alias w:val="Pavadinimas"/>
                      <w:tag w:val="title_9b2d62aaa3024b93b5b095782d11d82c"/>
                      <w:lock w:val="sdtLocked"/>
                      <w:richText/>
                    </w:sdtPr>
                    <w:sdtContent>
                      <w:r>
                        <w:rPr>
                          <w:b/>
                          <w:bCs/>
                          <w:sz w:val="22"/>
                          <w:szCs w:val="22"/>
                        </w:rPr>
                        <w:t xml:space="preserve">2 grafikas. Savivaldybės valdymo programa ir jos uždaviniai </w:t>
                      </w:r>
                    </w:sdtContent>
                  </w:sdt>
                </w:p>
                <w:p>
                  <w:pPr>
                    <w:jc w:val="both"/>
                    <w:rPr>
                      <w:b/>
                      <w:bCs/>
                      <w:color w:val="808080"/>
                      <w:szCs w:val="24"/>
                    </w:rPr>
                  </w:pPr>
                </w:p>
                <w:p>
                  <w:pPr>
                    <w:tabs>
                      <w:tab w:val="left" w:pos="34"/>
                      <w:tab w:val="left" w:pos="284"/>
                    </w:tabs>
                    <w:jc w:val="both"/>
                    <w:rPr>
                      <w:b/>
                      <w:bCs/>
                      <w:i/>
                      <w:color w:val="808080"/>
                      <w:szCs w:val="24"/>
                    </w:rPr>
                  </w:pPr>
                  <w:r>
                    <w:rPr>
                      <w:b/>
                      <w:sz w:val="20"/>
                      <w:lang w:val="en-US"/>
                    </w:rPr>
                    <w:drawing>
                      <wp:inline distT="0" distB="0" distL="0" distR="0" wp14:anchorId="358EFDDB" wp14:editId="49F62D41">
                        <wp:extent cx="6092190" cy="6159500"/>
                        <wp:effectExtent l="38100" t="0" r="60960" b="12700"/>
                        <wp:docPr id="43" name="Diagrama 43"/>
                        <wp:cNvGraphicFramePr/>
                        <a:graphic xmlns:a="http://schemas.openxmlformats.org/drawingml/2006/main">
                          <a:graphicData uri="http://schemas.openxmlformats.org/drawingml/2006/diagram">
                            <dgm:relIds xmlns:dgm="http://schemas.openxmlformats.org/drawingml/2006/diagram" r:dm="rId14" r:lo="rId15" r:qs="rId16" r:cs="rId17"/>
                          </a:graphicData>
                        </a:graphic>
                      </wp:inline>
                    </w:drawing>
                  </w:r>
                </w:p>
                <w:p>
                  <w:pPr>
                    <w:tabs>
                      <w:tab w:val="left" w:pos="34"/>
                      <w:tab w:val="left" w:pos="284"/>
                    </w:tabs>
                    <w:ind w:firstLine="34"/>
                    <w:jc w:val="both"/>
                    <w:rPr>
                      <w:iCs/>
                      <w:color w:val="FF0000"/>
                      <w:szCs w:val="24"/>
                    </w:rPr>
                  </w:pPr>
                </w:p>
                <w:p>
                  <w:pPr>
                    <w:tabs>
                      <w:tab w:val="left" w:pos="34"/>
                      <w:tab w:val="left" w:pos="284"/>
                    </w:tabs>
                    <w:ind w:firstLine="720"/>
                    <w:jc w:val="both"/>
                    <w:rPr>
                      <w:iCs/>
                      <w:szCs w:val="24"/>
                    </w:rPr>
                  </w:pPr>
                  <w:r>
                    <w:rPr>
                      <w:iCs/>
                      <w:szCs w:val="24"/>
                    </w:rPr>
                    <w:t xml:space="preserve">01-01 uždavinys orientuotas į veiklos valdymo gerinimą ir efektyvų pažangių skaitmeninių sprendimų panaudojimą teikiant paslaugas. 01-02 uždavinio priemonės numato įtraukaus bendradarbiavimo su visuomene ir suinteresuotomis šalimis skatinimą. Šie du uždaviniai prisideda ir  prie ŠSPP įgyvendinimo, likusieji yra tęstinės veiklos uždaviniai. Programos priemonės, joms įgyvendinti reikalingos lėšos ir planuojami pasiekti rodikliai pateikiami 1 PRIEDE. </w:t>
                  </w:r>
                </w:p>
                <w:p>
                  <w:pPr>
                    <w:tabs>
                      <w:tab w:val="left" w:pos="34"/>
                      <w:tab w:val="left" w:pos="284"/>
                    </w:tabs>
                    <w:ind w:firstLine="720"/>
                    <w:jc w:val="both"/>
                    <w:rPr>
                      <w:rFonts w:ascii="Symbol" w:hAnsi="Symbol"/>
                      <w:szCs w:val="24"/>
                    </w:rPr>
                  </w:pPr>
                  <w:r>
                    <w:rPr>
                      <w:iCs/>
                      <w:szCs w:val="24"/>
                    </w:rPr>
                    <w:t>Programoje numatomos nefinansinės priemonės, kurios orientuotos į žaliųjų, socialinių ir inovatyvių pirkimų skatinimą tiek Savivaldybės administracijoje, tiek jai pavaldžiose viešosiose ir biudžetinėse įstaigose. Taip pat siekiant įgyvendinti lyčių lygybės, lygių galimybių ir korupcijos prevencijos principus, bus atnaujinta nuotolinio darbo savivaldybės administracijoje tvarka, vykdomos apklausoss tiek Savivaldybės administracijoje, tiek biudžetinėse įstaigose dėl darbuotojų psichologinio mikroklimato, tolerancijos korupcijai indeksui nustatyti ir pan. Toliau bus įgyvendami administracinės naštos mažinimo planuose numatyti veiksmai.</w:t>
                  </w:r>
                </w:p>
                <w:p>
                  <w:pPr>
                    <w:tabs>
                      <w:tab w:val="left" w:pos="284"/>
                    </w:tabs>
                    <w:ind w:firstLine="709"/>
                    <w:jc w:val="both"/>
                    <w:rPr>
                      <w:iCs/>
                      <w:szCs w:val="24"/>
                    </w:rPr>
                  </w:pPr>
                  <w:r>
                    <w:rPr>
                      <w:iCs/>
                      <w:szCs w:val="24"/>
                    </w:rPr>
                    <w:t xml:space="preserve">Programa yra tęstinė ir neterminuota. </w:t>
                  </w:r>
                </w:p>
                <w:p>
                  <w:pPr>
                    <w:tabs>
                      <w:tab w:val="left" w:pos="284"/>
                    </w:tabs>
                    <w:ind w:firstLine="709"/>
                    <w:jc w:val="both"/>
                    <w:rPr>
                      <w:bCs/>
                    </w:rPr>
                  </w:pPr>
                  <w:r>
                    <w:rPr>
                      <w:bCs/>
                    </w:rPr>
                    <w:t>Programos koordinatorius: Rasa Rudžinskienė, Bendrųjų reikalų skyriaus vedėja, el. p.</w:t>
                  </w:r>
                  <w:r>
                    <w:rPr>
                      <w:lang w:eastAsia="lt-LT"/>
                    </w:rPr>
                    <w:t xml:space="preserve"> </w:t>
                  </w:r>
                  <w:r>
                    <w:rPr>
                      <w:color w:val="0563C1"/>
                      <w:u w:val="single"/>
                      <w:lang w:eastAsia="lt-LT"/>
                    </w:rPr>
                    <w:t>rasa.rudzinskiene@siauliai.lt</w:t>
                  </w:r>
                  <w:r>
                    <w:t xml:space="preserve">, </w:t>
                  </w:r>
                  <w:r>
                    <w:rPr>
                      <w:bCs/>
                    </w:rPr>
                    <w:t>tel. Nr. (+370 41) 500 523</w:t>
                  </w:r>
                </w:p>
                <w:p>
                  <w:pPr>
                    <w:tabs>
                      <w:tab w:val="left" w:pos="284"/>
                    </w:tabs>
                    <w:ind w:firstLine="709"/>
                    <w:jc w:val="both"/>
                  </w:pPr>
                  <w:r>
                    <w:rPr>
                      <w:bCs/>
                    </w:rPr>
                    <w:t>Programos vykdytojai:</w:t>
                  </w:r>
                  <w:r>
                    <w:rPr>
                      <w:b/>
                    </w:rPr>
                    <w:t xml:space="preserve"> S</w:t>
                  </w:r>
                  <w:r>
                    <w:t>avivaldybės administracijos padaliniai ir įstaigos, identifikuotos pagal vykdomas programos priemones.</w:t>
                  </w:r>
                </w:p>
                <w:p>
                  <w:pPr>
                    <w:tabs>
                      <w:tab w:val="left" w:pos="284"/>
                    </w:tabs>
                    <w:jc w:val="both"/>
                    <w:rPr>
                      <w:b/>
                      <w:bCs/>
                      <w:i/>
                      <w:color w:val="808080"/>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02 Kultūros programa</w:t>
                        </w:r>
                      </w:p>
                    </w:tc>
                  </w:tr>
                </w:tbl>
                <w:p>
                  <w:pPr>
                    <w:ind w:firstLine="709"/>
                    <w:jc w:val="both"/>
                    <w:rPr>
                      <w:iCs/>
                      <w:szCs w:val="24"/>
                    </w:rPr>
                  </w:pPr>
                </w:p>
                <w:p>
                  <w:pPr>
                    <w:ind w:firstLine="709"/>
                    <w:jc w:val="both"/>
                    <w:rPr>
                      <w:iCs/>
                      <w:szCs w:val="24"/>
                    </w:rPr>
                  </w:pPr>
                  <w:r>
                    <w:rPr>
                      <w:iCs/>
                      <w:szCs w:val="24"/>
                    </w:rPr>
                    <w:t>Įgyvendinant programą siekiama užtikrinti įtraukias, konkurencingas kultūrines paslaugas ir jų prieinamumą.</w:t>
                  </w:r>
                </w:p>
                <w:p>
                  <w:pPr>
                    <w:ind w:firstLine="709"/>
                    <w:jc w:val="both"/>
                    <w:rPr>
                      <w:b/>
                      <w:bCs/>
                      <w:i/>
                      <w:szCs w:val="24"/>
                    </w:rPr>
                  </w:pPr>
                  <w:r>
                    <w:rPr>
                      <w:iCs/>
                      <w:szCs w:val="24"/>
                    </w:rPr>
                    <w:t xml:space="preserve">Programos įgyvendinimui numatyti 2 uždaviniai. </w:t>
                  </w:r>
                </w:p>
                <w:p>
                  <w:pPr>
                    <w:tabs>
                      <w:tab w:val="left" w:pos="34"/>
                      <w:tab w:val="left" w:pos="284"/>
                    </w:tabs>
                    <w:jc w:val="both"/>
                    <w:rPr>
                      <w:b/>
                      <w:bCs/>
                      <w:i/>
                      <w:szCs w:val="24"/>
                    </w:rPr>
                  </w:pPr>
                </w:p>
              </w:sdtContent>
            </w:sdt>
            <w:sdt>
              <w:sdtPr>
                <w:alias w:val="poskyris"/>
                <w:tag w:val="part_87d05eb6fd4b4b11be991f5815104d5b"/>
                <w:lock w:val="sdtLocked"/>
                <w:richText/>
              </w:sdtPr>
              <w:sdtContent>
                <w:p>
                  <w:pPr>
                    <w:jc w:val="both"/>
                    <w:rPr>
                      <w:i/>
                      <w:sz w:val="22"/>
                      <w:szCs w:val="22"/>
                    </w:rPr>
                  </w:pPr>
                  <w:sdt>
                    <w:sdtPr>
                      <w:alias w:val="Pavadinimas"/>
                      <w:tag w:val="title_87d05eb6fd4b4b11be991f5815104d5b"/>
                      <w:lock w:val="sdtLocked"/>
                      <w:richText/>
                    </w:sdtPr>
                    <w:sdtContent>
                      <w:r>
                        <w:rPr>
                          <w:b/>
                          <w:bCs/>
                          <w:sz w:val="22"/>
                          <w:szCs w:val="22"/>
                        </w:rPr>
                        <w:t>3 grafikas.</w:t>
                      </w:r>
                      <w:r>
                        <w:rPr>
                          <w:i/>
                          <w:sz w:val="22"/>
                          <w:szCs w:val="22"/>
                        </w:rPr>
                        <w:t xml:space="preserve"> </w:t>
                      </w:r>
                      <w:r>
                        <w:rPr>
                          <w:b/>
                          <w:bCs/>
                          <w:sz w:val="22"/>
                          <w:szCs w:val="22"/>
                        </w:rPr>
                        <w:t>Kultūros programa ir jos uždaviniai</w:t>
                      </w:r>
                      <w:r>
                        <w:rPr>
                          <w:i/>
                          <w:sz w:val="22"/>
                          <w:szCs w:val="22"/>
                        </w:rPr>
                        <w:t xml:space="preserve"> </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065C89E1" wp14:editId="130A6EED">
                        <wp:extent cx="6165850" cy="3252084"/>
                        <wp:effectExtent l="38100" t="0" r="63500" b="24765"/>
                        <wp:docPr id="615586999" name="Diagrama 43"/>
                        <wp:cNvGraphicFramePr/>
                        <a:graphic xmlns:a="http://schemas.openxmlformats.org/drawingml/2006/main">
                          <a:graphicData uri="http://schemas.openxmlformats.org/drawingml/2006/diagram">
                            <dgm:relIds xmlns:dgm="http://schemas.openxmlformats.org/drawingml/2006/diagram" r:dm="rId20" r:lo="rId21" r:qs="rId22" r:cs="rId23"/>
                          </a:graphicData>
                        </a:graphic>
                      </wp:inline>
                    </w:drawing>
                  </w:r>
                </w:p>
                <w:p>
                  <w:pPr>
                    <w:tabs>
                      <w:tab w:val="left" w:pos="34"/>
                      <w:tab w:val="left" w:pos="284"/>
                    </w:tabs>
                    <w:jc w:val="both"/>
                    <w:rPr>
                      <w:b/>
                      <w:bCs/>
                      <w:i/>
                      <w:color w:val="808080"/>
                      <w:szCs w:val="24"/>
                    </w:rPr>
                  </w:pPr>
                </w:p>
                <w:p>
                  <w:pPr>
                    <w:tabs>
                      <w:tab w:val="left" w:pos="34"/>
                      <w:tab w:val="left" w:pos="284"/>
                    </w:tabs>
                    <w:ind w:firstLine="720"/>
                    <w:jc w:val="both"/>
                    <w:rPr>
                      <w:iCs/>
                      <w:szCs w:val="24"/>
                    </w:rPr>
                  </w:pPr>
                </w:p>
                <w:p>
                  <w:pPr>
                    <w:tabs>
                      <w:tab w:val="left" w:pos="34"/>
                      <w:tab w:val="left" w:pos="284"/>
                    </w:tabs>
                    <w:ind w:firstLine="720"/>
                    <w:jc w:val="both"/>
                    <w:rPr>
                      <w:iCs/>
                      <w:szCs w:val="24"/>
                    </w:rPr>
                  </w:pPr>
                  <w:r>
                    <w:rPr>
                      <w:iCs/>
                      <w:szCs w:val="24"/>
                    </w:rPr>
                    <w:t xml:space="preserve">02-01 uždavinys orientuotas į „minkštųjų“ priemonių (įstaigų išlaikymas, veiklos vykdymas, projektų įgyvendinimas ir pan.) įgyvendinimą, didinant miesto kultūrinio gyvenimo aktyvumą. 02-02 uždavinio priemonės numato „kietųjų“ priemonių (infrastruktūros priežiūra ir plėtra), prisidedančių prie gyventojų poreikius atitinkančios kultūros infrastruktūros išvystymo, įgyvendinimą. Visi uždaviniai prisideda prie ŠSPP įgyvendinimo. Programos priemonės, joms įgyvendinti reikalingos lėšos ir planuojami pasiekti rodikliai pateikiami 1 PRIEDE. </w:t>
                  </w:r>
                </w:p>
                <w:p>
                  <w:pPr>
                    <w:tabs>
                      <w:tab w:val="left" w:pos="34"/>
                      <w:tab w:val="left" w:pos="284"/>
                    </w:tabs>
                    <w:ind w:firstLine="720"/>
                    <w:jc w:val="both"/>
                    <w:rPr>
                      <w:iCs/>
                      <w:szCs w:val="24"/>
                    </w:rPr>
                  </w:pPr>
                  <w:r>
                    <w:rPr>
                      <w:iCs/>
                      <w:szCs w:val="24"/>
                    </w:rPr>
                    <w:t xml:space="preserve">Programa yra tęstinė ir neterminuota. </w:t>
                  </w:r>
                </w:p>
                <w:p>
                  <w:pPr>
                    <w:tabs>
                      <w:tab w:val="left" w:pos="34"/>
                      <w:tab w:val="left" w:pos="284"/>
                    </w:tabs>
                    <w:ind w:firstLine="720"/>
                    <w:jc w:val="both"/>
                    <w:rPr>
                      <w:iCs/>
                      <w:szCs w:val="24"/>
                    </w:rPr>
                  </w:pPr>
                  <w:r>
                    <w:rPr>
                      <w:bCs/>
                    </w:rPr>
                    <w:t>Programos koordinatorius:</w:t>
                  </w:r>
                  <w:r>
                    <w:rPr>
                      <w:iCs/>
                      <w:szCs w:val="24"/>
                    </w:rPr>
                    <w:t xml:space="preserve"> </w:t>
                  </w:r>
                  <w:r>
                    <w:rPr>
                      <w:kern w:val="2"/>
                      <w:szCs w:val="24"/>
                    </w:rPr>
                    <w:t xml:space="preserve">Daina Kinčinaitienė, Kultūros skyriaus vedėja, el. p. </w:t>
                  </w:r>
                  <w:r>
                    <w:rPr>
                      <w:u w:val="single"/>
                      <w:lang w:eastAsia="lt-LT"/>
                    </w:rPr>
                    <w:t>daina.kincinaitiene@siauliai.lt</w:t>
                  </w:r>
                  <w:r>
                    <w:rPr>
                      <w:lang w:eastAsia="lt-LT"/>
                    </w:rPr>
                    <w:t xml:space="preserve">, </w:t>
                  </w:r>
                  <w:r>
                    <w:rPr>
                      <w:kern w:val="2"/>
                      <w:szCs w:val="24"/>
                    </w:rPr>
                    <w:t>tel. Nr. (+370 41) 500 531</w:t>
                  </w:r>
                </w:p>
                <w:p>
                  <w:pPr>
                    <w:tabs>
                      <w:tab w:val="left" w:pos="284"/>
                    </w:tabs>
                    <w:ind w:firstLine="709"/>
                    <w:jc w:val="both"/>
                  </w:pPr>
                  <w:r>
                    <w:rPr>
                      <w:bCs/>
                    </w:rPr>
                    <w:t>Programos vykdytojai:</w:t>
                  </w:r>
                  <w:r>
                    <w:rPr>
                      <w:b/>
                    </w:rPr>
                    <w:t xml:space="preserve"> S</w:t>
                  </w:r>
                  <w:r>
                    <w:t>avivaldybės administracijos padaliniai ir įstaigos, identifikuotos pagal vykdomas programos priemones</w:t>
                  </w:r>
                </w:p>
                <w:p>
                  <w:pPr>
                    <w:tabs>
                      <w:tab w:val="left" w:pos="284"/>
                    </w:tabs>
                    <w:jc w:val="both"/>
                    <w:rPr>
                      <w:b/>
                      <w:bCs/>
                      <w:i/>
                      <w:color w:val="808080"/>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03 Aplinkos apsaugos programa</w:t>
                        </w:r>
                      </w:p>
                    </w:tc>
                  </w:tr>
                </w:tbl>
                <w:p>
                  <w:pPr>
                    <w:ind w:firstLine="709"/>
                    <w:jc w:val="both"/>
                    <w:rPr>
                      <w:iCs/>
                      <w:szCs w:val="24"/>
                    </w:rPr>
                  </w:pPr>
                </w:p>
                <w:p>
                  <w:pPr>
                    <w:ind w:firstLine="709"/>
                    <w:jc w:val="both"/>
                    <w:rPr>
                      <w:iCs/>
                      <w:szCs w:val="24"/>
                    </w:rPr>
                  </w:pPr>
                  <w:r>
                    <w:rPr>
                      <w:iCs/>
                      <w:szCs w:val="24"/>
                    </w:rPr>
                    <w:t>Įgyvendinant programą siekiama pagerinti aplinkos kokybę mieste, užtikrinant poveikio klimatui neutralumą.</w:t>
                  </w:r>
                </w:p>
                <w:p>
                  <w:pPr>
                    <w:ind w:firstLine="709"/>
                    <w:jc w:val="both"/>
                    <w:rPr>
                      <w:b/>
                      <w:bCs/>
                      <w:i/>
                      <w:szCs w:val="24"/>
                    </w:rPr>
                  </w:pPr>
                  <w:r>
                    <w:rPr>
                      <w:iCs/>
                      <w:szCs w:val="24"/>
                    </w:rPr>
                    <w:t xml:space="preserve">Programos įgyvendinimui numatyti 2 uždaviniai. </w:t>
                  </w:r>
                </w:p>
                <w:p>
                  <w:pPr>
                    <w:tabs>
                      <w:tab w:val="left" w:pos="34"/>
                      <w:tab w:val="left" w:pos="284"/>
                    </w:tabs>
                    <w:jc w:val="both"/>
                    <w:rPr>
                      <w:b/>
                      <w:bCs/>
                      <w:i/>
                      <w:szCs w:val="24"/>
                    </w:rPr>
                  </w:pPr>
                </w:p>
              </w:sdtContent>
            </w:sdt>
            <w:sdt>
              <w:sdtPr>
                <w:alias w:val="poskyris"/>
                <w:tag w:val="part_7f0dacfd84a9415ea28021da84113f8a"/>
                <w:lock w:val="sdtLocked"/>
                <w:richText/>
              </w:sdtPr>
              <w:sdtContent>
                <w:p>
                  <w:pPr>
                    <w:jc w:val="both"/>
                    <w:rPr>
                      <w:i/>
                      <w:sz w:val="22"/>
                      <w:szCs w:val="22"/>
                    </w:rPr>
                  </w:pPr>
                  <w:sdt>
                    <w:sdtPr>
                      <w:alias w:val="Pavadinimas"/>
                      <w:tag w:val="title_7f0dacfd84a9415ea28021da84113f8a"/>
                      <w:lock w:val="sdtLocked"/>
                      <w:richText/>
                    </w:sdtPr>
                    <w:sdtContent>
                      <w:r>
                        <w:rPr>
                          <w:b/>
                          <w:bCs/>
                          <w:sz w:val="22"/>
                          <w:szCs w:val="22"/>
                        </w:rPr>
                        <w:t>4 grafikas.</w:t>
                      </w:r>
                      <w:r>
                        <w:rPr>
                          <w:i/>
                          <w:sz w:val="22"/>
                          <w:szCs w:val="22"/>
                        </w:rPr>
                        <w:t xml:space="preserve"> </w:t>
                      </w:r>
                      <w:r>
                        <w:rPr>
                          <w:b/>
                          <w:bCs/>
                          <w:sz w:val="22"/>
                          <w:szCs w:val="22"/>
                        </w:rPr>
                        <w:t>Aplinkos apsaugos programa ir jos uždaviniai</w:t>
                      </w:r>
                      <w:r>
                        <w:rPr>
                          <w:i/>
                          <w:sz w:val="22"/>
                          <w:szCs w:val="22"/>
                        </w:rPr>
                        <w:t xml:space="preserve"> </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22D631AF" wp14:editId="00D12DD2">
                        <wp:extent cx="6146800" cy="3689405"/>
                        <wp:effectExtent l="38100" t="0" r="63500" b="25400"/>
                        <wp:docPr id="1144789258" name="Diagrama 43"/>
                        <wp:cNvGraphicFramePr/>
                        <a:graphic xmlns:a="http://schemas.openxmlformats.org/drawingml/2006/main">
                          <a:graphicData uri="http://schemas.openxmlformats.org/drawingml/2006/diagram">
                            <dgm:relIds xmlns:dgm="http://schemas.openxmlformats.org/drawingml/2006/diagram" r:dm="rId26" r:lo="rId27" r:qs="rId28" r:cs="rId29"/>
                          </a:graphicData>
                        </a:graphic>
                      </wp:inline>
                    </w:drawing>
                  </w:r>
                </w:p>
                <w:p>
                  <w:pPr>
                    <w:tabs>
                      <w:tab w:val="left" w:pos="34"/>
                      <w:tab w:val="left" w:pos="284"/>
                    </w:tabs>
                    <w:jc w:val="both"/>
                    <w:rPr>
                      <w:b/>
                      <w:bCs/>
                      <w:i/>
                      <w:color w:val="808080"/>
                      <w:szCs w:val="24"/>
                    </w:rPr>
                  </w:pPr>
                </w:p>
                <w:p>
                  <w:pPr>
                    <w:tabs>
                      <w:tab w:val="left" w:pos="34"/>
                      <w:tab w:val="left" w:pos="284"/>
                    </w:tabs>
                    <w:ind w:firstLine="720"/>
                    <w:jc w:val="both"/>
                    <w:rPr>
                      <w:iCs/>
                      <w:szCs w:val="24"/>
                    </w:rPr>
                  </w:pPr>
                  <w:r>
                    <w:rPr>
                      <w:iCs/>
                      <w:szCs w:val="24"/>
                    </w:rPr>
                    <w:t xml:space="preserve">03-01 uždavinys orientuotas į biologinės įvairovės išsaugojimą, želdinių priežiūrą ir plėtrą, aplinkos oro kokybės valdymo programos priemonių įgyvendinimą, lietaus nuotekų sistemos griovių tvarkymą ir pan. 03-02 uždavinio priemonės, susijusios su komunalinių atliekų rūšiuojamuoju surinkimu. Visi uždaviniai prisideda prie ŠSPP įgyvendinimo. Programos priemonės, joms įgyvendinti reikalingos lėšos ir planuojami pasiekti rodikliai pateikiami 1 PRIEDE. </w:t>
                  </w:r>
                </w:p>
                <w:p>
                  <w:pPr>
                    <w:tabs>
                      <w:tab w:val="left" w:pos="34"/>
                      <w:tab w:val="left" w:pos="284"/>
                    </w:tabs>
                    <w:ind w:firstLine="720"/>
                    <w:jc w:val="both"/>
                    <w:rPr>
                      <w:iCs/>
                      <w:szCs w:val="24"/>
                    </w:rPr>
                  </w:pPr>
                  <w:r>
                    <w:rPr>
                      <w:iCs/>
                      <w:szCs w:val="24"/>
                    </w:rPr>
                    <w:t xml:space="preserve">Programa yra tęstinė ir neterminuota. </w:t>
                  </w:r>
                </w:p>
                <w:p>
                  <w:pPr>
                    <w:tabs>
                      <w:tab w:val="left" w:pos="34"/>
                      <w:tab w:val="left" w:pos="284"/>
                    </w:tabs>
                    <w:ind w:firstLine="720"/>
                    <w:jc w:val="both"/>
                    <w:rPr>
                      <w:iCs/>
                      <w:szCs w:val="24"/>
                    </w:rPr>
                  </w:pPr>
                  <w:r>
                    <w:rPr>
                      <w:bCs/>
                    </w:rPr>
                    <w:t>Programos koordinatorius:</w:t>
                  </w:r>
                  <w:r>
                    <w:rPr>
                      <w:iCs/>
                      <w:szCs w:val="24"/>
                    </w:rPr>
                    <w:t xml:space="preserve"> </w:t>
                  </w:r>
                  <w:r>
                    <w:rPr>
                      <w:kern w:val="2"/>
                      <w:szCs w:val="24"/>
                    </w:rPr>
                    <w:t xml:space="preserve">Eglė Bružienė, Miesto ūkio ir aplinkos skyriaus vedėja, el. p. </w:t>
                  </w:r>
                  <w:r>
                    <w:rPr>
                      <w:color w:val="0563C1"/>
                      <w:u w:val="single"/>
                      <w:lang w:eastAsia="lt-LT"/>
                    </w:rPr>
                    <w:t>egle.bruziene@siauliai.lt</w:t>
                  </w:r>
                  <w:r>
                    <w:rPr>
                      <w:lang w:eastAsia="lt-LT"/>
                    </w:rPr>
                    <w:t xml:space="preserve">, </w:t>
                  </w:r>
                  <w:r>
                    <w:rPr>
                      <w:kern w:val="2"/>
                      <w:szCs w:val="24"/>
                    </w:rPr>
                    <w:t>tel. Nr. (+370 41) 596 320</w:t>
                  </w:r>
                </w:p>
                <w:p>
                  <w:pPr>
                    <w:ind w:firstLine="720"/>
                    <w:jc w:val="both"/>
                  </w:pPr>
                  <w:r>
                    <w:rPr>
                      <w:bCs/>
                    </w:rPr>
                    <w:t>Programos vykdytojai:</w:t>
                  </w:r>
                  <w:r>
                    <w:rPr>
                      <w:b/>
                    </w:rPr>
                    <w:t xml:space="preserve"> S</w:t>
                  </w:r>
                  <w:r>
                    <w:t>avivaldybės administracijos padaliniai ir įstaigos, įmonės identifikuotos pagal vykdomas programos priemones.</w:t>
                  </w:r>
                </w:p>
                <w:p>
                  <w:pPr>
                    <w:ind w:firstLine="720"/>
                    <w:jc w:val="both"/>
                  </w:pPr>
                </w:p>
                <w:p>
                  <w:pPr>
                    <w:ind w:firstLine="720"/>
                    <w:jc w:val="both"/>
                  </w:pPr>
                </w:p>
                <w:p>
                  <w:pPr>
                    <w:ind w:firstLine="720"/>
                    <w:jc w:val="both"/>
                  </w:pPr>
                </w:p>
                <w:p>
                  <w:pPr>
                    <w:ind w:firstLine="720"/>
                    <w:jc w:val="both"/>
                  </w:pPr>
                </w:p>
                <w:p>
                  <w:pPr>
                    <w:ind w:firstLine="720"/>
                    <w:jc w:val="both"/>
                  </w:pPr>
                </w:p>
                <w:p>
                  <w:pPr>
                    <w:ind w:firstLine="720"/>
                    <w:jc w:val="both"/>
                  </w:pPr>
                </w:p>
                <w:p>
                  <w:pPr>
                    <w:ind w:firstLine="720"/>
                    <w:jc w:val="both"/>
                  </w:pPr>
                </w:p>
                <w:p>
                  <w:pPr>
                    <w:ind w:firstLine="720"/>
                    <w:jc w:val="both"/>
                  </w:pPr>
                </w:p>
                <w:p>
                  <w:pPr>
                    <w:ind w:firstLine="720"/>
                    <w:jc w:val="both"/>
                  </w:pPr>
                </w:p>
                <w:p>
                  <w:pPr>
                    <w:jc w:val="both"/>
                    <w:rPr>
                      <w:rFonts w:eastAsia="Calibri"/>
                      <w:b/>
                      <w:bCs/>
                      <w:color w:val="000000"/>
                      <w:szCs w:val="24"/>
                    </w:rPr>
                  </w:pPr>
                </w:p>
                <w:tbl>
                  <w:tblPr>
                    <w:tblW w:w="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04 Urbanistinės plėtros ir infrastruktūros programa</w:t>
                        </w:r>
                      </w:p>
                    </w:tc>
                  </w:tr>
                </w:tbl>
                <w:p>
                  <w:pPr>
                    <w:ind w:firstLine="709"/>
                    <w:jc w:val="both"/>
                    <w:rPr>
                      <w:iCs/>
                      <w:szCs w:val="24"/>
                    </w:rPr>
                  </w:pPr>
                </w:p>
                <w:p>
                  <w:pPr>
                    <w:ind w:firstLine="709"/>
                    <w:jc w:val="both"/>
                    <w:rPr>
                      <w:iCs/>
                      <w:szCs w:val="24"/>
                    </w:rPr>
                  </w:pPr>
                  <w:r>
                    <w:rPr>
                      <w:iCs/>
                      <w:szCs w:val="24"/>
                    </w:rPr>
                    <w:t>Įgyvendinant programą siekiama formuoti gyvybingą, tvarią ir darniai sujungtą miesto struktūrą.</w:t>
                  </w:r>
                </w:p>
                <w:p>
                  <w:pPr>
                    <w:ind w:firstLine="709"/>
                    <w:jc w:val="both"/>
                    <w:rPr>
                      <w:iCs/>
                      <w:szCs w:val="24"/>
                    </w:rPr>
                  </w:pPr>
                  <w:r>
                    <w:rPr>
                      <w:iCs/>
                      <w:szCs w:val="24"/>
                    </w:rPr>
                    <w:t xml:space="preserve">Programos įgyvendinimui numatyti 3 uždaviniai. </w:t>
                  </w:r>
                </w:p>
                <w:p>
                  <w:pPr>
                    <w:jc w:val="both"/>
                    <w:rPr>
                      <w:b/>
                      <w:bCs/>
                      <w:sz w:val="22"/>
                      <w:szCs w:val="22"/>
                    </w:rPr>
                  </w:pPr>
                </w:p>
              </w:sdtContent>
            </w:sdt>
            <w:sdt>
              <w:sdtPr>
                <w:alias w:val="poskyris"/>
                <w:tag w:val="part_b4690218fe174046a67c8e28b39ec3d6"/>
                <w:lock w:val="sdtLocked"/>
                <w:richText/>
              </w:sdtPr>
              <w:sdtContent>
                <w:p>
                  <w:pPr>
                    <w:jc w:val="both"/>
                    <w:rPr>
                      <w:i/>
                      <w:sz w:val="22"/>
                      <w:szCs w:val="22"/>
                    </w:rPr>
                  </w:pPr>
                  <w:sdt>
                    <w:sdtPr>
                      <w:alias w:val="Pavadinimas"/>
                      <w:tag w:val="title_b4690218fe174046a67c8e28b39ec3d6"/>
                      <w:lock w:val="sdtLocked"/>
                      <w:richText/>
                    </w:sdtPr>
                    <w:sdtContent>
                      <w:r>
                        <w:rPr>
                          <w:b/>
                          <w:bCs/>
                          <w:sz w:val="22"/>
                          <w:szCs w:val="22"/>
                        </w:rPr>
                        <w:t>5 grafikas.</w:t>
                      </w:r>
                      <w:r>
                        <w:rPr>
                          <w:i/>
                          <w:sz w:val="22"/>
                          <w:szCs w:val="22"/>
                        </w:rPr>
                        <w:t xml:space="preserve"> </w:t>
                      </w:r>
                      <w:r>
                        <w:rPr>
                          <w:b/>
                          <w:bCs/>
                          <w:iCs/>
                          <w:sz w:val="22"/>
                          <w:szCs w:val="22"/>
                        </w:rPr>
                        <w:t>Urbanistinės plėtros ir infrastruktūros</w:t>
                      </w:r>
                      <w:r>
                        <w:rPr>
                          <w:b/>
                          <w:bCs/>
                          <w:sz w:val="22"/>
                          <w:szCs w:val="22"/>
                        </w:rPr>
                        <w:t xml:space="preserve"> programa ir jos uždaviniai</w:t>
                      </w:r>
                      <w:r>
                        <w:rPr>
                          <w:i/>
                          <w:sz w:val="22"/>
                          <w:szCs w:val="22"/>
                        </w:rPr>
                        <w:t xml:space="preserve"> </w:t>
                      </w:r>
                    </w:sdtContent>
                  </w:sdt>
                </w:p>
                <w:p>
                  <w:pPr>
                    <w:jc w:val="both"/>
                    <w:rPr>
                      <w:i/>
                      <w:sz w:val="22"/>
                      <w:szCs w:val="22"/>
                    </w:rPr>
                  </w:pPr>
                </w:p>
                <w:p>
                  <w:pPr>
                    <w:jc w:val="both"/>
                    <w:rPr>
                      <w:i/>
                      <w:color w:val="808080"/>
                      <w:szCs w:val="24"/>
                    </w:rPr>
                  </w:pPr>
                  <w:r>
                    <w:rPr>
                      <w:b/>
                      <w:sz w:val="20"/>
                      <w:lang w:val="en-US"/>
                    </w:rPr>
                    <w:drawing>
                      <wp:inline distT="0" distB="0" distL="0" distR="0" wp14:anchorId="0C731B02" wp14:editId="66676913">
                        <wp:extent cx="6013450" cy="4945711"/>
                        <wp:effectExtent l="38100" t="0" r="63500" b="26670"/>
                        <wp:docPr id="760012065" name="Diagrama 43"/>
                        <wp:cNvGraphicFramePr/>
                        <a:graphic xmlns:a="http://schemas.openxmlformats.org/drawingml/2006/main">
                          <a:graphicData uri="http://schemas.openxmlformats.org/drawingml/2006/diagram">
                            <dgm:relIds xmlns:dgm="http://schemas.openxmlformats.org/drawingml/2006/diagram" r:dm="rId32" r:lo="rId33" r:qs="rId34" r:cs="rId35"/>
                          </a:graphicData>
                        </a:graphic>
                      </wp:inline>
                    </w:drawing>
                  </w:r>
                </w:p>
                <w:p>
                  <w:pPr>
                    <w:tabs>
                      <w:tab w:val="left" w:pos="34"/>
                      <w:tab w:val="left" w:pos="284"/>
                    </w:tabs>
                    <w:ind w:firstLine="718"/>
                    <w:jc w:val="both"/>
                    <w:rPr>
                      <w:iCs/>
                      <w:szCs w:val="24"/>
                    </w:rPr>
                  </w:pPr>
                </w:p>
                <w:p>
                  <w:pPr>
                    <w:tabs>
                      <w:tab w:val="left" w:pos="34"/>
                      <w:tab w:val="left" w:pos="284"/>
                    </w:tabs>
                    <w:ind w:firstLine="737"/>
                    <w:jc w:val="both"/>
                    <w:rPr>
                      <w:b/>
                      <w:bCs/>
                      <w:i/>
                      <w:color w:val="808080"/>
                      <w:szCs w:val="24"/>
                    </w:rPr>
                  </w:pPr>
                  <w:r>
                    <w:rPr>
                      <w:iCs/>
                      <w:szCs w:val="24"/>
                    </w:rPr>
                    <w:t>04-01 uždavinys orientuotas į tvarų, miesto identitetą pabrėžiantį miesto planavimą. 04-02 uždavinio priemonės, susijusios su kelių, gatvių tiesimu, rekonstrukcija, dviračių takų tinklo plėtra ir atnaujinimu, viešojo transporto kokybės gerinimu, saugumą didinančių priemonių įgyvendinimu mieste.</w:t>
                  </w:r>
                  <w:r>
                    <w:t xml:space="preserve"> </w:t>
                  </w:r>
                  <w:r>
                    <w:rPr>
                      <w:iCs/>
                      <w:szCs w:val="24"/>
                    </w:rPr>
                    <w:t>04-03 uždavinio priemonės, susijusios su viešųjų erdvių atnaujinimu ir plėtra, tvarios miesto infrastuktūros vystymu. Visi uždaviniai prisideda ir prie ŠSPP įgyvendinimo.</w:t>
                  </w:r>
                </w:p>
                <w:p>
                  <w:pPr>
                    <w:tabs>
                      <w:tab w:val="left" w:pos="34"/>
                      <w:tab w:val="left" w:pos="284"/>
                    </w:tabs>
                    <w:ind w:firstLine="720"/>
                    <w:jc w:val="both"/>
                    <w:rPr>
                      <w:iCs/>
                      <w:szCs w:val="24"/>
                    </w:rPr>
                  </w:pPr>
                  <w:r>
                    <w:rPr>
                      <w:iCs/>
                      <w:szCs w:val="24"/>
                    </w:rPr>
                    <w:t xml:space="preserve">Programoje numatomos nefinansinės priemonės, kurios orientuotos į elektromobilių pakrovimo stotelių tinklo plėtrą. Programos priemonės, joms įgyvendinti reikalingos lėšos ir planuojami pasiekti rodikliai pateikiami 1 PRIEDE. </w:t>
                  </w:r>
                </w:p>
                <w:p>
                  <w:pPr>
                    <w:tabs>
                      <w:tab w:val="left" w:pos="34"/>
                      <w:tab w:val="left" w:pos="284"/>
                    </w:tabs>
                    <w:ind w:firstLine="720"/>
                    <w:jc w:val="both"/>
                    <w:rPr>
                      <w:iCs/>
                      <w:szCs w:val="24"/>
                    </w:rPr>
                  </w:pPr>
                  <w:r>
                    <w:rPr>
                      <w:iCs/>
                      <w:szCs w:val="24"/>
                    </w:rPr>
                    <w:t xml:space="preserve">Programa yra tęstinė ir neterminuota. </w:t>
                  </w:r>
                </w:p>
                <w:p>
                  <w:pPr>
                    <w:tabs>
                      <w:tab w:val="left" w:pos="34"/>
                      <w:tab w:val="left" w:pos="284"/>
                    </w:tabs>
                    <w:ind w:firstLine="720"/>
                    <w:jc w:val="both"/>
                    <w:rPr>
                      <w:iCs/>
                      <w:szCs w:val="24"/>
                    </w:rPr>
                  </w:pPr>
                  <w:r>
                    <w:rPr>
                      <w:bCs/>
                    </w:rPr>
                    <w:t>Programos koordinatoriai:</w:t>
                  </w:r>
                  <w:r>
                    <w:rPr>
                      <w:iCs/>
                      <w:szCs w:val="24"/>
                    </w:rPr>
                    <w:t xml:space="preserve"> </w:t>
                  </w:r>
                  <w:r>
                    <w:rPr>
                      <w:kern w:val="2"/>
                      <w:szCs w:val="24"/>
                    </w:rPr>
                    <w:t xml:space="preserve">Vilija Vaičekauskienė, Architektūros skyriaus vedėja, el. p. </w:t>
                  </w:r>
                  <w:r>
                    <w:rPr>
                      <w:color w:val="0563C1"/>
                      <w:kern w:val="2"/>
                      <w:szCs w:val="24"/>
                      <w:u w:val="single"/>
                    </w:rPr>
                    <w:t>vilija.vaicekauskiene@siauliai.lt</w:t>
                  </w:r>
                  <w:r>
                    <w:rPr>
                      <w:kern w:val="2"/>
                      <w:szCs w:val="24"/>
                    </w:rPr>
                    <w:t xml:space="preserve">, tel. Nr. (+370 41) 596 318 ir Eglė Bružienė, Miesto ūkio ir aplinkos skyriaus vedėja, el. p. </w:t>
                  </w:r>
                  <w:r>
                    <w:rPr>
                      <w:color w:val="0563C1"/>
                      <w:u w:val="single"/>
                      <w:lang w:eastAsia="lt-LT"/>
                    </w:rPr>
                    <w:t>egle.bruziene@siauliai.lt</w:t>
                  </w:r>
                  <w:r>
                    <w:rPr>
                      <w:lang w:eastAsia="lt-LT"/>
                    </w:rPr>
                    <w:t xml:space="preserve">, </w:t>
                  </w:r>
                  <w:r>
                    <w:rPr>
                      <w:kern w:val="2"/>
                      <w:szCs w:val="24"/>
                    </w:rPr>
                    <w:t xml:space="preserve">tel. Nr. (+370 41) 596 320 </w:t>
                  </w:r>
                </w:p>
                <w:p>
                  <w:pPr>
                    <w:ind w:firstLine="720"/>
                    <w:jc w:val="both"/>
                  </w:pPr>
                  <w:r>
                    <w:rPr>
                      <w:bCs/>
                    </w:rPr>
                    <w:t>Programos vykdytojai:</w:t>
                  </w:r>
                  <w:r>
                    <w:rPr>
                      <w:b/>
                    </w:rPr>
                    <w:t xml:space="preserve"> S</w:t>
                  </w:r>
                  <w:r>
                    <w:t>avivaldybės administracijos padaliniai ir įstaigos, įmonės identifikuotos pagal vykdomas programos priemones</w:t>
                  </w:r>
                </w:p>
                <w:p>
                  <w:pPr>
                    <w:jc w:val="both"/>
                    <w:rPr>
                      <w:rFonts w:eastAsia="Calibri"/>
                      <w:b/>
                      <w:bCs/>
                      <w:color w:val="000000"/>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05 Ekonominės plėtros programa</w:t>
                        </w:r>
                      </w:p>
                    </w:tc>
                  </w:tr>
                </w:tbl>
                <w:p>
                  <w:pPr>
                    <w:ind w:firstLine="709"/>
                    <w:jc w:val="both"/>
                    <w:rPr>
                      <w:iCs/>
                      <w:szCs w:val="24"/>
                    </w:rPr>
                  </w:pPr>
                </w:p>
                <w:p>
                  <w:pPr>
                    <w:ind w:firstLine="709"/>
                    <w:jc w:val="both"/>
                    <w:rPr>
                      <w:iCs/>
                      <w:szCs w:val="24"/>
                    </w:rPr>
                  </w:pPr>
                  <w:r>
                    <w:rPr>
                      <w:iCs/>
                      <w:szCs w:val="24"/>
                    </w:rPr>
                    <w:t>Įgyvendinant programą siekiama skatinti miesto ekonominę plėtrą, sudarant palankias sąlygas verslo, turizmo ir laisvalaikio vystymuisi</w:t>
                  </w:r>
                </w:p>
                <w:p>
                  <w:pPr>
                    <w:ind w:firstLine="709"/>
                    <w:jc w:val="both"/>
                    <w:rPr>
                      <w:iCs/>
                      <w:szCs w:val="24"/>
                    </w:rPr>
                  </w:pPr>
                  <w:r>
                    <w:rPr>
                      <w:iCs/>
                      <w:szCs w:val="24"/>
                    </w:rPr>
                    <w:t xml:space="preserve">Programos įgyvendinimui numatyti 3 uždaviniai. </w:t>
                  </w:r>
                </w:p>
                <w:p>
                  <w:pPr>
                    <w:jc w:val="both"/>
                    <w:rPr>
                      <w:b/>
                      <w:bCs/>
                      <w:sz w:val="22"/>
                      <w:szCs w:val="22"/>
                    </w:rPr>
                  </w:pPr>
                </w:p>
              </w:sdtContent>
            </w:sdt>
            <w:sdt>
              <w:sdtPr>
                <w:alias w:val="poskyris"/>
                <w:tag w:val="part_ffa49e99db0f48c8b18750b311346dc3"/>
                <w:lock w:val="sdtLocked"/>
                <w:richText/>
              </w:sdtPr>
              <w:sdtContent>
                <w:p>
                  <w:pPr>
                    <w:jc w:val="both"/>
                    <w:rPr>
                      <w:i/>
                      <w:sz w:val="22"/>
                      <w:szCs w:val="22"/>
                    </w:rPr>
                  </w:pPr>
                  <w:sdt>
                    <w:sdtPr>
                      <w:alias w:val="Pavadinimas"/>
                      <w:tag w:val="title_ffa49e99db0f48c8b18750b311346dc3"/>
                      <w:lock w:val="sdtLocked"/>
                      <w:richText/>
                    </w:sdtPr>
                    <w:sdtContent>
                      <w:r>
                        <w:rPr>
                          <w:b/>
                          <w:bCs/>
                          <w:sz w:val="22"/>
                          <w:szCs w:val="22"/>
                        </w:rPr>
                        <w:t>6 grafikas.</w:t>
                      </w:r>
                      <w:r>
                        <w:rPr>
                          <w:i/>
                          <w:sz w:val="22"/>
                          <w:szCs w:val="22"/>
                        </w:rPr>
                        <w:t xml:space="preserve"> </w:t>
                      </w:r>
                      <w:r>
                        <w:rPr>
                          <w:b/>
                          <w:bCs/>
                          <w:sz w:val="22"/>
                          <w:szCs w:val="22"/>
                        </w:rPr>
                        <w:t>Ekonominės plėtros programa ir jos uždaviniai</w:t>
                      </w:r>
                      <w:r>
                        <w:rPr>
                          <w:i/>
                          <w:sz w:val="22"/>
                          <w:szCs w:val="22"/>
                        </w:rPr>
                        <w:t xml:space="preserve"> </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1B717786" wp14:editId="23EC40B4">
                        <wp:extent cx="6096000" cy="4945711"/>
                        <wp:effectExtent l="38100" t="0" r="57150" b="26670"/>
                        <wp:docPr id="2009554355" name="Diagrama 43"/>
                        <wp:cNvGraphicFramePr/>
                        <a:graphic xmlns:a="http://schemas.openxmlformats.org/drawingml/2006/main">
                          <a:graphicData uri="http://schemas.openxmlformats.org/drawingml/2006/diagram">
                            <dgm:relIds xmlns:dgm="http://schemas.openxmlformats.org/drawingml/2006/diagram" r:dm="rId39" r:lo="rId40" r:qs="rId41" r:cs="rId42"/>
                          </a:graphicData>
                        </a:graphic>
                      </wp:inline>
                    </w:drawing>
                  </w:r>
                </w:p>
                <w:p>
                  <w:pPr>
                    <w:tabs>
                      <w:tab w:val="left" w:pos="34"/>
                      <w:tab w:val="left" w:pos="284"/>
                    </w:tabs>
                    <w:jc w:val="both"/>
                    <w:rPr>
                      <w:b/>
                      <w:bCs/>
                      <w:i/>
                      <w:color w:val="808080"/>
                      <w:szCs w:val="24"/>
                    </w:rPr>
                  </w:pPr>
                </w:p>
                <w:p>
                  <w:pPr>
                    <w:tabs>
                      <w:tab w:val="left" w:pos="34"/>
                      <w:tab w:val="left" w:pos="284"/>
                    </w:tabs>
                    <w:ind w:firstLine="720"/>
                    <w:jc w:val="both"/>
                    <w:rPr>
                      <w:iCs/>
                      <w:szCs w:val="24"/>
                    </w:rPr>
                  </w:pPr>
                </w:p>
                <w:p>
                  <w:pPr>
                    <w:tabs>
                      <w:tab w:val="left" w:pos="34"/>
                      <w:tab w:val="left" w:pos="284"/>
                    </w:tabs>
                    <w:ind w:firstLine="720"/>
                    <w:jc w:val="both"/>
                    <w:rPr>
                      <w:rFonts w:ascii="Symbol" w:hAnsi="Symbol"/>
                      <w:szCs w:val="24"/>
                    </w:rPr>
                  </w:pPr>
                  <w:r>
                    <w:rPr>
                      <w:iCs/>
                      <w:szCs w:val="24"/>
                    </w:rPr>
                    <w:t xml:space="preserve">05-01 uždavinys orientuotas į investicijų pritraukimo ir verslo plėtros sąlygų mieste gerinimą. 05-02 uždavinio priemonės numato stiprinti miesto patrauklumą plėtojant turizmo sektorių. 05-03 uždavinys apima priemones, kurios skirtos didinti Šiaulių miesto žinomumą ir teigiamą įvaizdį, stiprinant miesto identitetą ir rinkodarą. Visi uždaviniai prisideda prie ŠSPP įgyvendinimo. Programos priemonės, joms įgyvendinti reikalingos lėšos ir planuojami pasiekti rodikliai pateikiami 1 PRIEDE. </w:t>
                  </w:r>
                </w:p>
                <w:p>
                  <w:pPr>
                    <w:tabs>
                      <w:tab w:val="left" w:pos="284"/>
                    </w:tabs>
                    <w:ind w:firstLine="709"/>
                    <w:jc w:val="both"/>
                    <w:rPr>
                      <w:iCs/>
                      <w:szCs w:val="24"/>
                    </w:rPr>
                  </w:pPr>
                  <w:r>
                    <w:rPr>
                      <w:iCs/>
                      <w:szCs w:val="24"/>
                    </w:rPr>
                    <w:t xml:space="preserve">Programa yra tęstinė ir neterminuota. </w:t>
                  </w:r>
                </w:p>
                <w:p>
                  <w:pPr>
                    <w:tabs>
                      <w:tab w:val="left" w:pos="284"/>
                    </w:tabs>
                    <w:ind w:firstLine="709"/>
                    <w:jc w:val="both"/>
                    <w:rPr>
                      <w:lang w:eastAsia="lt-LT"/>
                    </w:rPr>
                  </w:pPr>
                  <w:r>
                    <w:rPr>
                      <w:bCs/>
                    </w:rPr>
                    <w:t xml:space="preserve">Programos koordinatoriai: </w:t>
                  </w:r>
                  <w:r>
                    <w:rPr>
                      <w:szCs w:val="24"/>
                    </w:rPr>
                    <w:t xml:space="preserve">Aistė Petkuvienė, Ekonomikos skyriaus vedėja, el. p. </w:t>
                  </w:r>
                  <w:r>
                    <w:rPr>
                      <w:szCs w:val="24"/>
                      <w:u w:val="single"/>
                    </w:rPr>
                    <w:t>aiste.petkuviene@siauliai.lt</w:t>
                  </w:r>
                  <w:r>
                    <w:rPr>
                      <w:szCs w:val="24"/>
                    </w:rPr>
                    <w:t xml:space="preserve">, tel. Nr. (+370 41) 596 283 ir </w:t>
                  </w:r>
                  <w:r>
                    <w:rPr>
                      <w:kern w:val="2"/>
                      <w:szCs w:val="24"/>
                    </w:rPr>
                    <w:t xml:space="preserve">Daina Kinčinaitienė, Kultūros skyriaus vedėja, el. p. </w:t>
                  </w:r>
                  <w:r>
                    <w:rPr>
                      <w:u w:val="single"/>
                      <w:lang w:eastAsia="lt-LT"/>
                    </w:rPr>
                    <w:t>daina.kincinaitiene@siauliai.lt</w:t>
                  </w:r>
                  <w:r>
                    <w:rPr>
                      <w:lang w:eastAsia="lt-LT"/>
                    </w:rPr>
                    <w:t xml:space="preserve">, </w:t>
                  </w:r>
                  <w:r>
                    <w:rPr>
                      <w:kern w:val="2"/>
                      <w:szCs w:val="24"/>
                    </w:rPr>
                    <w:t>tel. Nr. (+370 41) 500 531</w:t>
                  </w:r>
                </w:p>
                <w:p>
                  <w:pPr>
                    <w:tabs>
                      <w:tab w:val="left" w:pos="284"/>
                    </w:tabs>
                    <w:ind w:firstLine="709"/>
                    <w:jc w:val="both"/>
                    <w:rPr>
                      <w:b/>
                      <w:bCs/>
                      <w:i/>
                      <w:color w:val="808080"/>
                      <w:szCs w:val="24"/>
                    </w:rPr>
                  </w:pPr>
                  <w:r>
                    <w:rPr>
                      <w:bCs/>
                    </w:rPr>
                    <w:t>Programos vykdytojai:</w:t>
                  </w:r>
                  <w:r>
                    <w:rPr>
                      <w:b/>
                    </w:rPr>
                    <w:t xml:space="preserve"> S</w:t>
                  </w:r>
                  <w:r>
                    <w:t>avivaldybės administracijos padaliniai ir įstaigos, identifikuotos pagal vykdomas programos priemones</w:t>
                  </w:r>
                </w:p>
                <w:p>
                  <w:pPr>
                    <w:tabs>
                      <w:tab w:val="left" w:pos="284"/>
                    </w:tabs>
                    <w:jc w:val="both"/>
                    <w:rPr>
                      <w:b/>
                      <w:bCs/>
                      <w:i/>
                      <w:color w:val="808080"/>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06 Socialinės apsaugos programa</w:t>
                        </w:r>
                      </w:p>
                    </w:tc>
                  </w:tr>
                </w:tbl>
                <w:p>
                  <w:pPr>
                    <w:ind w:firstLine="709"/>
                    <w:jc w:val="both"/>
                    <w:rPr>
                      <w:iCs/>
                      <w:szCs w:val="24"/>
                    </w:rPr>
                  </w:pPr>
                </w:p>
                <w:p>
                  <w:pPr>
                    <w:ind w:firstLine="709"/>
                    <w:jc w:val="both"/>
                    <w:rPr>
                      <w:iCs/>
                      <w:szCs w:val="24"/>
                    </w:rPr>
                  </w:pPr>
                  <w:r>
                    <w:rPr>
                      <w:iCs/>
                      <w:szCs w:val="24"/>
                    </w:rPr>
                    <w:t>Įgyvendinant programą siekiama užtikrinti socialinės apsaugos sistemą, mažinančią socialinę atskirtį ir didinančią socialinę integraciją.</w:t>
                  </w:r>
                </w:p>
                <w:p>
                  <w:pPr>
                    <w:ind w:firstLine="709"/>
                    <w:jc w:val="both"/>
                    <w:rPr>
                      <w:b/>
                      <w:bCs/>
                      <w:i/>
                      <w:szCs w:val="24"/>
                    </w:rPr>
                  </w:pPr>
                  <w:r>
                    <w:rPr>
                      <w:iCs/>
                      <w:szCs w:val="24"/>
                    </w:rPr>
                    <w:t xml:space="preserve">Programos įgyvendinimui numatyti 3 uždaviniai. </w:t>
                  </w:r>
                </w:p>
                <w:p>
                  <w:pPr>
                    <w:jc w:val="both"/>
                    <w:rPr>
                      <w:b/>
                      <w:bCs/>
                      <w:sz w:val="22"/>
                      <w:szCs w:val="22"/>
                    </w:rPr>
                  </w:pPr>
                </w:p>
              </w:sdtContent>
            </w:sdt>
            <w:sdt>
              <w:sdtPr>
                <w:alias w:val="poskyris"/>
                <w:tag w:val="part_9065ac746bb24d7a95e56d88b3894b56"/>
                <w:lock w:val="sdtLocked"/>
                <w:richText/>
              </w:sdtPr>
              <w:sdtContent>
                <w:p>
                  <w:pPr>
                    <w:jc w:val="both"/>
                    <w:rPr>
                      <w:b/>
                      <w:bCs/>
                      <w:sz w:val="22"/>
                      <w:szCs w:val="22"/>
                    </w:rPr>
                  </w:pPr>
                  <w:sdt>
                    <w:sdtPr>
                      <w:alias w:val="Pavadinimas"/>
                      <w:tag w:val="title_9065ac746bb24d7a95e56d88b3894b56"/>
                      <w:lock w:val="sdtLocked"/>
                      <w:richText/>
                    </w:sdtPr>
                    <w:sdtContent>
                      <w:r>
                        <w:rPr>
                          <w:b/>
                          <w:bCs/>
                          <w:sz w:val="22"/>
                          <w:szCs w:val="22"/>
                        </w:rPr>
                        <w:t>7 grafikas.</w:t>
                      </w:r>
                      <w:r>
                        <w:rPr>
                          <w:i/>
                          <w:sz w:val="22"/>
                          <w:szCs w:val="22"/>
                        </w:rPr>
                        <w:t xml:space="preserve"> </w:t>
                      </w:r>
                      <w:r>
                        <w:rPr>
                          <w:b/>
                          <w:bCs/>
                          <w:sz w:val="22"/>
                          <w:szCs w:val="22"/>
                        </w:rPr>
                        <w:t>Socialinės apsaugos programa ir jos uždaviniai</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5964F2FB" wp14:editId="1DF0810C">
                        <wp:extent cx="6092190" cy="4786685"/>
                        <wp:effectExtent l="38100" t="0" r="60960" b="13970"/>
                        <wp:docPr id="407592715" name="Diagrama 43"/>
                        <wp:cNvGraphicFramePr/>
                        <a:graphic xmlns:a="http://schemas.openxmlformats.org/drawingml/2006/main">
                          <a:graphicData uri="http://schemas.openxmlformats.org/drawingml/2006/diagram">
                            <dgm:relIds xmlns:dgm="http://schemas.openxmlformats.org/drawingml/2006/diagram" r:dm="rId46" r:lo="rId47" r:qs="rId48" r:cs="rId49"/>
                          </a:graphicData>
                        </a:graphic>
                      </wp:inline>
                    </w:drawing>
                  </w:r>
                </w:p>
                <w:p>
                  <w:pPr>
                    <w:tabs>
                      <w:tab w:val="left" w:pos="34"/>
                      <w:tab w:val="left" w:pos="284"/>
                    </w:tabs>
                    <w:jc w:val="both"/>
                    <w:rPr>
                      <w:b/>
                      <w:bCs/>
                      <w:i/>
                      <w:color w:val="808080"/>
                      <w:szCs w:val="24"/>
                    </w:rPr>
                  </w:pPr>
                </w:p>
                <w:p>
                  <w:pPr>
                    <w:tabs>
                      <w:tab w:val="left" w:pos="34"/>
                      <w:tab w:val="left" w:pos="284"/>
                    </w:tabs>
                    <w:ind w:firstLine="720"/>
                    <w:jc w:val="both"/>
                    <w:rPr>
                      <w:rFonts w:ascii="Symbol" w:hAnsi="Symbol"/>
                      <w:szCs w:val="24"/>
                    </w:rPr>
                  </w:pPr>
                  <w:r>
                    <w:rPr>
                      <w:iCs/>
                      <w:szCs w:val="24"/>
                    </w:rPr>
                    <w:t>06-01 uždavinys orientuotas į „minkštųjų“ (įstaigų išlaikymas, veiklos vykdymas, projektų įgyvendinimas ir pan.) priemonių, skatinančių socialinės globos asmens namuose ir institucijoje, neinstitucinės globos paslaugas vaikams paslaugų plėtrą, didinančių socialinių paslaugų prieinamumą,</w:t>
                  </w:r>
                  <w:r>
                    <w:t xml:space="preserve"> NVO ir privačių tiekėjų įsitraukimą į socialinių paslaugų teikimą, </w:t>
                  </w:r>
                  <w:r>
                    <w:rPr>
                      <w:iCs/>
                      <w:szCs w:val="24"/>
                    </w:rPr>
                    <w:t xml:space="preserve"> įgyvendinimą. 06-02 uždavinio priemonės numato „kietųjų“ (infrastruktūros priežiūra ir plėtra) priemonių, prisidedančių socialinių paslaugų prieinamumo ir kokybės užtikrinimo, plečiant, atnaujinant ir modernizuojant socialinių paslaugų infrastruktūrą, įgyvendinimą. Šie uždaviniai prisideda prie ŠSPP įgyvendinimo. 06-03 uždavinys</w:t>
                  </w:r>
                  <w:r>
                    <w:t xml:space="preserve"> </w:t>
                  </w:r>
                  <w:r>
                    <w:rPr>
                      <w:iCs/>
                      <w:szCs w:val="24"/>
                    </w:rPr>
                    <w:t xml:space="preserve">yra tęstinės veiklos. Programos priemonės, joms įgyvendinti reikalingos lėšos ir planuojami pasiekti rodikliai pateikiami 1 PRIEDE. </w:t>
                  </w:r>
                </w:p>
                <w:p>
                  <w:pPr>
                    <w:tabs>
                      <w:tab w:val="left" w:pos="284"/>
                    </w:tabs>
                    <w:ind w:firstLine="709"/>
                    <w:jc w:val="both"/>
                    <w:rPr>
                      <w:iCs/>
                      <w:szCs w:val="24"/>
                    </w:rPr>
                  </w:pPr>
                  <w:r>
                    <w:rPr>
                      <w:iCs/>
                      <w:szCs w:val="24"/>
                    </w:rPr>
                    <w:t xml:space="preserve">Programa yra tęstinė ir neterminuota. </w:t>
                  </w:r>
                </w:p>
                <w:p>
                  <w:pPr>
                    <w:tabs>
                      <w:tab w:val="left" w:pos="284"/>
                    </w:tabs>
                    <w:ind w:firstLine="709"/>
                    <w:jc w:val="both"/>
                    <w:rPr>
                      <w:lang w:eastAsia="lt-LT"/>
                    </w:rPr>
                  </w:pPr>
                  <w:r>
                    <w:rPr>
                      <w:bCs/>
                    </w:rPr>
                    <w:t>Programos koordinatorius: Ramutė Pilypienė</w:t>
                  </w:r>
                  <w:r>
                    <w:rPr>
                      <w:szCs w:val="24"/>
                    </w:rPr>
                    <w:t>, Socialinių paslaugų skyriaus vedėja, el. p.</w:t>
                  </w:r>
                  <w:r>
                    <w:t xml:space="preserve"> </w:t>
                  </w:r>
                  <w:r>
                    <w:rPr>
                      <w:szCs w:val="24"/>
                    </w:rPr>
                    <w:t xml:space="preserve">ramute.pilypiene@siauliai.lt, tel. Nr. (+370 41) 386 486, Aušra Gailiūnienė, Socialinių išmokų ir kompensacijų skyriaus vedėja, el. p. </w:t>
                  </w:r>
                  <w:r>
                    <w:rPr>
                      <w:color w:val="0563C1"/>
                      <w:szCs w:val="24"/>
                      <w:u w:val="single"/>
                    </w:rPr>
                    <w:t>ausra.gailiuniene@siauliai.lt</w:t>
                  </w:r>
                  <w:r>
                    <w:rPr>
                      <w:szCs w:val="24"/>
                    </w:rPr>
                    <w:t>, tel. Nr. (+370 41) 386 496</w:t>
                  </w:r>
                </w:p>
                <w:p>
                  <w:pPr>
                    <w:tabs>
                      <w:tab w:val="left" w:pos="284"/>
                    </w:tabs>
                    <w:ind w:firstLine="709"/>
                    <w:jc w:val="both"/>
                  </w:pPr>
                  <w:r>
                    <w:rPr>
                      <w:bCs/>
                    </w:rPr>
                    <w:t>Programos vykdytojai: Savivaldybės</w:t>
                  </w:r>
                  <w:r>
                    <w:t xml:space="preserve"> administracijos padaliniai ir įstaigos, identifikuotos pagal vykdomas programos priemone</w:t>
                  </w: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07 Sporto programa</w:t>
                        </w:r>
                      </w:p>
                    </w:tc>
                  </w:tr>
                </w:tbl>
                <w:p>
                  <w:pPr>
                    <w:ind w:firstLine="709"/>
                    <w:jc w:val="both"/>
                    <w:rPr>
                      <w:iCs/>
                      <w:szCs w:val="24"/>
                    </w:rPr>
                  </w:pPr>
                </w:p>
                <w:p>
                  <w:pPr>
                    <w:ind w:firstLine="709"/>
                    <w:jc w:val="both"/>
                    <w:rPr>
                      <w:iCs/>
                      <w:szCs w:val="24"/>
                    </w:rPr>
                  </w:pPr>
                  <w:r>
                    <w:rPr>
                      <w:iCs/>
                      <w:szCs w:val="24"/>
                    </w:rPr>
                    <w:t>Įgyvendinant programą siekiama ugdyti fiziškai aktyvią ir sportuojančią bendruomenę.</w:t>
                  </w:r>
                </w:p>
                <w:p>
                  <w:pPr>
                    <w:ind w:firstLine="709"/>
                    <w:jc w:val="both"/>
                    <w:rPr>
                      <w:b/>
                      <w:bCs/>
                      <w:i/>
                      <w:szCs w:val="24"/>
                    </w:rPr>
                  </w:pPr>
                  <w:r>
                    <w:rPr>
                      <w:iCs/>
                      <w:szCs w:val="24"/>
                    </w:rPr>
                    <w:t xml:space="preserve">Programos įgyvendinimui numatyti 2 uždaviniai. </w:t>
                  </w:r>
                </w:p>
                <w:p>
                  <w:pPr>
                    <w:ind w:firstLine="709"/>
                    <w:jc w:val="both"/>
                    <w:rPr>
                      <w:b/>
                      <w:bCs/>
                      <w:sz w:val="22"/>
                      <w:szCs w:val="22"/>
                    </w:rPr>
                  </w:pPr>
                </w:p>
              </w:sdtContent>
            </w:sdt>
            <w:sdt>
              <w:sdtPr>
                <w:alias w:val="poskyris"/>
                <w:tag w:val="part_ebd5898333af4cb8b26cf691050d61e1"/>
                <w:lock w:val="sdtLocked"/>
                <w:richText/>
              </w:sdtPr>
              <w:sdtContent>
                <w:p>
                  <w:pPr>
                    <w:ind w:firstLine="709"/>
                    <w:jc w:val="both"/>
                    <w:rPr>
                      <w:b/>
                      <w:bCs/>
                      <w:i/>
                      <w:szCs w:val="24"/>
                    </w:rPr>
                  </w:pPr>
                  <w:sdt>
                    <w:sdtPr>
                      <w:alias w:val="Pavadinimas"/>
                      <w:tag w:val="title_ebd5898333af4cb8b26cf691050d61e1"/>
                      <w:lock w:val="sdtLocked"/>
                      <w:richText/>
                    </w:sdtPr>
                    <w:sdtContent>
                      <w:r>
                        <w:rPr>
                          <w:b/>
                          <w:bCs/>
                          <w:sz w:val="22"/>
                          <w:szCs w:val="22"/>
                        </w:rPr>
                        <w:t>8 grafikas.</w:t>
                      </w:r>
                      <w:r>
                        <w:rPr>
                          <w:i/>
                          <w:sz w:val="22"/>
                          <w:szCs w:val="22"/>
                        </w:rPr>
                        <w:t xml:space="preserve"> </w:t>
                      </w:r>
                      <w:r>
                        <w:rPr>
                          <w:b/>
                          <w:bCs/>
                          <w:sz w:val="22"/>
                          <w:szCs w:val="22"/>
                        </w:rPr>
                        <w:t>Sporto programa ir jos uždaviniai</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6582832A" wp14:editId="7770733C">
                        <wp:extent cx="6179820" cy="4046855"/>
                        <wp:effectExtent l="38100" t="0" r="49530" b="10795"/>
                        <wp:docPr id="2041895562" name="Diagrama 43"/>
                        <wp:cNvGraphicFramePr/>
                        <a:graphic xmlns:a="http://schemas.openxmlformats.org/drawingml/2006/main">
                          <a:graphicData uri="http://schemas.openxmlformats.org/drawingml/2006/diagram">
                            <dgm:relIds xmlns:dgm="http://schemas.openxmlformats.org/drawingml/2006/diagram" r:dm="rId52" r:lo="rId53" r:qs="rId54" r:cs="rId55"/>
                          </a:graphicData>
                        </a:graphic>
                      </wp:inline>
                    </w:drawing>
                  </w:r>
                </w:p>
                <w:p>
                  <w:pPr>
                    <w:tabs>
                      <w:tab w:val="left" w:pos="34"/>
                      <w:tab w:val="left" w:pos="284"/>
                    </w:tabs>
                    <w:ind w:firstLine="720"/>
                    <w:jc w:val="both"/>
                    <w:rPr>
                      <w:iCs/>
                      <w:szCs w:val="24"/>
                    </w:rPr>
                  </w:pPr>
                </w:p>
                <w:p>
                  <w:pPr>
                    <w:tabs>
                      <w:tab w:val="left" w:pos="34"/>
                      <w:tab w:val="left" w:pos="284"/>
                    </w:tabs>
                    <w:ind w:firstLine="720"/>
                    <w:jc w:val="both"/>
                    <w:rPr>
                      <w:rFonts w:ascii="Symbol" w:hAnsi="Symbol"/>
                      <w:szCs w:val="24"/>
                    </w:rPr>
                  </w:pPr>
                  <w:r>
                    <w:rPr>
                      <w:iCs/>
                      <w:szCs w:val="24"/>
                    </w:rPr>
                    <w:t xml:space="preserve">07-01 uždavinys orientuotas į „minkštųjų“ (įstaigų išlaikymas, veiklos vykdymas, projektų įgyvendinimas ir pan.) priemonių, skatinančių gyventojų fizinio aktyvumo veiklas ir aukšto meistriškumo sportininkų rengimo sistemos plėtrą, įgyvendinimą. 07-02 uždavinio priemonės numato „kietųjų“ (infrastruktūros priežiūra ir plėtra) priemonių, prisidedančių prie gyventojų poreikius atitinkančios sporto ir fizinio aktyvumo infrastruktūros išvystymo, įgyvendinimą. Visi uždaviniai prisideda prie ŠSPP įgyvendinimo. Programos priemonės, joms įgyvendinti reikalingos lėšos ir planuojami pasiekti rodikliai pateikiami 1 PRIEDE. </w:t>
                  </w:r>
                </w:p>
                <w:p>
                  <w:pPr>
                    <w:tabs>
                      <w:tab w:val="left" w:pos="284"/>
                    </w:tabs>
                    <w:ind w:firstLine="709"/>
                    <w:jc w:val="both"/>
                    <w:rPr>
                      <w:iCs/>
                      <w:szCs w:val="24"/>
                    </w:rPr>
                  </w:pPr>
                  <w:r>
                    <w:rPr>
                      <w:iCs/>
                      <w:szCs w:val="24"/>
                    </w:rPr>
                    <w:t xml:space="preserve">Programa yra tęstinė ir neterminuota. </w:t>
                  </w:r>
                </w:p>
                <w:p>
                  <w:pPr>
                    <w:tabs>
                      <w:tab w:val="left" w:pos="284"/>
                    </w:tabs>
                    <w:ind w:firstLine="709"/>
                    <w:jc w:val="both"/>
                    <w:rPr>
                      <w:lang w:eastAsia="lt-LT"/>
                    </w:rPr>
                  </w:pPr>
                  <w:r>
                    <w:rPr>
                      <w:bCs/>
                    </w:rPr>
                    <w:t xml:space="preserve">Programos koordinatorius: </w:t>
                  </w:r>
                  <w:r>
                    <w:rPr>
                      <w:szCs w:val="24"/>
                    </w:rPr>
                    <w:t xml:space="preserve">Gintaras Jasiūnas, Sporto skyriaus vedėjas, el. p. </w:t>
                  </w:r>
                  <w:r>
                    <w:rPr>
                      <w:szCs w:val="24"/>
                      <w:u w:val="single"/>
                    </w:rPr>
                    <w:t>gintaras.jasiunas@siauliai.lt</w:t>
                  </w:r>
                  <w:r>
                    <w:rPr>
                      <w:szCs w:val="24"/>
                    </w:rPr>
                    <w:t>, tel. Nr. (+370 41) 596 212</w:t>
                  </w:r>
                </w:p>
                <w:p>
                  <w:pPr>
                    <w:tabs>
                      <w:tab w:val="left" w:pos="284"/>
                    </w:tabs>
                    <w:ind w:firstLine="709"/>
                    <w:jc w:val="both"/>
                  </w:pPr>
                  <w:r>
                    <w:rPr>
                      <w:bCs/>
                    </w:rPr>
                    <w:t>Programos vykdytojai:</w:t>
                  </w:r>
                  <w:r>
                    <w:rPr>
                      <w:b/>
                    </w:rPr>
                    <w:t xml:space="preserve"> </w:t>
                  </w:r>
                  <w:r>
                    <w:rPr>
                      <w:bCs/>
                    </w:rPr>
                    <w:t>S</w:t>
                  </w:r>
                  <w:r>
                    <w:t>avivaldybės administracijos padaliniai ir įstaigos, identifikuotos pagal vykdomas programos priemones.</w:t>
                  </w:r>
                </w:p>
                <w:p>
                  <w:pPr>
                    <w:tabs>
                      <w:tab w:val="left" w:pos="284"/>
                    </w:tabs>
                    <w:ind w:firstLine="709"/>
                    <w:jc w:val="both"/>
                  </w:pPr>
                </w:p>
                <w:p>
                  <w:pPr>
                    <w:tabs>
                      <w:tab w:val="left" w:pos="284"/>
                    </w:tabs>
                    <w:ind w:firstLine="709"/>
                    <w:jc w:val="both"/>
                  </w:pPr>
                </w:p>
                <w:p>
                  <w:pPr>
                    <w:tabs>
                      <w:tab w:val="left" w:pos="284"/>
                    </w:tabs>
                    <w:ind w:firstLine="709"/>
                    <w:jc w:val="both"/>
                  </w:pPr>
                </w:p>
                <w:p>
                  <w:pPr>
                    <w:tabs>
                      <w:tab w:val="left" w:pos="284"/>
                    </w:tabs>
                    <w:ind w:firstLine="709"/>
                    <w:jc w:val="both"/>
                  </w:pPr>
                </w:p>
                <w:p>
                  <w:pPr>
                    <w:tabs>
                      <w:tab w:val="left" w:pos="284"/>
                    </w:tabs>
                    <w:ind w:firstLine="709"/>
                    <w:jc w:val="both"/>
                  </w:pPr>
                </w:p>
                <w:p>
                  <w:pPr>
                    <w:tabs>
                      <w:tab w:val="left" w:pos="284"/>
                    </w:tabs>
                    <w:ind w:firstLine="709"/>
                    <w:jc w:val="both"/>
                  </w:pPr>
                </w:p>
                <w:p>
                  <w:pPr>
                    <w:rPr>
                      <w:b/>
                      <w:bCs/>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08 Švietimo programa</w:t>
                        </w:r>
                      </w:p>
                    </w:tc>
                  </w:tr>
                </w:tbl>
                <w:p>
                  <w:pPr>
                    <w:ind w:firstLine="709"/>
                    <w:jc w:val="both"/>
                    <w:rPr>
                      <w:iCs/>
                      <w:szCs w:val="24"/>
                    </w:rPr>
                  </w:pPr>
                </w:p>
                <w:p>
                  <w:pPr>
                    <w:ind w:firstLine="709"/>
                    <w:jc w:val="both"/>
                    <w:rPr>
                      <w:iCs/>
                      <w:szCs w:val="24"/>
                    </w:rPr>
                  </w:pPr>
                  <w:r>
                    <w:rPr>
                      <w:iCs/>
                      <w:szCs w:val="24"/>
                    </w:rPr>
                    <w:t>Įgyvendinant programą siekiama užtikrinti įtraukias, kokybiškas, prieinamas švietimo paslaugas ir didinti galimybes jaunimui.</w:t>
                  </w:r>
                </w:p>
                <w:p>
                  <w:pPr>
                    <w:ind w:firstLine="709"/>
                    <w:jc w:val="both"/>
                    <w:rPr>
                      <w:b/>
                      <w:bCs/>
                      <w:i/>
                      <w:szCs w:val="24"/>
                    </w:rPr>
                  </w:pPr>
                  <w:r>
                    <w:rPr>
                      <w:iCs/>
                      <w:szCs w:val="24"/>
                    </w:rPr>
                    <w:t xml:space="preserve">Programos įgyvendinimui numatyti 4 uždaviniai. </w:t>
                  </w:r>
                </w:p>
                <w:p>
                  <w:pPr>
                    <w:jc w:val="both"/>
                    <w:rPr>
                      <w:b/>
                      <w:bCs/>
                      <w:sz w:val="22"/>
                      <w:szCs w:val="22"/>
                    </w:rPr>
                  </w:pPr>
                </w:p>
              </w:sdtContent>
            </w:sdt>
            <w:sdt>
              <w:sdtPr>
                <w:alias w:val="poskyris"/>
                <w:tag w:val="part_c061cec1ea8e4a6a8fb8bc3b97693b76"/>
                <w:lock w:val="sdtLocked"/>
                <w:richText/>
              </w:sdtPr>
              <w:sdtContent>
                <w:p>
                  <w:pPr>
                    <w:jc w:val="both"/>
                    <w:rPr>
                      <w:b/>
                      <w:bCs/>
                      <w:sz w:val="22"/>
                      <w:szCs w:val="22"/>
                    </w:rPr>
                  </w:pPr>
                  <w:sdt>
                    <w:sdtPr>
                      <w:alias w:val="Pavadinimas"/>
                      <w:tag w:val="title_c061cec1ea8e4a6a8fb8bc3b97693b76"/>
                      <w:lock w:val="sdtLocked"/>
                      <w:richText/>
                    </w:sdtPr>
                    <w:sdtContent>
                      <w:r>
                        <w:rPr>
                          <w:b/>
                          <w:bCs/>
                          <w:sz w:val="22"/>
                          <w:szCs w:val="22"/>
                        </w:rPr>
                        <w:t>9 grafikas.</w:t>
                      </w:r>
                      <w:r>
                        <w:rPr>
                          <w:i/>
                          <w:sz w:val="22"/>
                          <w:szCs w:val="22"/>
                        </w:rPr>
                        <w:t xml:space="preserve"> </w:t>
                      </w:r>
                      <w:r>
                        <w:rPr>
                          <w:b/>
                          <w:bCs/>
                          <w:sz w:val="22"/>
                          <w:szCs w:val="22"/>
                        </w:rPr>
                        <w:t>Švietimo programa ir jos uždaviniai</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3CFC6104" wp14:editId="338F7702">
                        <wp:extent cx="6049645" cy="6710901"/>
                        <wp:effectExtent l="38100" t="0" r="65405" b="13970"/>
                        <wp:docPr id="288456274" name="Diagrama 43"/>
                        <wp:cNvGraphicFramePr/>
                        <a:graphic xmlns:a="http://schemas.openxmlformats.org/drawingml/2006/main">
                          <a:graphicData uri="http://schemas.openxmlformats.org/drawingml/2006/diagram">
                            <dgm:relIds xmlns:dgm="http://schemas.openxmlformats.org/drawingml/2006/diagram" r:dm="rId58" r:lo="rId59" r:qs="rId60" r:cs="rId61"/>
                          </a:graphicData>
                        </a:graphic>
                      </wp:inline>
                    </w:drawing>
                  </w:r>
                </w:p>
                <w:p>
                  <w:pPr>
                    <w:tabs>
                      <w:tab w:val="left" w:pos="34"/>
                      <w:tab w:val="left" w:pos="284"/>
                    </w:tabs>
                    <w:jc w:val="both"/>
                    <w:rPr>
                      <w:b/>
                      <w:bCs/>
                      <w:i/>
                      <w:color w:val="808080"/>
                      <w:szCs w:val="24"/>
                    </w:rPr>
                  </w:pPr>
                </w:p>
                <w:p>
                  <w:pPr>
                    <w:tabs>
                      <w:tab w:val="left" w:pos="34"/>
                      <w:tab w:val="left" w:pos="284"/>
                    </w:tabs>
                    <w:ind w:firstLine="720"/>
                    <w:jc w:val="both"/>
                    <w:rPr>
                      <w:rFonts w:ascii="Symbol" w:hAnsi="Symbol"/>
                      <w:szCs w:val="24"/>
                    </w:rPr>
                  </w:pPr>
                  <w:r>
                    <w:rPr>
                      <w:iCs/>
                      <w:szCs w:val="24"/>
                    </w:rPr>
                    <w:t>08-01 uždavinys orientuotas į „minkštųjų“ (įstaigų išlaikymas, veiklos vykdymas, projektų įgyvendinimas ir pan.) priemonių, didinančių STEAM mokslų patrauklumą</w:t>
                  </w:r>
                  <w:r>
                    <w:t xml:space="preserve">, inovatyvių sprendimų, </w:t>
                  </w:r>
                  <w:r>
                    <w:rPr>
                      <w:iCs/>
                      <w:szCs w:val="24"/>
                    </w:rPr>
                    <w:t>įgyvendinimą. Šiame uždavinyje numatomos priemonės užtikrina įtraukiojo ugdymo principinių nuostatų įgyvendinimą ir skatina</w:t>
                  </w:r>
                  <w:r>
                    <w:t xml:space="preserve"> b</w:t>
                  </w:r>
                  <w:r>
                    <w:rPr>
                      <w:iCs/>
                      <w:szCs w:val="24"/>
                    </w:rPr>
                    <w:t>endradarbiavimą su aukštosiomis, profesinėmis ir bendrojo ugdymo mokyklomis, socialiniais-ekonominiais partneriais, ruošiant specialistus. 06-02 uždavinio priemonės numato „kietųjų“ (infrastruktūros priežiūra ir plėtra) priemonių, prisidedančių prie švietimo paslaugų prieinamumo ir kokybės, gerinant ugdymo (-si) aplinką, įgyvendinimą. Šie uždaviniai prisideda prie ŠSPP įgyvendinimo. 08-03 uždavinys orientuotas į sudarytas sąlygas jaunimo savirealizacijai jų poreikiams pritaikytoje aplinkoje. 08-04 uždavinys</w:t>
                  </w:r>
                  <w:r>
                    <w:t xml:space="preserve"> </w:t>
                  </w:r>
                  <w:r>
                    <w:rPr>
                      <w:iCs/>
                      <w:szCs w:val="24"/>
                    </w:rPr>
                    <w:t xml:space="preserve">yra tęstinės veiklos. Programos priemonės, joms įgyvendinti reikalingos lėšos ir planuojami pasiekti rodikliai pateikiami 1 PRIEDE. </w:t>
                  </w:r>
                </w:p>
                <w:p>
                  <w:pPr>
                    <w:tabs>
                      <w:tab w:val="left" w:pos="284"/>
                    </w:tabs>
                    <w:ind w:firstLine="709"/>
                    <w:jc w:val="both"/>
                    <w:rPr>
                      <w:iCs/>
                      <w:szCs w:val="24"/>
                    </w:rPr>
                  </w:pPr>
                  <w:r>
                    <w:rPr>
                      <w:iCs/>
                      <w:szCs w:val="24"/>
                    </w:rPr>
                    <w:t xml:space="preserve">Programa yra tęstinė ir neterminuota. </w:t>
                  </w:r>
                </w:p>
                <w:p>
                  <w:pPr>
                    <w:tabs>
                      <w:tab w:val="left" w:pos="284"/>
                    </w:tabs>
                    <w:ind w:firstLine="709"/>
                    <w:jc w:val="both"/>
                    <w:rPr>
                      <w:lang w:eastAsia="lt-LT"/>
                    </w:rPr>
                  </w:pPr>
                  <w:r>
                    <w:rPr>
                      <w:bCs/>
                    </w:rPr>
                    <w:t>Programos koordinatorius: Edita Minkuvienė</w:t>
                  </w:r>
                  <w:r>
                    <w:rPr>
                      <w:szCs w:val="24"/>
                    </w:rPr>
                    <w:t>, Švietimo skyriaus vedėja, el. p.</w:t>
                  </w:r>
                  <w:r>
                    <w:t xml:space="preserve"> </w:t>
                  </w:r>
                  <w:r>
                    <w:rPr>
                      <w:szCs w:val="24"/>
                    </w:rPr>
                    <w:t>edita.minkuviene@siauliai.lt, tel. Nr. (+370 41) 386 472</w:t>
                  </w:r>
                </w:p>
                <w:p>
                  <w:pPr>
                    <w:tabs>
                      <w:tab w:val="left" w:pos="284"/>
                    </w:tabs>
                    <w:ind w:firstLine="709"/>
                    <w:jc w:val="both"/>
                  </w:pPr>
                  <w:r>
                    <w:rPr>
                      <w:bCs/>
                    </w:rPr>
                    <w:t>Programos vykdytojai:</w:t>
                  </w:r>
                  <w:r>
                    <w:rPr>
                      <w:b/>
                    </w:rPr>
                    <w:t xml:space="preserve"> </w:t>
                  </w:r>
                  <w:r>
                    <w:rPr>
                      <w:bCs/>
                    </w:rPr>
                    <w:t>S</w:t>
                  </w:r>
                  <w:r>
                    <w:t>avivaldybės administracijos padaliniai ir įstaigos, identifikuotos pagal vykdomas programos priemones.</w:t>
                  </w:r>
                </w:p>
                <w:p>
                  <w:pPr>
                    <w:tabs>
                      <w:tab w:val="left" w:pos="284"/>
                    </w:tabs>
                    <w:jc w:val="both"/>
                    <w:rPr>
                      <w:b/>
                      <w:bCs/>
                      <w:i/>
                      <w:color w:val="808080"/>
                      <w:szCs w:val="24"/>
                    </w:rPr>
                  </w:pPr>
                </w:p>
                <w:tbl>
                  <w:tblPr>
                    <w:tblW w:w="964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9645"/>
                  </w:tblGrid>
                  <w:tr>
                    <w:trPr>
                      <w:trHeight w:val="470"/>
                    </w:trPr>
                    <w:tc>
                      <w:tcPr>
                        <w:tcW w:w="9645" w:type="dxa"/>
                        <w:tcBorders>
                          <w:top w:val="dotted" w:sz="4" w:space="0" w:color="auto"/>
                          <w:left w:val="dotted" w:sz="4" w:space="0" w:color="auto"/>
                          <w:bottom w:val="dotted" w:sz="4" w:space="0" w:color="auto"/>
                          <w:right w:val="dotted" w:sz="4" w:space="0" w:color="auto"/>
                        </w:tcBorders>
                        <w:shd w:val="clear" w:color="auto" w:fill="DBE5F1"/>
                        <w:vAlign w:val="center"/>
                        <w:hideMark/>
                      </w:tcPr>
                      <w:p>
                        <w:pPr>
                          <w:ind w:firstLine="62"/>
                          <w:jc w:val="center"/>
                          <w:rPr>
                            <w:b/>
                            <w:bCs/>
                            <w:color w:val="000000"/>
                            <w:szCs w:val="24"/>
                          </w:rPr>
                        </w:pPr>
                        <w:r>
                          <w:rPr>
                            <w:b/>
                            <w:bCs/>
                            <w:iCs/>
                            <w:szCs w:val="24"/>
                          </w:rPr>
                          <w:t>09 Sveikatos programa</w:t>
                        </w:r>
                      </w:p>
                    </w:tc>
                  </w:tr>
                </w:tbl>
                <w:p>
                  <w:pPr>
                    <w:ind w:firstLine="709"/>
                    <w:jc w:val="both"/>
                    <w:rPr>
                      <w:iCs/>
                      <w:szCs w:val="24"/>
                    </w:rPr>
                  </w:pPr>
                  <w:r>
                    <w:rPr>
                      <w:iCs/>
                      <w:szCs w:val="24"/>
                    </w:rPr>
                    <w:t>Įgyvendinant programą siekiama sudaryti palankias sąlygas miesto bendruomenei sveikatinti ir gerinti sveikatos priežiūros paslaugų kokybę ir prieinamumą.</w:t>
                  </w:r>
                </w:p>
                <w:p>
                  <w:pPr>
                    <w:ind w:firstLine="709"/>
                    <w:jc w:val="both"/>
                    <w:rPr>
                      <w:iCs/>
                      <w:szCs w:val="24"/>
                    </w:rPr>
                  </w:pPr>
                  <w:r>
                    <w:rPr>
                      <w:iCs/>
                      <w:szCs w:val="24"/>
                    </w:rPr>
                    <w:t xml:space="preserve">Programos įgyvendinimui numatyti 2 uždaviniai. </w:t>
                  </w:r>
                </w:p>
                <w:p>
                  <w:pPr>
                    <w:jc w:val="both"/>
                    <w:rPr>
                      <w:iCs/>
                      <w:szCs w:val="24"/>
                    </w:rPr>
                  </w:pPr>
                </w:p>
              </w:sdtContent>
            </w:sdt>
            <w:sdt>
              <w:sdtPr>
                <w:alias w:val="poskyris"/>
                <w:tag w:val="part_b35789d249b44d20bccf4bb8658ad145"/>
                <w:lock w:val="sdtLocked"/>
                <w:richText/>
              </w:sdtPr>
              <w:sdtContent>
                <w:p>
                  <w:pPr>
                    <w:jc w:val="both"/>
                    <w:rPr>
                      <w:i/>
                      <w:sz w:val="22"/>
                      <w:szCs w:val="22"/>
                    </w:rPr>
                  </w:pPr>
                  <w:sdt>
                    <w:sdtPr>
                      <w:alias w:val="Pavadinimas"/>
                      <w:tag w:val="title_b35789d249b44d20bccf4bb8658ad145"/>
                      <w:lock w:val="sdtLocked"/>
                      <w:richText/>
                    </w:sdtPr>
                    <w:sdtContent>
                      <w:r>
                        <w:rPr>
                          <w:b/>
                          <w:bCs/>
                          <w:sz w:val="22"/>
                          <w:szCs w:val="22"/>
                        </w:rPr>
                        <w:t>10 grafikas.</w:t>
                      </w:r>
                      <w:r>
                        <w:rPr>
                          <w:i/>
                          <w:sz w:val="22"/>
                          <w:szCs w:val="22"/>
                        </w:rPr>
                        <w:t xml:space="preserve"> </w:t>
                      </w:r>
                      <w:r>
                        <w:rPr>
                          <w:b/>
                          <w:bCs/>
                          <w:sz w:val="22"/>
                          <w:szCs w:val="22"/>
                        </w:rPr>
                        <w:t>Sveikatos programa ir jos uždaviniai</w:t>
                      </w:r>
                      <w:r>
                        <w:rPr>
                          <w:i/>
                          <w:sz w:val="22"/>
                          <w:szCs w:val="22"/>
                        </w:rPr>
                        <w:t xml:space="preserve"> </w:t>
                      </w:r>
                    </w:sdtContent>
                  </w:sdt>
                </w:p>
                <w:p>
                  <w:pPr>
                    <w:jc w:val="both"/>
                    <w:rPr>
                      <w:i/>
                      <w:color w:val="808080"/>
                      <w:szCs w:val="24"/>
                    </w:rPr>
                  </w:pPr>
                </w:p>
                <w:p>
                  <w:pPr>
                    <w:tabs>
                      <w:tab w:val="left" w:pos="34"/>
                      <w:tab w:val="left" w:pos="284"/>
                    </w:tabs>
                    <w:jc w:val="both"/>
                    <w:rPr>
                      <w:b/>
                      <w:bCs/>
                      <w:i/>
                      <w:color w:val="808080"/>
                      <w:szCs w:val="24"/>
                    </w:rPr>
                  </w:pPr>
                  <w:r>
                    <w:rPr>
                      <w:b/>
                      <w:sz w:val="20"/>
                      <w:lang w:val="en-US"/>
                    </w:rPr>
                    <w:drawing>
                      <wp:inline distT="0" distB="0" distL="0" distR="0" wp14:anchorId="216CEAC8" wp14:editId="0E79517F">
                        <wp:extent cx="6194066" cy="3037205"/>
                        <wp:effectExtent l="38100" t="0" r="54610" b="10795"/>
                        <wp:docPr id="1513786025" name="Diagrama 43"/>
                        <wp:cNvGraphicFramePr/>
                        <a:graphic xmlns:a="http://schemas.openxmlformats.org/drawingml/2006/main">
                          <a:graphicData uri="http://schemas.openxmlformats.org/drawingml/2006/diagram">
                            <dgm:relIds xmlns:dgm="http://schemas.openxmlformats.org/drawingml/2006/diagram" r:dm="rId63" r:lo="rId64" r:qs="rId65" r:cs="rId66"/>
                          </a:graphicData>
                        </a:graphic>
                      </wp:inline>
                    </w:drawing>
                  </w:r>
                </w:p>
                <w:p>
                  <w:pPr>
                    <w:tabs>
                      <w:tab w:val="left" w:pos="34"/>
                      <w:tab w:val="left" w:pos="284"/>
                    </w:tabs>
                    <w:jc w:val="both"/>
                    <w:rPr>
                      <w:b/>
                      <w:bCs/>
                      <w:i/>
                      <w:color w:val="808080"/>
                      <w:szCs w:val="24"/>
                    </w:rPr>
                  </w:pPr>
                </w:p>
                <w:p>
                  <w:pPr>
                    <w:tabs>
                      <w:tab w:val="left" w:pos="34"/>
                      <w:tab w:val="left" w:pos="284"/>
                    </w:tabs>
                    <w:ind w:firstLine="737"/>
                    <w:jc w:val="both"/>
                    <w:rPr>
                      <w:iCs/>
                      <w:szCs w:val="24"/>
                    </w:rPr>
                  </w:pPr>
                  <w:r>
                    <w:rPr>
                      <w:iCs/>
                      <w:szCs w:val="24"/>
                    </w:rPr>
                    <w:t xml:space="preserve">09-01 uždavinys orientuotas į „minkštųjų“ (įstaigų išlaikymas, veiklos vykdymas, projektų įgyvendinimas ir pan.) priemonių, plėtojant asmens ir visuomenės sveikatos priežiūros paslaugas, ugdant visuomenės poreikį sveikai gyventi. 09-02 uždavinio priemonės numato „kietųjų“ (infrastruktūros priežiūra ir plėtra) priemonių, prisidedančių asmens sveikatos priežiūros paslaugų prieinamumo ir kokybės, atnaujinant esamą bei įrengiant naują infrastruktūrą, įgyvendinimą. Visi uždaviniai prisideda ir prie ŠSPP įgyvendinimo. Programos priemonės, joms įgyvendinti reikalingos lėšos ir planuojami pasiekti rodikliai pateikiami 1 PRIEDE. </w:t>
                  </w:r>
                </w:p>
                <w:p>
                  <w:pPr>
                    <w:tabs>
                      <w:tab w:val="left" w:pos="34"/>
                      <w:tab w:val="left" w:pos="284"/>
                    </w:tabs>
                    <w:ind w:firstLine="720"/>
                    <w:jc w:val="both"/>
                    <w:rPr>
                      <w:iCs/>
                      <w:szCs w:val="24"/>
                    </w:rPr>
                  </w:pPr>
                  <w:r>
                    <w:rPr>
                      <w:iCs/>
                      <w:szCs w:val="24"/>
                    </w:rPr>
                    <w:t xml:space="preserve">Programa yra tęstinė ir neterminuota. </w:t>
                  </w:r>
                </w:p>
                <w:p>
                  <w:pPr>
                    <w:tabs>
                      <w:tab w:val="left" w:pos="34"/>
                      <w:tab w:val="left" w:pos="284"/>
                    </w:tabs>
                    <w:ind w:firstLine="720"/>
                    <w:jc w:val="both"/>
                    <w:rPr>
                      <w:iCs/>
                      <w:szCs w:val="24"/>
                    </w:rPr>
                  </w:pPr>
                  <w:r>
                    <w:rPr>
                      <w:bCs/>
                    </w:rPr>
                    <w:t>Programos koordinatorius:</w:t>
                  </w:r>
                  <w:r>
                    <w:rPr>
                      <w:iCs/>
                      <w:szCs w:val="24"/>
                    </w:rPr>
                    <w:t xml:space="preserve"> Viktorija Palčiauskienė</w:t>
                  </w:r>
                  <w:r>
                    <w:rPr>
                      <w:kern w:val="2"/>
                      <w:szCs w:val="24"/>
                    </w:rPr>
                    <w:t xml:space="preserve">, Sveikatos skyriaus vedėja, el. p. </w:t>
                  </w:r>
                  <w:r>
                    <w:t>viktorija.palciauskiene@siauliai.lt</w:t>
                  </w:r>
                  <w:r>
                    <w:rPr>
                      <w:lang w:eastAsia="lt-LT"/>
                    </w:rPr>
                    <w:t xml:space="preserve">, </w:t>
                  </w:r>
                  <w:r>
                    <w:rPr>
                      <w:kern w:val="2"/>
                      <w:szCs w:val="24"/>
                    </w:rPr>
                    <w:t>tel. Nr. (+370 41) 596 216</w:t>
                  </w:r>
                </w:p>
                <w:p>
                  <w:pPr>
                    <w:tabs>
                      <w:tab w:val="left" w:pos="284"/>
                    </w:tabs>
                    <w:ind w:firstLine="709"/>
                    <w:jc w:val="both"/>
                  </w:pPr>
                  <w:r>
                    <w:rPr>
                      <w:bCs/>
                    </w:rPr>
                    <w:t>Programos vykdytojai:</w:t>
                  </w:r>
                  <w:r>
                    <w:rPr>
                      <w:b/>
                    </w:rPr>
                    <w:t xml:space="preserve"> </w:t>
                  </w:r>
                  <w:r>
                    <w:rPr>
                      <w:bCs/>
                    </w:rPr>
                    <w:t>S</w:t>
                  </w:r>
                  <w:r>
                    <w:t>avivaldybės administracijos padaliniai ir įstaigos, identifikuotos pagal vykdomas programos priemones.</w:t>
                  </w:r>
                </w:p>
                <w:p>
                  <w:pPr>
                    <w:rPr>
                      <w:sz w:val="14"/>
                      <w:szCs w:val="14"/>
                    </w:rPr>
                  </w:pPr>
                </w:p>
                <w:p>
                  <w:pPr>
                    <w:ind w:firstLine="709"/>
                    <w:jc w:val="both"/>
                  </w:pPr>
                  <w:r>
                    <w:rPr>
                      <w:b/>
                      <w:bCs/>
                    </w:rPr>
                    <w:t>3 lentelė. Šiaulių miesto savivaldybės 2025</w:t>
                  </w:r>
                  <w:r>
                    <w:rPr>
                      <w:color w:val="000000"/>
                      <w:kern w:val="2"/>
                      <w:szCs w:val="24"/>
                    </w:rPr>
                    <w:t>–</w:t>
                  </w:r>
                  <w:r>
                    <w:rPr>
                      <w:b/>
                      <w:bCs/>
                    </w:rPr>
                    <w:t xml:space="preserve">2027 metų strateginio veiklos plano programų uždaviniai, priemonės ir jų stebėsenos rodikliai, asignavimai ir kitos lėšos (tūkst. Eur) </w:t>
                  </w:r>
                  <w:r>
                    <w:rPr>
                      <w:bCs/>
                    </w:rPr>
                    <w:t xml:space="preserve">pateikiamos </w:t>
                  </w:r>
                  <w:r>
                    <w:t>„Microsoft Excel“ formatu, 1 PRIEDE.</w:t>
                  </w:r>
                </w:p>
                <w:p>
                  <w:pPr>
                    <w:jc w:val="center"/>
                    <w:rPr>
                      <w:b/>
                      <w:bCs/>
                      <w:szCs w:val="24"/>
                    </w:rPr>
                  </w:pPr>
                </w:p>
              </w:sdtContent>
            </w:sdt>
          </w:sdtContent>
        </w:sdt>
        <w:sdt>
          <w:sdtPr>
            <w:alias w:val="skyrius"/>
            <w:tag w:val="part_176a0391024d4ebdae1a89f81fe60a36"/>
            <w:lock w:val="sdtLocked"/>
            <w:richText/>
          </w:sdtPr>
          <w:sdtContent>
            <w:p>
              <w:pPr>
                <w:jc w:val="center"/>
                <w:rPr>
                  <w:b/>
                  <w:bCs/>
                  <w:szCs w:val="24"/>
                </w:rPr>
              </w:pPr>
              <w:sdt>
                <w:sdtPr>
                  <w:alias w:val="Numeris"/>
                  <w:tag w:val="nr_176a0391024d4ebdae1a89f81fe60a36"/>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176a0391024d4ebdae1a89f81fe60a36"/>
                  <w:lock w:val="sdtLocked"/>
                  <w:richText/>
                </w:sdtPr>
                <w:sdtContent>
                  <w:r>
                    <w:rPr>
                      <w:b/>
                      <w:bCs/>
                      <w:szCs w:val="24"/>
                    </w:rPr>
                    <w:t>SAVIVALDYBĖS VALDOMŲ ĮMONIŲ IR VIEŠŲJŲ ĮSTAIGŲ PLANUOJAMOS PASIEKTI PAGRINDINIŲ VEIKLOS RODIKLIŲ REIKŠMĖS</w:t>
                  </w:r>
                </w:sdtContent>
              </w:sdt>
            </w:p>
            <w:p>
              <w:pPr>
                <w:tabs>
                  <w:tab w:val="left" w:pos="6353"/>
                </w:tabs>
                <w:jc w:val="both"/>
                <w:rPr>
                  <w:b/>
                  <w:bCs/>
                  <w:i/>
                  <w:color w:val="808080"/>
                  <w:szCs w:val="24"/>
                </w:rPr>
              </w:pPr>
            </w:p>
            <w:p>
              <w:pPr>
                <w:tabs>
                  <w:tab w:val="left" w:pos="6237"/>
                  <w:tab w:val="right" w:pos="8306"/>
                </w:tabs>
                <w:rPr>
                  <w:b/>
                  <w:bCs/>
                  <w:i/>
                  <w:sz w:val="20"/>
                  <w:szCs w:val="24"/>
                </w:rPr>
              </w:pPr>
            </w:p>
            <w:sdt>
              <w:sdtPr>
                <w:alias w:val="poskyris"/>
                <w:tag w:val="part_4dbf6cf6022440cf988e389e8fb62d78"/>
                <w:lock w:val="sdtLocked"/>
                <w:richText/>
              </w:sdtPr>
              <w:sdtContent>
                <w:p>
                  <w:pPr>
                    <w:tabs>
                      <w:tab w:val="left" w:pos="6237"/>
                      <w:tab w:val="right" w:pos="8306"/>
                    </w:tabs>
                    <w:jc w:val="both"/>
                    <w:rPr>
                      <w:b/>
                      <w:bCs/>
                      <w:sz w:val="22"/>
                      <w:szCs w:val="22"/>
                    </w:rPr>
                  </w:pPr>
                  <w:sdt>
                    <w:sdtPr>
                      <w:alias w:val="Pavadinimas"/>
                      <w:tag w:val="title_4dbf6cf6022440cf988e389e8fb62d78"/>
                      <w:lock w:val="sdtLocked"/>
                      <w:richText/>
                    </w:sdtPr>
                    <w:sdtContent>
                      <w:r>
                        <w:rPr>
                          <w:b/>
                          <w:bCs/>
                          <w:sz w:val="22"/>
                          <w:szCs w:val="22"/>
                        </w:rPr>
                        <w:t>5 lentelė. Savivaldybės valdomų įmonių ir viešųjų įstaigų planuojami pasiekti pagrindiniai veiklos rodikliai ir jų reikšmės</w:t>
                      </w:r>
                    </w:sdtContent>
                  </w:sdt>
                </w:p>
                <w:p>
                  <w:pPr>
                    <w:tabs>
                      <w:tab w:val="left" w:pos="6237"/>
                      <w:tab w:val="right" w:pos="8306"/>
                    </w:tabs>
                    <w:rPr>
                      <w:b/>
                      <w:bCs/>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2"/>
                    <w:gridCol w:w="1276"/>
                    <w:gridCol w:w="425"/>
                    <w:gridCol w:w="4253"/>
                    <w:gridCol w:w="1079"/>
                    <w:gridCol w:w="1047"/>
                    <w:gridCol w:w="1134"/>
                  </w:tblGrid>
                  <w:tr>
                    <w:trPr>
                      <w:jc w:val="center"/>
                    </w:trPr>
                    <w:tc>
                      <w:tcPr>
                        <w:tcW w:w="562"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Eil. Nr.</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Sav. valdomos įmonės ar VŠĮ pavad.</w:t>
                        </w:r>
                      </w:p>
                    </w:tc>
                    <w:tc>
                      <w:tcPr>
                        <w:tcW w:w="425" w:type="dxa"/>
                        <w:vMerge w:val="restart"/>
                        <w:tcBorders>
                          <w:top w:val="single" w:sz="4" w:space="0" w:color="auto"/>
                          <w:left w:val="single" w:sz="4" w:space="0" w:color="auto"/>
                          <w:right w:val="single" w:sz="4" w:space="0" w:color="auto"/>
                        </w:tcBorders>
                        <w:shd w:val="clear" w:color="auto" w:fill="DBE5F1"/>
                      </w:tcPr>
                      <w:p>
                        <w:pPr>
                          <w:jc w:val="center"/>
                          <w:rPr>
                            <w:b/>
                            <w:bCs/>
                            <w:sz w:val="20"/>
                          </w:rPr>
                        </w:pPr>
                      </w:p>
                    </w:tc>
                    <w:tc>
                      <w:tcPr>
                        <w:tcW w:w="4253" w:type="dxa"/>
                        <w:vMerge w:val="restart"/>
                        <w:tcBorders>
                          <w:top w:val="single" w:sz="4" w:space="0" w:color="auto"/>
                          <w:left w:val="single" w:sz="4" w:space="0" w:color="auto"/>
                          <w:bottom w:val="single" w:sz="4" w:space="0" w:color="auto"/>
                          <w:right w:val="single" w:sz="4" w:space="0" w:color="auto"/>
                        </w:tcBorders>
                        <w:shd w:val="clear" w:color="auto" w:fill="DBE5F1"/>
                        <w:vAlign w:val="center"/>
                        <w:hideMark/>
                      </w:tcPr>
                      <w:p>
                        <w:pPr>
                          <w:jc w:val="center"/>
                          <w:rPr>
                            <w:b/>
                            <w:bCs/>
                            <w:sz w:val="20"/>
                          </w:rPr>
                        </w:pPr>
                        <w:r>
                          <w:rPr>
                            <w:b/>
                            <w:bCs/>
                            <w:sz w:val="20"/>
                          </w:rPr>
                          <w:t xml:space="preserve">Rodiklio pavadinimas, matavimo vnt.  </w:t>
                        </w:r>
                      </w:p>
                    </w:tc>
                    <w:tc>
                      <w:tcPr>
                        <w:tcW w:w="3260" w:type="dxa"/>
                        <w:gridSpan w:val="3"/>
                        <w:tcBorders>
                          <w:top w:val="single" w:sz="4" w:space="0" w:color="auto"/>
                          <w:left w:val="single" w:sz="4" w:space="0" w:color="auto"/>
                          <w:bottom w:val="single" w:sz="4" w:space="0" w:color="auto"/>
                          <w:right w:val="single" w:sz="4" w:space="0" w:color="auto"/>
                        </w:tcBorders>
                        <w:shd w:val="clear" w:color="auto" w:fill="DBE5F1"/>
                      </w:tcPr>
                      <w:p>
                        <w:pPr>
                          <w:tabs>
                            <w:tab w:val="left" w:pos="6237"/>
                            <w:tab w:val="right" w:pos="8306"/>
                          </w:tabs>
                          <w:jc w:val="center"/>
                          <w:rPr>
                            <w:b/>
                            <w:bCs/>
                            <w:sz w:val="20"/>
                          </w:rPr>
                        </w:pPr>
                        <w:r>
                          <w:rPr>
                            <w:b/>
                            <w:bCs/>
                            <w:sz w:val="20"/>
                          </w:rPr>
                          <w:t>Planuojamos rodiklių reikšmės</w:t>
                        </w:r>
                      </w:p>
                    </w:tc>
                  </w:tr>
                  <w:tr>
                    <w:trPr>
                      <w:jc w:val="center"/>
                    </w:trPr>
                    <w:tc>
                      <w:tcPr>
                        <w:tcW w:w="562"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425" w:type="dxa"/>
                        <w:vMerge/>
                        <w:tcBorders>
                          <w:left w:val="single" w:sz="4" w:space="0" w:color="auto"/>
                          <w:bottom w:val="single" w:sz="4" w:space="0" w:color="auto"/>
                          <w:right w:val="single" w:sz="4" w:space="0" w:color="auto"/>
                        </w:tcBorders>
                      </w:tcPr>
                      <w:p>
                        <w:pPr>
                          <w:rPr>
                            <w:b/>
                            <w:bCs/>
                            <w:sz w:val="20"/>
                          </w:rPr>
                        </w:pPr>
                      </w:p>
                    </w:tc>
                    <w:tc>
                      <w:tcPr>
                        <w:tcW w:w="4253" w:type="dxa"/>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107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sz w:val="20"/>
                          </w:rPr>
                        </w:pPr>
                      </w:p>
                      <w:p>
                        <w:pPr>
                          <w:tabs>
                            <w:tab w:val="left" w:pos="6237"/>
                            <w:tab w:val="right" w:pos="8306"/>
                          </w:tabs>
                          <w:jc w:val="center"/>
                          <w:rPr>
                            <w:b/>
                            <w:bCs/>
                            <w:sz w:val="20"/>
                          </w:rPr>
                        </w:pPr>
                        <w:r>
                          <w:rPr>
                            <w:b/>
                            <w:bCs/>
                            <w:sz w:val="20"/>
                          </w:rPr>
                          <w:t>2025 metais</w:t>
                        </w:r>
                      </w:p>
                    </w:tc>
                    <w:tc>
                      <w:tcPr>
                        <w:tcW w:w="104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b/>
                            <w:bCs/>
                            <w:sz w:val="20"/>
                          </w:rPr>
                        </w:pPr>
                      </w:p>
                      <w:p>
                        <w:pPr>
                          <w:tabs>
                            <w:tab w:val="left" w:pos="6237"/>
                            <w:tab w:val="right" w:pos="8306"/>
                          </w:tabs>
                          <w:jc w:val="center"/>
                          <w:rPr>
                            <w:b/>
                            <w:bCs/>
                            <w:sz w:val="20"/>
                          </w:rPr>
                        </w:pPr>
                        <w:r>
                          <w:rPr>
                            <w:b/>
                            <w:bCs/>
                            <w:sz w:val="20"/>
                          </w:rPr>
                          <w:t>2026 metais</w:t>
                        </w:r>
                      </w:p>
                    </w:tc>
                    <w:tc>
                      <w:tcPr>
                        <w:tcW w:w="1134" w:type="dxa"/>
                        <w:tcBorders>
                          <w:top w:val="single" w:sz="4" w:space="0" w:color="auto"/>
                          <w:left w:val="single" w:sz="4" w:space="0" w:color="auto"/>
                          <w:bottom w:val="single" w:sz="4" w:space="0" w:color="auto"/>
                          <w:right w:val="single" w:sz="4" w:space="0" w:color="auto"/>
                        </w:tcBorders>
                        <w:shd w:val="clear" w:color="auto" w:fill="DBE5F1"/>
                      </w:tcPr>
                      <w:p>
                        <w:pPr>
                          <w:rPr>
                            <w:sz w:val="20"/>
                          </w:rPr>
                        </w:pPr>
                      </w:p>
                      <w:p>
                        <w:pPr>
                          <w:tabs>
                            <w:tab w:val="left" w:pos="6237"/>
                            <w:tab w:val="right" w:pos="8306"/>
                          </w:tabs>
                          <w:jc w:val="center"/>
                          <w:rPr>
                            <w:b/>
                            <w:bCs/>
                            <w:sz w:val="20"/>
                            <w:lang w:val="en-US"/>
                          </w:rPr>
                        </w:pPr>
                        <w:r>
                          <w:rPr>
                            <w:b/>
                            <w:bCs/>
                            <w:sz w:val="20"/>
                          </w:rPr>
                          <w:t>2027 metais</w:t>
                        </w:r>
                      </w:p>
                    </w:tc>
                  </w:tr>
                  <w:tr>
                    <w:trPr>
                      <w:jc w:val="center"/>
                    </w:trPr>
                    <w:tc>
                      <w:tcPr>
                        <w:tcW w:w="562"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1</w:t>
                        </w:r>
                      </w:p>
                    </w:tc>
                    <w:tc>
                      <w:tcPr>
                        <w:tcW w:w="1276"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2</w:t>
                        </w:r>
                      </w:p>
                    </w:tc>
                    <w:tc>
                      <w:tcPr>
                        <w:tcW w:w="425" w:type="dxa"/>
                        <w:tcBorders>
                          <w:top w:val="single" w:sz="4" w:space="0" w:color="auto"/>
                          <w:left w:val="single" w:sz="4" w:space="0" w:color="auto"/>
                          <w:bottom w:val="single" w:sz="4" w:space="0" w:color="auto"/>
                          <w:right w:val="single" w:sz="4" w:space="0" w:color="auto"/>
                        </w:tcBorders>
                        <w:shd w:val="clear" w:color="auto" w:fill="DBE5F1"/>
                      </w:tcPr>
                      <w:p>
                        <w:pPr>
                          <w:tabs>
                            <w:tab w:val="left" w:pos="6237"/>
                            <w:tab w:val="right" w:pos="8306"/>
                          </w:tabs>
                          <w:jc w:val="center"/>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4</w:t>
                        </w:r>
                      </w:p>
                    </w:tc>
                    <w:tc>
                      <w:tcPr>
                        <w:tcW w:w="1079"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5</w:t>
                        </w:r>
                      </w:p>
                    </w:tc>
                    <w:tc>
                      <w:tcPr>
                        <w:tcW w:w="1047" w:type="dxa"/>
                        <w:tcBorders>
                          <w:top w:val="single" w:sz="4" w:space="0" w:color="auto"/>
                          <w:left w:val="single" w:sz="4" w:space="0" w:color="auto"/>
                          <w:bottom w:val="single" w:sz="4" w:space="0" w:color="auto"/>
                          <w:right w:val="single" w:sz="4" w:space="0" w:color="auto"/>
                        </w:tcBorders>
                        <w:shd w:val="clear" w:color="auto" w:fill="DBE5F1"/>
                        <w:vAlign w:val="center"/>
                        <w:hideMark/>
                      </w:tcPr>
                      <w:p>
                        <w:pPr>
                          <w:tabs>
                            <w:tab w:val="left" w:pos="6237"/>
                            <w:tab w:val="right" w:pos="8306"/>
                          </w:tabs>
                          <w:jc w:val="center"/>
                          <w:rPr>
                            <w:sz w:val="20"/>
                          </w:rPr>
                        </w:pPr>
                        <w:r>
                          <w:rPr>
                            <w:sz w:val="20"/>
                          </w:rPr>
                          <w:t>6</w:t>
                        </w:r>
                      </w:p>
                    </w:tc>
                    <w:tc>
                      <w:tcPr>
                        <w:tcW w:w="1134" w:type="dxa"/>
                        <w:tcBorders>
                          <w:top w:val="single" w:sz="4" w:space="0" w:color="auto"/>
                          <w:left w:val="single" w:sz="4" w:space="0" w:color="auto"/>
                          <w:bottom w:val="single" w:sz="4" w:space="0" w:color="auto"/>
                          <w:right w:val="single" w:sz="4" w:space="0" w:color="auto"/>
                        </w:tcBorders>
                        <w:shd w:val="clear" w:color="auto" w:fill="DBE5F1"/>
                      </w:tcPr>
                      <w:p>
                        <w:pPr>
                          <w:tabs>
                            <w:tab w:val="left" w:pos="6237"/>
                            <w:tab w:val="right" w:pos="8306"/>
                          </w:tabs>
                          <w:jc w:val="center"/>
                          <w:rPr>
                            <w:sz w:val="20"/>
                          </w:rPr>
                        </w:pPr>
                        <w:r>
                          <w:rPr>
                            <w:sz w:val="20"/>
                          </w:rPr>
                          <w:t>7</w:t>
                        </w:r>
                      </w:p>
                    </w:tc>
                  </w:tr>
                  <w:tr>
                    <w:trPr>
                      <w:jc w:val="center"/>
                    </w:trPr>
                    <w:tc>
                      <w:tcPr>
                        <w:tcW w:w="9776"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6237"/>
                            <w:tab w:val="right" w:pos="8306"/>
                          </w:tabs>
                          <w:jc w:val="center"/>
                          <w:rPr>
                            <w:b/>
                            <w:bCs/>
                            <w:i/>
                            <w:iCs/>
                            <w:sz w:val="20"/>
                          </w:rPr>
                        </w:pPr>
                        <w:r>
                          <w:rPr>
                            <w:b/>
                            <w:bCs/>
                            <w:i/>
                            <w:iCs/>
                            <w:sz w:val="20"/>
                          </w:rPr>
                          <w:t>Savivaldybės valdomų įmonių planuojami pasiekti pagrindiniai veiklos rodikliai ir jų reikšmės</w:t>
                        </w:r>
                      </w:p>
                    </w:tc>
                  </w:tr>
                  <w:tr>
                    <w:trPr>
                      <w:jc w:val="center"/>
                    </w:trPr>
                    <w:tc>
                      <w:tcPr>
                        <w:tcW w:w="562"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p>
                      <w:p>
                        <w:pPr>
                          <w:tabs>
                            <w:tab w:val="left" w:pos="6237"/>
                            <w:tab w:val="right" w:pos="8306"/>
                          </w:tabs>
                          <w:jc w:val="center"/>
                          <w:rPr>
                            <w:sz w:val="20"/>
                          </w:rPr>
                        </w:pPr>
                        <w:r>
                          <w:rPr>
                            <w:sz w:val="20"/>
                          </w:rPr>
                          <w:t>1.</w:t>
                        </w:r>
                      </w:p>
                    </w:tc>
                    <w:tc>
                      <w:tcPr>
                        <w:tcW w:w="1276"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UAB „Busturas“</w:t>
                        </w:r>
                      </w:p>
                    </w:tc>
                    <w:tc>
                      <w:tcPr>
                        <w:tcW w:w="425" w:type="dxa"/>
                        <w:tcBorders>
                          <w:top w:val="single" w:sz="4" w:space="0" w:color="auto"/>
                          <w:left w:val="single" w:sz="4" w:space="0" w:color="auto"/>
                          <w:right w:val="single" w:sz="4" w:space="0" w:color="auto"/>
                        </w:tcBorders>
                      </w:tcPr>
                      <w:p>
                        <w:pPr>
                          <w:tabs>
                            <w:tab w:val="left" w:pos="6237"/>
                            <w:tab w:val="right" w:pos="8306"/>
                          </w:tabs>
                          <w:rPr>
                            <w:sz w:val="20"/>
                          </w:rPr>
                        </w:pPr>
                        <w:r>
                          <w:rPr>
                            <w:sz w:val="20"/>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Vidutinis važiuojančiųjų (pagal žymėjimų skaičių) keleivių skaičius per darbo dieną (miesto maršrutuose),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34 300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34 350 </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color w:val="FF0000"/>
                            <w:sz w:val="20"/>
                          </w:rPr>
                        </w:pPr>
                        <w:r>
                          <w:rPr>
                            <w:sz w:val="20"/>
                          </w:rPr>
                          <w:t>34 400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lang w:val="en-US"/>
                          </w:rPr>
                        </w:pPr>
                        <w:r>
                          <w:rPr>
                            <w:sz w:val="20"/>
                            <w:lang w:val="en-US"/>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įmonės pelningumas, proc.</w:t>
                        </w:r>
                      </w:p>
                    </w:tc>
                    <w:tc>
                      <w:tcPr>
                        <w:tcW w:w="1079" w:type="dxa"/>
                        <w:tcBorders>
                          <w:top w:val="single" w:sz="4" w:space="0" w:color="auto"/>
                          <w:left w:val="single" w:sz="4" w:space="0" w:color="auto"/>
                          <w:bottom w:val="single" w:sz="4" w:space="0" w:color="auto"/>
                          <w:right w:val="single" w:sz="4" w:space="0" w:color="auto"/>
                        </w:tcBorders>
                        <w:vAlign w:val="center"/>
                      </w:tcPr>
                      <w:p>
                        <w:pPr>
                          <w:spacing w:line="252" w:lineRule="auto"/>
                          <w:jc w:val="center"/>
                          <w:rPr>
                            <w:sz w:val="20"/>
                          </w:rPr>
                        </w:pPr>
                        <w:r>
                          <w:rPr>
                            <w:sz w:val="20"/>
                          </w:rPr>
                          <w:t>ne mažiau nei 4</w:t>
                        </w:r>
                      </w:p>
                      <w:p>
                        <w:pPr>
                          <w:tabs>
                            <w:tab w:val="left" w:pos="6237"/>
                            <w:tab w:val="right" w:pos="8306"/>
                          </w:tabs>
                          <w:jc w:val="center"/>
                          <w:rPr>
                            <w:sz w:val="20"/>
                          </w:rPr>
                        </w:pPr>
                      </w:p>
                    </w:tc>
                    <w:tc>
                      <w:tcPr>
                        <w:tcW w:w="1047" w:type="dxa"/>
                        <w:tcBorders>
                          <w:top w:val="single" w:sz="4" w:space="0" w:color="auto"/>
                          <w:left w:val="single" w:sz="4" w:space="0" w:color="auto"/>
                          <w:bottom w:val="single" w:sz="4" w:space="0" w:color="auto"/>
                          <w:right w:val="single" w:sz="4" w:space="0" w:color="auto"/>
                        </w:tcBorders>
                        <w:vAlign w:val="center"/>
                      </w:tcPr>
                      <w:p>
                        <w:pPr>
                          <w:spacing w:line="252" w:lineRule="auto"/>
                          <w:jc w:val="center"/>
                          <w:rPr>
                            <w:sz w:val="20"/>
                          </w:rPr>
                        </w:pPr>
                        <w:r>
                          <w:rPr>
                            <w:sz w:val="20"/>
                          </w:rPr>
                          <w:t>ne mažiau nei 4</w:t>
                        </w:r>
                      </w:p>
                      <w:p>
                        <w:pPr>
                          <w:tabs>
                            <w:tab w:val="left" w:pos="6237"/>
                            <w:tab w:val="right" w:pos="8306"/>
                          </w:tabs>
                          <w:jc w:val="center"/>
                          <w:rPr>
                            <w:sz w:val="20"/>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52" w:lineRule="auto"/>
                          <w:jc w:val="center"/>
                          <w:rPr>
                            <w:sz w:val="20"/>
                          </w:rPr>
                        </w:pPr>
                        <w:r>
                          <w:rPr>
                            <w:sz w:val="20"/>
                          </w:rPr>
                          <w:t>ne mažiau nei 4</w:t>
                        </w:r>
                      </w:p>
                      <w:p>
                        <w:pPr>
                          <w:tabs>
                            <w:tab w:val="left" w:pos="6237"/>
                            <w:tab w:val="right" w:pos="8306"/>
                          </w:tabs>
                          <w:jc w:val="center"/>
                          <w:rPr>
                            <w:sz w:val="20"/>
                          </w:rPr>
                        </w:pP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Klientų rekomendavimo naudotis teikiamomis paslaugomis reikšmė (NPS) (</w:t>
                        </w:r>
                        <w:r>
                          <w:t>&gt;0)</w:t>
                        </w:r>
                        <w:r>
                          <w:rPr>
                            <w:sz w:val="20"/>
                          </w:rPr>
                          <w:t>,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4</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5</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6</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Dyzelinių autobusų rida bendroje miesto ridoje,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8</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7</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5.</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Nutrauktų keleivių vežimo reisų dalis miesto maršrutuose nuo visų planuotų reisų,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0,16</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0,15</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lang w:val="en-US"/>
                          </w:rPr>
                        </w:pPr>
                        <w:r>
                          <w:rPr>
                            <w:sz w:val="20"/>
                            <w:lang w:val="en-US"/>
                          </w:rPr>
                          <w:t>6.</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Vidutinis viešojo transporto amžius, 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11,9</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12,3</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13,3</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jc w:val="center"/>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7.</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Įdiegta E-bilieto sistema,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color w:val="FF0000"/>
                            <w:sz w:val="20"/>
                          </w:rPr>
                        </w:pP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1</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color w:val="FF0000"/>
                            <w:sz w:val="20"/>
                          </w:rPr>
                        </w:pPr>
                      </w:p>
                    </w:tc>
                  </w:tr>
                  <w:tr>
                    <w:trPr>
                      <w:jc w:val="center"/>
                    </w:trPr>
                    <w:tc>
                      <w:tcPr>
                        <w:tcW w:w="562" w:type="dxa"/>
                        <w:vMerge w:val="restart"/>
                        <w:tcBorders>
                          <w:top w:val="single" w:sz="4" w:space="0" w:color="auto"/>
                          <w:left w:val="single" w:sz="4" w:space="0" w:color="auto"/>
                          <w:right w:val="single" w:sz="4" w:space="0" w:color="auto"/>
                        </w:tcBorders>
                      </w:tcPr>
                      <w:p>
                        <w:pPr>
                          <w:tabs>
                            <w:tab w:val="left" w:pos="6237"/>
                            <w:tab w:val="right" w:pos="8306"/>
                          </w:tabs>
                          <w:ind w:firstLine="53"/>
                          <w:jc w:val="center"/>
                          <w:rPr>
                            <w:sz w:val="20"/>
                          </w:rPr>
                        </w:pPr>
                        <w:r>
                          <w:rPr>
                            <w:sz w:val="20"/>
                          </w:rPr>
                          <w:t>2.</w:t>
                        </w:r>
                      </w:p>
                    </w:tc>
                    <w:tc>
                      <w:tcPr>
                        <w:tcW w:w="1276"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AB „Šiaulių energija“</w:t>
                        </w:r>
                      </w:p>
                    </w:tc>
                    <w:tc>
                      <w:tcPr>
                        <w:tcW w:w="425" w:type="dxa"/>
                        <w:tcBorders>
                          <w:top w:val="single" w:sz="4" w:space="0" w:color="auto"/>
                          <w:left w:val="single" w:sz="4" w:space="0" w:color="auto"/>
                          <w:right w:val="single" w:sz="4" w:space="0" w:color="auto"/>
                        </w:tcBorders>
                      </w:tcPr>
                      <w:p>
                        <w:pPr>
                          <w:tabs>
                            <w:tab w:val="left" w:pos="6237"/>
                            <w:tab w:val="right" w:pos="8306"/>
                          </w:tabs>
                          <w:rPr>
                            <w:sz w:val="20"/>
                          </w:rPr>
                        </w:pPr>
                        <w:r>
                          <w:rPr>
                            <w:sz w:val="20"/>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 xml:space="preserve">Pietinės katilinės sistemos  technologinėms reikmėms reikalingos elektros energijos dalis, pagaminta termofikacinėje elektrinėje, proc.</w:t>
                        </w:r>
                      </w:p>
                    </w:tc>
                    <w:tc>
                      <w:tcPr>
                        <w:tcW w:w="1079" w:type="dxa"/>
                        <w:tcBorders>
                          <w:top w:val="nil"/>
                          <w:left w:val="nil"/>
                          <w:bottom w:val="single" w:sz="4" w:space="0" w:color="000000"/>
                          <w:right w:val="single" w:sz="4" w:space="0" w:color="000000"/>
                        </w:tcBorders>
                        <w:shd w:val="clear" w:color="auto" w:fill="auto"/>
                        <w:vAlign w:val="center"/>
                      </w:tcPr>
                      <w:p>
                        <w:pPr>
                          <w:tabs>
                            <w:tab w:val="left" w:pos="6237"/>
                            <w:tab w:val="right" w:pos="8306"/>
                          </w:tabs>
                          <w:jc w:val="center"/>
                          <w:rPr>
                            <w:sz w:val="20"/>
                          </w:rPr>
                        </w:pPr>
                        <w:r>
                          <w:rPr>
                            <w:kern w:val="2"/>
                            <w:sz w:val="20"/>
                          </w:rPr>
                          <w:t>&gt; 82</w:t>
                        </w:r>
                      </w:p>
                    </w:tc>
                    <w:tc>
                      <w:tcPr>
                        <w:tcW w:w="1047" w:type="dxa"/>
                        <w:tcBorders>
                          <w:top w:val="nil"/>
                          <w:left w:val="nil"/>
                          <w:bottom w:val="single" w:sz="4" w:space="0" w:color="000000"/>
                          <w:right w:val="single" w:sz="4" w:space="0" w:color="000000"/>
                        </w:tcBorders>
                        <w:shd w:val="clear" w:color="auto" w:fill="auto"/>
                        <w:vAlign w:val="center"/>
                      </w:tcPr>
                      <w:p>
                        <w:pPr>
                          <w:tabs>
                            <w:tab w:val="left" w:pos="6237"/>
                            <w:tab w:val="right" w:pos="8306"/>
                          </w:tabs>
                          <w:jc w:val="center"/>
                          <w:rPr>
                            <w:sz w:val="20"/>
                          </w:rPr>
                        </w:pPr>
                        <w:r>
                          <w:rPr>
                            <w:kern w:val="2"/>
                            <w:sz w:val="20"/>
                          </w:rPr>
                          <w:t>&gt; 90</w:t>
                        </w:r>
                      </w:p>
                    </w:tc>
                    <w:tc>
                      <w:tcPr>
                        <w:tcW w:w="1134" w:type="dxa"/>
                        <w:tcBorders>
                          <w:top w:val="nil"/>
                          <w:left w:val="nil"/>
                          <w:bottom w:val="single" w:sz="4" w:space="0" w:color="000000"/>
                          <w:right w:val="single" w:sz="4" w:space="0" w:color="000000"/>
                        </w:tcBorders>
                        <w:vAlign w:val="center"/>
                      </w:tcPr>
                      <w:p>
                        <w:pPr>
                          <w:tabs>
                            <w:tab w:val="left" w:pos="6237"/>
                            <w:tab w:val="right" w:pos="8306"/>
                          </w:tabs>
                          <w:rPr>
                            <w:kern w:val="2"/>
                            <w:sz w:val="20"/>
                          </w:rPr>
                        </w:pPr>
                        <w:r>
                          <w:rPr>
                            <w:kern w:val="2"/>
                            <w:sz w:val="20"/>
                          </w:rPr>
                          <w:t>&gt; 90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1,1</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kern w:val="2"/>
                            <w:sz w:val="20"/>
                          </w:rPr>
                          <w:t>≥ 1,1</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Padidintas paslaugų teikimo patikimumas: rekonstruoti centralizuoto šilumos perdavimo tinklai, taip pat ir patenkantys į teritorijas, kuriose Šiaulių miesto savivaldybė numato įgyvendinti viešosios infrastruktūros sutvarkymo projektus, kmₛ (modernizuotos šildymo sistemos trasos (sąlyginio 100 mm diametro) ilgis)</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1,53</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kern w:val="2"/>
                            <w:sz w:val="20"/>
                          </w:rPr>
                          <w:t>≥ 1,08</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 0,72</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 xml:space="preserve">Užtikrintas paslaugų teikimo patikimumas ir kokybė: pagal šilumos tinklų ir šilumos vartojimo įrenginių priežiūros (eksploatacijos) taisykles atlikus hidraulinius bandymus, operatyviai atstatytas  karšto vandens tiekimas, terminas, per kurį turi būti atstatytas karšto vandens tiekimas po hidraulinių bandymų, val.</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 72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 72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 72</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5.</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Centralizuotai tiekiamos šilumos energijos, pagamintos iš atsinaujinančių energijos išteklių, dalis pagal šilumos energijos balansą Pietinės katilinės centralizuoto šilumos tiekimo sistemoje,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&gt;80</w:t>
                        </w:r>
                      </w:p>
                    </w:tc>
                    <w:tc>
                      <w:tcPr>
                        <w:tcW w:w="1047"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6237"/>
                            <w:tab w:val="right" w:pos="8306"/>
                          </w:tabs>
                          <w:jc w:val="center"/>
                          <w:rPr>
                            <w:sz w:val="20"/>
                          </w:rPr>
                        </w:pPr>
                        <w:r>
                          <w:rPr>
                            <w:sz w:val="20"/>
                          </w:rPr>
                          <w:t>&gt;90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6237"/>
                            <w:tab w:val="right" w:pos="8306"/>
                          </w:tabs>
                          <w:jc w:val="center"/>
                          <w:rPr>
                            <w:sz w:val="20"/>
                          </w:rPr>
                        </w:pPr>
                        <w:r>
                          <w:rPr>
                            <w:sz w:val="20"/>
                          </w:rPr>
                          <w:t xml:space="preserve">&gt;90  </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6.</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Įdiegtas nuotolinis šilumos apskaitos prietaisų duomenų nuskaitymas pastatuose, proc.</w:t>
                        </w:r>
                      </w:p>
                    </w:tc>
                    <w:tc>
                      <w:tcPr>
                        <w:tcW w:w="107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0"/>
                          </w:rPr>
                        </w:pPr>
                        <w:r>
                          <w:rPr>
                            <w:sz w:val="20"/>
                          </w:rPr>
                          <w:t>&gt;50</w:t>
                        </w:r>
                      </w:p>
                      <w:p>
                        <w:pPr>
                          <w:tabs>
                            <w:tab w:val="left" w:pos="6237"/>
                            <w:tab w:val="right" w:pos="8306"/>
                          </w:tabs>
                          <w:ind w:firstLine="53"/>
                          <w:jc w:val="center"/>
                          <w:rPr>
                            <w:sz w:val="20"/>
                          </w:rPr>
                        </w:pP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&gt;80</w:t>
                        </w:r>
                      </w:p>
                      <w:p>
                        <w:pPr>
                          <w:tabs>
                            <w:tab w:val="left" w:pos="6237"/>
                            <w:tab w:val="right" w:pos="8306"/>
                          </w:tabs>
                          <w:jc w:val="center"/>
                          <w:rPr>
                            <w:sz w:val="20"/>
                          </w:rPr>
                        </w:pP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&gt;90</w:t>
                        </w:r>
                      </w:p>
                      <w:p>
                        <w:pPr>
                          <w:tabs>
                            <w:tab w:val="left" w:pos="6237"/>
                            <w:tab w:val="right" w:pos="8306"/>
                          </w:tabs>
                          <w:jc w:val="center"/>
                          <w:rPr>
                            <w:sz w:val="20"/>
                          </w:rPr>
                        </w:pP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7.</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Naujai prijungtų vartotojų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2</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3.</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UAB „Šiaulių vandenys“</w:t>
                        </w:r>
                      </w:p>
                    </w:tc>
                    <w:tc>
                      <w:tcPr>
                        <w:tcW w:w="425" w:type="dxa"/>
                        <w:tcBorders>
                          <w:left w:val="single" w:sz="4" w:space="0" w:color="auto"/>
                          <w:right w:val="single" w:sz="4" w:space="0" w:color="auto"/>
                        </w:tcBorders>
                      </w:tcPr>
                      <w:p>
                        <w:pPr>
                          <w:tabs>
                            <w:tab w:val="left" w:pos="6237"/>
                            <w:tab w:val="right" w:pos="8306"/>
                          </w:tabs>
                          <w:rPr>
                            <w:sz w:val="20"/>
                          </w:rPr>
                        </w:pPr>
                        <w:r>
                          <w:rPr>
                            <w:sz w:val="20"/>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Užtikrinti abonentams ir vartotojams tiekiamo geriamojo vandens kokybės ir surinktų nuotekų išvalymo rodikliai,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100</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highlight w:val="green"/>
                          </w:rPr>
                        </w:pPr>
                      </w:p>
                      <w:p>
                        <w:pPr>
                          <w:tabs>
                            <w:tab w:val="left" w:pos="6237"/>
                            <w:tab w:val="right" w:pos="8306"/>
                          </w:tabs>
                          <w:jc w:val="center"/>
                          <w:rPr>
                            <w:kern w:val="2"/>
                            <w:sz w:val="20"/>
                          </w:rPr>
                        </w:pPr>
                        <w:r>
                          <w:rPr>
                            <w:kern w:val="2"/>
                            <w:sz w:val="20"/>
                          </w:rPr>
                          <w:t>100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Atnaujintų (rekonstruotų, suremontuotų) ir įrengtų vandens tiekimo ir buitinių bei paviršinių nuotekų surinkimo tinklų ilgis, km.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8,8</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18,2</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4,6</w:t>
                        </w:r>
                      </w:p>
                      <w:p>
                        <w:pPr>
                          <w:tabs>
                            <w:tab w:val="left" w:pos="6237"/>
                            <w:tab w:val="right" w:pos="8306"/>
                          </w:tabs>
                          <w:jc w:val="center"/>
                          <w:rPr>
                            <w:kern w:val="2"/>
                            <w:sz w:val="20"/>
                          </w:rPr>
                        </w:pP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Geriamojo vandens tiekimo ir nuotekų tvarkymo paslaugų prieinamumo didinimas – sudaryta galimybė namų ūkiams (esamiems ir perspektyviniams) prisijungti prie centralizuotai teikiamų paslaugų,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150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170</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highlight w:val="green"/>
                          </w:rPr>
                        </w:pPr>
                      </w:p>
                      <w:p>
                        <w:pPr>
                          <w:tabs>
                            <w:tab w:val="left" w:pos="6237"/>
                            <w:tab w:val="right" w:pos="8306"/>
                          </w:tabs>
                          <w:jc w:val="center"/>
                          <w:rPr>
                            <w:kern w:val="2"/>
                            <w:sz w:val="20"/>
                            <w:highlight w:val="green"/>
                          </w:rPr>
                        </w:pPr>
                      </w:p>
                      <w:p>
                        <w:pPr>
                          <w:tabs>
                            <w:tab w:val="left" w:pos="6237"/>
                            <w:tab w:val="right" w:pos="8306"/>
                          </w:tabs>
                          <w:jc w:val="center"/>
                          <w:rPr>
                            <w:kern w:val="2"/>
                            <w:sz w:val="20"/>
                          </w:rPr>
                        </w:pPr>
                        <w:r>
                          <w:rPr>
                            <w:kern w:val="2"/>
                            <w:sz w:val="20"/>
                          </w:rPr>
                          <w:t>100</w:t>
                        </w:r>
                      </w:p>
                      <w:p>
                        <w:pPr>
                          <w:tabs>
                            <w:tab w:val="left" w:pos="6237"/>
                            <w:tab w:val="right" w:pos="8306"/>
                          </w:tabs>
                          <w:jc w:val="center"/>
                          <w:rPr>
                            <w:kern w:val="2"/>
                            <w:sz w:val="20"/>
                            <w:highlight w:val="green"/>
                          </w:rPr>
                        </w:pPr>
                      </w:p>
                      <w:p>
                        <w:pPr>
                          <w:tabs>
                            <w:tab w:val="left" w:pos="6237"/>
                            <w:tab w:val="right" w:pos="8306"/>
                          </w:tabs>
                          <w:jc w:val="center"/>
                          <w:rPr>
                            <w:kern w:val="2"/>
                            <w:sz w:val="20"/>
                          </w:rPr>
                        </w:pP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Iš skirstomojo tinklo įsigyjamos energijos dalis, nuo visos suvartojamos elektros energijos,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Cs w:val="24"/>
                          </w:rPr>
                          <w:t>&lt;</w:t>
                        </w:r>
                        <w:r>
                          <w:rPr>
                            <w:kern w:val="2"/>
                            <w:sz w:val="20"/>
                          </w:rPr>
                          <w:t>62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Cs w:val="24"/>
                          </w:rPr>
                          <w:t>&lt;</w:t>
                        </w:r>
                        <w:r>
                          <w:rPr>
                            <w:kern w:val="2"/>
                            <w:sz w:val="20"/>
                          </w:rPr>
                          <w:t>58</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Cs w:val="24"/>
                          </w:rPr>
                          <w:t>&lt;</w:t>
                        </w:r>
                        <w:r>
                          <w:rPr>
                            <w:kern w:val="2"/>
                            <w:sz w:val="20"/>
                          </w:rPr>
                          <w:t>55</w:t>
                        </w:r>
                      </w:p>
                    </w:tc>
                  </w:tr>
                  <w:tr>
                    <w:trPr>
                      <w:trHeight w:val="700"/>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4.</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UAB „Šiaulių gatvių apšvietimas“</w:t>
                        </w:r>
                      </w:p>
                    </w:tc>
                    <w:tc>
                      <w:tcPr>
                        <w:tcW w:w="425" w:type="dxa"/>
                        <w:tcBorders>
                          <w:left w:val="single" w:sz="4" w:space="0" w:color="auto"/>
                          <w:right w:val="single" w:sz="4" w:space="0" w:color="auto"/>
                        </w:tcBorders>
                      </w:tcPr>
                      <w:p>
                        <w:pPr>
                          <w:tabs>
                            <w:tab w:val="left" w:pos="6237"/>
                            <w:tab w:val="right" w:pos="8306"/>
                          </w:tabs>
                          <w:rPr>
                            <w:sz w:val="20"/>
                          </w:rPr>
                        </w:pPr>
                        <w:r>
                          <w:rPr>
                            <w:sz w:val="20"/>
                          </w:rPr>
                          <w:t>1.</w:t>
                        </w:r>
                      </w:p>
                    </w:tc>
                    <w:tc>
                      <w:tcPr>
                        <w:tcW w:w="4253" w:type="dxa"/>
                        <w:tcBorders>
                          <w:top w:val="single" w:sz="4" w:space="0" w:color="auto"/>
                          <w:left w:val="single" w:sz="4" w:space="0" w:color="auto"/>
                          <w:right w:val="single" w:sz="4" w:space="0" w:color="auto"/>
                        </w:tcBorders>
                      </w:tcPr>
                      <w:p>
                        <w:pPr>
                          <w:tabs>
                            <w:tab w:val="left" w:pos="6237"/>
                            <w:tab w:val="right" w:pos="8306"/>
                          </w:tabs>
                          <w:rPr>
                            <w:strike/>
                            <w:sz w:val="20"/>
                            <w:highlight w:val="green"/>
                          </w:rPr>
                        </w:pPr>
                        <w:r>
                          <w:rPr>
                            <w:sz w:val="20"/>
                          </w:rPr>
                          <w:t>Elektros energijos miesto gatvių apšvietimui suvartojimo efektyvumas – kWh vienam šviestuvui per metus</w:t>
                        </w:r>
                      </w:p>
                    </w:tc>
                    <w:tc>
                      <w:tcPr>
                        <w:tcW w:w="1079" w:type="dxa"/>
                        <w:tcBorders>
                          <w:top w:val="single" w:sz="4" w:space="0" w:color="000000"/>
                          <w:left w:val="nil"/>
                          <w:right w:val="single" w:sz="4" w:space="0" w:color="000000"/>
                        </w:tcBorders>
                        <w:shd w:val="clear" w:color="auto" w:fill="auto"/>
                        <w:vAlign w:val="center"/>
                      </w:tcPr>
                      <w:p>
                        <w:pPr>
                          <w:tabs>
                            <w:tab w:val="left" w:pos="6237"/>
                            <w:tab w:val="right" w:pos="8306"/>
                          </w:tabs>
                          <w:jc w:val="center"/>
                          <w:rPr>
                            <w:strike/>
                            <w:kern w:val="2"/>
                            <w:sz w:val="20"/>
                            <w:highlight w:val="green"/>
                          </w:rPr>
                        </w:pPr>
                        <w:r>
                          <w:rPr>
                            <w:kern w:val="2"/>
                            <w:sz w:val="20"/>
                          </w:rPr>
                          <w:t>&lt;200</w:t>
                        </w:r>
                      </w:p>
                    </w:tc>
                    <w:tc>
                      <w:tcPr>
                        <w:tcW w:w="1047" w:type="dxa"/>
                        <w:tcBorders>
                          <w:top w:val="single" w:sz="4" w:space="0" w:color="000000"/>
                          <w:left w:val="nil"/>
                          <w:right w:val="single" w:sz="4" w:space="0" w:color="000000"/>
                        </w:tcBorders>
                        <w:shd w:val="clear" w:color="auto" w:fill="auto"/>
                        <w:vAlign w:val="center"/>
                      </w:tcPr>
                      <w:p>
                        <w:pPr>
                          <w:tabs>
                            <w:tab w:val="left" w:pos="6237"/>
                            <w:tab w:val="right" w:pos="8306"/>
                          </w:tabs>
                          <w:jc w:val="center"/>
                          <w:rPr>
                            <w:strike/>
                            <w:kern w:val="2"/>
                            <w:sz w:val="20"/>
                            <w:highlight w:val="green"/>
                          </w:rPr>
                        </w:pPr>
                        <w:r>
                          <w:rPr>
                            <w:kern w:val="2"/>
                            <w:sz w:val="20"/>
                          </w:rPr>
                          <w:t>&lt;200</w:t>
                        </w:r>
                      </w:p>
                    </w:tc>
                    <w:tc>
                      <w:tcPr>
                        <w:tcW w:w="1134" w:type="dxa"/>
                        <w:tcBorders>
                          <w:top w:val="single" w:sz="4" w:space="0" w:color="000000"/>
                          <w:left w:val="nil"/>
                          <w:right w:val="single" w:sz="4" w:space="0" w:color="000000"/>
                        </w:tcBorders>
                      </w:tcPr>
                      <w:p>
                        <w:pPr>
                          <w:tabs>
                            <w:tab w:val="left" w:pos="6237"/>
                            <w:tab w:val="right" w:pos="8306"/>
                          </w:tabs>
                          <w:jc w:val="center"/>
                          <w:rPr>
                            <w:kern w:val="2"/>
                            <w:sz w:val="20"/>
                          </w:rPr>
                        </w:pPr>
                      </w:p>
                      <w:p>
                        <w:pPr>
                          <w:tabs>
                            <w:tab w:val="left" w:pos="6237"/>
                            <w:tab w:val="right" w:pos="8306"/>
                          </w:tabs>
                          <w:jc w:val="center"/>
                          <w:rPr>
                            <w:strike/>
                            <w:kern w:val="2"/>
                            <w:sz w:val="20"/>
                            <w:highlight w:val="green"/>
                          </w:rPr>
                        </w:pPr>
                        <w:r>
                          <w:rPr>
                            <w:kern w:val="2"/>
                            <w:sz w:val="20"/>
                          </w:rPr>
                          <w:t>&lt;200</w:t>
                        </w:r>
                      </w:p>
                    </w:tc>
                  </w:tr>
                  <w:tr>
                    <w:trPr>
                      <w:trHeight w:val="369"/>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0"/>
                          </w:rPr>
                        </w:pPr>
                        <w:r>
                          <w:rPr>
                            <w:sz w:val="20"/>
                          </w:rPr>
                          <w:t>Modernizuoto apšvietimo infrastruktūros tinklo ilgis, km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6</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6</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6</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Naujai įrengto apšvietimo infrastruktūros tinklo ilgis, km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ne mažiau 1</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Modernizuota šviesoforų postų,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ind w:firstLine="53"/>
                          <w:jc w:val="center"/>
                          <w:rPr>
                            <w:kern w:val="2"/>
                            <w:sz w:val="20"/>
                          </w:rPr>
                        </w:pPr>
                        <w:r>
                          <w:rPr>
                            <w:kern w:val="2"/>
                            <w:sz w:val="20"/>
                          </w:rPr>
                          <w:t>ne mažiau 1</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ind w:firstLine="53"/>
                          <w:jc w:val="center"/>
                          <w:rPr>
                            <w:kern w:val="2"/>
                            <w:sz w:val="20"/>
                          </w:rPr>
                        </w:pPr>
                        <w:r>
                          <w:rPr>
                            <w:kern w:val="2"/>
                            <w:sz w:val="20"/>
                          </w:rPr>
                          <w:t>ne mažiau 1</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lang w:val="en-US"/>
                          </w:rPr>
                        </w:pPr>
                        <w:r>
                          <w:rPr>
                            <w:sz w:val="20"/>
                            <w:lang w:val="en-US"/>
                          </w:rPr>
                          <w:t>5.</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 xml:space="preserve">Naujai pritrauktų administruojamų  daugiabučių gyvenamųjų namų skaičius, vnt. per metus</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highlight w:val="green"/>
                          </w:rPr>
                        </w:pPr>
                        <w:r>
                          <w:rPr>
                            <w:kern w:val="2"/>
                            <w:sz w:val="20"/>
                          </w:rPr>
                          <w:t>2</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5.</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UAB Pabalių turgus</w:t>
                        </w:r>
                      </w:p>
                    </w:tc>
                    <w:tc>
                      <w:tcPr>
                        <w:tcW w:w="425" w:type="dxa"/>
                        <w:tcBorders>
                          <w:left w:val="single" w:sz="4" w:space="0" w:color="auto"/>
                          <w:right w:val="single" w:sz="4" w:space="0" w:color="auto"/>
                        </w:tcBorders>
                      </w:tcPr>
                      <w:p>
                        <w:pPr>
                          <w:tabs>
                            <w:tab w:val="left" w:pos="6237"/>
                            <w:tab w:val="right" w:pos="8306"/>
                          </w:tabs>
                          <w:rPr>
                            <w:sz w:val="20"/>
                            <w:lang w:val="en-US"/>
                          </w:rPr>
                        </w:pPr>
                        <w:r>
                          <w:rPr>
                            <w:sz w:val="20"/>
                            <w:lang w:val="en-US"/>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Pardavimų, tenkančių vienam darbuotojui padidėjimas, lyginant su praeitais metais,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1,74</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3,3</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3,3</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Padidėjusios pajamos lyginant su praėjusiais metais,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0,54</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1,74</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1,75</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17,36</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17,4</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18,6</w:t>
                        </w:r>
                      </w:p>
                    </w:tc>
                  </w:tr>
                  <w:tr>
                    <w:trPr>
                      <w:trHeight w:val="70"/>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lang w:val="en-US"/>
                          </w:rPr>
                          <w:t>4</w:t>
                        </w:r>
                        <w:r>
                          <w:rPr>
                            <w:sz w:val="20"/>
                          </w:rPr>
                          <w:t>.</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Nuomojamų komercinių patalpų užimtumas,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65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70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75</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6.</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SĮ Šiaulių oro uostas</w:t>
                        </w:r>
                      </w:p>
                    </w:tc>
                    <w:tc>
                      <w:tcPr>
                        <w:tcW w:w="425" w:type="dxa"/>
                        <w:tcBorders>
                          <w:left w:val="single" w:sz="4" w:space="0" w:color="auto"/>
                          <w:right w:val="single" w:sz="4" w:space="0" w:color="auto"/>
                        </w:tcBorders>
                      </w:tcPr>
                      <w:p>
                        <w:pPr>
                          <w:tabs>
                            <w:tab w:val="left" w:pos="6237"/>
                            <w:tab w:val="right" w:pos="8306"/>
                          </w:tabs>
                          <w:rPr>
                            <w:sz w:val="20"/>
                            <w:lang w:val="en-US"/>
                          </w:rPr>
                        </w:pPr>
                        <w:r>
                          <w:rPr>
                            <w:sz w:val="20"/>
                            <w:lang w:val="en-US"/>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Grynasis pelningumas,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0,27</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3,05</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7,53</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Aptarnaujamų orlaivių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55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65</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70</w:t>
                        </w:r>
                      </w:p>
                    </w:tc>
                  </w:tr>
                  <w:tr>
                    <w:trPr>
                      <w:trHeight w:val="800"/>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right w:val="single" w:sz="4" w:space="0" w:color="auto"/>
                        </w:tcBorders>
                      </w:tcPr>
                      <w:p>
                        <w:pPr>
                          <w:tabs>
                            <w:tab w:val="left" w:pos="6237"/>
                            <w:tab w:val="right" w:pos="8306"/>
                          </w:tabs>
                          <w:rPr>
                            <w:sz w:val="20"/>
                          </w:rPr>
                        </w:pPr>
                        <w:r>
                          <w:rPr>
                            <w:sz w:val="20"/>
                          </w:rPr>
                          <w:t>Naujos technikos įsigijimas aviacinių paslaugų kokybės gerinimui, vnt.</w:t>
                        </w:r>
                      </w:p>
                    </w:tc>
                    <w:tc>
                      <w:tcPr>
                        <w:tcW w:w="1079" w:type="dxa"/>
                        <w:tcBorders>
                          <w:top w:val="single" w:sz="4" w:space="0" w:color="auto"/>
                          <w:left w:val="single" w:sz="4" w:space="0" w:color="auto"/>
                          <w:right w:val="single" w:sz="4" w:space="0" w:color="auto"/>
                        </w:tcBorders>
                        <w:vAlign w:val="center"/>
                      </w:tcPr>
                      <w:p>
                        <w:pPr>
                          <w:tabs>
                            <w:tab w:val="left" w:pos="6237"/>
                            <w:tab w:val="right" w:pos="8306"/>
                          </w:tabs>
                          <w:jc w:val="center"/>
                          <w:rPr>
                            <w:kern w:val="2"/>
                            <w:sz w:val="20"/>
                          </w:rPr>
                        </w:pPr>
                        <w:r>
                          <w:rPr>
                            <w:kern w:val="2"/>
                            <w:sz w:val="20"/>
                          </w:rPr>
                          <w:t>1</w:t>
                        </w:r>
                      </w:p>
                    </w:tc>
                    <w:tc>
                      <w:tcPr>
                        <w:tcW w:w="1047" w:type="dxa"/>
                        <w:tcBorders>
                          <w:top w:val="single" w:sz="4" w:space="0" w:color="auto"/>
                          <w:left w:val="single" w:sz="4" w:space="0" w:color="auto"/>
                          <w:right w:val="single" w:sz="4" w:space="0" w:color="auto"/>
                        </w:tcBorders>
                        <w:vAlign w:val="center"/>
                      </w:tcPr>
                      <w:p>
                        <w:pPr>
                          <w:tabs>
                            <w:tab w:val="left" w:pos="6237"/>
                            <w:tab w:val="right" w:pos="8306"/>
                          </w:tabs>
                          <w:jc w:val="center"/>
                          <w:rPr>
                            <w:kern w:val="2"/>
                            <w:sz w:val="20"/>
                          </w:rPr>
                        </w:pPr>
                        <w:r>
                          <w:rPr>
                            <w:kern w:val="2"/>
                            <w:sz w:val="20"/>
                          </w:rPr>
                          <w:t>1</w:t>
                        </w:r>
                      </w:p>
                    </w:tc>
                    <w:tc>
                      <w:tcPr>
                        <w:tcW w:w="1134" w:type="dxa"/>
                        <w:tcBorders>
                          <w:top w:val="single" w:sz="4" w:space="0" w:color="auto"/>
                          <w:left w:val="single" w:sz="4" w:space="0" w:color="auto"/>
                          <w:right w:val="single" w:sz="4" w:space="0" w:color="auto"/>
                        </w:tcBorders>
                        <w:vAlign w:val="center"/>
                      </w:tcPr>
                      <w:p>
                        <w:pPr>
                          <w:tabs>
                            <w:tab w:val="left" w:pos="6237"/>
                            <w:tab w:val="right" w:pos="8306"/>
                          </w:tabs>
                          <w:jc w:val="center"/>
                          <w:rPr>
                            <w:kern w:val="2"/>
                            <w:sz w:val="20"/>
                          </w:rPr>
                        </w:pPr>
                      </w:p>
                    </w:tc>
                  </w:tr>
                  <w:tr>
                    <w:trPr>
                      <w:jc w:val="center"/>
                    </w:trPr>
                    <w:tc>
                      <w:tcPr>
                        <w:tcW w:w="9776" w:type="dxa"/>
                        <w:gridSpan w:val="7"/>
                        <w:tcBorders>
                          <w:left w:val="single" w:sz="4" w:space="0" w:color="auto"/>
                          <w:right w:val="single" w:sz="4" w:space="0" w:color="auto"/>
                        </w:tcBorders>
                      </w:tcPr>
                      <w:p>
                        <w:pPr>
                          <w:tabs>
                            <w:tab w:val="left" w:pos="6237"/>
                            <w:tab w:val="right" w:pos="8306"/>
                          </w:tabs>
                          <w:jc w:val="center"/>
                          <w:rPr>
                            <w:kern w:val="2"/>
                            <w:sz w:val="20"/>
                          </w:rPr>
                        </w:pPr>
                        <w:r>
                          <w:rPr>
                            <w:b/>
                            <w:bCs/>
                            <w:i/>
                            <w:iCs/>
                            <w:sz w:val="20"/>
                          </w:rPr>
                          <w:t>Viešųjų įstaigų planuojami pasiekti pagrindiniai veiklos rodikliai ir jų reikšmės</w:t>
                        </w:r>
                      </w:p>
                    </w:tc>
                  </w:tr>
                  <w:tr>
                    <w:trPr>
                      <w:jc w:val="center"/>
                    </w:trPr>
                    <w:tc>
                      <w:tcPr>
                        <w:tcW w:w="562"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1.</w:t>
                        </w:r>
                      </w:p>
                    </w:tc>
                    <w:tc>
                      <w:tcPr>
                        <w:tcW w:w="1276"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Viešoji įstaiga Futbolo akademija „Šiauliai“</w:t>
                        </w:r>
                      </w:p>
                    </w:tc>
                    <w:tc>
                      <w:tcPr>
                        <w:tcW w:w="425" w:type="dxa"/>
                        <w:tcBorders>
                          <w:top w:val="single" w:sz="4" w:space="0" w:color="auto"/>
                          <w:left w:val="single" w:sz="4" w:space="0" w:color="auto"/>
                          <w:right w:val="single" w:sz="4" w:space="0" w:color="auto"/>
                        </w:tcBorders>
                      </w:tcPr>
                      <w:p>
                        <w:pPr>
                          <w:tabs>
                            <w:tab w:val="left" w:pos="6237"/>
                            <w:tab w:val="right" w:pos="8306"/>
                          </w:tabs>
                          <w:rPr>
                            <w:sz w:val="20"/>
                          </w:rPr>
                        </w:pPr>
                        <w:r>
                          <w:rPr>
                            <w:sz w:val="20"/>
                          </w:rPr>
                          <w:t>1.</w:t>
                        </w:r>
                      </w:p>
                    </w:tc>
                    <w:tc>
                      <w:tcPr>
                        <w:tcW w:w="4253" w:type="dxa"/>
                        <w:tcBorders>
                          <w:top w:val="single" w:sz="4" w:space="0" w:color="auto"/>
                          <w:left w:val="single" w:sz="4" w:space="0" w:color="auto"/>
                          <w:bottom w:val="single" w:sz="4" w:space="0" w:color="auto"/>
                          <w:right w:val="single" w:sz="4" w:space="0" w:color="auto"/>
                        </w:tcBorders>
                        <w:shd w:val="clear" w:color="auto" w:fill="auto"/>
                      </w:tcPr>
                      <w:p>
                        <w:pPr>
                          <w:tabs>
                            <w:tab w:val="left" w:pos="6237"/>
                            <w:tab w:val="right" w:pos="8306"/>
                          </w:tabs>
                          <w:rPr>
                            <w:sz w:val="20"/>
                          </w:rPr>
                        </w:pPr>
                        <w:r>
                          <w:rPr>
                            <w:sz w:val="20"/>
                          </w:rPr>
                          <w:t>Programoje dalyvaujančių asmenų skaičius, žm.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800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820</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kern w:val="2"/>
                            <w:sz w:val="20"/>
                          </w:rPr>
                          <w:t>850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(jaunių, jaunučių ir vaikų amžius), dalyvaujančių šalies ir regiono futbolo varžybose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22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23</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24</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(vyrų ir moterų suaugusiųjų), dalyvaujančių Lietuvos futbolo federacijos A, I ir II lygos varžybose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3</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3</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Sportininkų (suaugusiųjų</w:t>
                        </w:r>
                        <w:r>
                          <w:rPr>
                            <w:strike/>
                            <w:sz w:val="20"/>
                          </w:rPr>
                          <w:t>)</w:t>
                        </w:r>
                        <w:r>
                          <w:rPr>
                            <w:sz w:val="20"/>
                          </w:rPr>
                          <w:t>, jaunimo ir jaunių amžius) atstovaujančių šalies rinktines skaičius, asm.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9</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10</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10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5.</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Pritrauktos paramos iš privačių rėmėjų, įv. programų bei projektų apimtys, tūkst.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300,0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330,0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360,0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vAlign w:val="center"/>
                      </w:tcPr>
                      <w:p>
                        <w:pPr>
                          <w:tabs>
                            <w:tab w:val="left" w:pos="6237"/>
                            <w:tab w:val="right" w:pos="8306"/>
                          </w:tabs>
                          <w:rPr>
                            <w:sz w:val="20"/>
                          </w:rPr>
                        </w:pPr>
                      </w:p>
                      <w:p>
                        <w:pPr>
                          <w:tabs>
                            <w:tab w:val="left" w:pos="6237"/>
                            <w:tab w:val="right" w:pos="8306"/>
                          </w:tabs>
                          <w:rPr>
                            <w:sz w:val="20"/>
                          </w:rPr>
                        </w:pPr>
                        <w:r>
                          <w:rPr>
                            <w:sz w:val="20"/>
                          </w:rPr>
                          <w:t>6.</w:t>
                        </w:r>
                      </w:p>
                      <w:p>
                        <w:pPr>
                          <w:tabs>
                            <w:tab w:val="left" w:pos="6237"/>
                            <w:tab w:val="right" w:pos="8306"/>
                          </w:tabs>
                          <w:rPr>
                            <w:sz w:val="20"/>
                          </w:rPr>
                        </w:pPr>
                      </w:p>
                    </w:tc>
                    <w:tc>
                      <w:tcPr>
                        <w:tcW w:w="4253"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rPr>
                            <w:sz w:val="20"/>
                          </w:rPr>
                        </w:pPr>
                        <w:r>
                          <w:rPr>
                            <w:sz w:val="20"/>
                          </w:rPr>
                          <w:t>Sportuojančių neįgaliųjų skaičius, asm.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3</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4</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7.</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Lietuvos čempionatuose (visose amžiaus grupėse) iškovotų prizinių vietų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tc>
                  </w:tr>
                  <w:tr>
                    <w:trPr>
                      <w:jc w:val="center"/>
                    </w:trPr>
                    <w:tc>
                      <w:tcPr>
                        <w:tcW w:w="562" w:type="dxa"/>
                        <w:vMerge w:val="restart"/>
                        <w:tcBorders>
                          <w:top w:val="single" w:sz="4" w:space="0" w:color="auto"/>
                          <w:left w:val="single" w:sz="4" w:space="0" w:color="auto"/>
                          <w:right w:val="single" w:sz="4" w:space="0" w:color="auto"/>
                        </w:tcBorders>
                      </w:tcPr>
                      <w:p>
                        <w:pPr>
                          <w:tabs>
                            <w:tab w:val="left" w:pos="6237"/>
                            <w:tab w:val="right" w:pos="8306"/>
                          </w:tabs>
                          <w:jc w:val="center"/>
                          <w:rPr>
                            <w:sz w:val="20"/>
                          </w:rPr>
                        </w:pPr>
                        <w:r>
                          <w:rPr>
                            <w:sz w:val="20"/>
                          </w:rPr>
                          <w:t>2.</w:t>
                        </w:r>
                      </w:p>
                    </w:tc>
                    <w:tc>
                      <w:tcPr>
                        <w:tcW w:w="1276" w:type="dxa"/>
                        <w:vMerge w:val="restart"/>
                        <w:tcBorders>
                          <w:top w:val="single" w:sz="4" w:space="0" w:color="auto"/>
                          <w:left w:val="single" w:sz="4" w:space="0" w:color="auto"/>
                          <w:right w:val="single" w:sz="4" w:space="0" w:color="auto"/>
                        </w:tcBorders>
                      </w:tcPr>
                      <w:p>
                        <w:pPr>
                          <w:tabs>
                            <w:tab w:val="left" w:pos="6237"/>
                            <w:tab w:val="right" w:pos="8306"/>
                          </w:tabs>
                          <w:rPr>
                            <w:sz w:val="20"/>
                          </w:rPr>
                        </w:pPr>
                        <w:r>
                          <w:rPr>
                            <w:sz w:val="20"/>
                          </w:rPr>
                          <w:t>Viešoji įstaiga Šiaulių krepšinio akademija „Saulė“</w:t>
                        </w:r>
                      </w:p>
                    </w:tc>
                    <w:tc>
                      <w:tcPr>
                        <w:tcW w:w="425" w:type="dxa"/>
                        <w:tcBorders>
                          <w:top w:val="single" w:sz="4" w:space="0" w:color="auto"/>
                          <w:left w:val="single" w:sz="4" w:space="0" w:color="auto"/>
                          <w:right w:val="single" w:sz="4" w:space="0" w:color="auto"/>
                        </w:tcBorders>
                      </w:tcPr>
                      <w:p>
                        <w:pPr>
                          <w:tabs>
                            <w:tab w:val="left" w:pos="6237"/>
                            <w:tab w:val="right" w:pos="8306"/>
                          </w:tabs>
                          <w:rPr>
                            <w:sz w:val="20"/>
                          </w:rPr>
                        </w:pPr>
                        <w:r>
                          <w:rPr>
                            <w:sz w:val="20"/>
                            <w:lang w:val="en-US"/>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Sportininkų, lankančių krepšinio sporto šakos užsiėmimus skaičius, žm.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610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620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630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Miestui atstovaujančių komandų, dalyvaujančių Lietuvos vaikų, jaunių ir jaunimo krepšinio varžybose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22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22</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22</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Komandų, dalyvaujančių Regionų krepšinio lygos, Nacionalinės krepšinio lygos ar Moterų lygos (B diviziono) varžybose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2</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p>
                      <w:p>
                        <w:pPr>
                          <w:tabs>
                            <w:tab w:val="left" w:pos="6237"/>
                            <w:tab w:val="right" w:pos="8306"/>
                          </w:tabs>
                          <w:jc w:val="center"/>
                          <w:rPr>
                            <w:kern w:val="2"/>
                            <w:sz w:val="20"/>
                          </w:rPr>
                        </w:pPr>
                        <w:r>
                          <w:rPr>
                            <w:kern w:val="2"/>
                            <w:sz w:val="20"/>
                          </w:rPr>
                          <w:t>2</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Sportininkų, dalyvaujančių įvairaus amžiaus šalies rinktinėse, sk.</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10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5.</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Pritrauktos paramos iš privačių rėmėjų, įv. programų bei projektų apimtys, tūkst.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80,0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85,0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90,0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6.</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Sportuojančių neįgaliųjų skaičius, asm.</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4</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kern w:val="2"/>
                            <w:sz w:val="20"/>
                          </w:rPr>
                          <w:t>6</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sz w:val="20"/>
                          </w:rPr>
                          <w:t>7.</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Lietuvos čempionatuose (visose amžiaus grupėse) iškovotų prizinių vietų skaičius, 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4</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kern w:val="2"/>
                            <w:sz w:val="20"/>
                            <w:lang w:val="en-US"/>
                          </w:rPr>
                          <w:t>4</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kern w:val="2"/>
                            <w:sz w:val="20"/>
                          </w:rPr>
                          <w:t>4</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lang w:val="en-US"/>
                          </w:rPr>
                          <w:t>3</w:t>
                        </w:r>
                        <w:r>
                          <w:rPr>
                            <w:sz w:val="20"/>
                          </w:rPr>
                          <w:t>.</w:t>
                        </w:r>
                      </w:p>
                    </w:tc>
                    <w:tc>
                      <w:tcPr>
                        <w:tcW w:w="1276" w:type="dxa"/>
                        <w:vMerge w:val="restart"/>
                        <w:tcBorders>
                          <w:left w:val="single" w:sz="4" w:space="0" w:color="auto"/>
                          <w:right w:val="single" w:sz="4" w:space="0" w:color="auto"/>
                        </w:tcBorders>
                        <w:shd w:val="clear" w:color="auto" w:fill="auto"/>
                      </w:tcPr>
                      <w:p>
                        <w:pPr>
                          <w:tabs>
                            <w:tab w:val="left" w:pos="6237"/>
                            <w:tab w:val="right" w:pos="8306"/>
                          </w:tabs>
                          <w:rPr>
                            <w:sz w:val="20"/>
                          </w:rPr>
                        </w:pPr>
                        <w:r>
                          <w:rPr>
                            <w:sz w:val="20"/>
                          </w:rPr>
                          <w:t>Viešoji įstaiga Šiaulių centro poliklinika</w:t>
                        </w: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val="en-US" w:eastAsia="lt-LT"/>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praėjusių metų veiklos rezultatų ataskaitoje nurodytas pajamų ir sąnaudų skirtumas (grynasis perviršis ar deficitas),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Būti nenuostolingai</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Būti nenuostolingai</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Būti nenuostolingai</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shd w:val="clear" w:color="auto" w:fill="auto"/>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finansinių įsipareigojimų dalis nuo metinio įstaigos biudžeto, koef.</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didesnis kaip 0,1</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didesnis kaip 0,1</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didesnis kaip 0,1</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shd w:val="clear" w:color="auto" w:fill="auto"/>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mažiau 95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mažiau 95</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0"/>
                          </w:rPr>
                        </w:pPr>
                      </w:p>
                      <w:p>
                        <w:pPr>
                          <w:tabs>
                            <w:tab w:val="left" w:pos="6237"/>
                            <w:tab w:val="right" w:pos="8306"/>
                          </w:tabs>
                          <w:jc w:val="center"/>
                          <w:rPr>
                            <w:sz w:val="20"/>
                          </w:rPr>
                        </w:pPr>
                      </w:p>
                      <w:p>
                        <w:pPr>
                          <w:tabs>
                            <w:tab w:val="left" w:pos="6237"/>
                            <w:tab w:val="right" w:pos="8306"/>
                          </w:tabs>
                          <w:jc w:val="center"/>
                          <w:rPr>
                            <w:kern w:val="2"/>
                            <w:sz w:val="20"/>
                          </w:rPr>
                        </w:pPr>
                        <w:r>
                          <w:rPr>
                            <w:sz w:val="20"/>
                          </w:rPr>
                          <w:t>Ne mažiau 95</w:t>
                        </w:r>
                      </w:p>
                    </w:tc>
                  </w:tr>
                  <w:tr>
                    <w:trPr>
                      <w:trHeight w:val="789"/>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shd w:val="clear" w:color="auto" w:fill="auto"/>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bCs/>
                            <w:sz w:val="20"/>
                          </w:rPr>
                        </w:pPr>
                        <w:r>
                          <w:rPr>
                            <w:bCs/>
                            <w:sz w:val="20"/>
                          </w:rPr>
                          <w:t>Įstaigos sąnaudų darbo užmokesčiui dalis, proc.</w:t>
                        </w:r>
                      </w:p>
                      <w:p>
                        <w:pPr>
                          <w:widowControl w:val="0"/>
                          <w:ind w:right="374"/>
                          <w:rPr>
                            <w:sz w:val="20"/>
                          </w:rPr>
                        </w:pPr>
                        <w:r>
                          <w:rPr>
                            <w:sz w:val="20"/>
                          </w:rPr>
                          <w:t>Įstaigoje</w:t>
                        </w:r>
                        <w:r>
                          <w:rPr>
                            <w:spacing w:val="-10"/>
                            <w:sz w:val="20"/>
                          </w:rPr>
                          <w:t xml:space="preserve"> </w:t>
                        </w:r>
                        <w:r>
                          <w:rPr>
                            <w:sz w:val="20"/>
                          </w:rPr>
                          <w:t>suteiktų</w:t>
                        </w:r>
                        <w:r>
                          <w:rPr>
                            <w:spacing w:val="-9"/>
                            <w:sz w:val="20"/>
                          </w:rPr>
                          <w:t xml:space="preserve"> </w:t>
                        </w:r>
                        <w:r>
                          <w:rPr>
                            <w:sz w:val="20"/>
                          </w:rPr>
                          <w:t>asmens</w:t>
                        </w:r>
                        <w:r>
                          <w:rPr>
                            <w:spacing w:val="-10"/>
                            <w:sz w:val="20"/>
                          </w:rPr>
                          <w:t xml:space="preserve"> </w:t>
                        </w:r>
                        <w:r>
                          <w:rPr>
                            <w:sz w:val="20"/>
                          </w:rPr>
                          <w:t>sveikatos</w:t>
                        </w:r>
                        <w:r>
                          <w:rPr>
                            <w:spacing w:val="-57"/>
                            <w:sz w:val="20"/>
                          </w:rPr>
                          <w:t xml:space="preserve"> </w:t>
                        </w:r>
                        <w:r>
                          <w:rPr>
                            <w:sz w:val="20"/>
                          </w:rPr>
                          <w:t>priežiūros paslaugų skaičiaus augimas per</w:t>
                        </w:r>
                        <w:r>
                          <w:rPr>
                            <w:spacing w:val="1"/>
                            <w:sz w:val="20"/>
                          </w:rPr>
                          <w:t xml:space="preserve"> </w:t>
                        </w:r>
                        <w:r>
                          <w:rPr>
                            <w:sz w:val="20"/>
                          </w:rPr>
                          <w:t>metus,</w:t>
                        </w:r>
                        <w:r>
                          <w:rPr>
                            <w:spacing w:val="-2"/>
                            <w:sz w:val="20"/>
                          </w:rPr>
                          <w:t xml:space="preserve"> </w:t>
                        </w:r>
                        <w:r>
                          <w:rPr>
                            <w:sz w:val="20"/>
                          </w:rPr>
                          <w:t>proc.</w:t>
                        </w:r>
                      </w:p>
                      <w:p>
                        <w:pPr>
                          <w:tabs>
                            <w:tab w:val="left" w:pos="6237"/>
                            <w:tab w:val="right" w:pos="8306"/>
                          </w:tabs>
                          <w:rPr>
                            <w:sz w:val="20"/>
                          </w:rPr>
                        </w:pPr>
                      </w:p>
                    </w:tc>
                    <w:tc>
                      <w:tcPr>
                        <w:tcW w:w="1079"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Ne mažiau 0,5</w:t>
                        </w:r>
                      </w:p>
                    </w:tc>
                    <w:tc>
                      <w:tcPr>
                        <w:tcW w:w="1047"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lang w:val="en-US"/>
                          </w:rPr>
                        </w:pPr>
                        <w:r>
                          <w:rPr>
                            <w:sz w:val="20"/>
                          </w:rPr>
                          <w:t>Ne mažiau 0,5</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0"/>
                          </w:rPr>
                        </w:pPr>
                        <w:r>
                          <w:rPr>
                            <w:sz w:val="20"/>
                          </w:rPr>
                          <w:t>Ne mažiau 0,5</w:t>
                        </w:r>
                      </w:p>
                      <w:p>
                        <w:pPr>
                          <w:tabs>
                            <w:tab w:val="left" w:pos="6237"/>
                            <w:tab w:val="right" w:pos="8306"/>
                          </w:tabs>
                          <w:jc w:val="center"/>
                          <w:rPr>
                            <w:kern w:val="2"/>
                            <w:sz w:val="20"/>
                          </w:rPr>
                        </w:pP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lang w:val="en-US"/>
                          </w:rPr>
                          <w:t>4.</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Viešoji įstaiga Dainų pirminės sveikatos priežiūros centras</w:t>
                        </w: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val="en-US" w:eastAsia="lt-LT"/>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praėjusių metų veiklos rezultatų ataskaitoje nurodytas pajamų ir sąnaudų skirtumas (grynasis perviršis ar deficitas),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Būti nenuostolingai</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Būti nenuostolingai</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Būti nenuostolingai</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finansinių įsipareigojimų dalis nuo metinio įstaigos biudžeto, koef.</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didesnis kaip 0,10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didesnis kaip 0,10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didesnis kaip 0,10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mažiau 95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mažiau 9</w:t>
                        </w:r>
                        <w:r>
                          <w:rPr>
                            <w:sz w:val="20"/>
                            <w:lang w:val="en-US"/>
                          </w:rPr>
                          <w:t>5</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mažiau 9</w:t>
                        </w:r>
                        <w:r>
                          <w:rPr>
                            <w:sz w:val="20"/>
                            <w:lang w:val="en-US"/>
                          </w:rPr>
                          <w:t>5</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trike/>
                            <w:sz w:val="20"/>
                          </w:rPr>
                        </w:pPr>
                        <w:r>
                          <w:rPr>
                            <w:rFonts w:eastAsia="Arial Unicode MS"/>
                            <w:bCs/>
                            <w:sz w:val="20"/>
                          </w:rPr>
                          <w:t>Įstaigoje suteiktų asmens sveikatos priežiūros paslaugų didėjimas,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w:t>
                        </w:r>
                        <w:r>
                          <w:rPr>
                            <w:kern w:val="2"/>
                            <w:sz w:val="20"/>
                          </w:rPr>
                          <w:t xml:space="preserve"> 0,5 </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trike/>
                            <w:kern w:val="2"/>
                            <w:sz w:val="20"/>
                            <w:lang w:val="en-US"/>
                          </w:rPr>
                        </w:pPr>
                        <w:r>
                          <w:rPr>
                            <w:sz w:val="20"/>
                          </w:rPr>
                          <w:t>Ne mažiau</w:t>
                        </w:r>
                        <w:r>
                          <w:rPr>
                            <w:kern w:val="2"/>
                            <w:sz w:val="20"/>
                          </w:rPr>
                          <w:t xml:space="preserve"> 0,5</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w:t>
                        </w:r>
                        <w:r>
                          <w:rPr>
                            <w:kern w:val="2"/>
                            <w:sz w:val="20"/>
                          </w:rPr>
                          <w:t xml:space="preserve"> </w:t>
                        </w:r>
                      </w:p>
                      <w:p>
                        <w:pPr>
                          <w:tabs>
                            <w:tab w:val="left" w:pos="6237"/>
                            <w:tab w:val="right" w:pos="8306"/>
                          </w:tabs>
                          <w:jc w:val="center"/>
                          <w:rPr>
                            <w:strike/>
                            <w:kern w:val="2"/>
                            <w:sz w:val="20"/>
                          </w:rPr>
                        </w:pPr>
                        <w:r>
                          <w:rPr>
                            <w:kern w:val="2"/>
                            <w:sz w:val="20"/>
                          </w:rPr>
                          <w:t>0,5</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5.</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Viešoji įstaiga Šiaulių ilgalaikio gydymo ir geriatrijos centras</w:t>
                        </w: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val="en-US" w:eastAsia="lt-LT"/>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praėjusių metų veiklos rezultatų ataskaitoje nurodytas pajamų ir sąnaudų skirtumas (grynasis perviršis ar deficitas),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Būti nenuostolingai</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Būti nenuostolingai</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Būti nenuostolingai</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finansinių įsipareigojimų dalis nuo metinio įstaigos biudžeto, koef.</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didesnis kaip 0,10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didesnis kaip 0,10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didesnis kaip 0,10</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 9</w:t>
                        </w:r>
                        <w:r>
                          <w:rPr>
                            <w:sz w:val="20"/>
                            <w:lang w:val="en-US"/>
                          </w:rPr>
                          <w:t>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mažiau 9</w:t>
                        </w:r>
                        <w:r>
                          <w:rPr>
                            <w:sz w:val="20"/>
                            <w:lang w:val="en-US"/>
                          </w:rPr>
                          <w:t>5</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 9</w:t>
                        </w:r>
                        <w:r>
                          <w:rPr>
                            <w:sz w:val="20"/>
                            <w:lang w:val="en-US"/>
                          </w:rPr>
                          <w:t>5</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įstaigoje suteiktų asmens sveikatos priežiūros paslaugų skaičius per metus, asm./vnt./vnt.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Ne</w:t>
                        </w:r>
                      </w:p>
                      <w:p>
                        <w:pPr>
                          <w:tabs>
                            <w:tab w:val="left" w:pos="6237"/>
                            <w:tab w:val="right" w:pos="8306"/>
                          </w:tabs>
                          <w:ind w:firstLine="53"/>
                          <w:jc w:val="center"/>
                          <w:rPr>
                            <w:kern w:val="2"/>
                            <w:sz w:val="20"/>
                          </w:rPr>
                        </w:pPr>
                        <w:r>
                          <w:rPr>
                            <w:sz w:val="20"/>
                          </w:rPr>
                          <w:t>mažiau 60200</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mažiau 60200</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 60200</w:t>
                        </w:r>
                      </w:p>
                    </w:tc>
                  </w:tr>
                  <w:tr>
                    <w:trPr>
                      <w:jc w:val="center"/>
                    </w:trPr>
                    <w:tc>
                      <w:tcPr>
                        <w:tcW w:w="562" w:type="dxa"/>
                        <w:vMerge w:val="restart"/>
                        <w:tcBorders>
                          <w:left w:val="single" w:sz="4" w:space="0" w:color="auto"/>
                          <w:right w:val="single" w:sz="4" w:space="0" w:color="auto"/>
                        </w:tcBorders>
                      </w:tcPr>
                      <w:p>
                        <w:pPr>
                          <w:tabs>
                            <w:tab w:val="left" w:pos="6237"/>
                            <w:tab w:val="right" w:pos="8306"/>
                          </w:tabs>
                          <w:jc w:val="center"/>
                          <w:rPr>
                            <w:sz w:val="20"/>
                          </w:rPr>
                        </w:pPr>
                        <w:r>
                          <w:rPr>
                            <w:sz w:val="20"/>
                          </w:rPr>
                          <w:t xml:space="preserve">6. </w:t>
                        </w:r>
                      </w:p>
                    </w:tc>
                    <w:tc>
                      <w:tcPr>
                        <w:tcW w:w="1276" w:type="dxa"/>
                        <w:vMerge w:val="restart"/>
                        <w:tcBorders>
                          <w:left w:val="single" w:sz="4" w:space="0" w:color="auto"/>
                          <w:right w:val="single" w:sz="4" w:space="0" w:color="auto"/>
                        </w:tcBorders>
                      </w:tcPr>
                      <w:p>
                        <w:pPr>
                          <w:tabs>
                            <w:tab w:val="left" w:pos="6237"/>
                            <w:tab w:val="right" w:pos="8306"/>
                          </w:tabs>
                          <w:rPr>
                            <w:sz w:val="20"/>
                          </w:rPr>
                        </w:pPr>
                        <w:r>
                          <w:rPr>
                            <w:sz w:val="20"/>
                          </w:rPr>
                          <w:t>Viešoji įstaiga Šiaulių reabilitacijos centras</w:t>
                        </w: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val="en-US" w:eastAsia="lt-LT"/>
                          </w:rPr>
                          <w:t>1.</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praėjusių metų veiklos rezultatų ataskaitoje nurodytas pajamų ir sąnaudų skirtumas (grynasis perviršis ar deficitas), Eur</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Būti nenuostolingai</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Būti nenuostolingai</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Būti nenuostolingai</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2.</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Įstaigos finansinių įsipareigojimų dalis nuo metinio įstaigos biudžeto, koef.</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sz w:val="20"/>
                          </w:rPr>
                          <w:t>Ne didesnis kaip 0,12</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Ne didesnis kaip 0,12</w:t>
                        </w:r>
                      </w:p>
                    </w:tc>
                    <w:tc>
                      <w:tcPr>
                        <w:tcW w:w="1134" w:type="dxa"/>
                        <w:tcBorders>
                          <w:top w:val="single" w:sz="4" w:space="0" w:color="auto"/>
                          <w:left w:val="single" w:sz="4" w:space="0" w:color="auto"/>
                          <w:bottom w:val="single" w:sz="4" w:space="0" w:color="auto"/>
                          <w:right w:val="single" w:sz="4" w:space="0" w:color="auto"/>
                        </w:tcBorders>
                      </w:tcPr>
                      <w:p>
                        <w:pPr>
                          <w:tabs>
                            <w:tab w:val="left" w:pos="6237"/>
                            <w:tab w:val="right" w:pos="8306"/>
                          </w:tabs>
                          <w:jc w:val="center"/>
                          <w:rPr>
                            <w:kern w:val="2"/>
                            <w:sz w:val="20"/>
                          </w:rPr>
                        </w:pPr>
                        <w:r>
                          <w:rPr>
                            <w:sz w:val="20"/>
                          </w:rPr>
                          <w:t>Ne didesnis kaip 0,12</w:t>
                        </w:r>
                      </w:p>
                    </w:tc>
                  </w:tr>
                  <w:tr>
                    <w:trPr>
                      <w:jc w:val="center"/>
                    </w:trPr>
                    <w:tc>
                      <w:tcPr>
                        <w:tcW w:w="562" w:type="dxa"/>
                        <w:vMerge/>
                        <w:tcBorders>
                          <w:left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right w:val="single" w:sz="4" w:space="0" w:color="auto"/>
                        </w:tcBorders>
                      </w:tcPr>
                      <w:p>
                        <w:pPr>
                          <w:tabs>
                            <w:tab w:val="left" w:pos="6237"/>
                            <w:tab w:val="right" w:pos="8306"/>
                          </w:tabs>
                          <w:rPr>
                            <w:sz w:val="20"/>
                          </w:rPr>
                        </w:pPr>
                      </w:p>
                    </w:tc>
                    <w:tc>
                      <w:tcPr>
                        <w:tcW w:w="425" w:type="dxa"/>
                        <w:tcBorders>
                          <w:left w:val="single" w:sz="4" w:space="0" w:color="auto"/>
                          <w:right w:val="single" w:sz="4" w:space="0" w:color="auto"/>
                        </w:tcBorders>
                      </w:tcPr>
                      <w:p>
                        <w:pPr>
                          <w:tabs>
                            <w:tab w:val="left" w:pos="6237"/>
                            <w:tab w:val="right" w:pos="8306"/>
                          </w:tabs>
                          <w:rPr>
                            <w:sz w:val="20"/>
                          </w:rPr>
                        </w:pPr>
                        <w:r>
                          <w:rPr>
                            <w:color w:val="000000"/>
                            <w:sz w:val="20"/>
                            <w:lang w:eastAsia="lt-LT"/>
                          </w:rPr>
                          <w:t>3.</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Pacientų pasitenkinimo įstaigos teikiamomis asmens sveikatos priežiūros paslaugomis lygis, tai yra pacientų teigiamai įvertintų įstaigoje suteiktų paslaugų skaičiaus dalis nuo visų per metus įstaigoje suteiktų asmens sveikatos priežiūros paslaugų skaičiaus, proc.</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 95</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sz w:val="20"/>
                          </w:rPr>
                          <w:t xml:space="preserve">Ne mažiau 95 </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sz w:val="20"/>
                          </w:rPr>
                        </w:pPr>
                        <w:r>
                          <w:rPr>
                            <w:sz w:val="20"/>
                          </w:rPr>
                          <w:t xml:space="preserve">Ne </w:t>
                        </w:r>
                      </w:p>
                      <w:p>
                        <w:pPr>
                          <w:tabs>
                            <w:tab w:val="left" w:pos="6237"/>
                            <w:tab w:val="right" w:pos="8306"/>
                          </w:tabs>
                          <w:jc w:val="center"/>
                          <w:rPr>
                            <w:kern w:val="2"/>
                            <w:sz w:val="20"/>
                          </w:rPr>
                        </w:pPr>
                        <w:r>
                          <w:rPr>
                            <w:sz w:val="20"/>
                          </w:rPr>
                          <w:t>mažiau 95</w:t>
                        </w:r>
                      </w:p>
                    </w:tc>
                  </w:tr>
                  <w:tr>
                    <w:trPr>
                      <w:jc w:val="center"/>
                    </w:trPr>
                    <w:tc>
                      <w:tcPr>
                        <w:tcW w:w="562" w:type="dxa"/>
                        <w:vMerge/>
                        <w:tcBorders>
                          <w:left w:val="single" w:sz="4" w:space="0" w:color="auto"/>
                          <w:bottom w:val="single" w:sz="4" w:space="0" w:color="auto"/>
                          <w:right w:val="single" w:sz="4" w:space="0" w:color="auto"/>
                        </w:tcBorders>
                      </w:tcPr>
                      <w:p>
                        <w:pPr>
                          <w:tabs>
                            <w:tab w:val="left" w:pos="6237"/>
                            <w:tab w:val="right" w:pos="8306"/>
                          </w:tabs>
                          <w:jc w:val="center"/>
                          <w:rPr>
                            <w:sz w:val="20"/>
                          </w:rPr>
                        </w:pPr>
                      </w:p>
                    </w:tc>
                    <w:tc>
                      <w:tcPr>
                        <w:tcW w:w="1276" w:type="dxa"/>
                        <w:vMerge/>
                        <w:tcBorders>
                          <w:left w:val="single" w:sz="4" w:space="0" w:color="auto"/>
                          <w:bottom w:val="single" w:sz="4" w:space="0" w:color="auto"/>
                          <w:right w:val="single" w:sz="4" w:space="0" w:color="auto"/>
                        </w:tcBorders>
                      </w:tcPr>
                      <w:p>
                        <w:pPr>
                          <w:tabs>
                            <w:tab w:val="left" w:pos="6237"/>
                            <w:tab w:val="right" w:pos="8306"/>
                          </w:tabs>
                          <w:rPr>
                            <w:sz w:val="20"/>
                          </w:rPr>
                        </w:pPr>
                      </w:p>
                    </w:tc>
                    <w:tc>
                      <w:tcPr>
                        <w:tcW w:w="425" w:type="dxa"/>
                        <w:tcBorders>
                          <w:left w:val="single" w:sz="4" w:space="0" w:color="auto"/>
                          <w:bottom w:val="single" w:sz="4" w:space="0" w:color="auto"/>
                          <w:right w:val="single" w:sz="4" w:space="0" w:color="auto"/>
                        </w:tcBorders>
                      </w:tcPr>
                      <w:p>
                        <w:pPr>
                          <w:tabs>
                            <w:tab w:val="left" w:pos="6237"/>
                            <w:tab w:val="right" w:pos="8306"/>
                          </w:tabs>
                          <w:rPr>
                            <w:sz w:val="20"/>
                          </w:rPr>
                        </w:pPr>
                        <w:r>
                          <w:rPr>
                            <w:color w:val="000000"/>
                            <w:sz w:val="20"/>
                            <w:lang w:eastAsia="lt-LT"/>
                          </w:rPr>
                          <w:t>4.</w:t>
                        </w:r>
                      </w:p>
                    </w:tc>
                    <w:tc>
                      <w:tcPr>
                        <w:tcW w:w="4253" w:type="dxa"/>
                        <w:tcBorders>
                          <w:top w:val="single" w:sz="4" w:space="0" w:color="auto"/>
                          <w:left w:val="single" w:sz="4" w:space="0" w:color="auto"/>
                          <w:bottom w:val="single" w:sz="4" w:space="0" w:color="auto"/>
                          <w:right w:val="single" w:sz="4" w:space="0" w:color="auto"/>
                        </w:tcBorders>
                      </w:tcPr>
                      <w:p>
                        <w:pPr>
                          <w:tabs>
                            <w:tab w:val="left" w:pos="6237"/>
                            <w:tab w:val="right" w:pos="8306"/>
                          </w:tabs>
                          <w:rPr>
                            <w:sz w:val="20"/>
                          </w:rPr>
                        </w:pPr>
                        <w:r>
                          <w:rPr>
                            <w:sz w:val="20"/>
                          </w:rPr>
                          <w:t>įstaigoje suteiktų asmens sveikatos priežiūros paslaugų skaičius per metus, asm./vnt./vnt.</w:t>
                        </w:r>
                      </w:p>
                    </w:tc>
                    <w:tc>
                      <w:tcPr>
                        <w:tcW w:w="1079"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color w:val="000000"/>
                            <w:sz w:val="20"/>
                            <w:lang w:eastAsia="lt-LT"/>
                          </w:rPr>
                          <w:t>ne mažiau 300 000 vnt.</w:t>
                        </w:r>
                      </w:p>
                    </w:tc>
                    <w:tc>
                      <w:tcPr>
                        <w:tcW w:w="1047"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lang w:val="en-US"/>
                          </w:rPr>
                        </w:pPr>
                        <w:r>
                          <w:rPr>
                            <w:color w:val="000000"/>
                            <w:sz w:val="20"/>
                            <w:lang w:eastAsia="lt-LT"/>
                          </w:rPr>
                          <w:t>ne mažiau 300 000 vnt.</w:t>
                        </w:r>
                      </w:p>
                    </w:tc>
                    <w:tc>
                      <w:tcPr>
                        <w:tcW w:w="1134" w:type="dxa"/>
                        <w:tcBorders>
                          <w:top w:val="single" w:sz="4" w:space="0" w:color="auto"/>
                          <w:left w:val="single" w:sz="4" w:space="0" w:color="auto"/>
                          <w:bottom w:val="single" w:sz="4" w:space="0" w:color="auto"/>
                          <w:right w:val="single" w:sz="4" w:space="0" w:color="auto"/>
                        </w:tcBorders>
                        <w:vAlign w:val="center"/>
                      </w:tcPr>
                      <w:p>
                        <w:pPr>
                          <w:tabs>
                            <w:tab w:val="left" w:pos="6237"/>
                            <w:tab w:val="right" w:pos="8306"/>
                          </w:tabs>
                          <w:jc w:val="center"/>
                          <w:rPr>
                            <w:kern w:val="2"/>
                            <w:sz w:val="20"/>
                          </w:rPr>
                        </w:pPr>
                        <w:r>
                          <w:rPr>
                            <w:color w:val="000000"/>
                            <w:sz w:val="20"/>
                            <w:lang w:eastAsia="lt-LT"/>
                          </w:rPr>
                          <w:t>ne mažiau 300 000 vnt.</w:t>
                        </w:r>
                      </w:p>
                    </w:tc>
                  </w:tr>
                </w:tbl>
                <w:p>
                  <w:pPr>
                    <w:tabs>
                      <w:tab w:val="left" w:pos="6237"/>
                      <w:tab w:val="right" w:pos="8306"/>
                    </w:tabs>
                    <w:rPr>
                      <w:b/>
                      <w:bCs/>
                      <w:szCs w:val="24"/>
                    </w:rPr>
                  </w:pPr>
                </w:p>
                <w:p>
                  <w:pPr>
                    <w:jc w:val="right"/>
                    <w:rPr>
                      <w:b/>
                      <w:bCs/>
                      <w:sz w:val="20"/>
                    </w:rPr>
                  </w:pPr>
                </w:p>
              </w:sdtContent>
            </w:sdt>
          </w:sdtContent>
        </w:sdt>
        <w:sdt>
          <w:sdtPr>
            <w:alias w:val="skyrius"/>
            <w:tag w:val="part_8f8f0fed2e804d0598cc57c80e39a574"/>
            <w:lock w:val="sdtLocked"/>
            <w:richText/>
          </w:sdtPr>
          <w:sdtContent>
            <w:p>
              <w:pPr>
                <w:jc w:val="center"/>
                <w:rPr>
                  <w:b/>
                  <w:bCs/>
                  <w:szCs w:val="24"/>
                </w:rPr>
              </w:pPr>
              <w:sdt>
                <w:sdtPr>
                  <w:alias w:val="Numeris"/>
                  <w:tag w:val="nr_8f8f0fed2e804d0598cc57c80e39a574"/>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8f8f0fed2e804d0598cc57c80e39a574"/>
                  <w:lock w:val="sdtLocked"/>
                  <w:richText/>
                </w:sdtPr>
                <w:sdtContent>
                  <w:r>
                    <w:rPr>
                      <w:b/>
                      <w:bCs/>
                      <w:szCs w:val="24"/>
                    </w:rPr>
                    <w:t>KITA SVARBI INFORMACIJA</w:t>
                  </w:r>
                </w:sdtContent>
              </w:sdt>
            </w:p>
            <w:p>
              <w:pPr>
                <w:jc w:val="center"/>
                <w:rPr>
                  <w:b/>
                  <w:bCs/>
                  <w:szCs w:val="24"/>
                </w:rPr>
              </w:pPr>
            </w:p>
            <w:p>
              <w:pPr>
                <w:jc w:val="both"/>
                <w:rPr>
                  <w:i/>
                  <w:color w:val="808080"/>
                  <w:szCs w:val="24"/>
                </w:rPr>
              </w:pPr>
            </w:p>
            <w:p>
              <w:pPr>
                <w:ind w:firstLine="720"/>
                <w:jc w:val="both"/>
                <w:rPr>
                  <w:iCs/>
                  <w:szCs w:val="24"/>
                </w:rPr>
              </w:pPr>
              <w:r>
                <w:rPr>
                  <w:iCs/>
                  <w:szCs w:val="24"/>
                </w:rPr>
                <w:t xml:space="preserve">Vadovaujantis Lietuvos Respublikos savivaldybių infrastruktūros plėtros įstatymo 4 straipsniu, infrastruktūros plėtros priemonės identifikuotos 2 PRIEDE, kuriame prie priemonės stulpelyje „Papildomas (-i) požymis (-iai)“ numatytas požymis, žymimas „Infr. PP“. </w:t>
              </w:r>
            </w:p>
            <w:p>
              <w:pPr>
                <w:ind w:firstLine="720"/>
                <w:jc w:val="both"/>
                <w:rPr>
                  <w:iCs/>
                  <w:szCs w:val="24"/>
                </w:rPr>
              </w:pPr>
              <w:r>
                <w:rPr>
                  <w:iCs/>
                  <w:szCs w:val="24"/>
                </w:rPr>
                <w:t>Vadovaujantis Lietuvos Respublikos administracinės naštos mažinimo įstatymo 6 straipsniu, Šiaulių miesto savivaldybės administracijos direktoriaus įsakymu</w:t>
              </w:r>
              <w:r>
                <w:t xml:space="preserve"> </w:t>
              </w:r>
              <w:r>
                <w:rPr>
                  <w:iCs/>
                  <w:szCs w:val="24"/>
                </w:rPr>
                <w:t>Nr. A-58 2024 m. vasario 5 d. patvirtintas Administracinės naštos mažinimo 2024</w:t>
              </w:r>
              <w:r>
                <w:rPr>
                  <w:color w:val="000000"/>
                  <w:kern w:val="2"/>
                  <w:szCs w:val="24"/>
                </w:rPr>
                <w:t>–</w:t>
              </w:r>
              <w:r>
                <w:rPr>
                  <w:iCs/>
                  <w:szCs w:val="24"/>
                </w:rPr>
                <w:t>2026 metais krypčių (priemonių) planas</w:t>
              </w:r>
              <w:r>
                <w:rPr>
                  <w:iCs/>
                  <w:szCs w:val="24"/>
                  <w:lang w:val="en-US"/>
                </w:rPr>
                <w:t>.</w:t>
              </w:r>
            </w:p>
            <w:p>
              <w:pPr>
                <w:jc w:val="both"/>
                <w:rPr>
                  <w:iCs/>
                  <w:szCs w:val="24"/>
                </w:rPr>
              </w:pPr>
            </w:p>
            <w:p>
              <w:pPr>
                <w:rPr>
                  <w:kern w:val="2"/>
                  <w:szCs w:val="24"/>
                  <w:lang w:eastAsia="ar-SA"/>
                </w:rPr>
              </w:pPr>
            </w:p>
            <w:p>
              <w:pPr>
                <w:ind w:firstLine="720"/>
                <w:rPr>
                  <w:kern w:val="2"/>
                  <w:szCs w:val="24"/>
                  <w:lang w:eastAsia="ar-SA"/>
                </w:rPr>
              </w:pPr>
              <w:r>
                <w:rPr>
                  <w:kern w:val="2"/>
                  <w:szCs w:val="24"/>
                  <w:lang w:eastAsia="ar-SA"/>
                </w:rPr>
                <w:t>PRIDEDAMA:</w:t>
              </w:r>
            </w:p>
            <w:p>
              <w:pPr>
                <w:ind w:firstLine="720"/>
                <w:jc w:val="both"/>
                <w:rPr>
                  <w:kern w:val="2"/>
                  <w:szCs w:val="24"/>
                  <w:lang w:eastAsia="ar-SA"/>
                </w:rPr>
              </w:pPr>
              <w:r>
                <w:rPr>
                  <w:kern w:val="2"/>
                  <w:szCs w:val="24"/>
                  <w:lang w:eastAsia="ar-SA"/>
                </w:rPr>
                <w:t>1 PRIEDAS. Šiaulių miesto savivaldybės 2025</w:t>
              </w:r>
              <w:r>
                <w:rPr>
                  <w:color w:val="000000"/>
                  <w:kern w:val="2"/>
                  <w:szCs w:val="24"/>
                </w:rPr>
                <w:t>–</w:t>
              </w:r>
              <w:r>
                <w:rPr>
                  <w:kern w:val="2"/>
                  <w:szCs w:val="24"/>
                  <w:lang w:eastAsia="ar-SA"/>
                </w:rPr>
                <w:t>2027 metų strateginio veiklos plano programų uždaviniai, priemonės, jų stebėsenos rodikliai, asignavimai ir kitos lėšos (tūkst. Eur).</w:t>
              </w:r>
            </w:p>
            <w:sdt>
              <w:sdtPr>
                <w:alias w:val="2 p."/>
                <w:tag w:val="part_5946dea0a82649f6849ff7ba69d0bb2f"/>
                <w:lock w:val="sdtLocked"/>
                <w:richText/>
              </w:sdtPr>
              <w:sdtContent>
                <w:p>
                  <w:pPr>
                    <w:ind w:firstLine="720"/>
                    <w:jc w:val="both"/>
                    <w:rPr>
                      <w:kern w:val="2"/>
                      <w:szCs w:val="24"/>
                      <w:lang w:eastAsia="ar-SA"/>
                    </w:rPr>
                  </w:pPr>
                  <w:sdt>
                    <w:sdtPr>
                      <w:alias w:val="Numeris"/>
                      <w:tag w:val="nr_5946dea0a82649f6849ff7ba69d0bb2f"/>
                      <w:lock w:val="sdtLocked"/>
                      <w:richText/>
                    </w:sdtPr>
                    <w:sdtContent>
                      <w:r>
                        <w:rPr>
                          <w:kern w:val="2"/>
                          <w:szCs w:val="24"/>
                          <w:lang w:eastAsia="ar-SA"/>
                        </w:rPr>
                        <w:t>2</w:t>
                      </w:r>
                    </w:sdtContent>
                  </w:sdt>
                  <w:r>
                    <w:rPr>
                      <w:kern w:val="2"/>
                      <w:szCs w:val="24"/>
                      <w:lang w:eastAsia="ar-SA"/>
                    </w:rPr>
                    <w:t>. PRIEDAS. Šiaulių miesto savivaldybės 2025</w:t>
                  </w:r>
                  <w:r>
                    <w:rPr>
                      <w:color w:val="000000"/>
                      <w:kern w:val="2"/>
                      <w:szCs w:val="24"/>
                    </w:rPr>
                    <w:t>–</w:t>
                  </w:r>
                  <w:r>
                    <w:rPr>
                      <w:kern w:val="2"/>
                      <w:szCs w:val="24"/>
                      <w:lang w:eastAsia="ar-SA"/>
                    </w:rPr>
                    <w:t>2027 metų infrastruktūros plėtros priemonių planas.</w:t>
                  </w:r>
                </w:p>
                <w:p>
                  <w:pPr>
                    <w:jc w:val="both"/>
                    <w:rPr>
                      <w:kern w:val="2"/>
                      <w:szCs w:val="24"/>
                      <w:lang w:eastAsia="ar-SA"/>
                    </w:rPr>
                  </w:pPr>
                </w:p>
                <w:p>
                  <w:pPr>
                    <w:jc w:val="both"/>
                    <w:rPr>
                      <w:kern w:val="2"/>
                      <w:szCs w:val="24"/>
                      <w:lang w:eastAsia="ar-SA"/>
                    </w:rPr>
                  </w:pPr>
                </w:p>
                <w:p>
                  <w:pPr>
                    <w:jc w:val="both"/>
                    <w:rPr>
                      <w:kern w:val="2"/>
                      <w:szCs w:val="24"/>
                      <w:lang w:eastAsia="ar-SA"/>
                    </w:rPr>
                  </w:pPr>
                </w:p>
                <w:p>
                  <w:pPr>
                    <w:jc w:val="center"/>
                    <w:rPr>
                      <w:kern w:val="2"/>
                      <w:szCs w:val="24"/>
                      <w:lang w:eastAsia="ar-SA"/>
                    </w:rPr>
                  </w:pPr>
                  <w:r>
                    <w:rPr>
                      <w:kern w:val="2"/>
                      <w:szCs w:val="24"/>
                      <w:lang w:eastAsia="ar-SA"/>
                    </w:rPr>
                    <w:t>____________________________</w:t>
                  </w:r>
                </w:p>
              </w:sdtContent>
            </w:sdt>
          </w:sdtContent>
        </w:sdt>
      </w:sdtContent>
    </w:sdt>
    <w:sectPr>
      <w:pgSz w:w="11906" w:h="16838"/>
      <w:pgMar w:top="1276" w:right="567" w:bottom="1134" w:left="1418"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2</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2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72F826-F1F6-4468-BFF9-D0B9CA2FAA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47477">
      <w:bodyDiv w:val="1"/>
      <w:marLeft w:val="0"/>
      <w:marRight w:val="0"/>
      <w:marTop w:val="0"/>
      <w:marBottom w:val="0"/>
      <w:divBdr>
        <w:top w:val="none" w:sz="0" w:space="0" w:color="auto"/>
        <w:left w:val="none" w:sz="0" w:space="0" w:color="auto"/>
        <w:bottom w:val="none" w:sz="0" w:space="0" w:color="auto"/>
        <w:right w:val="none" w:sz="0" w:space="0" w:color="auto"/>
      </w:divBdr>
    </w:div>
    <w:div w:id="34044185">
      <w:bodyDiv w:val="1"/>
      <w:marLeft w:val="0"/>
      <w:marRight w:val="0"/>
      <w:marTop w:val="0"/>
      <w:marBottom w:val="0"/>
      <w:divBdr>
        <w:top w:val="none" w:sz="0" w:space="0" w:color="auto"/>
        <w:left w:val="none" w:sz="0" w:space="0" w:color="auto"/>
        <w:bottom w:val="none" w:sz="0" w:space="0" w:color="auto"/>
        <w:right w:val="none" w:sz="0" w:space="0" w:color="auto"/>
      </w:divBdr>
    </w:div>
    <w:div w:id="35356092">
      <w:bodyDiv w:val="1"/>
      <w:marLeft w:val="0"/>
      <w:marRight w:val="0"/>
      <w:marTop w:val="0"/>
      <w:marBottom w:val="0"/>
      <w:divBdr>
        <w:top w:val="none" w:sz="0" w:space="0" w:color="auto"/>
        <w:left w:val="none" w:sz="0" w:space="0" w:color="auto"/>
        <w:bottom w:val="none" w:sz="0" w:space="0" w:color="auto"/>
        <w:right w:val="none" w:sz="0" w:space="0" w:color="auto"/>
      </w:divBdr>
    </w:div>
    <w:div w:id="229310856">
      <w:bodyDiv w:val="1"/>
      <w:marLeft w:val="0"/>
      <w:marRight w:val="0"/>
      <w:marTop w:val="0"/>
      <w:marBottom w:val="0"/>
      <w:divBdr>
        <w:top w:val="none" w:sz="0" w:space="0" w:color="auto"/>
        <w:left w:val="none" w:sz="0" w:space="0" w:color="auto"/>
        <w:bottom w:val="none" w:sz="0" w:space="0" w:color="auto"/>
        <w:right w:val="none" w:sz="0" w:space="0" w:color="auto"/>
      </w:divBdr>
    </w:div>
    <w:div w:id="292953383">
      <w:bodyDiv w:val="1"/>
      <w:marLeft w:val="0"/>
      <w:marRight w:val="0"/>
      <w:marTop w:val="0"/>
      <w:marBottom w:val="0"/>
      <w:divBdr>
        <w:top w:val="none" w:sz="0" w:space="0" w:color="auto"/>
        <w:left w:val="none" w:sz="0" w:space="0" w:color="auto"/>
        <w:bottom w:val="none" w:sz="0" w:space="0" w:color="auto"/>
        <w:right w:val="none" w:sz="0" w:space="0" w:color="auto"/>
      </w:divBdr>
    </w:div>
    <w:div w:id="443691322">
      <w:bodyDiv w:val="1"/>
      <w:marLeft w:val="0"/>
      <w:marRight w:val="0"/>
      <w:marTop w:val="0"/>
      <w:marBottom w:val="0"/>
      <w:divBdr>
        <w:top w:val="none" w:sz="0" w:space="0" w:color="auto"/>
        <w:left w:val="none" w:sz="0" w:space="0" w:color="auto"/>
        <w:bottom w:val="none" w:sz="0" w:space="0" w:color="auto"/>
        <w:right w:val="none" w:sz="0" w:space="0" w:color="auto"/>
      </w:divBdr>
    </w:div>
    <w:div w:id="563175625">
      <w:bodyDiv w:val="1"/>
      <w:marLeft w:val="0"/>
      <w:marRight w:val="0"/>
      <w:marTop w:val="0"/>
      <w:marBottom w:val="0"/>
      <w:divBdr>
        <w:top w:val="none" w:sz="0" w:space="0" w:color="auto"/>
        <w:left w:val="none" w:sz="0" w:space="0" w:color="auto"/>
        <w:bottom w:val="none" w:sz="0" w:space="0" w:color="auto"/>
        <w:right w:val="none" w:sz="0" w:space="0" w:color="auto"/>
      </w:divBdr>
    </w:div>
    <w:div w:id="576091208">
      <w:bodyDiv w:val="1"/>
      <w:marLeft w:val="0"/>
      <w:marRight w:val="0"/>
      <w:marTop w:val="0"/>
      <w:marBottom w:val="0"/>
      <w:divBdr>
        <w:top w:val="none" w:sz="0" w:space="0" w:color="auto"/>
        <w:left w:val="none" w:sz="0" w:space="0" w:color="auto"/>
        <w:bottom w:val="none" w:sz="0" w:space="0" w:color="auto"/>
        <w:right w:val="none" w:sz="0" w:space="0" w:color="auto"/>
      </w:divBdr>
    </w:div>
    <w:div w:id="649290615">
      <w:bodyDiv w:val="1"/>
      <w:marLeft w:val="0"/>
      <w:marRight w:val="0"/>
      <w:marTop w:val="0"/>
      <w:marBottom w:val="0"/>
      <w:divBdr>
        <w:top w:val="none" w:sz="0" w:space="0" w:color="auto"/>
        <w:left w:val="none" w:sz="0" w:space="0" w:color="auto"/>
        <w:bottom w:val="none" w:sz="0" w:space="0" w:color="auto"/>
        <w:right w:val="none" w:sz="0" w:space="0" w:color="auto"/>
      </w:divBdr>
      <w:divsChild>
        <w:div w:id="895051398">
          <w:marLeft w:val="0"/>
          <w:marRight w:val="0"/>
          <w:marTop w:val="0"/>
          <w:marBottom w:val="0"/>
          <w:divBdr>
            <w:top w:val="none" w:sz="0" w:space="0" w:color="auto"/>
            <w:left w:val="none" w:sz="0" w:space="0" w:color="auto"/>
            <w:bottom w:val="none" w:sz="0" w:space="0" w:color="auto"/>
            <w:right w:val="none" w:sz="0" w:space="0" w:color="auto"/>
          </w:divBdr>
        </w:div>
        <w:div w:id="1002701024">
          <w:marLeft w:val="0"/>
          <w:marRight w:val="0"/>
          <w:marTop w:val="0"/>
          <w:marBottom w:val="0"/>
          <w:divBdr>
            <w:top w:val="none" w:sz="0" w:space="0" w:color="auto"/>
            <w:left w:val="none" w:sz="0" w:space="0" w:color="auto"/>
            <w:bottom w:val="none" w:sz="0" w:space="0" w:color="auto"/>
            <w:right w:val="none" w:sz="0" w:space="0" w:color="auto"/>
          </w:divBdr>
        </w:div>
      </w:divsChild>
    </w:div>
    <w:div w:id="678241456">
      <w:bodyDiv w:val="1"/>
      <w:marLeft w:val="0"/>
      <w:marRight w:val="0"/>
      <w:marTop w:val="0"/>
      <w:marBottom w:val="0"/>
      <w:divBdr>
        <w:top w:val="none" w:sz="0" w:space="0" w:color="auto"/>
        <w:left w:val="none" w:sz="0" w:space="0" w:color="auto"/>
        <w:bottom w:val="none" w:sz="0" w:space="0" w:color="auto"/>
        <w:right w:val="none" w:sz="0" w:space="0" w:color="auto"/>
      </w:divBdr>
      <w:divsChild>
        <w:div w:id="506751221">
          <w:marLeft w:val="0"/>
          <w:marRight w:val="0"/>
          <w:marTop w:val="0"/>
          <w:marBottom w:val="0"/>
          <w:divBdr>
            <w:top w:val="none" w:sz="0" w:space="0" w:color="auto"/>
            <w:left w:val="none" w:sz="0" w:space="0" w:color="auto"/>
            <w:bottom w:val="none" w:sz="0" w:space="0" w:color="auto"/>
            <w:right w:val="none" w:sz="0" w:space="0" w:color="auto"/>
          </w:divBdr>
        </w:div>
      </w:divsChild>
    </w:div>
    <w:div w:id="683628470">
      <w:bodyDiv w:val="1"/>
      <w:marLeft w:val="0"/>
      <w:marRight w:val="0"/>
      <w:marTop w:val="0"/>
      <w:marBottom w:val="0"/>
      <w:divBdr>
        <w:top w:val="none" w:sz="0" w:space="0" w:color="auto"/>
        <w:left w:val="none" w:sz="0" w:space="0" w:color="auto"/>
        <w:bottom w:val="none" w:sz="0" w:space="0" w:color="auto"/>
        <w:right w:val="none" w:sz="0" w:space="0" w:color="auto"/>
      </w:divBdr>
      <w:divsChild>
        <w:div w:id="6758426">
          <w:marLeft w:val="0"/>
          <w:marRight w:val="0"/>
          <w:marTop w:val="0"/>
          <w:marBottom w:val="0"/>
          <w:divBdr>
            <w:top w:val="none" w:sz="0" w:space="0" w:color="auto"/>
            <w:left w:val="none" w:sz="0" w:space="0" w:color="auto"/>
            <w:bottom w:val="none" w:sz="0" w:space="0" w:color="auto"/>
            <w:right w:val="none" w:sz="0" w:space="0" w:color="auto"/>
          </w:divBdr>
        </w:div>
      </w:divsChild>
    </w:div>
    <w:div w:id="1058820651">
      <w:bodyDiv w:val="1"/>
      <w:marLeft w:val="0"/>
      <w:marRight w:val="0"/>
      <w:marTop w:val="0"/>
      <w:marBottom w:val="0"/>
      <w:divBdr>
        <w:top w:val="none" w:sz="0" w:space="0" w:color="auto"/>
        <w:left w:val="none" w:sz="0" w:space="0" w:color="auto"/>
        <w:bottom w:val="none" w:sz="0" w:space="0" w:color="auto"/>
        <w:right w:val="none" w:sz="0" w:space="0" w:color="auto"/>
      </w:divBdr>
    </w:div>
    <w:div w:id="1081877870">
      <w:bodyDiv w:val="1"/>
      <w:marLeft w:val="0"/>
      <w:marRight w:val="0"/>
      <w:marTop w:val="0"/>
      <w:marBottom w:val="0"/>
      <w:divBdr>
        <w:top w:val="none" w:sz="0" w:space="0" w:color="auto"/>
        <w:left w:val="none" w:sz="0" w:space="0" w:color="auto"/>
        <w:bottom w:val="none" w:sz="0" w:space="0" w:color="auto"/>
        <w:right w:val="none" w:sz="0" w:space="0" w:color="auto"/>
      </w:divBdr>
    </w:div>
    <w:div w:id="1082993257">
      <w:bodyDiv w:val="1"/>
      <w:marLeft w:val="0"/>
      <w:marRight w:val="0"/>
      <w:marTop w:val="0"/>
      <w:marBottom w:val="0"/>
      <w:divBdr>
        <w:top w:val="none" w:sz="0" w:space="0" w:color="auto"/>
        <w:left w:val="none" w:sz="0" w:space="0" w:color="auto"/>
        <w:bottom w:val="none" w:sz="0" w:space="0" w:color="auto"/>
        <w:right w:val="none" w:sz="0" w:space="0" w:color="auto"/>
      </w:divBdr>
    </w:div>
    <w:div w:id="1201866956">
      <w:bodyDiv w:val="1"/>
      <w:marLeft w:val="0"/>
      <w:marRight w:val="0"/>
      <w:marTop w:val="0"/>
      <w:marBottom w:val="0"/>
      <w:divBdr>
        <w:top w:val="none" w:sz="0" w:space="0" w:color="auto"/>
        <w:left w:val="none" w:sz="0" w:space="0" w:color="auto"/>
        <w:bottom w:val="none" w:sz="0" w:space="0" w:color="auto"/>
        <w:right w:val="none" w:sz="0" w:space="0" w:color="auto"/>
      </w:divBdr>
    </w:div>
    <w:div w:id="1390225758">
      <w:bodyDiv w:val="1"/>
      <w:marLeft w:val="0"/>
      <w:marRight w:val="0"/>
      <w:marTop w:val="0"/>
      <w:marBottom w:val="0"/>
      <w:divBdr>
        <w:top w:val="none" w:sz="0" w:space="0" w:color="auto"/>
        <w:left w:val="none" w:sz="0" w:space="0" w:color="auto"/>
        <w:bottom w:val="none" w:sz="0" w:space="0" w:color="auto"/>
        <w:right w:val="none" w:sz="0" w:space="0" w:color="auto"/>
      </w:divBdr>
      <w:divsChild>
        <w:div w:id="886339805">
          <w:marLeft w:val="0"/>
          <w:marRight w:val="0"/>
          <w:marTop w:val="0"/>
          <w:marBottom w:val="0"/>
          <w:divBdr>
            <w:top w:val="none" w:sz="0" w:space="0" w:color="auto"/>
            <w:left w:val="none" w:sz="0" w:space="0" w:color="auto"/>
            <w:bottom w:val="none" w:sz="0" w:space="0" w:color="auto"/>
            <w:right w:val="none" w:sz="0" w:space="0" w:color="auto"/>
          </w:divBdr>
        </w:div>
      </w:divsChild>
    </w:div>
    <w:div w:id="1573083325">
      <w:bodyDiv w:val="1"/>
      <w:marLeft w:val="0"/>
      <w:marRight w:val="0"/>
      <w:marTop w:val="0"/>
      <w:marBottom w:val="0"/>
      <w:divBdr>
        <w:top w:val="none" w:sz="0" w:space="0" w:color="auto"/>
        <w:left w:val="none" w:sz="0" w:space="0" w:color="auto"/>
        <w:bottom w:val="none" w:sz="0" w:space="0" w:color="auto"/>
        <w:right w:val="none" w:sz="0" w:space="0" w:color="auto"/>
      </w:divBdr>
    </w:div>
    <w:div w:id="1933395027">
      <w:bodyDiv w:val="1"/>
      <w:marLeft w:val="0"/>
      <w:marRight w:val="0"/>
      <w:marTop w:val="0"/>
      <w:marBottom w:val="0"/>
      <w:divBdr>
        <w:top w:val="none" w:sz="0" w:space="0" w:color="auto"/>
        <w:left w:val="none" w:sz="0" w:space="0" w:color="auto"/>
        <w:bottom w:val="none" w:sz="0" w:space="0" w:color="auto"/>
        <w:right w:val="none" w:sz="0" w:space="0" w:color="auto"/>
      </w:divBdr>
      <w:divsChild>
        <w:div w:id="600993552">
          <w:marLeft w:val="0"/>
          <w:marRight w:val="0"/>
          <w:marTop w:val="0"/>
          <w:marBottom w:val="0"/>
          <w:divBdr>
            <w:top w:val="none" w:sz="0" w:space="0" w:color="auto"/>
            <w:left w:val="none" w:sz="0" w:space="0" w:color="auto"/>
            <w:bottom w:val="none" w:sz="0" w:space="0" w:color="auto"/>
            <w:right w:val="none" w:sz="0" w:space="0" w:color="auto"/>
          </w:divBdr>
        </w:div>
      </w:divsChild>
    </w:div>
    <w:div w:id="2032678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chart" Target="charts/chart1.xml"/>
  <Relationship Id="rId14" Type="http://schemas.openxmlformats.org/officeDocument/2006/relationships/diagramData" Target="diagrams/data1.xml"/>
  <Relationship Id="rId15" Type="http://schemas.openxmlformats.org/officeDocument/2006/relationships/diagramLayout" Target="diagrams/layout1.xml"/>
  <Relationship Id="rId16" Type="http://schemas.openxmlformats.org/officeDocument/2006/relationships/diagramQuickStyle" Target="diagrams/quickStyle1.xml"/>
  <Relationship Id="rId17" Type="http://schemas.openxmlformats.org/officeDocument/2006/relationships/diagramColors" Target="diagrams/colors1.xml"/>
  <Relationship Id="rId18" Type="http://schemas.microsoft.com/office/2007/relationships/diagramDrawing" Target="diagrams/drawing1.xml"/>
  <Relationship Id="rId2" Type="http://schemas.openxmlformats.org/officeDocument/2006/relationships/styles" Target="styles.xml"/>
  <Relationship Id="rId20" Type="http://schemas.openxmlformats.org/officeDocument/2006/relationships/diagramData" Target="diagrams/data2.xml"/>
  <Relationship Id="rId21" Type="http://schemas.openxmlformats.org/officeDocument/2006/relationships/diagramLayout" Target="diagrams/layout2.xml"/>
  <Relationship Id="rId22" Type="http://schemas.openxmlformats.org/officeDocument/2006/relationships/diagramQuickStyle" Target="diagrams/quickStyle2.xml"/>
  <Relationship Id="rId23" Type="http://schemas.openxmlformats.org/officeDocument/2006/relationships/diagramColors" Target="diagrams/colors2.xml"/>
  <Relationship Id="rId24" Type="http://schemas.microsoft.com/office/2007/relationships/diagramDrawing" Target="diagrams/drawing2.xml"/>
  <Relationship Id="rId26" Type="http://schemas.openxmlformats.org/officeDocument/2006/relationships/diagramData" Target="diagrams/data3.xml"/>
  <Relationship Id="rId27" Type="http://schemas.openxmlformats.org/officeDocument/2006/relationships/diagramLayout" Target="diagrams/layout3.xml"/>
  <Relationship Id="rId28" Type="http://schemas.openxmlformats.org/officeDocument/2006/relationships/diagramQuickStyle" Target="diagrams/quickStyle3.xml"/>
  <Relationship Id="rId29" Type="http://schemas.openxmlformats.org/officeDocument/2006/relationships/diagramColors" Target="diagrams/colors3.xml"/>
  <Relationship Id="rId3" Type="http://schemas.openxmlformats.org/officeDocument/2006/relationships/settings" Target="settings.xml"/>
  <Relationship Id="rId30" Type="http://schemas.microsoft.com/office/2007/relationships/diagramDrawing" Target="diagrams/drawing3.xml"/>
  <Relationship Id="rId32" Type="http://schemas.openxmlformats.org/officeDocument/2006/relationships/diagramData" Target="diagrams/data4.xml"/>
  <Relationship Id="rId33" Type="http://schemas.openxmlformats.org/officeDocument/2006/relationships/diagramLayout" Target="diagrams/layout4.xml"/>
  <Relationship Id="rId34" Type="http://schemas.openxmlformats.org/officeDocument/2006/relationships/diagramQuickStyle" Target="diagrams/quickStyle4.xml"/>
  <Relationship Id="rId35" Type="http://schemas.openxmlformats.org/officeDocument/2006/relationships/diagramColors" Target="diagrams/colors4.xml"/>
  <Relationship Id="rId36" Type="http://schemas.microsoft.com/office/2007/relationships/diagramDrawing" Target="diagrams/drawing4.xml"/>
  <Relationship Id="rId39" Type="http://schemas.openxmlformats.org/officeDocument/2006/relationships/diagramData" Target="diagrams/data5.xml"/>
  <Relationship Id="rId4" Type="http://schemas.openxmlformats.org/officeDocument/2006/relationships/webSettings" Target="webSettings.xml"/>
  <Relationship Id="rId40" Type="http://schemas.openxmlformats.org/officeDocument/2006/relationships/diagramLayout" Target="diagrams/layout5.xml"/>
  <Relationship Id="rId41" Type="http://schemas.openxmlformats.org/officeDocument/2006/relationships/diagramQuickStyle" Target="diagrams/quickStyle5.xml"/>
  <Relationship Id="rId42" Type="http://schemas.openxmlformats.org/officeDocument/2006/relationships/diagramColors" Target="diagrams/colors5.xml"/>
  <Relationship Id="rId43" Type="http://schemas.microsoft.com/office/2007/relationships/diagramDrawing" Target="diagrams/drawing5.xml"/>
  <Relationship Id="rId46" Type="http://schemas.openxmlformats.org/officeDocument/2006/relationships/diagramData" Target="diagrams/data6.xml"/>
  <Relationship Id="rId47" Type="http://schemas.openxmlformats.org/officeDocument/2006/relationships/diagramLayout" Target="diagrams/layout6.xml"/>
  <Relationship Id="rId48" Type="http://schemas.openxmlformats.org/officeDocument/2006/relationships/diagramQuickStyle" Target="diagrams/quickStyle6.xml"/>
  <Relationship Id="rId49" Type="http://schemas.openxmlformats.org/officeDocument/2006/relationships/diagramColors" Target="diagrams/colors6.xml"/>
  <Relationship Id="rId5" Type="http://schemas.openxmlformats.org/officeDocument/2006/relationships/footnotes" Target="footnotes.xml"/>
  <Relationship Id="rId50" Type="http://schemas.microsoft.com/office/2007/relationships/diagramDrawing" Target="diagrams/drawing6.xml"/>
  <Relationship Id="rId52" Type="http://schemas.openxmlformats.org/officeDocument/2006/relationships/diagramData" Target="diagrams/data7.xml"/>
  <Relationship Id="rId53" Type="http://schemas.openxmlformats.org/officeDocument/2006/relationships/diagramLayout" Target="diagrams/layout7.xml"/>
  <Relationship Id="rId54" Type="http://schemas.openxmlformats.org/officeDocument/2006/relationships/diagramQuickStyle" Target="diagrams/quickStyle7.xml"/>
  <Relationship Id="rId55" Type="http://schemas.openxmlformats.org/officeDocument/2006/relationships/diagramColors" Target="diagrams/colors7.xml"/>
  <Relationship Id="rId56" Type="http://schemas.microsoft.com/office/2007/relationships/diagramDrawing" Target="diagrams/drawing7.xml"/>
  <Relationship Id="rId58" Type="http://schemas.openxmlformats.org/officeDocument/2006/relationships/diagramData" Target="diagrams/data8.xml"/>
  <Relationship Id="rId59" Type="http://schemas.openxmlformats.org/officeDocument/2006/relationships/diagramLayout" Target="diagrams/layout8.xml"/>
  <Relationship Id="rId6" Type="http://schemas.openxmlformats.org/officeDocument/2006/relationships/endnotes" Target="endnotes.xml"/>
  <Relationship Id="rId60" Type="http://schemas.openxmlformats.org/officeDocument/2006/relationships/diagramQuickStyle" Target="diagrams/quickStyle8.xml"/>
  <Relationship Id="rId61" Type="http://schemas.openxmlformats.org/officeDocument/2006/relationships/diagramColors" Target="diagrams/colors8.xml"/>
  <Relationship Id="rId62" Type="http://schemas.microsoft.com/office/2007/relationships/diagramDrawing" Target="diagrams/drawing8.xml"/>
  <Relationship Id="rId63" Type="http://schemas.openxmlformats.org/officeDocument/2006/relationships/diagramData" Target="diagrams/data9.xml"/>
  <Relationship Id="rId64" Type="http://schemas.openxmlformats.org/officeDocument/2006/relationships/diagramLayout" Target="diagrams/layout9.xml"/>
  <Relationship Id="rId65" Type="http://schemas.openxmlformats.org/officeDocument/2006/relationships/diagramQuickStyle" Target="diagrams/quickStyle9.xml"/>
  <Relationship Id="rId66" Type="http://schemas.openxmlformats.org/officeDocument/2006/relationships/diagramColors" Target="diagrams/colors9.xml"/>
  <Relationship Id="rId67" Type="http://schemas.microsoft.com/office/2007/relationships/diagramDrawing" Target="diagrams/drawing9.xml"/>
  <Relationship Id="rId68" Type="http://schemas.openxmlformats.org/officeDocument/2006/relationships/fontTable" Target="fontTable.xml"/>
  <Relationship Id="rId69" Type="http://schemas.openxmlformats.org/officeDocument/2006/relationships/theme" Target="theme/theme1.xml"/>
  <Relationship Id="rId7" Type="http://schemas.openxmlformats.org/officeDocument/2006/relationships/header" Target="header1.xml"/>
  <Relationship Id="rId70" Type="http://schemas.openxmlformats.org/officeDocument/2006/relationships/customXml" Target="../customXml/item2.xml"/>
  <Relationship Id="rId8" Type="http://schemas.openxmlformats.org/officeDocument/2006/relationships/header" Target="header2.xml"/>
  <Relationship Id="rId9" Type="http://schemas.openxmlformats.org/officeDocument/2006/relationships/footer" Target="foot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i="1" u="none" strike="noStrike" kern="1200" baseline="0">
                <a:solidFill>
                  <a:sysClr val="windowText" lastClr="000000"/>
                </a:solidFill>
                <a:latin typeface="Times New Roman" panose="02020603050405020304" pitchFamily="18" charset="0"/>
                <a:cs typeface="Times New Roman" panose="02020603050405020304" pitchFamily="18" charset="0"/>
              </a:rPr>
              <a:t>2025-2027 </a:t>
            </a:r>
            <a:r>
              <a:rPr lang="lt-LT" sz="1400" b="1" i="1" u="none" strike="noStrike" kern="1200" baseline="0">
                <a:solidFill>
                  <a:sysClr val="windowText" lastClr="000000"/>
                </a:solidFill>
                <a:latin typeface="Times New Roman" panose="02020603050405020304" pitchFamily="18" charset="0"/>
                <a:cs typeface="Times New Roman" panose="02020603050405020304" pitchFamily="18" charset="0"/>
              </a:rPr>
              <a:t>metų asignavimų ir kitų lėšų pasiskirstymas pagal programas, tūkst. Eur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SVP!$D$831</c:f>
              <c:strCache>
                <c:ptCount val="1"/>
                <c:pt idx="0">
                  <c:v>2025 metų lėšų projektas</c:v>
                </c:pt>
              </c:strCache>
            </c:strRef>
          </c:tx>
          <c:spPr>
            <a:solidFill>
              <a:srgbClr val="C00000"/>
            </a:solidFill>
            <a:ln>
              <a:noFill/>
            </a:ln>
            <a:effectLst/>
          </c:spPr>
          <c:invertIfNegative val="0"/>
          <c:cat>
            <c:strRef>
              <c:f>SVP!$B$832:$B$840</c:f>
              <c:strCache>
                <c:ptCount val="9"/>
                <c:pt idx="0">
                  <c:v>01 Savivaldybės valdymo programa</c:v>
                </c:pt>
                <c:pt idx="1">
                  <c:v>02 Kultūros programa</c:v>
                </c:pt>
                <c:pt idx="2">
                  <c:v>03 Aplinkos apsaugos programa</c:v>
                </c:pt>
                <c:pt idx="3">
                  <c:v>04 Urbanistinės plėtros ir infrastruktūros programa</c:v>
                </c:pt>
                <c:pt idx="4">
                  <c:v>05 Ekonominės plėtros programa</c:v>
                </c:pt>
                <c:pt idx="5">
                  <c:v>06 Socialinės apsaugos programa</c:v>
                </c:pt>
                <c:pt idx="6">
                  <c:v>07 Sporto programa</c:v>
                </c:pt>
                <c:pt idx="7">
                  <c:v>08 Švietimo programa</c:v>
                </c:pt>
                <c:pt idx="8">
                  <c:v>09 Sveikatos programa</c:v>
                </c:pt>
              </c:strCache>
            </c:strRef>
          </c:cat>
          <c:val>
            <c:numRef>
              <c:f>SVP!$D$832:$D$840</c:f>
              <c:numCache>
                <c:formatCode>0.0</c:formatCode>
                <c:ptCount val="9"/>
                <c:pt idx="0">
                  <c:v>30655.7</c:v>
                </c:pt>
                <c:pt idx="1">
                  <c:v>10291.200000000001</c:v>
                </c:pt>
                <c:pt idx="2">
                  <c:v>6416.5</c:v>
                </c:pt>
                <c:pt idx="3">
                  <c:v>55801.2</c:v>
                </c:pt>
                <c:pt idx="4">
                  <c:v>2241.1999999999998</c:v>
                </c:pt>
                <c:pt idx="5">
                  <c:v>79042.100000000006</c:v>
                </c:pt>
                <c:pt idx="6">
                  <c:v>23740.6</c:v>
                </c:pt>
                <c:pt idx="7">
                  <c:v>161680</c:v>
                </c:pt>
                <c:pt idx="8">
                  <c:v>7415.5</c:v>
                </c:pt>
              </c:numCache>
            </c:numRef>
          </c:val>
          <c:extLst>
            <c:ext xmlns:c16="http://schemas.microsoft.com/office/drawing/2014/chart" uri="{C3380CC4-5D6E-409C-BE32-E72D297353CC}">
              <c16:uniqueId val="{00000000-0EE2-44AD-80B5-575B0CB92A45}"/>
            </c:ext>
          </c:extLst>
        </c:ser>
        <c:ser>
          <c:idx val="2"/>
          <c:order val="2"/>
          <c:tx>
            <c:strRef>
              <c:f>SVP!$E$831</c:f>
              <c:strCache>
                <c:ptCount val="1"/>
                <c:pt idx="0">
                  <c:v>2026 metų lėšų projektas</c:v>
                </c:pt>
              </c:strCache>
            </c:strRef>
          </c:tx>
          <c:spPr>
            <a:solidFill>
              <a:schemeClr val="accent6">
                <a:lumMod val="75000"/>
              </a:schemeClr>
            </a:solidFill>
            <a:ln>
              <a:noFill/>
            </a:ln>
            <a:effectLst/>
          </c:spPr>
          <c:invertIfNegative val="0"/>
          <c:cat>
            <c:strRef>
              <c:f>SVP!$B$832:$B$840</c:f>
              <c:strCache>
                <c:ptCount val="9"/>
                <c:pt idx="0">
                  <c:v>01 Savivaldybės valdymo programa</c:v>
                </c:pt>
                <c:pt idx="1">
                  <c:v>02 Kultūros programa</c:v>
                </c:pt>
                <c:pt idx="2">
                  <c:v>03 Aplinkos apsaugos programa</c:v>
                </c:pt>
                <c:pt idx="3">
                  <c:v>04 Urbanistinės plėtros ir infrastruktūros programa</c:v>
                </c:pt>
                <c:pt idx="4">
                  <c:v>05 Ekonominės plėtros programa</c:v>
                </c:pt>
                <c:pt idx="5">
                  <c:v>06 Socialinės apsaugos programa</c:v>
                </c:pt>
                <c:pt idx="6">
                  <c:v>07 Sporto programa</c:v>
                </c:pt>
                <c:pt idx="7">
                  <c:v>08 Švietimo programa</c:v>
                </c:pt>
                <c:pt idx="8">
                  <c:v>09 Sveikatos programa</c:v>
                </c:pt>
              </c:strCache>
            </c:strRef>
          </c:cat>
          <c:val>
            <c:numRef>
              <c:f>SVP!$E$832:$E$840</c:f>
              <c:numCache>
                <c:formatCode>0.0</c:formatCode>
                <c:ptCount val="9"/>
                <c:pt idx="0">
                  <c:v>29777.9</c:v>
                </c:pt>
                <c:pt idx="1">
                  <c:v>9651.2000000000007</c:v>
                </c:pt>
                <c:pt idx="2">
                  <c:v>6115.9</c:v>
                </c:pt>
                <c:pt idx="3">
                  <c:v>60829.1</c:v>
                </c:pt>
                <c:pt idx="4">
                  <c:v>1706.3</c:v>
                </c:pt>
                <c:pt idx="5">
                  <c:v>78998.5</c:v>
                </c:pt>
                <c:pt idx="6">
                  <c:v>18228.599999999999</c:v>
                </c:pt>
                <c:pt idx="7">
                  <c:v>159346.9</c:v>
                </c:pt>
                <c:pt idx="8">
                  <c:v>5971</c:v>
                </c:pt>
              </c:numCache>
            </c:numRef>
          </c:val>
          <c:extLst>
            <c:ext xmlns:c16="http://schemas.microsoft.com/office/drawing/2014/chart" uri="{C3380CC4-5D6E-409C-BE32-E72D297353CC}">
              <c16:uniqueId val="{00000001-0EE2-44AD-80B5-575B0CB92A45}"/>
            </c:ext>
          </c:extLst>
        </c:ser>
        <c:ser>
          <c:idx val="3"/>
          <c:order val="3"/>
          <c:tx>
            <c:strRef>
              <c:f>SVP!$F$831</c:f>
              <c:strCache>
                <c:ptCount val="1"/>
                <c:pt idx="0">
                  <c:v>2027 metų lėšų projektas</c:v>
                </c:pt>
              </c:strCache>
            </c:strRef>
          </c:tx>
          <c:spPr>
            <a:solidFill>
              <a:srgbClr val="7030A0"/>
            </a:solidFill>
            <a:ln>
              <a:noFill/>
            </a:ln>
            <a:effectLst/>
          </c:spPr>
          <c:invertIfNegative val="0"/>
          <c:cat>
            <c:strRef>
              <c:f>SVP!$B$832:$B$840</c:f>
              <c:strCache>
                <c:ptCount val="9"/>
                <c:pt idx="0">
                  <c:v>01 Savivaldybės valdymo programa</c:v>
                </c:pt>
                <c:pt idx="1">
                  <c:v>02 Kultūros programa</c:v>
                </c:pt>
                <c:pt idx="2">
                  <c:v>03 Aplinkos apsaugos programa</c:v>
                </c:pt>
                <c:pt idx="3">
                  <c:v>04 Urbanistinės plėtros ir infrastruktūros programa</c:v>
                </c:pt>
                <c:pt idx="4">
                  <c:v>05 Ekonominės plėtros programa</c:v>
                </c:pt>
                <c:pt idx="5">
                  <c:v>06 Socialinės apsaugos programa</c:v>
                </c:pt>
                <c:pt idx="6">
                  <c:v>07 Sporto programa</c:v>
                </c:pt>
                <c:pt idx="7">
                  <c:v>08 Švietimo programa</c:v>
                </c:pt>
                <c:pt idx="8">
                  <c:v>09 Sveikatos programa</c:v>
                </c:pt>
              </c:strCache>
            </c:strRef>
          </c:cat>
          <c:val>
            <c:numRef>
              <c:f>SVP!$F$832:$F$840</c:f>
              <c:numCache>
                <c:formatCode>0.0</c:formatCode>
                <c:ptCount val="9"/>
                <c:pt idx="0">
                  <c:v>32729.1</c:v>
                </c:pt>
                <c:pt idx="1">
                  <c:v>9054.7999999999993</c:v>
                </c:pt>
                <c:pt idx="2">
                  <c:v>5810.1</c:v>
                </c:pt>
                <c:pt idx="3">
                  <c:v>53697.1</c:v>
                </c:pt>
                <c:pt idx="4">
                  <c:v>1376</c:v>
                </c:pt>
                <c:pt idx="5">
                  <c:v>80698.100000000006</c:v>
                </c:pt>
                <c:pt idx="6">
                  <c:v>16026.3</c:v>
                </c:pt>
                <c:pt idx="7">
                  <c:v>157841.1</c:v>
                </c:pt>
                <c:pt idx="8">
                  <c:v>4995.8</c:v>
                </c:pt>
              </c:numCache>
            </c:numRef>
          </c:val>
          <c:extLst>
            <c:ext xmlns:c16="http://schemas.microsoft.com/office/drawing/2014/chart" uri="{C3380CC4-5D6E-409C-BE32-E72D297353CC}">
              <c16:uniqueId val="{00000002-0EE2-44AD-80B5-575B0CB92A45}"/>
            </c:ext>
          </c:extLst>
        </c:ser>
        <c:dLbls>
          <c:showLegendKey val="0"/>
          <c:showVal val="0"/>
          <c:showCatName val="0"/>
          <c:showSerName val="0"/>
          <c:showPercent val="0"/>
          <c:showBubbleSize val="0"/>
        </c:dLbls>
        <c:gapWidth val="219"/>
        <c:overlap val="-27"/>
        <c:axId val="567391808"/>
        <c:axId val="567392528"/>
        <c:extLst>
          <c:ext xmlns:c15="http://schemas.microsoft.com/office/drawing/2012/chart" uri="{02D57815-91ED-43cb-92C2-25804820EDAC}">
            <c15:filteredBarSeries>
              <c15:ser>
                <c:idx val="0"/>
                <c:order val="0"/>
                <c:tx>
                  <c:strRef>
                    <c:extLst>
                      <c:ext uri="{02D57815-91ED-43cb-92C2-25804820EDAC}">
                        <c15:formulaRef>
                          <c15:sqref>SVP!$C$831</c15:sqref>
                        </c15:formulaRef>
                      </c:ext>
                    </c:extLst>
                    <c:strCache>
                      <c:ptCount val="1"/>
                    </c:strCache>
                  </c:strRef>
                </c:tx>
                <c:spPr>
                  <a:solidFill>
                    <a:schemeClr val="accent1"/>
                  </a:solidFill>
                  <a:ln>
                    <a:noFill/>
                  </a:ln>
                  <a:effectLst/>
                </c:spPr>
                <c:invertIfNegative val="0"/>
                <c:cat>
                  <c:strRef>
                    <c:extLst>
                      <c:ext uri="{02D57815-91ED-43cb-92C2-25804820EDAC}">
                        <c15:formulaRef>
                          <c15:sqref>SVP!$B$832:$B$840</c15:sqref>
                        </c15:formulaRef>
                      </c:ext>
                    </c:extLst>
                    <c:strCache>
                      <c:ptCount val="9"/>
                      <c:pt idx="0">
                        <c:v>01 Savivaldybės valdymo programa</c:v>
                      </c:pt>
                      <c:pt idx="1">
                        <c:v>02 Kultūros programa</c:v>
                      </c:pt>
                      <c:pt idx="2">
                        <c:v>03 Aplinkos apsaugos programa</c:v>
                      </c:pt>
                      <c:pt idx="3">
                        <c:v>04 Urbanistinės plėtros ir infrastruktūros programa</c:v>
                      </c:pt>
                      <c:pt idx="4">
                        <c:v>05 Ekonominės plėtros programa</c:v>
                      </c:pt>
                      <c:pt idx="5">
                        <c:v>06 Socialinės apsaugos programa</c:v>
                      </c:pt>
                      <c:pt idx="6">
                        <c:v>07 Sporto programa</c:v>
                      </c:pt>
                      <c:pt idx="7">
                        <c:v>08 Švietimo programa</c:v>
                      </c:pt>
                      <c:pt idx="8">
                        <c:v>09 Sveikatos programa</c:v>
                      </c:pt>
                    </c:strCache>
                  </c:strRef>
                </c:cat>
                <c:val>
                  <c:numRef>
                    <c:extLst>
                      <c:ext uri="{02D57815-91ED-43cb-92C2-25804820EDAC}">
                        <c15:formulaRef>
                          <c15:sqref>SVP!$C$832:$C$840</c15:sqref>
                        </c15:formulaRef>
                      </c:ext>
                    </c:extLst>
                    <c:numCache>
                      <c:formatCode>General</c:formatCode>
                      <c:ptCount val="9"/>
                    </c:numCache>
                  </c:numRef>
                </c:val>
                <c:extLst>
                  <c:ext xmlns:c16="http://schemas.microsoft.com/office/drawing/2014/chart" uri="{C3380CC4-5D6E-409C-BE32-E72D297353CC}">
                    <c16:uniqueId val="{00000003-0EE2-44AD-80B5-575B0CB92A45}"/>
                  </c:ext>
                </c:extLst>
              </c15:ser>
            </c15:filteredBarSeries>
          </c:ext>
        </c:extLst>
      </c:barChart>
      <c:catAx>
        <c:axId val="567391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67392528"/>
        <c:crosses val="autoZero"/>
        <c:auto val="1"/>
        <c:lblAlgn val="ctr"/>
        <c:lblOffset val="100"/>
        <c:noMultiLvlLbl val="0"/>
      </c:catAx>
      <c:valAx>
        <c:axId val="56739252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67391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Savivaldyb</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ės valdymo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veiklos valdymą ir efektyviai išnaudoti pažangius skaitmeninius sprendimus teikiant paslaugas</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įtraukų bendradarbiavimą su visuomene ir suinteresuotomis šalimis</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9A31B474-0B1F-4F43-A841-731ECF1F584A}">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1-03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Organizuoti  Savivaldybės veiklos funkcijų įgyvendinimą</a:t>
          </a:r>
        </a:p>
      </dgm:t>
    </dgm:pt>
    <dgm:pt modelId="{522D8BB0-AD87-4E54-A059-BBF9A432E60D}" type="parTrans" cxnId="{B3E61010-0359-4A1C-8A58-3F4846C17F50}">
      <dgm:prSet/>
      <dgm:spPr>
        <a:ln>
          <a:solidFill>
            <a:schemeClr val="tx1"/>
          </a:solidFill>
        </a:ln>
      </dgm:spPr>
      <dgm:t>
        <a:bodyPr/>
        <a:lstStyle/>
        <a:p>
          <a:endParaRPr lang="lt-LT"/>
        </a:p>
      </dgm:t>
    </dgm:pt>
    <dgm:pt modelId="{47D104B6-255A-4003-865B-3979F2CD4279}" type="sibTrans" cxnId="{B3E61010-0359-4A1C-8A58-3F4846C17F50}">
      <dgm:prSet/>
      <dgm:spPr/>
      <dgm:t>
        <a:bodyPr/>
        <a:lstStyle/>
        <a:p>
          <a:endParaRPr lang="lt-LT"/>
        </a:p>
      </dgm:t>
    </dgm:pt>
    <dgm:pt modelId="{727D6EFC-A33F-4726-9757-499C2231CE7F}">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1-04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Tinkamai įgyvendinti valstybines (perduotas savivaldybei) funkcijas</a:t>
          </a:r>
        </a:p>
      </dgm:t>
    </dgm:pt>
    <dgm:pt modelId="{103B225E-D6C9-4705-BB99-32F4AE680BB5}" type="parTrans" cxnId="{C50EC1F4-2824-49D8-B27A-BA3FB0121647}">
      <dgm:prSet/>
      <dgm:spPr/>
      <dgm:t>
        <a:bodyPr/>
        <a:lstStyle/>
        <a:p>
          <a:endParaRPr lang="lt-LT"/>
        </a:p>
      </dgm:t>
    </dgm:pt>
    <dgm:pt modelId="{B74F79BB-04BC-45F5-9F88-6E4F0A5F5993}" type="sibTrans" cxnId="{C50EC1F4-2824-49D8-B27A-BA3FB0121647}">
      <dgm:prSet/>
      <dgm:spPr/>
      <dgm:t>
        <a:bodyPr/>
        <a:lstStyle/>
        <a:p>
          <a:endParaRPr lang="lt-LT"/>
        </a:p>
      </dgm:t>
    </dgm:pt>
    <dgm:pt modelId="{57F45556-7EF5-4A7D-863B-9AF7DC74412C}">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01-05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finansinių įsipareigojimų vykdymą</a:t>
          </a:r>
        </a:p>
      </dgm:t>
    </dgm:pt>
    <dgm:pt modelId="{E959CC49-4A52-46E8-8D33-BBBAF4F06999}" type="parTrans" cxnId="{FA2D6451-93BA-4DC4-9048-99BAD9B4939E}">
      <dgm:prSet/>
      <dgm:spPr/>
      <dgm:t>
        <a:bodyPr/>
        <a:lstStyle/>
        <a:p>
          <a:endParaRPr lang="lt-LT"/>
        </a:p>
      </dgm:t>
    </dgm:pt>
    <dgm:pt modelId="{2C8BC9F4-C867-4FBB-AAAC-13AECB218085}" type="sibTrans" cxnId="{FA2D6451-93BA-4DC4-9048-99BAD9B4939E}">
      <dgm:prSet/>
      <dgm:spPr/>
      <dgm:t>
        <a:bodyPr/>
        <a:lstStyle/>
        <a:p>
          <a:endParaRPr lang="lt-LT"/>
        </a:p>
      </dgm:t>
    </dgm:pt>
    <dgm:pt modelId="{6CE68F36-3C2A-4A46-A0DD-DB45ECC80869}">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01-06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Savivaldybei nuosavybės teise priklausančio turto tinkamą įregistravimą,  eksplotavimą, renovavimą, remontą ir saugojimą</a:t>
          </a:r>
        </a:p>
      </dgm:t>
    </dgm:pt>
    <dgm:pt modelId="{24BA5FC2-B932-44AB-9CF6-456052FF4424}" type="parTrans" cxnId="{0E2707DF-2677-495C-B762-ECAEDDB944BC}">
      <dgm:prSet/>
      <dgm:spPr/>
      <dgm:t>
        <a:bodyPr/>
        <a:lstStyle/>
        <a:p>
          <a:endParaRPr lang="lt-LT"/>
        </a:p>
      </dgm:t>
    </dgm:pt>
    <dgm:pt modelId="{B9AD1C75-2FD4-405B-9455-8B80BA7337F6}" type="sibTrans" cxnId="{0E2707DF-2677-495C-B762-ECAEDDB944BC}">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488690" custScaleY="64882">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485965" custScaleY="69955" custLinFactNeighborX="-639" custLinFactNeighborY="-6714"/>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488783" custScaleY="62819" custLinFactNeighborX="-585" custLinFactNeighborY="-1151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6C092A9E-1328-4A3E-85A7-303B9A0C9ADA}" type="pres">
      <dgm:prSet presAssocID="{522D8BB0-AD87-4E54-A059-BBF9A432E60D}" presName="Name19" presStyleLbl="parChTrans1D4" presStyleIdx="0" presStyleCnt="4"/>
      <dgm:spPr/>
      <dgm:t>
        <a:bodyPr/>
        <a:lstStyle/>
        <a:p>
          <a:endParaRPr lang="en-US"/>
        </a:p>
      </dgm:t>
    </dgm:pt>
    <dgm:pt modelId="{FF20C64B-736D-4585-A56F-7F15E2AE3ECE}" type="pres">
      <dgm:prSet presAssocID="{9A31B474-0B1F-4F43-A841-731ECF1F584A}" presName="Name21" presStyleCnt="0"/>
      <dgm:spPr/>
    </dgm:pt>
    <dgm:pt modelId="{D5E2563B-B350-47B2-A59B-2EC96F13ABA7}" type="pres">
      <dgm:prSet presAssocID="{9A31B474-0B1F-4F43-A841-731ECF1F584A}" presName="level2Shape" presStyleLbl="node4" presStyleIdx="0" presStyleCnt="4" custScaleX="485268" custScaleY="57116"/>
      <dgm:spPr/>
      <dgm:t>
        <a:bodyPr/>
        <a:lstStyle/>
        <a:p>
          <a:endParaRPr lang="en-US"/>
        </a:p>
      </dgm:t>
    </dgm:pt>
    <dgm:pt modelId="{D5A009EF-4738-4B1C-BB70-EECF8BDF5444}" type="pres">
      <dgm:prSet presAssocID="{9A31B474-0B1F-4F43-A841-731ECF1F584A}" presName="hierChild3" presStyleCnt="0"/>
      <dgm:spPr/>
    </dgm:pt>
    <dgm:pt modelId="{21F4B7AA-C169-46C7-ABEF-1201F613F0CE}" type="pres">
      <dgm:prSet presAssocID="{103B225E-D6C9-4705-BB99-32F4AE680BB5}" presName="Name19" presStyleLbl="parChTrans1D4" presStyleIdx="1" presStyleCnt="4"/>
      <dgm:spPr/>
      <dgm:t>
        <a:bodyPr/>
        <a:lstStyle/>
        <a:p>
          <a:endParaRPr lang="en-US"/>
        </a:p>
      </dgm:t>
    </dgm:pt>
    <dgm:pt modelId="{86BEFE9C-F191-41E2-82CB-902ECAC5F3BE}" type="pres">
      <dgm:prSet presAssocID="{727D6EFC-A33F-4726-9757-499C2231CE7F}" presName="Name21" presStyleCnt="0"/>
      <dgm:spPr/>
    </dgm:pt>
    <dgm:pt modelId="{2E16C779-DBBE-4970-9997-B44EEC404AA0}" type="pres">
      <dgm:prSet presAssocID="{727D6EFC-A33F-4726-9757-499C2231CE7F}" presName="level2Shape" presStyleLbl="node4" presStyleIdx="1" presStyleCnt="4" custScaleX="486546" custScaleY="66536"/>
      <dgm:spPr/>
      <dgm:t>
        <a:bodyPr/>
        <a:lstStyle/>
        <a:p>
          <a:endParaRPr lang="en-US"/>
        </a:p>
      </dgm:t>
    </dgm:pt>
    <dgm:pt modelId="{A565D82F-BC1F-4FF2-9185-192B754ECEDA}" type="pres">
      <dgm:prSet presAssocID="{727D6EFC-A33F-4726-9757-499C2231CE7F}" presName="hierChild3" presStyleCnt="0"/>
      <dgm:spPr/>
    </dgm:pt>
    <dgm:pt modelId="{483B6033-5D08-4513-B0DF-A9C19C1B5510}" type="pres">
      <dgm:prSet presAssocID="{E959CC49-4A52-46E8-8D33-BBBAF4F06999}" presName="Name19" presStyleLbl="parChTrans1D4" presStyleIdx="2" presStyleCnt="4"/>
      <dgm:spPr/>
      <dgm:t>
        <a:bodyPr/>
        <a:lstStyle/>
        <a:p>
          <a:endParaRPr lang="en-US"/>
        </a:p>
      </dgm:t>
    </dgm:pt>
    <dgm:pt modelId="{954ACB97-1738-4E39-B7F4-DB6B17D1087B}" type="pres">
      <dgm:prSet presAssocID="{57F45556-7EF5-4A7D-863B-9AF7DC74412C}" presName="Name21" presStyleCnt="0"/>
      <dgm:spPr/>
    </dgm:pt>
    <dgm:pt modelId="{B0B51844-B4AB-4789-879A-799198C07970}" type="pres">
      <dgm:prSet presAssocID="{57F45556-7EF5-4A7D-863B-9AF7DC74412C}" presName="level2Shape" presStyleLbl="node4" presStyleIdx="2" presStyleCnt="4" custScaleX="486546" custScaleY="67868"/>
      <dgm:spPr/>
      <dgm:t>
        <a:bodyPr/>
        <a:lstStyle/>
        <a:p>
          <a:endParaRPr lang="en-US"/>
        </a:p>
      </dgm:t>
    </dgm:pt>
    <dgm:pt modelId="{F9FD22FC-0570-4B7F-A2F6-2A0FA0EA28D3}" type="pres">
      <dgm:prSet presAssocID="{57F45556-7EF5-4A7D-863B-9AF7DC74412C}" presName="hierChild3" presStyleCnt="0"/>
      <dgm:spPr/>
    </dgm:pt>
    <dgm:pt modelId="{929E6C34-BC14-45F2-B621-69AA8D114522}" type="pres">
      <dgm:prSet presAssocID="{24BA5FC2-B932-44AB-9CF6-456052FF4424}" presName="Name19" presStyleLbl="parChTrans1D4" presStyleIdx="3" presStyleCnt="4"/>
      <dgm:spPr/>
      <dgm:t>
        <a:bodyPr/>
        <a:lstStyle/>
        <a:p>
          <a:endParaRPr lang="en-US"/>
        </a:p>
      </dgm:t>
    </dgm:pt>
    <dgm:pt modelId="{0EAC69A7-3918-4465-8A8A-7D3509A1B0F2}" type="pres">
      <dgm:prSet presAssocID="{6CE68F36-3C2A-4A46-A0DD-DB45ECC80869}" presName="Name21" presStyleCnt="0"/>
      <dgm:spPr/>
    </dgm:pt>
    <dgm:pt modelId="{DDB4A3C3-1EDA-4060-BE5A-3B9AAFA40A54}" type="pres">
      <dgm:prSet presAssocID="{6CE68F36-3C2A-4A46-A0DD-DB45ECC80869}" presName="level2Shape" presStyleLbl="node4" presStyleIdx="3" presStyleCnt="4" custScaleX="489367" custScaleY="81671"/>
      <dgm:spPr/>
      <dgm:t>
        <a:bodyPr/>
        <a:lstStyle/>
        <a:p>
          <a:endParaRPr lang="en-US"/>
        </a:p>
      </dgm:t>
    </dgm:pt>
    <dgm:pt modelId="{FF2209E9-CAE8-449C-ADBF-38506F9C7BBB}" type="pres">
      <dgm:prSet presAssocID="{6CE68F36-3C2A-4A46-A0DD-DB45ECC80869}" presName="hierChild3" presStyleCnt="0"/>
      <dgm:spPr/>
    </dgm:pt>
    <dgm:pt modelId="{020AA365-AFFF-409B-87BC-60EAB0D2E317}" type="pres">
      <dgm:prSet presAssocID="{28403435-214C-4F97-8828-80AD252D4008}" presName="bgShapesFlow" presStyleCnt="0"/>
      <dgm:spPr/>
    </dgm:pt>
  </dgm:ptLst>
  <dgm:cxnLst>
    <dgm:cxn modelId="{28F0B7F6-544F-4191-95C0-730F5D118445}" type="presOf" srcId="{B44235B9-A951-48B9-9A26-8BE7B25B3475}" destId="{AF2056C7-3053-4223-B15A-8F4EB886DCD7}"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BFD499FC-5790-43F6-95C2-98F3AE9A8661}" type="presOf" srcId="{6CE68F36-3C2A-4A46-A0DD-DB45ECC80869}" destId="{DDB4A3C3-1EDA-4060-BE5A-3B9AAFA40A54}"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6382E860-D9EE-4676-B6AF-073545E5FA84}" type="presOf" srcId="{57F45556-7EF5-4A7D-863B-9AF7DC74412C}" destId="{B0B51844-B4AB-4789-879A-799198C07970}" srcOrd="0" destOrd="0" presId="urn:microsoft.com/office/officeart/2005/8/layout/hierarchy6"/>
    <dgm:cxn modelId="{DD1EDE8D-F41D-4669-9070-1DF465EF05BB}" type="presOf" srcId="{85CFB2EA-96BE-47C5-ADB1-9C20CE151E1B}" destId="{6A9DD03D-7AEF-4163-9296-AD87FDBDC3B6}" srcOrd="0" destOrd="0" presId="urn:microsoft.com/office/officeart/2005/8/layout/hierarchy6"/>
    <dgm:cxn modelId="{AFF4DEC1-FC07-46AB-83E0-02DA06228303}" type="presOf" srcId="{FFF57444-FBE2-43CC-AACF-1BC05443C1B6}" destId="{52CF58CD-C886-418B-A813-E5A75317E1E5}"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0E2707DF-2677-495C-B762-ECAEDDB944BC}" srcId="{57F45556-7EF5-4A7D-863B-9AF7DC74412C}" destId="{6CE68F36-3C2A-4A46-A0DD-DB45ECC80869}" srcOrd="0" destOrd="0" parTransId="{24BA5FC2-B932-44AB-9CF6-456052FF4424}" sibTransId="{B9AD1C75-2FD4-405B-9455-8B80BA7337F6}"/>
    <dgm:cxn modelId="{5EB9F496-E816-40BD-9513-ABA4541C2350}" type="presOf" srcId="{250EB5D4-8F6C-4B93-AC7E-CE1EB01102D4}" destId="{64E17BAB-BF4E-47B9-AF08-42A0178ABD8D}" srcOrd="0" destOrd="0" presId="urn:microsoft.com/office/officeart/2005/8/layout/hierarchy6"/>
    <dgm:cxn modelId="{A11A5685-991C-4FB5-8A6D-C2AFAE367E3F}" type="presOf" srcId="{9A31B474-0B1F-4F43-A841-731ECF1F584A}" destId="{D5E2563B-B350-47B2-A59B-2EC96F13ABA7}" srcOrd="0" destOrd="0" presId="urn:microsoft.com/office/officeart/2005/8/layout/hierarchy6"/>
    <dgm:cxn modelId="{A6EAB1D4-58E8-48ED-B22A-5EC619EC3CAF}" type="presOf" srcId="{103B225E-D6C9-4705-BB99-32F4AE680BB5}" destId="{21F4B7AA-C169-46C7-ABEF-1201F613F0CE}" srcOrd="0" destOrd="0" presId="urn:microsoft.com/office/officeart/2005/8/layout/hierarchy6"/>
    <dgm:cxn modelId="{AD33AB30-2B9B-4922-BD65-E6ED4AB97F00}" type="presOf" srcId="{E959CC49-4A52-46E8-8D33-BBBAF4F06999}" destId="{483B6033-5D08-4513-B0DF-A9C19C1B5510}" srcOrd="0" destOrd="0" presId="urn:microsoft.com/office/officeart/2005/8/layout/hierarchy6"/>
    <dgm:cxn modelId="{116400C0-5223-4ABD-9AB4-2FFF110DD7EF}" type="presOf" srcId="{522D8BB0-AD87-4E54-A059-BBF9A432E60D}" destId="{6C092A9E-1328-4A3E-85A7-303B9A0C9ADA}" srcOrd="0" destOrd="0" presId="urn:microsoft.com/office/officeart/2005/8/layout/hierarchy6"/>
    <dgm:cxn modelId="{1E2589C6-C018-4A53-A0B5-4C94D6C2DC48}" type="presOf" srcId="{24BA5FC2-B932-44AB-9CF6-456052FF4424}" destId="{929E6C34-BC14-45F2-B621-69AA8D114522}" srcOrd="0" destOrd="0" presId="urn:microsoft.com/office/officeart/2005/8/layout/hierarchy6"/>
    <dgm:cxn modelId="{FA2D6451-93BA-4DC4-9048-99BAD9B4939E}" srcId="{727D6EFC-A33F-4726-9757-499C2231CE7F}" destId="{57F45556-7EF5-4A7D-863B-9AF7DC74412C}" srcOrd="0" destOrd="0" parTransId="{E959CC49-4A52-46E8-8D33-BBBAF4F06999}" sibTransId="{2C8BC9F4-C867-4FBB-AAAC-13AECB218085}"/>
    <dgm:cxn modelId="{C50EC1F4-2824-49D8-B27A-BA3FB0121647}" srcId="{9A31B474-0B1F-4F43-A841-731ECF1F584A}" destId="{727D6EFC-A33F-4726-9757-499C2231CE7F}" srcOrd="0" destOrd="0" parTransId="{103B225E-D6C9-4705-BB99-32F4AE680BB5}" sibTransId="{B74F79BB-04BC-45F5-9F88-6E4F0A5F5993}"/>
    <dgm:cxn modelId="{B3E61010-0359-4A1C-8A58-3F4846C17F50}" srcId="{B44235B9-A951-48B9-9A26-8BE7B25B3475}" destId="{9A31B474-0B1F-4F43-A841-731ECF1F584A}" srcOrd="0" destOrd="0" parTransId="{522D8BB0-AD87-4E54-A059-BBF9A432E60D}" sibTransId="{47D104B6-255A-4003-865B-3979F2CD4279}"/>
    <dgm:cxn modelId="{1D3FDB3F-01EE-497B-987B-EB3C2EFE9AC4}" type="presOf" srcId="{727D6EFC-A33F-4726-9757-499C2231CE7F}" destId="{2E16C779-DBBE-4970-9997-B44EEC404AA0}"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D897FF31-A377-470D-8815-EA96E0F3DB7C}" srcId="{28403435-214C-4F97-8828-80AD252D4008}" destId="{250EB5D4-8F6C-4B93-AC7E-CE1EB01102D4}" srcOrd="0" destOrd="0" parTransId="{5FB32B43-0AD3-420E-8B59-939698D43B44}" sibTransId="{331E1360-67EC-486A-98E1-14BF87F4E51B}"/>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5E82DB0A-DE54-4AAB-84EA-C35208AF177A}" type="presParOf" srcId="{94213339-49CB-4392-8B02-EA023DE1F363}" destId="{6C092A9E-1328-4A3E-85A7-303B9A0C9ADA}" srcOrd="0" destOrd="0" presId="urn:microsoft.com/office/officeart/2005/8/layout/hierarchy6"/>
    <dgm:cxn modelId="{F7F84867-508E-429E-97BB-A48B78A4E253}" type="presParOf" srcId="{94213339-49CB-4392-8B02-EA023DE1F363}" destId="{FF20C64B-736D-4585-A56F-7F15E2AE3ECE}" srcOrd="1" destOrd="0" presId="urn:microsoft.com/office/officeart/2005/8/layout/hierarchy6"/>
    <dgm:cxn modelId="{4402AAD4-4A50-4335-AA0E-0770BD2E8328}" type="presParOf" srcId="{FF20C64B-736D-4585-A56F-7F15E2AE3ECE}" destId="{D5E2563B-B350-47B2-A59B-2EC96F13ABA7}" srcOrd="0" destOrd="0" presId="urn:microsoft.com/office/officeart/2005/8/layout/hierarchy6"/>
    <dgm:cxn modelId="{E31A4F7E-3C68-496D-903E-AC7F9981165E}" type="presParOf" srcId="{FF20C64B-736D-4585-A56F-7F15E2AE3ECE}" destId="{D5A009EF-4738-4B1C-BB70-EECF8BDF5444}" srcOrd="1" destOrd="0" presId="urn:microsoft.com/office/officeart/2005/8/layout/hierarchy6"/>
    <dgm:cxn modelId="{DE40BE99-1338-498D-ADA0-A1C8946AF00C}" type="presParOf" srcId="{D5A009EF-4738-4B1C-BB70-EECF8BDF5444}" destId="{21F4B7AA-C169-46C7-ABEF-1201F613F0CE}" srcOrd="0" destOrd="0" presId="urn:microsoft.com/office/officeart/2005/8/layout/hierarchy6"/>
    <dgm:cxn modelId="{C056E3D0-748C-41A9-99E7-06148E256F00}" type="presParOf" srcId="{D5A009EF-4738-4B1C-BB70-EECF8BDF5444}" destId="{86BEFE9C-F191-41E2-82CB-902ECAC5F3BE}" srcOrd="1" destOrd="0" presId="urn:microsoft.com/office/officeart/2005/8/layout/hierarchy6"/>
    <dgm:cxn modelId="{0428DCA2-80C5-4E28-9A74-D28674BB1EB1}" type="presParOf" srcId="{86BEFE9C-F191-41E2-82CB-902ECAC5F3BE}" destId="{2E16C779-DBBE-4970-9997-B44EEC404AA0}" srcOrd="0" destOrd="0" presId="urn:microsoft.com/office/officeart/2005/8/layout/hierarchy6"/>
    <dgm:cxn modelId="{1DC23C86-F9DC-4DD6-A451-4D5646890654}" type="presParOf" srcId="{86BEFE9C-F191-41E2-82CB-902ECAC5F3BE}" destId="{A565D82F-BC1F-4FF2-9185-192B754ECEDA}" srcOrd="1" destOrd="0" presId="urn:microsoft.com/office/officeart/2005/8/layout/hierarchy6"/>
    <dgm:cxn modelId="{FC6930F3-351A-4A3A-B555-481C814F0253}" type="presParOf" srcId="{A565D82F-BC1F-4FF2-9185-192B754ECEDA}" destId="{483B6033-5D08-4513-B0DF-A9C19C1B5510}" srcOrd="0" destOrd="0" presId="urn:microsoft.com/office/officeart/2005/8/layout/hierarchy6"/>
    <dgm:cxn modelId="{E4175B02-2C13-4091-9328-174FC9BF57A5}" type="presParOf" srcId="{A565D82F-BC1F-4FF2-9185-192B754ECEDA}" destId="{954ACB97-1738-4E39-B7F4-DB6B17D1087B}" srcOrd="1" destOrd="0" presId="urn:microsoft.com/office/officeart/2005/8/layout/hierarchy6"/>
    <dgm:cxn modelId="{79B5B5C1-FEE5-40D3-A247-4C58CD13CDF2}" type="presParOf" srcId="{954ACB97-1738-4E39-B7F4-DB6B17D1087B}" destId="{B0B51844-B4AB-4789-879A-799198C07970}" srcOrd="0" destOrd="0" presId="urn:microsoft.com/office/officeart/2005/8/layout/hierarchy6"/>
    <dgm:cxn modelId="{813BE8FA-F828-4730-AAF4-BF61D365BD92}" type="presParOf" srcId="{954ACB97-1738-4E39-B7F4-DB6B17D1087B}" destId="{F9FD22FC-0570-4B7F-A2F6-2A0FA0EA28D3}" srcOrd="1" destOrd="0" presId="urn:microsoft.com/office/officeart/2005/8/layout/hierarchy6"/>
    <dgm:cxn modelId="{046A1012-E00C-4144-99CC-C4F2E3DEEC4A}" type="presParOf" srcId="{F9FD22FC-0570-4B7F-A2F6-2A0FA0EA28D3}" destId="{929E6C34-BC14-45F2-B621-69AA8D114522}" srcOrd="0" destOrd="0" presId="urn:microsoft.com/office/officeart/2005/8/layout/hierarchy6"/>
    <dgm:cxn modelId="{BFED1FE8-47D7-4D4B-BA48-C1C321EE5EFE}" type="presParOf" srcId="{F9FD22FC-0570-4B7F-A2F6-2A0FA0EA28D3}" destId="{0EAC69A7-3918-4465-8A8A-7D3509A1B0F2}" srcOrd="1" destOrd="0" presId="urn:microsoft.com/office/officeart/2005/8/layout/hierarchy6"/>
    <dgm:cxn modelId="{A2F4CBB5-DCE8-4C57-A11A-2E12EBAB281B}" type="presParOf" srcId="{0EAC69A7-3918-4465-8A8A-7D3509A1B0F2}" destId="{DDB4A3C3-1EDA-4060-BE5A-3B9AAFA40A54}" srcOrd="0" destOrd="0" presId="urn:microsoft.com/office/officeart/2005/8/layout/hierarchy6"/>
    <dgm:cxn modelId="{4EC58B0A-2C7E-440C-B81F-4EF974F429F5}" type="presParOf" srcId="{0EAC69A7-3918-4465-8A8A-7D3509A1B0F2}" destId="{FF2209E9-CAE8-449C-ADBF-38506F9C7BBB}"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129709" y="76817"/>
          <a:ext cx="3521621" cy="744624"/>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Kult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ūros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62217" y="1119291"/>
          <a:ext cx="3456604" cy="41425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Stiprinti miesto kultūrinio gyvenimo aktyvumą</a:t>
          </a:r>
        </a:p>
      </dgm:t>
    </dgm:pt>
    <dgm:pt modelId="{54F15E63-7360-486C-8292-161DE48DC16C}" type="parTrans" cxnId="{2CDB50B2-2C38-43E0-BA0C-005F9EE890D7}">
      <dgm:prSet/>
      <dgm:spPr>
        <a:xfrm>
          <a:off x="2844800" y="821442"/>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179658" y="1831398"/>
          <a:ext cx="3421722" cy="43196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Išvystyti gyventojų poreikius atitinkančią kultūros įstaigų infrastruktūrą</a:t>
          </a:r>
        </a:p>
      </dgm:t>
    </dgm:pt>
    <dgm:pt modelId="{FFF57444-FBE2-43CC-AACF-1BC05443C1B6}" type="parTrans" cxnId="{83625DF2-8F7A-424A-ACA9-98C92EC77314}">
      <dgm:prSet/>
      <dgm:spPr>
        <a:xfrm>
          <a:off x="2844800" y="1533548"/>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32959" custScaleY="50551">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33767" custScaleY="44569" custLinFactNeighborX="-462" custLinFactNeighborY="-1454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35322" custScaleY="46254" custLinFactNeighborX="-208" custLinFactNeighborY="-3117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129709" y="76817"/>
          <a:ext cx="3521621" cy="744624"/>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 Aplinko</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apsaugos</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62217" y="1119291"/>
          <a:ext cx="3456604" cy="41425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Mažinti aplinkos taršą ir kurti miesto ekosistemą, siekiant didinti atsparumą klimato kaitos padariniams</a:t>
          </a:r>
        </a:p>
      </dgm:t>
    </dgm:pt>
    <dgm:pt modelId="{54F15E63-7360-486C-8292-161DE48DC16C}" type="parTrans" cxnId="{2CDB50B2-2C38-43E0-BA0C-005F9EE890D7}">
      <dgm:prSet/>
      <dgm:spPr>
        <a:xfrm>
          <a:off x="2844800" y="821442"/>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179658" y="1831398"/>
          <a:ext cx="3421722" cy="43196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Taikyti žiedinės ekonomikos principus komunalinių atliekų tvarkyme</a:t>
          </a:r>
        </a:p>
      </dgm:t>
    </dgm:pt>
    <dgm:pt modelId="{FFF57444-FBE2-43CC-AACF-1BC05443C1B6}" type="parTrans" cxnId="{83625DF2-8F7A-424A-ACA9-98C92EC77314}">
      <dgm:prSet/>
      <dgm:spPr>
        <a:xfrm>
          <a:off x="2844800" y="1533548"/>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289694" custScaleY="42186">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287720" custScaleY="55266" custLinFactNeighborX="397" custLinFactNeighborY="-20087"/>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286839" custScaleY="56329" custLinFactNeighborX="-794" custLinFactNeighborY="-4155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129709" y="76817"/>
          <a:ext cx="3521621" cy="744624"/>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Urbanistinės plėtros ir infrastruktūros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62217" y="1119291"/>
          <a:ext cx="3456604" cy="41425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Kompleksiškai planuoti gyvybingą ir nuoseklią miesto struktūrą</a:t>
          </a:r>
        </a:p>
      </dgm:t>
    </dgm:pt>
    <dgm:pt modelId="{54F15E63-7360-486C-8292-161DE48DC16C}" type="parTrans" cxnId="{2CDB50B2-2C38-43E0-BA0C-005F9EE890D7}">
      <dgm:prSet/>
      <dgm:spPr>
        <a:xfrm>
          <a:off x="2844800" y="821442"/>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179658" y="1831398"/>
          <a:ext cx="3421722" cy="43196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Formuoti darnias miesto jungtis, užtikrinančias tvarų ir saugų judėjimą mieste</a:t>
          </a:r>
        </a:p>
      </dgm:t>
    </dgm:pt>
    <dgm:pt modelId="{FFF57444-FBE2-43CC-AACF-1BC05443C1B6}" type="parTrans" cxnId="{83625DF2-8F7A-424A-ACA9-98C92EC77314}">
      <dgm:prSet/>
      <dgm:spPr>
        <a:xfrm>
          <a:off x="2844800" y="1533548"/>
          <a:ext cx="91440" cy="29784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C2AB856-DB94-4EC5-98D3-662F08BFC10B}">
      <dgm:prSet phldrT="[Tekstas]" custT="1">
        <dgm:style>
          <a:lnRef idx="1">
            <a:schemeClr val="accent4"/>
          </a:lnRef>
          <a:fillRef idx="2">
            <a:schemeClr val="accent4"/>
          </a:fillRef>
          <a:effectRef idx="1">
            <a:schemeClr val="accent4"/>
          </a:effectRef>
          <a:fontRef idx="minor">
            <a:schemeClr val="dk1"/>
          </a:fontRef>
        </dgm:style>
      </dgm:prSet>
      <dgm:spPr>
        <a:xfrm>
          <a:off x="1179658" y="1831398"/>
          <a:ext cx="3421722" cy="431963"/>
        </a:xfr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04-03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tvarią, kokybišką miesto infrastruktūros plėtrą</a:t>
          </a:r>
        </a:p>
      </dgm:t>
    </dgm:pt>
    <dgm:pt modelId="{A8DF7470-83D6-42B6-9020-E2719C1ADC2B}" type="parTrans" cxnId="{F1903317-50D5-4E5B-9E76-9C9A3BF69317}">
      <dgm:prSet/>
      <dgm:spPr/>
      <dgm:t>
        <a:bodyPr/>
        <a:lstStyle/>
        <a:p>
          <a:pPr algn="ctr"/>
          <a:endParaRPr lang="lt-LT"/>
        </a:p>
      </dgm:t>
    </dgm:pt>
    <dgm:pt modelId="{93B8FF45-C3B0-4959-85C0-8BD597FD120D}" type="sibTrans" cxnId="{F1903317-50D5-4E5B-9E76-9C9A3BF69317}">
      <dgm:prSet/>
      <dgm:spPr/>
      <dgm:t>
        <a:bodyPr/>
        <a:lstStyle/>
        <a:p>
          <a:pPr algn="ctr"/>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30078" custScaleY="57502">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31112" custScaleY="77234" custLinFactNeighborX="-1634" custLinFactNeighborY="-20729"/>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35322" custScaleY="72235" custLinFactNeighborY="-37327"/>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EB8C1BE1-EE28-4F7A-81A8-46FA4D4859F3}" type="pres">
      <dgm:prSet presAssocID="{A8DF7470-83D6-42B6-9020-E2719C1ADC2B}" presName="Name19" presStyleLbl="parChTrans1D4" presStyleIdx="0" presStyleCnt="1"/>
      <dgm:spPr/>
      <dgm:t>
        <a:bodyPr/>
        <a:lstStyle/>
        <a:p>
          <a:endParaRPr lang="en-US"/>
        </a:p>
      </dgm:t>
    </dgm:pt>
    <dgm:pt modelId="{9093F086-C34D-40BC-8818-1A51D9AFE78F}" type="pres">
      <dgm:prSet presAssocID="{CC2AB856-DB94-4EC5-98D3-662F08BFC10B}" presName="Name21" presStyleCnt="0"/>
      <dgm:spPr/>
    </dgm:pt>
    <dgm:pt modelId="{76B50CEB-4548-42CA-A41F-BA234841CAB1}" type="pres">
      <dgm:prSet presAssocID="{CC2AB856-DB94-4EC5-98D3-662F08BFC10B}" presName="level2Shape" presStyleLbl="node4" presStyleIdx="0" presStyleCnt="1" custScaleX="335787" custScaleY="71342" custLinFactNeighborX="1171" custLinFactNeighborY="-46671"/>
      <dgm:spPr>
        <a:prstGeom prst="roundRect">
          <a:avLst>
            <a:gd name="adj" fmla="val 10000"/>
          </a:avLst>
        </a:prstGeom>
      </dgm:spPr>
      <dgm:t>
        <a:bodyPr/>
        <a:lstStyle/>
        <a:p>
          <a:endParaRPr lang="en-US"/>
        </a:p>
      </dgm:t>
    </dgm:pt>
    <dgm:pt modelId="{43A3D13F-93B3-494F-9E58-AFBAD3AA16C2}" type="pres">
      <dgm:prSet presAssocID="{CC2AB856-DB94-4EC5-98D3-662F08BFC10B}" presName="hierChild3" presStyleCnt="0"/>
      <dgm:spPr/>
    </dgm:pt>
    <dgm:pt modelId="{020AA365-AFFF-409B-87BC-60EAB0D2E317}" type="pres">
      <dgm:prSet presAssocID="{28403435-214C-4F97-8828-80AD252D4008}" presName="bgShapesFlow" presStyleCnt="0"/>
      <dgm:spPr/>
    </dgm:pt>
  </dgm:ptLst>
  <dgm:cxnLst>
    <dgm:cxn modelId="{C564FF3E-7140-4BD0-93A6-1AE871245186}" type="presOf" srcId="{A8DF7470-83D6-42B6-9020-E2719C1ADC2B}" destId="{EB8C1BE1-EE28-4F7A-81A8-46FA4D4859F3}" srcOrd="0" destOrd="0" presId="urn:microsoft.com/office/officeart/2005/8/layout/hierarchy6"/>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4726B170-8BBC-4FA8-ABFF-6A61C51539FF}" type="presOf" srcId="{CC2AB856-DB94-4EC5-98D3-662F08BFC10B}" destId="{76B50CEB-4548-42CA-A41F-BA234841CAB1}"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F1903317-50D5-4E5B-9E76-9C9A3BF69317}" srcId="{B44235B9-A951-48B9-9A26-8BE7B25B3475}" destId="{CC2AB856-DB94-4EC5-98D3-662F08BFC10B}" srcOrd="0" destOrd="0" parTransId="{A8DF7470-83D6-42B6-9020-E2719C1ADC2B}" sibTransId="{93B8FF45-C3B0-4959-85C0-8BD597FD120D}"/>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5BC3DEF0-4F67-4666-94DA-1B74340AAAD1}" type="presParOf" srcId="{94213339-49CB-4392-8B02-EA023DE1F363}" destId="{EB8C1BE1-EE28-4F7A-81A8-46FA4D4859F3}" srcOrd="0" destOrd="0" presId="urn:microsoft.com/office/officeart/2005/8/layout/hierarchy6"/>
    <dgm:cxn modelId="{54FEF449-0837-4F22-98CD-1D1EE6B43010}" type="presParOf" srcId="{94213339-49CB-4392-8B02-EA023DE1F363}" destId="{9093F086-C34D-40BC-8818-1A51D9AFE78F}" srcOrd="1" destOrd="0" presId="urn:microsoft.com/office/officeart/2005/8/layout/hierarchy6"/>
    <dgm:cxn modelId="{980A5284-4FBF-4151-B6BF-385F18B70848}" type="presParOf" srcId="{9093F086-C34D-40BC-8818-1A51D9AFE78F}" destId="{76B50CEB-4548-42CA-A41F-BA234841CAB1}" srcOrd="0" destOrd="0" presId="urn:microsoft.com/office/officeart/2005/8/layout/hierarchy6"/>
    <dgm:cxn modelId="{2AF7D030-D18B-4088-9F20-0C2CE0C625B6}" type="presParOf" srcId="{9093F086-C34D-40BC-8818-1A51D9AFE78F}" destId="{43A3D13F-93B3-494F-9E58-AFBAD3AA16C2}"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Ekonominės plėtros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Pagerinti investicijų pritraukimo ir verslo plėtros sąlygas</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Stiprinti miesto patrauklumą plėtojant turizmo sektorių</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E71A891D-4F9A-4344-92B0-24E6136AA9A1}">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05-03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Didinti Šiaulių miesto žinomumą ir teigiamą įvaizdį, stiprinant miesto identitetą ir rinkodarą</a:t>
          </a:r>
        </a:p>
      </dgm:t>
    </dgm:pt>
    <dgm:pt modelId="{37DB9DAE-DC17-4358-B9FF-7037F05FE314}" type="parTrans" cxnId="{4B4E940E-B75F-4548-B977-BB759675BEBA}">
      <dgm:prSet/>
      <dgm:spPr>
        <a:ln>
          <a:solidFill>
            <a:schemeClr val="tx1"/>
          </a:solidFill>
        </a:ln>
      </dgm:spPr>
      <dgm:t>
        <a:bodyPr/>
        <a:lstStyle/>
        <a:p>
          <a:endParaRPr lang="lt-LT"/>
        </a:p>
      </dgm:t>
    </dgm:pt>
    <dgm:pt modelId="{BE2555B0-4898-4268-A896-BB0423670E1A}" type="sibTrans" cxnId="{4B4E940E-B75F-4548-B977-BB759675BEBA}">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89607" custScaleY="55992">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86820" custScaleY="102839" custLinFactNeighborX="-514" custLinFactNeighborY="-13095"/>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87856" custScaleY="108864" custLinFactNeighborX="513" custLinFactNeighborY="-2542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56F72623-BD55-4ABD-840B-ACAC67A712CF}" type="pres">
      <dgm:prSet presAssocID="{37DB9DAE-DC17-4358-B9FF-7037F05FE314}" presName="Name19" presStyleLbl="parChTrans1D4" presStyleIdx="0" presStyleCnt="1"/>
      <dgm:spPr/>
      <dgm:t>
        <a:bodyPr/>
        <a:lstStyle/>
        <a:p>
          <a:endParaRPr lang="en-US"/>
        </a:p>
      </dgm:t>
    </dgm:pt>
    <dgm:pt modelId="{B0FFD552-CB7D-4321-A996-220AE36876B6}" type="pres">
      <dgm:prSet presAssocID="{E71A891D-4F9A-4344-92B0-24E6136AA9A1}" presName="Name21" presStyleCnt="0"/>
      <dgm:spPr/>
    </dgm:pt>
    <dgm:pt modelId="{A67A15BA-B494-405F-AB66-0A0B44135E16}" type="pres">
      <dgm:prSet presAssocID="{E71A891D-4F9A-4344-92B0-24E6136AA9A1}" presName="level2Shape" presStyleLbl="node4" presStyleIdx="0" presStyleCnt="1" custScaleX="387848" custScaleY="66911" custLinFactNeighborX="0" custLinFactNeighborY="-33894"/>
      <dgm:spPr/>
      <dgm:t>
        <a:bodyPr/>
        <a:lstStyle/>
        <a:p>
          <a:endParaRPr lang="en-US"/>
        </a:p>
      </dgm:t>
    </dgm:pt>
    <dgm:pt modelId="{9AB87102-B1BE-400D-B4C0-0D107E375CC7}" type="pres">
      <dgm:prSet presAssocID="{E71A891D-4F9A-4344-92B0-24E6136AA9A1}" presName="hierChild3" presStyleCnt="0"/>
      <dgm:spPr/>
    </dgm:pt>
    <dgm:pt modelId="{020AA365-AFFF-409B-87BC-60EAB0D2E317}" type="pres">
      <dgm:prSet presAssocID="{28403435-214C-4F97-8828-80AD252D4008}" presName="bgShapesFlow" presStyleCnt="0"/>
      <dgm:spPr/>
    </dgm:pt>
  </dgm:ptLst>
  <dgm:cxnLst>
    <dgm:cxn modelId="{83625DF2-8F7A-424A-ACA9-98C92EC77314}" srcId="{85CFB2EA-96BE-47C5-ADB1-9C20CE151E1B}" destId="{B44235B9-A951-48B9-9A26-8BE7B25B3475}" srcOrd="0" destOrd="0" parTransId="{FFF57444-FBE2-43CC-AACF-1BC05443C1B6}" sibTransId="{3186DF3E-56A6-469F-BDAC-A18D6BB287A8}"/>
    <dgm:cxn modelId="{28F0B7F6-544F-4191-95C0-730F5D118445}" type="presOf" srcId="{B44235B9-A951-48B9-9A26-8BE7B25B3475}" destId="{AF2056C7-3053-4223-B15A-8F4EB886DCD7}"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AFF4DEC1-FC07-46AB-83E0-02DA06228303}" type="presOf" srcId="{FFF57444-FBE2-43CC-AACF-1BC05443C1B6}" destId="{52CF58CD-C886-418B-A813-E5A75317E1E5}"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D1EDE8D-F41D-4669-9070-1DF465EF05BB}" type="presOf" srcId="{85CFB2EA-96BE-47C5-ADB1-9C20CE151E1B}" destId="{6A9DD03D-7AEF-4163-9296-AD87FDBDC3B6}" srcOrd="0" destOrd="0" presId="urn:microsoft.com/office/officeart/2005/8/layout/hierarchy6"/>
    <dgm:cxn modelId="{6DCD3D21-14B7-4A90-A090-A149001D29E2}" type="presOf" srcId="{E71A891D-4F9A-4344-92B0-24E6136AA9A1}" destId="{A67A15BA-B494-405F-AB66-0A0B44135E16}" srcOrd="0" destOrd="0" presId="urn:microsoft.com/office/officeart/2005/8/layout/hierarchy6"/>
    <dgm:cxn modelId="{4B4E940E-B75F-4548-B977-BB759675BEBA}" srcId="{B44235B9-A951-48B9-9A26-8BE7B25B3475}" destId="{E71A891D-4F9A-4344-92B0-24E6136AA9A1}" srcOrd="0" destOrd="0" parTransId="{37DB9DAE-DC17-4358-B9FF-7037F05FE314}" sibTransId="{BE2555B0-4898-4268-A896-BB0423670E1A}"/>
    <dgm:cxn modelId="{5EB9F496-E816-40BD-9513-ABA4541C2350}" type="presOf" srcId="{250EB5D4-8F6C-4B93-AC7E-CE1EB01102D4}" destId="{64E17BAB-BF4E-47B9-AF08-42A0178ABD8D}"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9D190226-F2FB-4417-8420-D20942E525B2}" type="presOf" srcId="{37DB9DAE-DC17-4358-B9FF-7037F05FE314}" destId="{56F72623-BD55-4ABD-840B-ACAC67A712CF}"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438BFC49-336D-4DB7-8213-DBD5271B887E}" type="presParOf" srcId="{94213339-49CB-4392-8B02-EA023DE1F363}" destId="{56F72623-BD55-4ABD-840B-ACAC67A712CF}" srcOrd="0" destOrd="0" presId="urn:microsoft.com/office/officeart/2005/8/layout/hierarchy6"/>
    <dgm:cxn modelId="{F4A1C961-803D-4583-8FFF-880C67120D9B}" type="presParOf" srcId="{94213339-49CB-4392-8B02-EA023DE1F363}" destId="{B0FFD552-CB7D-4321-A996-220AE36876B6}" srcOrd="1" destOrd="0" presId="urn:microsoft.com/office/officeart/2005/8/layout/hierarchy6"/>
    <dgm:cxn modelId="{BFE9CFC2-626A-4EAE-B9F3-AC0A80C6D5E6}" type="presParOf" srcId="{B0FFD552-CB7D-4321-A996-220AE36876B6}" destId="{A67A15BA-B494-405F-AB66-0A0B44135E16}" srcOrd="0" destOrd="0" presId="urn:microsoft.com/office/officeart/2005/8/layout/hierarchy6"/>
    <dgm:cxn modelId="{7702EB9F-8808-4358-A22D-428AFC8C2DF9}" type="presParOf" srcId="{B0FFD552-CB7D-4321-A996-220AE36876B6}" destId="{9AB87102-B1BE-400D-B4C0-0D107E375CC7}"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Socialinės apsaugos</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nuoseklų ir efektyvų socialinių paslaugų teikimą </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Užtikrinti socialinių paslaugų prieinamumą ir kokybę, plečiant, atnaujinant ir modernizuojant socialinių paslaugų infrastruktūrą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F0FBDF6D-7E83-499A-B9D9-521D01B78D5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06-03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valstybės garantuotos piniginės socialinės paramos teikimą</a:t>
          </a:r>
        </a:p>
      </dgm:t>
    </dgm:pt>
    <dgm:pt modelId="{59D521C6-F083-4BC0-A7F6-342A9687C9E3}" type="parTrans" cxnId="{00429C0C-DFF0-43B5-92FE-06DD6EBA763D}">
      <dgm:prSet/>
      <dgm:spPr/>
      <dgm:t>
        <a:bodyPr/>
        <a:lstStyle/>
        <a:p>
          <a:endParaRPr lang="lt-LT"/>
        </a:p>
      </dgm:t>
    </dgm:pt>
    <dgm:pt modelId="{DE5516E2-D619-4D27-A0B7-645C372429FF}" type="sibTrans" cxnId="{00429C0C-DFF0-43B5-92FE-06DD6EBA763D}">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20088" custScaleY="42306">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19321" custScaleY="55633" custLinFactNeighborX="84" custLinFactNeighborY="-15735"/>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20501" custScaleY="58011" custLinFactNeighborX="4472" custLinFactNeighborY="-34464"/>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2C6ED3A3-AD19-4D86-A219-39F1CA7FC4C5}" type="pres">
      <dgm:prSet presAssocID="{59D521C6-F083-4BC0-A7F6-342A9687C9E3}" presName="Name19" presStyleLbl="parChTrans1D4" presStyleIdx="0" presStyleCnt="1"/>
      <dgm:spPr/>
      <dgm:t>
        <a:bodyPr/>
        <a:lstStyle/>
        <a:p>
          <a:endParaRPr lang="en-US"/>
        </a:p>
      </dgm:t>
    </dgm:pt>
    <dgm:pt modelId="{FF4229A5-A17B-4113-BC51-EFEE3D89A355}" type="pres">
      <dgm:prSet presAssocID="{F0FBDF6D-7E83-499A-B9D9-521D01B78D53}" presName="Name21" presStyleCnt="0"/>
      <dgm:spPr/>
    </dgm:pt>
    <dgm:pt modelId="{C72A3AB8-5BAB-46C2-A846-F30A81044E38}" type="pres">
      <dgm:prSet presAssocID="{F0FBDF6D-7E83-499A-B9D9-521D01B78D53}" presName="level2Shape" presStyleLbl="node4" presStyleIdx="0" presStyleCnt="1" custScaleX="320721" custScaleY="76339" custLinFactNeighborX="1622" custLinFactNeighborY="-51731"/>
      <dgm:spPr/>
      <dgm:t>
        <a:bodyPr/>
        <a:lstStyle/>
        <a:p>
          <a:endParaRPr lang="en-US"/>
        </a:p>
      </dgm:t>
    </dgm:pt>
    <dgm:pt modelId="{16278C73-5937-4DED-8C43-F56CED655E5F}" type="pres">
      <dgm:prSet presAssocID="{F0FBDF6D-7E83-499A-B9D9-521D01B78D53}"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00429C0C-DFF0-43B5-92FE-06DD6EBA763D}" srcId="{B44235B9-A951-48B9-9A26-8BE7B25B3475}" destId="{F0FBDF6D-7E83-499A-B9D9-521D01B78D53}" srcOrd="0" destOrd="0" parTransId="{59D521C6-F083-4BC0-A7F6-342A9687C9E3}" sibTransId="{DE5516E2-D619-4D27-A0B7-645C372429FF}"/>
    <dgm:cxn modelId="{D4E407B1-359B-4385-90CC-818153C717D6}" type="presOf" srcId="{F0FBDF6D-7E83-499A-B9D9-521D01B78D53}" destId="{C72A3AB8-5BAB-46C2-A846-F30A81044E38}"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BACD07DA-B28A-400D-AB08-744AE29B9E30}" type="presOf" srcId="{59D521C6-F083-4BC0-A7F6-342A9687C9E3}" destId="{2C6ED3A3-AD19-4D86-A219-39F1CA7FC4C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C92427D9-7A4D-4AA0-AE04-E115E3457E15}" type="presParOf" srcId="{94213339-49CB-4392-8B02-EA023DE1F363}" destId="{2C6ED3A3-AD19-4D86-A219-39F1CA7FC4C5}" srcOrd="0" destOrd="0" presId="urn:microsoft.com/office/officeart/2005/8/layout/hierarchy6"/>
    <dgm:cxn modelId="{8B76C97F-F847-421E-972D-86C05157A3F2}" type="presParOf" srcId="{94213339-49CB-4392-8B02-EA023DE1F363}" destId="{FF4229A5-A17B-4113-BC51-EFEE3D89A355}" srcOrd="1" destOrd="0" presId="urn:microsoft.com/office/officeart/2005/8/layout/hierarchy6"/>
    <dgm:cxn modelId="{203210AD-7F0C-4BF0-A853-5440B9DC947D}" type="presParOf" srcId="{FF4229A5-A17B-4113-BC51-EFEE3D89A355}" destId="{C72A3AB8-5BAB-46C2-A846-F30A81044E38}" srcOrd="0" destOrd="0" presId="urn:microsoft.com/office/officeart/2005/8/layout/hierarchy6"/>
    <dgm:cxn modelId="{CEADE4A5-3FC6-43A0-9609-FFDD83D9DBF2}" type="presParOf" srcId="{FF4229A5-A17B-4113-BC51-EFEE3D89A355}" destId="{16278C73-5937-4DED-8C43-F56CED655E5F}"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5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Sporto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Skatinti gyventojų fizinio aktyvumo veiklas ir plėtoti aukšto meistriškumo sportininkų rengimo sistemą</a:t>
          </a: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Išvystyti gyventojų poreikius atitinkančią sporto ir fizinio aktyvumo infrastruktūrą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custScaleY="52824">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15562" custScaleY="55633" custLinFactNeighborX="383" custLinFactNeighborY="-17703"/>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15562" custScaleY="58011" custLinFactNeighborX="0" custLinFactNeighborY="-3714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5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Švietimo</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nuoseklų ir efektyvų socialinių paslaugų teikimą, plėtoti inovatyvią švietimo sistemą, ugdančią aktyvią ir kūrybingą asmenybę  </a:t>
          </a:r>
        </a:p>
      </dgm:t>
    </dgm:pt>
    <dgm:pt modelId="{54F15E63-7360-486C-8292-161DE48DC16C}" type="parTrans" cxnId="{2CDB50B2-2C38-43E0-BA0C-005F9EE890D7}">
      <dgm:prSet/>
      <dgm:spPr>
        <a:xfrm>
          <a:off x="2924175" y="639636"/>
          <a:ext cx="91440" cy="230933"/>
        </a:xfrm>
        <a:noFill/>
        <a:ln w="127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Užtikrinti švietimo paslaugų prieinamumą ir kokybę, gerinant ugdymo (-si) aplinką</a:t>
          </a:r>
        </a:p>
      </dgm:t>
    </dgm:pt>
    <dgm:pt modelId="{FFF57444-FBE2-43CC-AACF-1BC05443C1B6}" type="parTrans" cxnId="{83625DF2-8F7A-424A-ACA9-98C92EC77314}">
      <dgm:prSet/>
      <dgm:spPr>
        <a:xfrm>
          <a:off x="2924175" y="1191756"/>
          <a:ext cx="91440" cy="230933"/>
        </a:xfrm>
        <a:noFill/>
        <a:ln w="127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F0FBDF6D-7E83-499A-B9D9-521D01B78D5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08-03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Sudaryti sąlygas jaunimo savirealizacijai jų poreikiams pritaikytoje aplinkoje</a:t>
          </a:r>
        </a:p>
      </dgm:t>
    </dgm:pt>
    <dgm:pt modelId="{59D521C6-F083-4BC0-A7F6-342A9687C9E3}" type="parTrans" cxnId="{00429C0C-DFF0-43B5-92FE-06DD6EBA763D}">
      <dgm:prSet/>
      <dgm:spPr/>
      <dgm:t>
        <a:bodyPr/>
        <a:lstStyle/>
        <a:p>
          <a:endParaRPr lang="lt-LT"/>
        </a:p>
      </dgm:t>
    </dgm:pt>
    <dgm:pt modelId="{DE5516E2-D619-4D27-A0B7-645C372429FF}" type="sibTrans" cxnId="{00429C0C-DFF0-43B5-92FE-06DD6EBA763D}">
      <dgm:prSet/>
      <dgm:spPr/>
      <dgm:t>
        <a:bodyPr/>
        <a:lstStyle/>
        <a:p>
          <a:endParaRPr lang="lt-LT"/>
        </a:p>
      </dgm:t>
    </dgm:pt>
    <dgm:pt modelId="{9DBEBBCE-93A5-4241-BAFA-D5E10EC2B967}">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08-04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Sudaryti sąlygas kokybiškam ugdymo procesui</a:t>
          </a:r>
        </a:p>
      </dgm:t>
    </dgm:pt>
    <dgm:pt modelId="{8CF53554-0CDE-4AF4-809F-35EC787FF8A0}" type="parTrans" cxnId="{2E6610BA-1495-4E57-A875-484CF0E86BD3}">
      <dgm:prSet/>
      <dgm:spPr>
        <a:ln>
          <a:solidFill>
            <a:schemeClr val="tx1"/>
          </a:solidFill>
        </a:ln>
      </dgm:spPr>
      <dgm:t>
        <a:bodyPr/>
        <a:lstStyle/>
        <a:p>
          <a:endParaRPr lang="lt-LT"/>
        </a:p>
      </dgm:t>
    </dgm:pt>
    <dgm:pt modelId="{D010F431-4D6A-417E-A10A-2138718AEE2C}" type="sibTrans" cxnId="{2E6610BA-1495-4E57-A875-484CF0E86BD3}">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02892" custScaleY="6370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2248" custScaleY="77959" custLinFactNeighborX="876" custLinFactNeighborY="-17634"/>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3858" custScaleY="47709" custLinFactNeighborX="4014" custLinFactNeighborY="-36582"/>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2C6ED3A3-AD19-4D86-A219-39F1CA7FC4C5}" type="pres">
      <dgm:prSet presAssocID="{59D521C6-F083-4BC0-A7F6-342A9687C9E3}" presName="Name19" presStyleLbl="parChTrans1D4" presStyleIdx="0" presStyleCnt="2"/>
      <dgm:spPr/>
      <dgm:t>
        <a:bodyPr/>
        <a:lstStyle/>
        <a:p>
          <a:endParaRPr lang="en-US"/>
        </a:p>
      </dgm:t>
    </dgm:pt>
    <dgm:pt modelId="{FF4229A5-A17B-4113-BC51-EFEE3D89A355}" type="pres">
      <dgm:prSet presAssocID="{F0FBDF6D-7E83-499A-B9D9-521D01B78D53}" presName="Name21" presStyleCnt="0"/>
      <dgm:spPr/>
    </dgm:pt>
    <dgm:pt modelId="{C72A3AB8-5BAB-46C2-A846-F30A81044E38}" type="pres">
      <dgm:prSet presAssocID="{F0FBDF6D-7E83-499A-B9D9-521D01B78D53}" presName="level2Shape" presStyleLbl="node4" presStyleIdx="0" presStyleCnt="2" custScaleX="303123" custScaleY="48164" custLinFactNeighborX="377" custLinFactNeighborY="-29312"/>
      <dgm:spPr/>
      <dgm:t>
        <a:bodyPr/>
        <a:lstStyle/>
        <a:p>
          <a:endParaRPr lang="en-US"/>
        </a:p>
      </dgm:t>
    </dgm:pt>
    <dgm:pt modelId="{16278C73-5937-4DED-8C43-F56CED655E5F}" type="pres">
      <dgm:prSet presAssocID="{F0FBDF6D-7E83-499A-B9D9-521D01B78D53}" presName="hierChild3" presStyleCnt="0"/>
      <dgm:spPr/>
    </dgm:pt>
    <dgm:pt modelId="{A5FCC667-452A-4C59-AFAB-5B560C1E65A2}" type="pres">
      <dgm:prSet presAssocID="{8CF53554-0CDE-4AF4-809F-35EC787FF8A0}" presName="Name19" presStyleLbl="parChTrans1D4" presStyleIdx="1" presStyleCnt="2"/>
      <dgm:spPr/>
      <dgm:t>
        <a:bodyPr/>
        <a:lstStyle/>
        <a:p>
          <a:endParaRPr lang="en-US"/>
        </a:p>
      </dgm:t>
    </dgm:pt>
    <dgm:pt modelId="{361DB519-5775-4413-BF9F-89DD9BB8590B}" type="pres">
      <dgm:prSet presAssocID="{9DBEBBCE-93A5-4241-BAFA-D5E10EC2B967}" presName="Name21" presStyleCnt="0"/>
      <dgm:spPr/>
    </dgm:pt>
    <dgm:pt modelId="{F4029813-ED49-4CA5-905F-AA38FBCAAC44}" type="pres">
      <dgm:prSet presAssocID="{9DBEBBCE-93A5-4241-BAFA-D5E10EC2B967}" presName="level2Shape" presStyleLbl="node4" presStyleIdx="1" presStyleCnt="2" custScaleX="303570" custScaleY="65151" custLinFactNeighborX="1741" custLinFactNeighborY="-37508"/>
      <dgm:spPr/>
      <dgm:t>
        <a:bodyPr/>
        <a:lstStyle/>
        <a:p>
          <a:endParaRPr lang="en-US"/>
        </a:p>
      </dgm:t>
    </dgm:pt>
    <dgm:pt modelId="{41B29261-EBB6-4FE8-8C79-A7CE537C9555}" type="pres">
      <dgm:prSet presAssocID="{9DBEBBCE-93A5-4241-BAFA-D5E10EC2B967}"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5B4B5E55-F6ED-40D4-90D3-1DA40F37F921}" type="presOf" srcId="{9DBEBBCE-93A5-4241-BAFA-D5E10EC2B967}" destId="{F4029813-ED49-4CA5-905F-AA38FBCAAC44}" srcOrd="0" destOrd="0" presId="urn:microsoft.com/office/officeart/2005/8/layout/hierarchy6"/>
    <dgm:cxn modelId="{00429C0C-DFF0-43B5-92FE-06DD6EBA763D}" srcId="{B44235B9-A951-48B9-9A26-8BE7B25B3475}" destId="{F0FBDF6D-7E83-499A-B9D9-521D01B78D53}" srcOrd="0" destOrd="0" parTransId="{59D521C6-F083-4BC0-A7F6-342A9687C9E3}" sibTransId="{DE5516E2-D619-4D27-A0B7-645C372429FF}"/>
    <dgm:cxn modelId="{D4E407B1-359B-4385-90CC-818153C717D6}" type="presOf" srcId="{F0FBDF6D-7E83-499A-B9D9-521D01B78D53}" destId="{C72A3AB8-5BAB-46C2-A846-F30A81044E38}"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BACD07DA-B28A-400D-AB08-744AE29B9E30}" type="presOf" srcId="{59D521C6-F083-4BC0-A7F6-342A9687C9E3}" destId="{2C6ED3A3-AD19-4D86-A219-39F1CA7FC4C5}" srcOrd="0" destOrd="0" presId="urn:microsoft.com/office/officeart/2005/8/layout/hierarchy6"/>
    <dgm:cxn modelId="{2E6610BA-1495-4E57-A875-484CF0E86BD3}" srcId="{F0FBDF6D-7E83-499A-B9D9-521D01B78D53}" destId="{9DBEBBCE-93A5-4241-BAFA-D5E10EC2B967}" srcOrd="0" destOrd="0" parTransId="{8CF53554-0CDE-4AF4-809F-35EC787FF8A0}" sibTransId="{D010F431-4D6A-417E-A10A-2138718AEE2C}"/>
    <dgm:cxn modelId="{F293D822-13E2-4FEC-89A4-4F0AB0907FAD}" type="presOf" srcId="{8CF53554-0CDE-4AF4-809F-35EC787FF8A0}" destId="{A5FCC667-452A-4C59-AFAB-5B560C1E65A2}"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C92427D9-7A4D-4AA0-AE04-E115E3457E15}" type="presParOf" srcId="{94213339-49CB-4392-8B02-EA023DE1F363}" destId="{2C6ED3A3-AD19-4D86-A219-39F1CA7FC4C5}" srcOrd="0" destOrd="0" presId="urn:microsoft.com/office/officeart/2005/8/layout/hierarchy6"/>
    <dgm:cxn modelId="{8B76C97F-F847-421E-972D-86C05157A3F2}" type="presParOf" srcId="{94213339-49CB-4392-8B02-EA023DE1F363}" destId="{FF4229A5-A17B-4113-BC51-EFEE3D89A355}" srcOrd="1" destOrd="0" presId="urn:microsoft.com/office/officeart/2005/8/layout/hierarchy6"/>
    <dgm:cxn modelId="{203210AD-7F0C-4BF0-A853-5440B9DC947D}" type="presParOf" srcId="{FF4229A5-A17B-4113-BC51-EFEE3D89A355}" destId="{C72A3AB8-5BAB-46C2-A846-F30A81044E38}" srcOrd="0" destOrd="0" presId="urn:microsoft.com/office/officeart/2005/8/layout/hierarchy6"/>
    <dgm:cxn modelId="{CEADE4A5-3FC6-43A0-9609-FFDD83D9DBF2}" type="presParOf" srcId="{FF4229A5-A17B-4113-BC51-EFEE3D89A355}" destId="{16278C73-5937-4DED-8C43-F56CED655E5F}" srcOrd="1" destOrd="0" presId="urn:microsoft.com/office/officeart/2005/8/layout/hierarchy6"/>
    <dgm:cxn modelId="{6FC7EAC6-C025-4FD1-8DD9-3C400D81C299}" type="presParOf" srcId="{16278C73-5937-4DED-8C43-F56CED655E5F}" destId="{A5FCC667-452A-4C59-AFAB-5B560C1E65A2}" srcOrd="0" destOrd="0" presId="urn:microsoft.com/office/officeart/2005/8/layout/hierarchy6"/>
    <dgm:cxn modelId="{7401AC15-07E0-4CB8-806A-232187BC9AE6}" type="presParOf" srcId="{16278C73-5937-4DED-8C43-F56CED655E5F}" destId="{361DB519-5775-4413-BF9F-89DD9BB8590B}" srcOrd="1" destOrd="0" presId="urn:microsoft.com/office/officeart/2005/8/layout/hierarchy6"/>
    <dgm:cxn modelId="{C26CB85C-BD2C-4C68-9A95-B1BBF076DEC2}" type="presParOf" srcId="{361DB519-5775-4413-BF9F-89DD9BB8590B}" destId="{F4029813-ED49-4CA5-905F-AA38FBCAAC44}" srcOrd="0" destOrd="0" presId="urn:microsoft.com/office/officeart/2005/8/layout/hierarchy6"/>
    <dgm:cxn modelId="{7F8C9A71-A5A1-423F-8A32-105CB05D2296}" type="presParOf" srcId="{361DB519-5775-4413-BF9F-89DD9BB8590B}" destId="{41B29261-EBB6-4FE8-8C79-A7CE537C9555}"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6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129709" y="76817"/>
          <a:ext cx="3521621" cy="744624"/>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 Sveikatos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62217" y="1119291"/>
          <a:ext cx="3456604" cy="41425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9-01 Plėtoti asmens ir visuomenės sveikatos priežiūros paslaugas, ugdyti visuomenės poreikį sveikai gyventi </a:t>
          </a:r>
        </a:p>
      </dgm:t>
    </dgm:pt>
    <dgm:pt modelId="{54F15E63-7360-486C-8292-161DE48DC16C}" type="parTrans" cxnId="{2CDB50B2-2C38-43E0-BA0C-005F9EE890D7}">
      <dgm:prSet/>
      <dgm:spPr>
        <a:xfrm>
          <a:off x="2844800" y="821442"/>
          <a:ext cx="91440" cy="297849"/>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179658" y="1831398"/>
          <a:ext cx="3421722" cy="43196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9-02 Užtikrinti asmens sveikatos priežiūros paslaugų prieinamumą ir kokybę, atnaujinant esamą bei įrengiant naują infrastruktūrą</a:t>
          </a:r>
        </a:p>
      </dgm:t>
    </dgm:pt>
    <dgm:pt modelId="{FFF57444-FBE2-43CC-AACF-1BC05443C1B6}" type="parTrans" cxnId="{83625DF2-8F7A-424A-ACA9-98C92EC77314}">
      <dgm:prSet/>
      <dgm:spPr>
        <a:xfrm>
          <a:off x="2844800" y="1533548"/>
          <a:ext cx="91440" cy="297849"/>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85269" custScaleY="61332">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85687" custScaleY="48784" custLinFactNeighborX="-990" custLinFactNeighborY="-16488"/>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85687" custScaleY="51426" custLinFactNeighborX="-990" custLinFactNeighborY="-35344"/>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DD1EDE8D-F41D-4669-9070-1DF465EF05BB}" type="presOf" srcId="{85CFB2EA-96BE-47C5-ADB1-9C20CE151E1B}" destId="{6A9DD03D-7AEF-4163-9296-AD87FDBDC3B6}" srcOrd="0" destOrd="0" presId="urn:microsoft.com/office/officeart/2005/8/layout/hierarchy6"/>
    <dgm:cxn modelId="{BC5E4C74-95D9-4F3A-86A1-E79F0BDE43BD}" type="presOf" srcId="{54F15E63-7360-486C-8292-161DE48DC16C}" destId="{97FAFB0D-147E-4DF7-B3CC-F7EC615FFE66}"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28F0B7F6-544F-4191-95C0-730F5D118445}" type="presOf" srcId="{B44235B9-A951-48B9-9A26-8BE7B25B3475}" destId="{AF2056C7-3053-4223-B15A-8F4EB886DCD7}"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D897FF31-A377-470D-8815-EA96E0F3DB7C}" srcId="{28403435-214C-4F97-8828-80AD252D4008}" destId="{250EB5D4-8F6C-4B93-AC7E-CE1EB01102D4}" srcOrd="0" destOrd="0" parTransId="{5FB32B43-0AD3-420E-8B59-939698D43B44}" sibTransId="{331E1360-67EC-486A-98E1-14BF87F4E51B}"/>
    <dgm:cxn modelId="{83625DF2-8F7A-424A-ACA9-98C92EC77314}" srcId="{85CFB2EA-96BE-47C5-ADB1-9C20CE151E1B}" destId="{B44235B9-A951-48B9-9A26-8BE7B25B3475}" srcOrd="0" destOrd="0" parTransId="{FFF57444-FBE2-43CC-AACF-1BC05443C1B6}" sibTransId="{3186DF3E-56A6-469F-BDAC-A18D6BB287A8}"/>
    <dgm:cxn modelId="{AFF4DEC1-FC07-46AB-83E0-02DA06228303}" type="presOf" srcId="{FFF57444-FBE2-43CC-AACF-1BC05443C1B6}" destId="{52CF58CD-C886-418B-A813-E5A75317E1E5}"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ADE095C9-49CC-4E0F-BAB9-BAB873294D0A}" type="presParOf" srcId="{E0CF7673-AF79-474A-B95F-A73054689AFE}" destId="{97FAFB0D-147E-4DF7-B3CC-F7EC615FFE66}" srcOrd="0" destOrd="0" presId="urn:microsoft.com/office/officeart/2005/8/layout/hierarchy6"/>
    <dgm:cxn modelId="{1761459C-9F91-4F73-91E8-3D1F850B9084}" type="presParOf" srcId="{E0CF7673-AF79-474A-B95F-A73054689AFE}" destId="{E47A1ABC-9372-4B4F-A8F5-C34BE5C0FDFF}" srcOrd="1" destOrd="0" presId="urn:microsoft.com/office/officeart/2005/8/layout/hierarchy6"/>
    <dgm:cxn modelId="{12B03E62-B6B7-49B3-9120-81C40F923FEE}" type="presParOf" srcId="{E47A1ABC-9372-4B4F-A8F5-C34BE5C0FDFF}" destId="{6A9DD03D-7AEF-4163-9296-AD87FDBDC3B6}" srcOrd="0" destOrd="0" presId="urn:microsoft.com/office/officeart/2005/8/layout/hierarchy6"/>
    <dgm:cxn modelId="{7160C3D3-C3AB-44CF-8C50-367BA833D77A}" type="presParOf" srcId="{E47A1ABC-9372-4B4F-A8F5-C34BE5C0FDFF}" destId="{0E37E42B-AD42-4331-A76C-ABD079F2C590}" srcOrd="1" destOrd="0" presId="urn:microsoft.com/office/officeart/2005/8/layout/hierarchy6"/>
    <dgm:cxn modelId="{9DD6EB69-B54B-4A96-9C98-A6523F72D616}" type="presParOf" srcId="{0E37E42B-AD42-4331-A76C-ABD079F2C590}" destId="{52CF58CD-C886-418B-A813-E5A75317E1E5}" srcOrd="0" destOrd="0" presId="urn:microsoft.com/office/officeart/2005/8/layout/hierarchy6"/>
    <dgm:cxn modelId="{76222D25-A51D-424B-977C-7CE45DBD9873}" type="presParOf" srcId="{0E37E42B-AD42-4331-A76C-ABD079F2C590}" destId="{05372EE3-2CDE-4AE3-98C0-C1A47CC524D6}" srcOrd="1" destOrd="0" presId="urn:microsoft.com/office/officeart/2005/8/layout/hierarchy6"/>
    <dgm:cxn modelId="{7283BEA5-A9CC-4AAB-B8A0-9F5BE1075C4E}" type="presParOf" srcId="{05372EE3-2CDE-4AE3-98C0-C1A47CC524D6}" destId="{AF2056C7-3053-4223-B15A-8F4EB886DCD7}" srcOrd="0" destOrd="0" presId="urn:microsoft.com/office/officeart/2005/8/layout/hierarchy6"/>
    <dgm:cxn modelId="{6DF3631B-A604-4077-8F99-274D76C85DB5}" type="presParOf" srcId="{05372EE3-2CDE-4AE3-98C0-C1A47CC524D6}" destId="{94213339-49CB-4392-8B02-EA023DE1F363}"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7846" y="133465"/>
          <a:ext cx="6076496" cy="537839"/>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Savivaldyb</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ės valdymo programa</a:t>
          </a:r>
        </a:p>
      </dsp:txBody>
      <dsp:txXfrm>
        <a:off x="23599" y="149218"/>
        <a:ext cx="6044990" cy="506333"/>
      </dsp:txXfrm>
    </dsp:sp>
    <dsp:sp modelId="{97FAFB0D-147E-4DF7-B3CC-F7EC615FFE66}">
      <dsp:nvSpPr>
        <dsp:cNvPr id="0" name=""/>
        <dsp:cNvSpPr/>
      </dsp:nvSpPr>
      <dsp:spPr>
        <a:xfrm>
          <a:off x="2992429" y="671305"/>
          <a:ext cx="91440" cy="275924"/>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843" y="947229"/>
          <a:ext cx="6042612" cy="579892"/>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veiklos valdymą ir efektyviai išnaudoti pažangius skaitmeninius sprendimus teikiant paslaugas</a:t>
          </a:r>
        </a:p>
      </dsp:txBody>
      <dsp:txXfrm>
        <a:off x="33827" y="964213"/>
        <a:ext cx="6008644" cy="545924"/>
      </dsp:txXfrm>
    </dsp:sp>
    <dsp:sp modelId="{52CF58CD-C886-418B-A813-E5A75317E1E5}">
      <dsp:nvSpPr>
        <dsp:cNvPr id="0" name=""/>
        <dsp:cNvSpPr/>
      </dsp:nvSpPr>
      <dsp:spPr>
        <a:xfrm>
          <a:off x="2992429" y="1527121"/>
          <a:ext cx="91440" cy="29182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0" y="1818945"/>
          <a:ext cx="6077652" cy="520738"/>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įtraukų bendradarbiavimą su visuomene ir suinteresuotomis šalimis</a:t>
          </a:r>
        </a:p>
      </dsp:txBody>
      <dsp:txXfrm>
        <a:off x="15252" y="1834197"/>
        <a:ext cx="6047148" cy="490234"/>
      </dsp:txXfrm>
    </dsp:sp>
    <dsp:sp modelId="{6C092A9E-1328-4A3E-85A7-303B9A0C9ADA}">
      <dsp:nvSpPr>
        <dsp:cNvPr id="0" name=""/>
        <dsp:cNvSpPr/>
      </dsp:nvSpPr>
      <dsp:spPr>
        <a:xfrm>
          <a:off x="2993106" y="2339683"/>
          <a:ext cx="91440" cy="426992"/>
        </a:xfrm>
        <a:custGeom>
          <a:avLst/>
          <a:gdLst/>
          <a:ahLst/>
          <a:cxnLst/>
          <a:rect l="0" t="0" r="0" b="0"/>
          <a:pathLst>
            <a:path>
              <a:moveTo>
                <a:pt x="45720" y="0"/>
              </a:moveTo>
              <a:lnTo>
                <a:pt x="45720" y="213496"/>
              </a:lnTo>
              <a:lnTo>
                <a:pt x="52988" y="213496"/>
              </a:lnTo>
              <a:lnTo>
                <a:pt x="52988" y="426992"/>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D5E2563B-B350-47B2-A59B-2EC96F13ABA7}">
      <dsp:nvSpPr>
        <dsp:cNvPr id="0" name=""/>
        <dsp:cNvSpPr/>
      </dsp:nvSpPr>
      <dsp:spPr>
        <a:xfrm>
          <a:off x="29121" y="2766676"/>
          <a:ext cx="6033946" cy="47346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1-03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Organizuoti  Savivaldybės veiklos funkcijų įgyvendinimą</a:t>
          </a:r>
        </a:p>
      </dsp:txBody>
      <dsp:txXfrm>
        <a:off x="42988" y="2780543"/>
        <a:ext cx="6006212" cy="445729"/>
      </dsp:txXfrm>
    </dsp:sp>
    <dsp:sp modelId="{21F4B7AA-C169-46C7-ABEF-1201F613F0CE}">
      <dsp:nvSpPr>
        <dsp:cNvPr id="0" name=""/>
        <dsp:cNvSpPr/>
      </dsp:nvSpPr>
      <dsp:spPr>
        <a:xfrm>
          <a:off x="3000375" y="3240139"/>
          <a:ext cx="91440" cy="331580"/>
        </a:xfrm>
        <a:custGeom>
          <a:avLst/>
          <a:gdLst/>
          <a:ahLst/>
          <a:cxnLst/>
          <a:rect l="0" t="0" r="0" b="0"/>
          <a:pathLst>
            <a:path>
              <a:moveTo>
                <a:pt x="45720" y="0"/>
              </a:moveTo>
              <a:lnTo>
                <a:pt x="45720" y="3315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E16C779-DBBE-4970-9997-B44EEC404AA0}">
      <dsp:nvSpPr>
        <dsp:cNvPr id="0" name=""/>
        <dsp:cNvSpPr/>
      </dsp:nvSpPr>
      <dsp:spPr>
        <a:xfrm>
          <a:off x="21176" y="3571719"/>
          <a:ext cx="6049837" cy="551550"/>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1-04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Tinkamai įgyvendinti valstybines (perduotas savivaldybei) funkcijas</a:t>
          </a:r>
        </a:p>
      </dsp:txBody>
      <dsp:txXfrm>
        <a:off x="37330" y="3587873"/>
        <a:ext cx="6017529" cy="519242"/>
      </dsp:txXfrm>
    </dsp:sp>
    <dsp:sp modelId="{483B6033-5D08-4513-B0DF-A9C19C1B5510}">
      <dsp:nvSpPr>
        <dsp:cNvPr id="0" name=""/>
        <dsp:cNvSpPr/>
      </dsp:nvSpPr>
      <dsp:spPr>
        <a:xfrm>
          <a:off x="3000375" y="4123269"/>
          <a:ext cx="91440" cy="331580"/>
        </a:xfrm>
        <a:custGeom>
          <a:avLst/>
          <a:gdLst/>
          <a:ahLst/>
          <a:cxnLst/>
          <a:rect l="0" t="0" r="0" b="0"/>
          <a:pathLst>
            <a:path>
              <a:moveTo>
                <a:pt x="45720" y="0"/>
              </a:moveTo>
              <a:lnTo>
                <a:pt x="45720" y="3315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B51844-B4AB-4789-879A-799198C07970}">
      <dsp:nvSpPr>
        <dsp:cNvPr id="0" name=""/>
        <dsp:cNvSpPr/>
      </dsp:nvSpPr>
      <dsp:spPr>
        <a:xfrm>
          <a:off x="21176" y="4454850"/>
          <a:ext cx="6049837" cy="562592"/>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01-05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finansinių įsipareigojimų vykdymą</a:t>
          </a:r>
        </a:p>
      </dsp:txBody>
      <dsp:txXfrm>
        <a:off x="37654" y="4471328"/>
        <a:ext cx="6016881" cy="529636"/>
      </dsp:txXfrm>
    </dsp:sp>
    <dsp:sp modelId="{929E6C34-BC14-45F2-B621-69AA8D114522}">
      <dsp:nvSpPr>
        <dsp:cNvPr id="0" name=""/>
        <dsp:cNvSpPr/>
      </dsp:nvSpPr>
      <dsp:spPr>
        <a:xfrm>
          <a:off x="3000375" y="5017442"/>
          <a:ext cx="91440" cy="331580"/>
        </a:xfrm>
        <a:custGeom>
          <a:avLst/>
          <a:gdLst/>
          <a:ahLst/>
          <a:cxnLst/>
          <a:rect l="0" t="0" r="0" b="0"/>
          <a:pathLst>
            <a:path>
              <a:moveTo>
                <a:pt x="45720" y="0"/>
              </a:moveTo>
              <a:lnTo>
                <a:pt x="45720" y="3315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B4A3C3-1EDA-4060-BE5A-3B9AAFA40A54}">
      <dsp:nvSpPr>
        <dsp:cNvPr id="0" name=""/>
        <dsp:cNvSpPr/>
      </dsp:nvSpPr>
      <dsp:spPr>
        <a:xfrm>
          <a:off x="3637" y="5349022"/>
          <a:ext cx="6084914" cy="677012"/>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01-06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Savivaldybei nuosavybės teise priklausančio turto tinkamą įregistravimą,  eksplotavimą, renovavimą, remontą ir saugojimą</a:t>
          </a:r>
        </a:p>
      </dsp:txBody>
      <dsp:txXfrm>
        <a:off x="23466" y="5368851"/>
        <a:ext cx="6045256" cy="637354"/>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25515" y="270858"/>
          <a:ext cx="6114818" cy="618915"/>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Kult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ūros programa</a:t>
          </a:r>
        </a:p>
      </dsp:txBody>
      <dsp:txXfrm>
        <a:off x="43642" y="288985"/>
        <a:ext cx="6078564" cy="582661"/>
      </dsp:txXfrm>
    </dsp:sp>
    <dsp:sp modelId="{97FAFB0D-147E-4DF7-B3CC-F7EC615FFE66}">
      <dsp:nvSpPr>
        <dsp:cNvPr id="0" name=""/>
        <dsp:cNvSpPr/>
      </dsp:nvSpPr>
      <dsp:spPr>
        <a:xfrm>
          <a:off x="3028720" y="889773"/>
          <a:ext cx="91440" cy="31164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9611" y="1201416"/>
          <a:ext cx="6129657" cy="545675"/>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Stiprinti miesto kultūrinio gyvenimo aktyvumą</a:t>
          </a:r>
        </a:p>
      </dsp:txBody>
      <dsp:txXfrm>
        <a:off x="25593" y="1217398"/>
        <a:ext cx="6097693" cy="513711"/>
      </dsp:txXfrm>
    </dsp:sp>
    <dsp:sp modelId="{52CF58CD-C886-418B-A813-E5A75317E1E5}">
      <dsp:nvSpPr>
        <dsp:cNvPr id="0" name=""/>
        <dsp:cNvSpPr/>
      </dsp:nvSpPr>
      <dsp:spPr>
        <a:xfrm>
          <a:off x="3028720" y="1747092"/>
          <a:ext cx="91440" cy="286201"/>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0" y="2033293"/>
          <a:ext cx="6158215" cy="566305"/>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Išvystyti gyventojų poreikius atitinkančią kultūros įstaigų infrastruktūrą</a:t>
          </a:r>
        </a:p>
      </dsp:txBody>
      <dsp:txXfrm>
        <a:off x="16587" y="2049880"/>
        <a:ext cx="6125041" cy="533131"/>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4142" y="193456"/>
          <a:ext cx="6138515" cy="595937"/>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 Aplinko</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apsaugos</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programa</a:t>
          </a:r>
        </a:p>
      </dsp:txBody>
      <dsp:txXfrm>
        <a:off x="21596" y="210910"/>
        <a:ext cx="6103607" cy="561029"/>
      </dsp:txXfrm>
    </dsp:sp>
    <dsp:sp modelId="{97FAFB0D-147E-4DF7-B3CC-F7EC615FFE66}">
      <dsp:nvSpPr>
        <dsp:cNvPr id="0" name=""/>
        <dsp:cNvSpPr/>
      </dsp:nvSpPr>
      <dsp:spPr>
        <a:xfrm>
          <a:off x="3027680" y="789394"/>
          <a:ext cx="91440" cy="28129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33468" y="1070693"/>
          <a:ext cx="6096686" cy="78071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Mažinti aplinkos taršą ir kurti miesto ekosistemą, siekiant didinti atsparumą klimato kaitos padariniams</a:t>
          </a:r>
        </a:p>
      </dsp:txBody>
      <dsp:txXfrm>
        <a:off x="56334" y="1093559"/>
        <a:ext cx="6050954" cy="734979"/>
      </dsp:txXfrm>
    </dsp:sp>
    <dsp:sp modelId="{52CF58CD-C886-418B-A813-E5A75317E1E5}">
      <dsp:nvSpPr>
        <dsp:cNvPr id="0" name=""/>
        <dsp:cNvSpPr/>
      </dsp:nvSpPr>
      <dsp:spPr>
        <a:xfrm>
          <a:off x="3010855" y="1851405"/>
          <a:ext cx="91440" cy="261847"/>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7566" y="2113253"/>
          <a:ext cx="6078018" cy="795727"/>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Taikyti žiedinės ekonomikos principus komunalinių atliekų tvarkyme</a:t>
          </a:r>
        </a:p>
      </dsp:txBody>
      <dsp:txXfrm>
        <a:off x="40872" y="2136559"/>
        <a:ext cx="6031406" cy="749115"/>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58413" y="100990"/>
          <a:ext cx="5896622" cy="684823"/>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Urbanistinės plėtros ir infrastruktūros programa</a:t>
          </a:r>
        </a:p>
      </dsp:txBody>
      <dsp:txXfrm>
        <a:off x="78471" y="121048"/>
        <a:ext cx="5856506" cy="644707"/>
      </dsp:txXfrm>
    </dsp:sp>
    <dsp:sp modelId="{97FAFB0D-147E-4DF7-B3CC-F7EC615FFE66}">
      <dsp:nvSpPr>
        <dsp:cNvPr id="0" name=""/>
        <dsp:cNvSpPr/>
      </dsp:nvSpPr>
      <dsp:spPr>
        <a:xfrm>
          <a:off x="2931814" y="785813"/>
          <a:ext cx="91440" cy="22950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9987" y="1015322"/>
          <a:ext cx="5915093" cy="919822"/>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Kompleksiškai planuoti gyvybingą ir nuoseklią miesto struktūrą</a:t>
          </a:r>
        </a:p>
      </dsp:txBody>
      <dsp:txXfrm>
        <a:off x="46928" y="1042263"/>
        <a:ext cx="5861211" cy="865940"/>
      </dsp:txXfrm>
    </dsp:sp>
    <dsp:sp modelId="{52CF58CD-C886-418B-A813-E5A75317E1E5}">
      <dsp:nvSpPr>
        <dsp:cNvPr id="0" name=""/>
        <dsp:cNvSpPr/>
      </dsp:nvSpPr>
      <dsp:spPr>
        <a:xfrm>
          <a:off x="2931814" y="1935145"/>
          <a:ext cx="91440" cy="278707"/>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1573" y="2213852"/>
          <a:ext cx="5990302" cy="86028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Formuoti darnias miesto jungtis, užtikrinančias tvarų ir saugų judėjimą mieste</a:t>
          </a:r>
        </a:p>
      </dsp:txBody>
      <dsp:txXfrm>
        <a:off x="36770" y="2239049"/>
        <a:ext cx="5939908" cy="809892"/>
      </dsp:txXfrm>
    </dsp:sp>
    <dsp:sp modelId="{EB8C1BE1-EE28-4F7A-81A8-46FA4D4859F3}">
      <dsp:nvSpPr>
        <dsp:cNvPr id="0" name=""/>
        <dsp:cNvSpPr/>
      </dsp:nvSpPr>
      <dsp:spPr>
        <a:xfrm>
          <a:off x="2961005" y="3074139"/>
          <a:ext cx="91440" cy="365099"/>
        </a:xfrm>
        <a:custGeom>
          <a:avLst/>
          <a:gdLst/>
          <a:ahLst/>
          <a:cxnLst/>
          <a:rect l="0" t="0" r="0" b="0"/>
          <a:pathLst>
            <a:path>
              <a:moveTo>
                <a:pt x="45720" y="0"/>
              </a:moveTo>
              <a:lnTo>
                <a:pt x="45720" y="182549"/>
              </a:lnTo>
              <a:lnTo>
                <a:pt x="53140" y="182549"/>
              </a:lnTo>
              <a:lnTo>
                <a:pt x="53140" y="36509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6B50CEB-4548-42CA-A41F-BA234841CAB1}">
      <dsp:nvSpPr>
        <dsp:cNvPr id="0" name=""/>
        <dsp:cNvSpPr/>
      </dsp:nvSpPr>
      <dsp:spPr>
        <a:xfrm>
          <a:off x="14840" y="3439238"/>
          <a:ext cx="5998609" cy="84965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04-03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tvarią, kokybišką miesto infrastruktūros plėtrą</a:t>
          </a:r>
        </a:p>
      </dsp:txBody>
      <dsp:txXfrm>
        <a:off x="39725" y="3464123"/>
        <a:ext cx="5948839" cy="799881"/>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3814" y="104819"/>
          <a:ext cx="6088370" cy="583322"/>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Ekonominės plėtros programa</a:t>
          </a:r>
        </a:p>
      </dsp:txBody>
      <dsp:txXfrm>
        <a:off x="20899" y="121904"/>
        <a:ext cx="6054200" cy="549152"/>
      </dsp:txXfrm>
    </dsp:sp>
    <dsp:sp modelId="{97FAFB0D-147E-4DF7-B3CC-F7EC615FFE66}">
      <dsp:nvSpPr>
        <dsp:cNvPr id="0" name=""/>
        <dsp:cNvSpPr/>
      </dsp:nvSpPr>
      <dsp:spPr>
        <a:xfrm>
          <a:off x="2994247" y="688142"/>
          <a:ext cx="91440" cy="280295"/>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7558" y="968438"/>
          <a:ext cx="6044818" cy="107137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Pagerinti investicijų pritraukimo ir verslo plėtros sąlygas</a:t>
          </a:r>
        </a:p>
      </dsp:txBody>
      <dsp:txXfrm>
        <a:off x="48937" y="999817"/>
        <a:ext cx="5982060" cy="1008615"/>
      </dsp:txXfrm>
    </dsp:sp>
    <dsp:sp modelId="{52CF58CD-C886-418B-A813-E5A75317E1E5}">
      <dsp:nvSpPr>
        <dsp:cNvPr id="0" name=""/>
        <dsp:cNvSpPr/>
      </dsp:nvSpPr>
      <dsp:spPr>
        <a:xfrm>
          <a:off x="2994247" y="2039811"/>
          <a:ext cx="91440" cy="288317"/>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25512" y="2328129"/>
          <a:ext cx="6061007" cy="113414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Stiprinti miesto patrauklumą plėtojant turizmo sektorių</a:t>
          </a:r>
        </a:p>
      </dsp:txBody>
      <dsp:txXfrm>
        <a:off x="58730" y="2361347"/>
        <a:ext cx="5994571" cy="1067705"/>
      </dsp:txXfrm>
    </dsp:sp>
    <dsp:sp modelId="{56F72623-BD55-4ABD-840B-ACAC67A712CF}">
      <dsp:nvSpPr>
        <dsp:cNvPr id="0" name=""/>
        <dsp:cNvSpPr/>
      </dsp:nvSpPr>
      <dsp:spPr>
        <a:xfrm>
          <a:off x="3002280" y="3462270"/>
          <a:ext cx="91440" cy="328436"/>
        </a:xfrm>
        <a:custGeom>
          <a:avLst/>
          <a:gdLst/>
          <a:ahLst/>
          <a:cxnLst/>
          <a:rect l="0" t="0" r="0" b="0"/>
          <a:pathLst>
            <a:path>
              <a:moveTo>
                <a:pt x="53736" y="0"/>
              </a:moveTo>
              <a:lnTo>
                <a:pt x="53736" y="164218"/>
              </a:lnTo>
              <a:lnTo>
                <a:pt x="45720" y="164218"/>
              </a:lnTo>
              <a:lnTo>
                <a:pt x="45720" y="328436"/>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A67A15BA-B494-405F-AB66-0A0B44135E16}">
      <dsp:nvSpPr>
        <dsp:cNvPr id="0" name=""/>
        <dsp:cNvSpPr/>
      </dsp:nvSpPr>
      <dsp:spPr>
        <a:xfrm>
          <a:off x="17558" y="3790707"/>
          <a:ext cx="6060882" cy="69707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05-03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Didinti Šiaulių miesto žinomumą ir teigiamą įvaizdį, stiprinant miesto identitetą ir rinkodarą</a:t>
          </a:r>
        </a:p>
      </dsp:txBody>
      <dsp:txXfrm>
        <a:off x="37975" y="3811124"/>
        <a:ext cx="6020048" cy="656242"/>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8683" y="164691"/>
          <a:ext cx="6074822" cy="535272"/>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Socialinės apsaugos</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sp:txBody>
      <dsp:txXfrm>
        <a:off x="24361" y="180369"/>
        <a:ext cx="6043466" cy="503916"/>
      </dsp:txXfrm>
    </dsp:sp>
    <dsp:sp modelId="{97FAFB0D-147E-4DF7-B3CC-F7EC615FFE66}">
      <dsp:nvSpPr>
        <dsp:cNvPr id="0" name=""/>
        <dsp:cNvSpPr/>
      </dsp:nvSpPr>
      <dsp:spPr>
        <a:xfrm>
          <a:off x="3000375" y="699964"/>
          <a:ext cx="91440" cy="3070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7556" y="1006974"/>
          <a:ext cx="6060265" cy="703890"/>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nuoseklų ir efektyvų socialinių paslaugų teikimą </a:t>
          </a:r>
        </a:p>
      </dsp:txBody>
      <dsp:txXfrm>
        <a:off x="38172" y="1027590"/>
        <a:ext cx="6019033" cy="662658"/>
      </dsp:txXfrm>
    </dsp:sp>
    <dsp:sp modelId="{52CF58CD-C886-418B-A813-E5A75317E1E5}">
      <dsp:nvSpPr>
        <dsp:cNvPr id="0" name=""/>
        <dsp:cNvSpPr/>
      </dsp:nvSpPr>
      <dsp:spPr>
        <a:xfrm>
          <a:off x="3001969" y="1710865"/>
          <a:ext cx="91440" cy="2691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9529" y="1979994"/>
          <a:ext cx="6082660" cy="733978"/>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Užtikrinti socialinių paslaugų prieinamumą ir kokybę, plečiant, atnaujinant ir modernizuojant socialinių paslaugų infrastruktūrą</a:t>
          </a:r>
        </a:p>
      </dsp:txBody>
      <dsp:txXfrm>
        <a:off x="31026" y="2001491"/>
        <a:ext cx="6039666" cy="690984"/>
      </dsp:txXfrm>
    </dsp:sp>
    <dsp:sp modelId="{2C6ED3A3-AD19-4D86-A219-39F1CA7FC4C5}">
      <dsp:nvSpPr>
        <dsp:cNvPr id="0" name=""/>
        <dsp:cNvSpPr/>
      </dsp:nvSpPr>
      <dsp:spPr>
        <a:xfrm>
          <a:off x="3003052" y="2713973"/>
          <a:ext cx="91440" cy="287627"/>
        </a:xfrm>
        <a:custGeom>
          <a:avLst/>
          <a:gdLst/>
          <a:ahLst/>
          <a:cxnLst/>
          <a:rect l="0" t="0" r="0" b="0"/>
          <a:pathLst>
            <a:path>
              <a:moveTo>
                <a:pt x="47807" y="0"/>
              </a:moveTo>
              <a:lnTo>
                <a:pt x="47807" y="143813"/>
              </a:lnTo>
              <a:lnTo>
                <a:pt x="45720" y="143813"/>
              </a:lnTo>
              <a:lnTo>
                <a:pt x="45720" y="28762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2A3AB8-5BAB-46C2-A846-F30A81044E38}">
      <dsp:nvSpPr>
        <dsp:cNvPr id="0" name=""/>
        <dsp:cNvSpPr/>
      </dsp:nvSpPr>
      <dsp:spPr>
        <a:xfrm>
          <a:off x="5354" y="3001600"/>
          <a:ext cx="6086835" cy="96587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06-03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Užtikrinti valstybės garantuotos piniginės socialinės paramos teikimą</a:t>
          </a:r>
        </a:p>
      </dsp:txBody>
      <dsp:txXfrm>
        <a:off x="33643" y="3029889"/>
        <a:ext cx="6030257" cy="909293"/>
      </dsp:txXfrm>
    </dsp:sp>
  </dsp:spTree>
</dsp:drawing>
</file>

<file path=word/diagrams/drawing7.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2637" y="414524"/>
          <a:ext cx="6174544" cy="689652"/>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Sporto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sp:txBody>
      <dsp:txXfrm>
        <a:off x="22836" y="434723"/>
        <a:ext cx="6134146" cy="649254"/>
      </dsp:txXfrm>
    </dsp:sp>
    <dsp:sp modelId="{97FAFB0D-147E-4DF7-B3CC-F7EC615FFE66}">
      <dsp:nvSpPr>
        <dsp:cNvPr id="0" name=""/>
        <dsp:cNvSpPr/>
      </dsp:nvSpPr>
      <dsp:spPr>
        <a:xfrm>
          <a:off x="3044189" y="1104177"/>
          <a:ext cx="91440" cy="29110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7" y="1395279"/>
          <a:ext cx="6179812" cy="726326"/>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Skatinti gyventojų fizinio aktyvumo veiklas ir plėtoti aukšto meistriškumo sportininkų rengimo sistemą</a:t>
          </a:r>
        </a:p>
      </dsp:txBody>
      <dsp:txXfrm>
        <a:off x="21280" y="1416552"/>
        <a:ext cx="6137266" cy="683780"/>
      </dsp:txXfrm>
    </dsp:sp>
    <dsp:sp modelId="{52CF58CD-C886-418B-A813-E5A75317E1E5}">
      <dsp:nvSpPr>
        <dsp:cNvPr id="0" name=""/>
        <dsp:cNvSpPr/>
      </dsp:nvSpPr>
      <dsp:spPr>
        <a:xfrm>
          <a:off x="3044189" y="2121606"/>
          <a:ext cx="91440" cy="2683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3" y="2390004"/>
          <a:ext cx="6179812" cy="757372"/>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07</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Išvystyti gyventojų poreikius atitinkančią sporto ir fizinio aktyvumo infrastruktūrą</a:t>
          </a:r>
        </a:p>
      </dsp:txBody>
      <dsp:txXfrm>
        <a:off x="22186" y="2412187"/>
        <a:ext cx="6135446" cy="713006"/>
      </dsp:txXfrm>
    </dsp:sp>
  </dsp:spTree>
</dsp:drawing>
</file>

<file path=word/diagrams/drawing8.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085" y="289394"/>
          <a:ext cx="6021473" cy="844274"/>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Švietimo</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programa</a:t>
          </a:r>
        </a:p>
      </dsp:txBody>
      <dsp:txXfrm>
        <a:off x="38813" y="314122"/>
        <a:ext cx="5972017" cy="794818"/>
      </dsp:txXfrm>
    </dsp:sp>
    <dsp:sp modelId="{97FAFB0D-147E-4DF7-B3CC-F7EC615FFE66}">
      <dsp:nvSpPr>
        <dsp:cNvPr id="0" name=""/>
        <dsp:cNvSpPr/>
      </dsp:nvSpPr>
      <dsp:spPr>
        <a:xfrm>
          <a:off x="2979102" y="1133668"/>
          <a:ext cx="91440" cy="296423"/>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37901" y="1430091"/>
          <a:ext cx="6008671" cy="1033213"/>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Užtikrinti nuoseklų ir efektyvų socialinių paslaugų teikimą, plėtoti inovatyvią švietimo sistemą, ugdančią aktyvią ir kūrybingą asmenybę  </a:t>
          </a:r>
        </a:p>
      </dsp:txBody>
      <dsp:txXfrm>
        <a:off x="68163" y="1460353"/>
        <a:ext cx="5948147" cy="972689"/>
      </dsp:txXfrm>
    </dsp:sp>
    <dsp:sp modelId="{52CF58CD-C886-418B-A813-E5A75317E1E5}">
      <dsp:nvSpPr>
        <dsp:cNvPr id="0" name=""/>
        <dsp:cNvSpPr/>
      </dsp:nvSpPr>
      <dsp:spPr>
        <a:xfrm>
          <a:off x="2983586" y="2463305"/>
          <a:ext cx="91440" cy="279008"/>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8967" y="2742313"/>
          <a:ext cx="6040677" cy="63230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Užtikrinti švietimo paslaugų prieinamumą ir kokybę, gerinant ugdymo (-si) aplinką</a:t>
          </a:r>
        </a:p>
      </dsp:txBody>
      <dsp:txXfrm>
        <a:off x="27486" y="2760832"/>
        <a:ext cx="6003639" cy="595263"/>
      </dsp:txXfrm>
    </dsp:sp>
    <dsp:sp modelId="{2C6ED3A3-AD19-4D86-A219-39F1CA7FC4C5}">
      <dsp:nvSpPr>
        <dsp:cNvPr id="0" name=""/>
        <dsp:cNvSpPr/>
      </dsp:nvSpPr>
      <dsp:spPr>
        <a:xfrm>
          <a:off x="2983586" y="3374614"/>
          <a:ext cx="91440" cy="626483"/>
        </a:xfrm>
        <a:custGeom>
          <a:avLst/>
          <a:gdLst/>
          <a:ahLst/>
          <a:cxnLst/>
          <a:rect l="0" t="0" r="0" b="0"/>
          <a:pathLst>
            <a:path>
              <a:moveTo>
                <a:pt x="45720" y="0"/>
              </a:moveTo>
              <a:lnTo>
                <a:pt x="45720" y="313241"/>
              </a:lnTo>
              <a:lnTo>
                <a:pt x="48731" y="313241"/>
              </a:lnTo>
              <a:lnTo>
                <a:pt x="48731" y="62648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2A3AB8-5BAB-46C2-A846-F30A81044E38}">
      <dsp:nvSpPr>
        <dsp:cNvPr id="0" name=""/>
        <dsp:cNvSpPr/>
      </dsp:nvSpPr>
      <dsp:spPr>
        <a:xfrm>
          <a:off x="19284" y="4001097"/>
          <a:ext cx="6026066" cy="638331"/>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08-03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Sudaryti sąlygas jaunimo savirealizacijai jų poreikiams pritaikytoje aplinkoje</a:t>
          </a:r>
        </a:p>
      </dsp:txBody>
      <dsp:txXfrm>
        <a:off x="37980" y="4019793"/>
        <a:ext cx="5988674" cy="600939"/>
      </dsp:txXfrm>
    </dsp:sp>
    <dsp:sp modelId="{A5FCC667-452A-4C59-AFAB-5B560C1E65A2}">
      <dsp:nvSpPr>
        <dsp:cNvPr id="0" name=""/>
        <dsp:cNvSpPr/>
      </dsp:nvSpPr>
      <dsp:spPr>
        <a:xfrm>
          <a:off x="2986448" y="4639429"/>
          <a:ext cx="91440" cy="421507"/>
        </a:xfrm>
        <a:custGeom>
          <a:avLst/>
          <a:gdLst/>
          <a:ahLst/>
          <a:cxnLst/>
          <a:rect l="0" t="0" r="0" b="0"/>
          <a:pathLst>
            <a:path>
              <a:moveTo>
                <a:pt x="45868" y="0"/>
              </a:moveTo>
              <a:lnTo>
                <a:pt x="45868" y="210753"/>
              </a:lnTo>
              <a:lnTo>
                <a:pt x="45720" y="210753"/>
              </a:lnTo>
              <a:lnTo>
                <a:pt x="45720" y="421507"/>
              </a:lnTo>
            </a:path>
          </a:pathLst>
        </a:custGeom>
        <a:noFill/>
        <a:ln w="12700" cap="flat" cmpd="sng" algn="ctr">
          <a:solidFill>
            <a:schemeClr val="tx1"/>
          </a:solidFill>
          <a:prstDash val="solid"/>
          <a:miter lim="800000"/>
        </a:ln>
        <a:effectLst/>
      </dsp:spPr>
      <dsp:style>
        <a:lnRef idx="2">
          <a:scrgbClr r="0" g="0" b="0"/>
        </a:lnRef>
        <a:fillRef idx="0">
          <a:scrgbClr r="0" g="0" b="0"/>
        </a:fillRef>
        <a:effectRef idx="0">
          <a:scrgbClr r="0" g="0" b="0"/>
        </a:effectRef>
        <a:fontRef idx="minor"/>
      </dsp:style>
    </dsp:sp>
    <dsp:sp modelId="{F4029813-ED49-4CA5-905F-AA38FBCAAC44}">
      <dsp:nvSpPr>
        <dsp:cNvPr id="0" name=""/>
        <dsp:cNvSpPr/>
      </dsp:nvSpPr>
      <dsp:spPr>
        <a:xfrm>
          <a:off x="14692" y="5060937"/>
          <a:ext cx="6034952" cy="863465"/>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08-04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Sudaryti sąlygas kokybiškam ugdymo procesui</a:t>
          </a:r>
        </a:p>
      </dsp:txBody>
      <dsp:txXfrm>
        <a:off x="39982" y="5086227"/>
        <a:ext cx="5984372" cy="812885"/>
      </dsp:txXfrm>
    </dsp:sp>
  </dsp:spTree>
</dsp:drawing>
</file>

<file path=word/diagrams/drawing9.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3359" y="225562"/>
          <a:ext cx="6187346" cy="656653"/>
        </a:xfrm>
        <a:prstGeom prst="roundRect">
          <a:avLst>
            <a:gd name="adj" fmla="val 10000"/>
          </a:avLst>
        </a:prstGeom>
        <a:solidFill>
          <a:srgbClr val="1F497D">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 Sveikatos programa</a:t>
          </a:r>
        </a:p>
      </dsp:txBody>
      <dsp:txXfrm>
        <a:off x="22592" y="244795"/>
        <a:ext cx="6148880" cy="618187"/>
      </dsp:txXfrm>
    </dsp:sp>
    <dsp:sp modelId="{97FAFB0D-147E-4DF7-B3CC-F7EC615FFE66}">
      <dsp:nvSpPr>
        <dsp:cNvPr id="0" name=""/>
        <dsp:cNvSpPr/>
      </dsp:nvSpPr>
      <dsp:spPr>
        <a:xfrm>
          <a:off x="3051309" y="882216"/>
          <a:ext cx="91440" cy="251732"/>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0" y="1133948"/>
          <a:ext cx="6194059" cy="522307"/>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9-01 Plėtoti asmens ir visuomenės sveikatos priežiūros paslaugas, ugdyti visuomenės poreikį sveikai gyventi </a:t>
          </a:r>
        </a:p>
      </dsp:txBody>
      <dsp:txXfrm>
        <a:off x="15298" y="1149246"/>
        <a:ext cx="6163463" cy="491711"/>
      </dsp:txXfrm>
    </dsp:sp>
    <dsp:sp modelId="{52CF58CD-C886-418B-A813-E5A75317E1E5}">
      <dsp:nvSpPr>
        <dsp:cNvPr id="0" name=""/>
        <dsp:cNvSpPr/>
      </dsp:nvSpPr>
      <dsp:spPr>
        <a:xfrm>
          <a:off x="3051309" y="1656256"/>
          <a:ext cx="91440" cy="226379"/>
        </a:xfrm>
        <a:custGeom>
          <a:avLst/>
          <a:gdLst/>
          <a:ahLst/>
          <a:cxnLst/>
          <a:rect l="0" t="0" r="0" b="0"/>
          <a:pathLst>
            <a:path>
              <a:moveTo>
                <a:pt x="45720" y="0"/>
              </a:moveTo>
              <a:lnTo>
                <a:pt x="45720" y="244632"/>
              </a:lnTo>
            </a:path>
          </a:pathLst>
        </a:custGeom>
        <a:noFill/>
        <a:ln w="127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0" y="1882635"/>
          <a:ext cx="6194059" cy="550594"/>
        </a:xfrm>
        <a:prstGeom prst="roundRect">
          <a:avLst>
            <a:gd name="adj" fmla="val 10000"/>
          </a:avLst>
        </a:prstGeom>
        <a:solidFill>
          <a:srgbClr val="4BACC6">
            <a:lumMod val="20000"/>
            <a:lumOff val="80000"/>
          </a:srgbClr>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9-02 Užtikrinti asmens sveikatos priežiūros paslaugų prieinamumą ir kokybę, atnaujinant esamą bei įrengiant naują infrastruktūrą</a:t>
          </a:r>
        </a:p>
      </dsp:txBody>
      <dsp:txXfrm>
        <a:off x="16126" y="1898761"/>
        <a:ext cx="6161807" cy="51834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8.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9.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437502bfdb419383b66af4f8ed132e" PartId="6193cd810b594573b813b35e07b25ba8"/>
  <Part Type="patvirtinta" Title="ŠIAULIŲ MIESTO SAVIVALDYBĖS 2025-2027 METŲ STRATEGINIS VEIKLOS PLANAS" DocPartId="3b3dcde79b8a4fab816f17f7168f082d" PartId="b23a1012986345d6899e7993d125a4f5">
    <Part Type="skyrius" Nr="1" Title="SAVIVALDYBĖS MISIJA IR VEIKLOS PRIORITETAI" DocPartId="08f00cb99e484f0791c1661343f60786" PartId="8177e0d5cd0b49d682653a27bf094524"/>
    <Part Type="skyrius" Nr="2" Title="SAVIVALDYBĖS PLĖTROS TIKSLAI, UŽDAVINIAI IR JŲ STEBĖSENOS RODIKLIAI" DocPartId="609106651e5d4a869c1d18ba020efb80" PartId="87441ebef7ae4398afa6869dd3801cfe"/>
    <Part Type="skyrius" Nr="3" Title="PLANUOJAMI PASIEKTI REZULTATAI" DocPartId="a691f14c8f9c451f8dc2819297ffa26e" PartId="b682e410130443f3b673edd8163ab34b"/>
    <Part Type="skyrius" Nr="4" Title="PROGRAMOS" DocPartId="483c355ea4a54269aa4d2a9c015df3dc" PartId="2577cd50f1d6462b9814e30d2bde5815">
      <Part Type="poskyris" Title="2 grafikas. Savivaldybės valdymo programa ir jos uždaviniai" DocPartId="fbbeb4373d2e44149efd1798a2b812dc" PartId="9b2d62aaa3024b93b5b095782d11d82c"/>
      <Part Type="poskyris" Title="3 grafikas. Kultūros programa ir jos uždaviniai" DocPartId="ca230c8ffdd740e6b43dd214aafaf5db" PartId="87d05eb6fd4b4b11be991f5815104d5b"/>
      <Part Type="poskyris" Title="4 grafikas. Aplinkos apsaugos programa ir jos uždaviniai" DocPartId="f015a4c224c940658f3168a16188740c" PartId="7f0dacfd84a9415ea28021da84113f8a"/>
      <Part Type="poskyris" Title="5 grafikas. Urbanistinės plėtros ir infrastruktūros programa ir jos uždaviniai" DocPartId="177f58bbf0164eaa9cef6667b925138b" PartId="b4690218fe174046a67c8e28b39ec3d6"/>
      <Part Type="poskyris" Title="6 grafikas. Ekonominės plėtros programa ir jos uždaviniai" DocPartId="6b709363185d4fc2a5d1a994881213f5" PartId="ffa49e99db0f48c8b18750b311346dc3"/>
      <Part Type="poskyris" Title="7 grafikas. Socialinės apsaugos programa ir jos uždaviniai" DocPartId="0aff7e2bcd0647ce9d0105ea696a9617" PartId="9065ac746bb24d7a95e56d88b3894b56"/>
      <Part Type="poskyris" Title="8 grafikas. Sporto programa ir jos uždaviniai" DocPartId="57ebd99cca4245a9a9b3a483e8b2a40b" PartId="ebd5898333af4cb8b26cf691050d61e1"/>
      <Part Type="poskyris" Title="9 grafikas. Švietimo programa ir jos uždaviniai" DocPartId="4d81cfd6d9254b4db940f0b632b8786f" PartId="c061cec1ea8e4a6a8fb8bc3b97693b76"/>
      <Part Type="poskyris" Title="10 grafikas. Sveikatos programa ir jos uždaviniai" DocPartId="83f6ca6397d1469094f676c575a37de0" PartId="b35789d249b44d20bccf4bb8658ad145"/>
    </Part>
    <Part Type="skyrius" Nr="5" Title="SAVIVALDYBĖS VALDOMŲ ĮMONIŲ IR VIEŠŲJŲ ĮSTAIGŲ PLANUOJAMOS PASIEKTI PAGRINDINIŲ VEIKLOS RODIKLIŲ REIKŠMĖS" DocPartId="8f3c4ee1ece94774bd201a1c9eea5faa" PartId="176a0391024d4ebdae1a89f81fe60a36">
      <Part Type="poskyris" Title="5 lentelė. Savivaldybės valdomų įmonių ir viešųjų įstaigų planuojami pasiekti pagrindiniai veiklos rodikliai ir jų reikšmės" DocPartId="62e0962d78384988b973e7ddc699f76e" PartId="4dbf6cf6022440cf988e389e8fb62d78"/>
    </Part>
    <Part Type="skyrius" Nr="6" Title="KITA SVARBI INFORMACIJA" DocPartId="5f4501ab01a741ab89358e210656e8e1" PartId="8f8f0fed2e804d0598cc57c80e39a574">
      <Part Type="punktas" Nr="2" Abbr="2 p." DocPartId="0f8b7e7292424326abba3c5ce836a8b6" PartId="5946dea0a82649f6849ff7ba69d0bb2f"/>
    </Part>
  </Part>
</Parts>
</file>

<file path=customXml/itemProps1.xml><?xml version="1.0" encoding="utf-8"?>
<ds:datastoreItem xmlns:ds="http://schemas.openxmlformats.org/officeDocument/2006/customXml" ds:itemID="{9533722E-BEA7-4689-82D8-B724B9AA86C7}">
  <ds:schemaRefs>
    <ds:schemaRef ds:uri="http://schemas.openxmlformats.org/officeDocument/2006/bibliography"/>
  </ds:schemaRefs>
</ds:datastoreItem>
</file>

<file path=customXml/itemProps2.xml><?xml version="1.0" encoding="utf-8"?>
<ds:datastoreItem xmlns:ds="http://schemas.openxmlformats.org/officeDocument/2006/customXml" ds:itemID="{E488A6C8-3BD5-488A-ABE4-04ED8460DD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9838</Words>
  <Characters>68873</Characters>
  <Application>Microsoft Office Word</Application>
  <DocSecurity>4</DocSecurity>
  <Lines>2869</Lines>
  <Paragraphs>1574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77137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2025-01-27T09:53:00Z</dcterms:created>
  <dc:creator>Mantė Špilkovaitė</dc:creator>
  <lastModifiedBy>adlibuser</lastModifiedBy>
  <lastPrinted>2025-01-20T07:32:00Z</lastPrinted>
  <dcterms:modified xsi:type="dcterms:W3CDTF">2025-01-27T09:53:00Z</dcterms:modified>
  <revision>2</revision>
</coreProperties>
</file>