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48f13fba54c4387b48985685c94e8cd"/>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16B6F5A1" wp14:editId="03F9DB43">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8 626 22 252,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szCs w:val="24"/>
                    <w:lang w:bidi="en-US"/>
                  </w:rPr>
                </w:pPr>
                <w:r>
                  <w:rPr>
                    <w:rFonts w:eastAsia="Andale Sans UI"/>
                    <w:szCs w:val="24"/>
                    <w:lang w:bidi="en-US"/>
                  </w:rPr>
                  <w:t>Pagal adresatų sąrašą</w:t>
                </w: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widowControl w:val="0"/>
                  <w:suppressAutoHyphens/>
                  <w:jc w:val="both"/>
                  <w:rPr>
                    <w:rFonts w:eastAsia="Andale Sans UI"/>
                    <w:b/>
                    <w:caps/>
                    <w:szCs w:val="24"/>
                    <w:lang w:eastAsia="lt-LT" w:bidi="en-US"/>
                  </w:rPr>
                </w:pPr>
                <w:r>
                  <w:rPr>
                    <w:rFonts w:eastAsia="Andale Sans UI"/>
                    <w:b/>
                    <w:caps/>
                    <w:szCs w:val="24"/>
                    <w:lang w:bidi="en-US"/>
                  </w:rPr>
                  <w:t>DĖL derinti teikiamų teisės aktų projektų</w:t>
                </w:r>
              </w:p>
            </w:tc>
          </w:tr>
        </w:tbl>
        <w:p>
          <w:pPr>
            <w:spacing w:line="276" w:lineRule="auto"/>
            <w:jc w:val="both"/>
            <w:rPr>
              <w:rFonts w:eastAsia="Andale Sans UI" w:cs="Tahoma"/>
              <w:szCs w:val="24"/>
              <w:lang w:bidi="en-US"/>
            </w:rPr>
          </w:pPr>
        </w:p>
      </w:sdtContent>
    </w:sdt>
    <w:sdt>
      <w:sdtPr>
        <w:alias w:val="pastraipa"/>
        <w:tag w:val="part_cb23bae2fe814effbe1dab69ddf31e61"/>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Aplinkos ministerija teikia derinti teisės aktų projektus, susijusius su statinių paskirčių reguliavimu. </w:t>
          </w:r>
        </w:p>
      </w:sdtContent>
    </w:sdt>
    <w:sdt>
      <w:sdtPr>
        <w:alias w:val="pastraipa"/>
        <w:tag w:val="part_463a295a6ab94c70a85a8c8b75d50e66"/>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Dėl poreikio keisti statinių paskirčių reguliavimą ir jų naudojimo priežiūrą reglamentuojančius teisės aktus 2022 m. birželio mėn. gautos Specialiųjų tyrimų tarnybos pastabos, 2022 m. gruodžio mėn. gautas Aplinkos apsaugos komiteto pavedimas atlikti korekcijas įgyvendinamuosiuose teisės aktuose ir pristatyti juos Aplinkos apsaugos komiteto posėdyje, įgyvendinant nustatytus uždavinius, susijusius su paskirčių reglamentavimu, norminių reikalavimų jiems nustatymu, sąvokų patikslinimu ir kt. </w:t>
          </w:r>
        </w:p>
      </w:sdtContent>
    </w:sdt>
    <w:sdt>
      <w:sdtPr>
        <w:alias w:val="pastraipa"/>
        <w:tag w:val="part_543064c2100f4176926c84df1f8ebb22"/>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2022 m. lapkričio 30 d. Lietuvos Respublikos aplinkos ministro įsakymu Nr. V-197 „Dėl darbo grupės teisės aktų, reglamentuojančių projektuojamų statinių paskirties reikalavimų kriterijus, tobulinimo pasiūlymams pateikti sudarymo“ buvo sudaryta darbo grupė. Darbo grupę sudarė  Aplinkos ministerijos, Lietuvos architektų rūmų, Lietuvos savivaldybių asociacijos, Vilniaus ir Palangos miestų savivaldybių administracijų, Lietuvos projektavimo įmonių asociacijos, Projektų ekspertizės ir gaisro saugos įmonių asociacijos, Lietuvos statybos inžinierių sąjungos, Lietuvos statybininkų asociacijos, Lietuvos nekilnojamojo turto plėtros asociacijos, Valstybinės teritorijų planavimo ir statybos inspekcijos atstovai.</w:t>
          </w:r>
        </w:p>
      </w:sdtContent>
    </w:sdt>
    <w:sdt>
      <w:sdtPr>
        <w:alias w:val="pastraipa"/>
        <w:tag w:val="part_73fdebe507684469b3a6f6fa8d94d156"/>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2023 m. kovo 22 d. Seimo Aplinkos apsaugos komitete pristatyti šios darbo grupės pasiūlyti teisinio reguliavimo pokyčiai.</w:t>
          </w:r>
        </w:p>
        <w:p>
          <w:pPr>
            <w:widowControl w:val="0"/>
            <w:suppressAutoHyphens/>
            <w:ind w:firstLine="567"/>
            <w:jc w:val="both"/>
            <w:rPr>
              <w:rFonts w:eastAsia="Andale Sans UI"/>
              <w:szCs w:val="24"/>
              <w:lang w:bidi="en-US"/>
            </w:rPr>
          </w:pPr>
        </w:p>
      </w:sdtContent>
    </w:sdt>
    <w:sdt>
      <w:sdtPr>
        <w:alias w:val="pastraipa"/>
        <w:tag w:val="part_bffa19336ae2407cb9d77e834b836f94"/>
        <w:lock w:val="sdtLocked"/>
        <w:richText/>
      </w:sdtPr>
      <w:sdtContent>
        <w:p>
          <w:pPr>
            <w:widowControl w:val="0"/>
            <w:suppressAutoHyphens/>
            <w:ind w:firstLine="567"/>
            <w:jc w:val="both"/>
            <w:rPr>
              <w:rFonts w:eastAsia="Andale Sans UI"/>
              <w:i/>
              <w:iCs/>
              <w:szCs w:val="24"/>
              <w:lang w:bidi="en-US"/>
            </w:rPr>
          </w:pPr>
          <w:r>
            <w:rPr>
              <w:rFonts w:eastAsia="Andale Sans UI"/>
              <w:i/>
              <w:iCs/>
              <w:szCs w:val="24"/>
              <w:lang w:bidi="en-US"/>
            </w:rPr>
            <w:t>VIEŠI APTARIMAI</w:t>
          </w:r>
        </w:p>
      </w:sdtContent>
    </w:sdt>
    <w:sdt>
      <w:sdtPr>
        <w:alias w:val="pastraipa"/>
        <w:tag w:val="part_974cb09f820e4aa58604bc25eff9650f"/>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Rengiamų poįstatyminių teisės aktų pokyčių nuostatos darbo tvarka buvo aptartos su Priešgaisrinės apsaugos ir gelbėjimo departamento prie VRM, VĮ Registrų centro, Nacionalinio visuomenės sveikatos centro prie VRM atstovais siekiant nustatyti naujo teisinio reguliavimo poveikį šių įstaigų ir įmonių kuruojamoms teisinio reguliavimo sritims. Taip pat teisės aktų projektų nuostatos buvo pristatytos ir aptartos platesniu mastu 2023 m. spalio 20 d. Aplinkos ministerijos organizuotame socialinių partnerių penktadienio renginyje.</w:t>
          </w:r>
        </w:p>
      </w:sdtContent>
    </w:sdt>
    <w:sdt>
      <w:sdtPr>
        <w:alias w:val="pastraipa"/>
        <w:tag w:val="part_8e9c1ddf031e45f486f529f08f59f7d3"/>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Derinti teikiama dalis tarpusavyje susijusių poįstatyminių teisės aktų projektų, kuriais siekiama įgyvendinti darbo grupės pasiūlytas priemones siekiant įgyvendinti projektuojamų statinių paskirties reikalavimų kriterijų, reglamentavimo tobulinimą:</w:t>
          </w:r>
        </w:p>
        <w:sdt>
          <w:sdtPr>
            <w:alias w:val="1 p."/>
            <w:tag w:val="part_6f485d08d07945b3930b78a96179e646"/>
            <w:lock w:val="sdtLocked"/>
            <w:richText/>
          </w:sdtPr>
          <w:sdtContent>
            <w:p>
              <w:pPr>
                <w:widowControl w:val="0"/>
                <w:suppressAutoHyphens/>
                <w:ind w:firstLine="567"/>
                <w:jc w:val="both"/>
                <w:rPr>
                  <w:rFonts w:eastAsia="Andale Sans UI"/>
                  <w:iCs/>
                  <w:color w:val="000000"/>
                  <w:szCs w:val="24"/>
                  <w:lang w:bidi="en-US"/>
                </w:rPr>
              </w:pPr>
              <w:sdt>
                <w:sdtPr>
                  <w:alias w:val="Numeris"/>
                  <w:tag w:val="nr_6f485d08d07945b3930b78a96179e646"/>
                  <w:lock w:val="sdtLocked"/>
                  <w:richText/>
                </w:sdtPr>
                <w:sdtContent>
                  <w:r>
                    <w:rPr>
                      <w:rFonts w:eastAsia="Andale Sans UI"/>
                      <w:iCs/>
                      <w:color w:val="000000"/>
                      <w:szCs w:val="24"/>
                      <w:lang w:eastAsia="lt-LT"/>
                    </w:rPr>
                    <w:t>1</w:t>
                  </w:r>
                </w:sdtContent>
              </w:sdt>
              <w:r>
                <w:rPr>
                  <w:rFonts w:eastAsia="Andale Sans UI"/>
                  <w:iCs/>
                  <w:color w:val="000000"/>
                  <w:szCs w:val="24"/>
                  <w:lang w:eastAsia="lt-LT"/>
                </w:rPr>
                <w:t>.</w:t>
                <w:tab/>
              </w:r>
              <w:r>
                <w:rPr>
                  <w:rFonts w:eastAsia="Andale Sans UI"/>
                  <w:iCs/>
                  <w:color w:val="000000"/>
                  <w:szCs w:val="24"/>
                  <w:lang w:bidi="en-US"/>
                </w:rPr>
                <w:t>Lietuvos Respublikos aplinkos ministro įsakymo „Dėl Lietuvos Respublikos aplinkos ministro 2016 m. spalio 27 d. įsakymo Nr. D1-713 „Dėl statybos techninio reglamento STR 1.01.03:2017 „Statinių klasifikavimas“ patvirtinimo“ pakeitimo“ projektas;</w:t>
              </w:r>
            </w:p>
          </w:sdtContent>
        </w:sdt>
        <w:sdt>
          <w:sdtPr>
            <w:alias w:val="2 p."/>
            <w:tag w:val="part_aac20acdcd3a4000920bded7398793ab"/>
            <w:lock w:val="sdtLocked"/>
            <w:richText/>
          </w:sdtPr>
          <w:sdtContent>
            <w:p>
              <w:pPr>
                <w:widowControl w:val="0"/>
                <w:suppressAutoHyphens/>
                <w:ind w:firstLine="567"/>
                <w:jc w:val="both"/>
                <w:rPr>
                  <w:rFonts w:eastAsia="Andale Sans UI"/>
                  <w:iCs/>
                  <w:color w:val="000000"/>
                  <w:szCs w:val="24"/>
                  <w:lang w:bidi="en-US"/>
                </w:rPr>
              </w:pPr>
              <w:sdt>
                <w:sdtPr>
                  <w:alias w:val="Numeris"/>
                  <w:tag w:val="nr_aac20acdcd3a4000920bded7398793ab"/>
                  <w:lock w:val="sdtLocked"/>
                  <w:richText/>
                </w:sdtPr>
                <w:sdtContent>
                  <w:r>
                    <w:rPr>
                      <w:rFonts w:eastAsia="Andale Sans UI"/>
                      <w:iCs/>
                      <w:color w:val="000000"/>
                      <w:szCs w:val="24"/>
                      <w:lang w:eastAsia="lt-LT"/>
                    </w:rPr>
                    <w:t>2</w:t>
                  </w:r>
                </w:sdtContent>
              </w:sdt>
              <w:r>
                <w:rPr>
                  <w:rFonts w:eastAsia="Andale Sans UI"/>
                  <w:iCs/>
                  <w:color w:val="000000"/>
                  <w:szCs w:val="24"/>
                  <w:lang w:eastAsia="lt-LT"/>
                </w:rPr>
                <w:t>.</w:t>
                <w:tab/>
              </w:r>
              <w:r>
                <w:rPr>
                  <w:rFonts w:eastAsia="Andale Sans UI"/>
                  <w:iCs/>
                  <w:color w:val="000000"/>
                  <w:szCs w:val="24"/>
                  <w:lang w:bidi="en-US"/>
                </w:rPr>
                <w:t>Lietuvos Respublikos aplinkos ministro įsakymo „Dėl Lietuvos Respublikos aplinkos ministro 2003 m. gruodžio 24 d. įsakymo Nr. 705 „Dėl statybos techninio reglamento STR 2.02.01:2004 „Gyvenamieji pastatai“ patvirtinimo“ pakeitimo“ projektas;</w:t>
              </w:r>
            </w:p>
          </w:sdtContent>
        </w:sdt>
        <w:sdt>
          <w:sdtPr>
            <w:alias w:val="3 p."/>
            <w:tag w:val="part_d7223262f7554b52a92d1fc94ff74593"/>
            <w:lock w:val="sdtLocked"/>
            <w:richText/>
          </w:sdtPr>
          <w:sdtContent>
            <w:p>
              <w:pPr>
                <w:widowControl w:val="0"/>
                <w:suppressAutoHyphens/>
                <w:ind w:firstLine="567"/>
                <w:jc w:val="both"/>
                <w:rPr>
                  <w:rFonts w:eastAsia="Andale Sans UI"/>
                  <w:iCs/>
                  <w:color w:val="000000"/>
                  <w:szCs w:val="24"/>
                  <w:lang w:bidi="en-US"/>
                </w:rPr>
              </w:pPr>
              <w:sdt>
                <w:sdtPr>
                  <w:alias w:val="Numeris"/>
                  <w:tag w:val="nr_d7223262f7554b52a92d1fc94ff74593"/>
                  <w:lock w:val="sdtLocked"/>
                  <w:richText/>
                </w:sdtPr>
                <w:sdtContent>
                  <w:r>
                    <w:rPr>
                      <w:rFonts w:eastAsia="Andale Sans UI"/>
                      <w:iCs/>
                      <w:color w:val="000000"/>
                      <w:szCs w:val="24"/>
                      <w:lang w:eastAsia="lt-LT"/>
                    </w:rPr>
                    <w:t>3</w:t>
                  </w:r>
                </w:sdtContent>
              </w:sdt>
              <w:r>
                <w:rPr>
                  <w:rFonts w:eastAsia="Andale Sans UI"/>
                  <w:iCs/>
                  <w:color w:val="000000"/>
                  <w:szCs w:val="24"/>
                  <w:lang w:eastAsia="lt-LT"/>
                </w:rPr>
                <w:t>.</w:t>
                <w:tab/>
              </w:r>
              <w:r>
                <w:rPr>
                  <w:rFonts w:eastAsia="Andale Sans UI"/>
                  <w:iCs/>
                  <w:color w:val="000000"/>
                  <w:szCs w:val="24"/>
                  <w:lang w:bidi="en-US"/>
                </w:rPr>
                <w:t>Lietuvos Respublikos aplinkos ministro įsakymo „Dėl Lietuvos Respublikos aplinkos ministro 2011 m. gruodžio 2 d. įsakymo Nr. D1-933 „Dėl statybos techninio reglamento STR 2.06.04:2014 „Gatvės ir vietinės reikšmės keliai. bendrieji reikalavimai“ patvirtinimo“ pakeitimo“ projektas;</w:t>
              </w:r>
            </w:p>
          </w:sdtContent>
        </w:sdt>
        <w:sdt>
          <w:sdtPr>
            <w:alias w:val="4 p."/>
            <w:tag w:val="part_eadca2ecd0ac4a2cab4ce0987e634b0e"/>
            <w:lock w:val="sdtLocked"/>
            <w:richText/>
          </w:sdtPr>
          <w:sdtContent>
            <w:p>
              <w:pPr>
                <w:widowControl w:val="0"/>
                <w:suppressAutoHyphens/>
                <w:ind w:firstLine="567"/>
                <w:jc w:val="both"/>
                <w:rPr>
                  <w:rFonts w:eastAsia="Andale Sans UI"/>
                  <w:iCs/>
                  <w:color w:val="000000"/>
                  <w:szCs w:val="24"/>
                  <w:lang w:bidi="en-US"/>
                </w:rPr>
              </w:pPr>
              <w:sdt>
                <w:sdtPr>
                  <w:alias w:val="Numeris"/>
                  <w:tag w:val="nr_eadca2ecd0ac4a2cab4ce0987e634b0e"/>
                  <w:lock w:val="sdtLocked"/>
                  <w:richText/>
                </w:sdtPr>
                <w:sdtContent>
                  <w:r>
                    <w:rPr>
                      <w:rFonts w:eastAsia="Andale Sans UI"/>
                      <w:iCs/>
                      <w:color w:val="000000"/>
                      <w:szCs w:val="24"/>
                      <w:lang w:eastAsia="lt-LT"/>
                    </w:rPr>
                    <w:t>4</w:t>
                  </w:r>
                </w:sdtContent>
              </w:sdt>
              <w:r>
                <w:rPr>
                  <w:rFonts w:eastAsia="Andale Sans UI"/>
                  <w:iCs/>
                  <w:color w:val="000000"/>
                  <w:szCs w:val="24"/>
                  <w:lang w:eastAsia="lt-LT"/>
                </w:rPr>
                <w:t>.</w:t>
                <w:tab/>
              </w:r>
              <w:r>
                <w:rPr>
                  <w:rFonts w:eastAsia="Andale Sans UI"/>
                  <w:iCs/>
                  <w:color w:val="000000"/>
                  <w:szCs w:val="24"/>
                  <w:lang w:bidi="en-US"/>
                </w:rPr>
                <w:t>Lietuvos Respublikos žemės ūkio ministro ir Lietuvos Respublikos aplinkos ministro įsakymo „Dėl Lietuvos Respublikos žemės ūkio ministro ir Lietuvos Respublikos aplinkos ministro 2005 m. sausio 20 d. įsakymo Nr. 3d 37/D1 40 „Dėl Žemės naudojimo būdų turinio aprašo patvirtinimo“ pripažinimo netekusiu galios“ projektas;</w:t>
              </w:r>
            </w:p>
          </w:sdtContent>
        </w:sdt>
        <w:sdt>
          <w:sdtPr>
            <w:alias w:val="5 p."/>
            <w:tag w:val="part_d0eb8e4530db4436a91c696f6adaa4fd"/>
            <w:lock w:val="sdtLocked"/>
            <w:richText/>
          </w:sdtPr>
          <w:sdtContent>
            <w:p>
              <w:pPr>
                <w:widowControl w:val="0"/>
                <w:suppressAutoHyphens/>
                <w:ind w:firstLine="567"/>
                <w:jc w:val="both"/>
                <w:rPr>
                  <w:rFonts w:eastAsia="Andale Sans UI"/>
                  <w:iCs/>
                  <w:color w:val="000000"/>
                  <w:szCs w:val="24"/>
                  <w:lang w:bidi="en-US"/>
                </w:rPr>
              </w:pPr>
              <w:sdt>
                <w:sdtPr>
                  <w:alias w:val="Numeris"/>
                  <w:tag w:val="nr_d0eb8e4530db4436a91c696f6adaa4fd"/>
                  <w:lock w:val="sdtLocked"/>
                  <w:richText/>
                </w:sdtPr>
                <w:sdtContent>
                  <w:r>
                    <w:rPr>
                      <w:rFonts w:eastAsia="Andale Sans UI"/>
                      <w:iCs/>
                      <w:color w:val="000000"/>
                      <w:szCs w:val="24"/>
                      <w:lang w:eastAsia="lt-LT"/>
                    </w:rPr>
                    <w:t>5</w:t>
                  </w:r>
                </w:sdtContent>
              </w:sdt>
              <w:r>
                <w:rPr>
                  <w:rFonts w:eastAsia="Andale Sans UI"/>
                  <w:iCs/>
                  <w:color w:val="000000"/>
                  <w:szCs w:val="24"/>
                  <w:lang w:eastAsia="lt-LT"/>
                </w:rPr>
                <w:t>.</w:t>
                <w:tab/>
              </w:r>
              <w:r>
                <w:rPr>
                  <w:rFonts w:eastAsia="Andale Sans UI"/>
                  <w:iCs/>
                  <w:color w:val="000000"/>
                  <w:szCs w:val="24"/>
                  <w:lang w:bidi="en-US"/>
                </w:rPr>
                <w:t>Lietuvos Respublikos aplinkos ministro įsakymo „Dėl Žemės naudojimo būdų turinio aprašo patvirtinimo“ projektas;</w:t>
              </w:r>
            </w:p>
          </w:sdtContent>
        </w:sdt>
        <w:sdt>
          <w:sdtPr>
            <w:alias w:val="6 p."/>
            <w:tag w:val="part_8b8563930baa42999357a4351539343d"/>
            <w:lock w:val="sdtLocked"/>
            <w:richText/>
          </w:sdtPr>
          <w:sdtContent>
            <w:p>
              <w:pPr>
                <w:widowControl w:val="0"/>
                <w:suppressAutoHyphens/>
                <w:ind w:firstLine="567"/>
                <w:jc w:val="both"/>
                <w:rPr>
                  <w:rFonts w:eastAsia="Andale Sans UI"/>
                  <w:iCs/>
                  <w:color w:val="000000"/>
                  <w:szCs w:val="24"/>
                  <w:lang w:bidi="en-US"/>
                </w:rPr>
              </w:pPr>
              <w:sdt>
                <w:sdtPr>
                  <w:alias w:val="Numeris"/>
                  <w:tag w:val="nr_8b8563930baa42999357a4351539343d"/>
                  <w:lock w:val="sdtLocked"/>
                  <w:richText/>
                </w:sdtPr>
                <w:sdtContent>
                  <w:r>
                    <w:rPr>
                      <w:rFonts w:eastAsia="Andale Sans UI"/>
                      <w:iCs/>
                      <w:color w:val="000000"/>
                      <w:szCs w:val="24"/>
                      <w:lang w:eastAsia="lt-LT"/>
                    </w:rPr>
                    <w:t>6</w:t>
                  </w:r>
                </w:sdtContent>
              </w:sdt>
              <w:r>
                <w:rPr>
                  <w:rFonts w:eastAsia="Andale Sans UI"/>
                  <w:iCs/>
                  <w:color w:val="000000"/>
                  <w:szCs w:val="24"/>
                  <w:lang w:eastAsia="lt-LT"/>
                </w:rPr>
                <w:t>.</w:t>
                <w:tab/>
              </w:r>
              <w:r>
                <w:rPr>
                  <w:rFonts w:eastAsia="Andale Sans UI"/>
                  <w:iCs/>
                  <w:color w:val="000000"/>
                  <w:szCs w:val="24"/>
                  <w:lang w:bidi="en-US"/>
                </w:rPr>
                <w:t>Lietuvos Respublikos aplinkos ministro įsakymo „Dėl Lietuvos Respublikos aplinkos ministro 2014 m. sausio 2 d. įsakymo Nr. D1-8 „Dėl Kompleksinio teritorijų planavimo dokumentų rengimo taisyklių patvirtinimo“ pakeitimo“ projektas.</w:t>
              </w:r>
            </w:p>
            <w:p>
              <w:pPr>
                <w:widowControl w:val="0"/>
                <w:suppressAutoHyphens/>
                <w:ind w:firstLine="567"/>
                <w:rPr>
                  <w:rFonts w:eastAsia="Andale Sans UI"/>
                  <w:i/>
                  <w:color w:val="000000"/>
                  <w:szCs w:val="24"/>
                  <w:lang w:bidi="en-US"/>
                </w:rPr>
              </w:pPr>
              <w:r>
                <w:rPr>
                  <w:rFonts w:eastAsia="Andale Sans UI"/>
                  <w:i/>
                  <w:color w:val="000000"/>
                  <w:szCs w:val="24"/>
                  <w:lang w:bidi="en-US"/>
                </w:rPr>
                <w:t>SPRENDŽIAMA PROBLEMA</w:t>
              </w:r>
            </w:p>
            <w:p>
              <w:pPr>
                <w:widowControl w:val="0"/>
                <w:suppressAutoHyphens/>
                <w:ind w:firstLine="567"/>
                <w:jc w:val="both"/>
                <w:rPr>
                  <w:rFonts w:eastAsia="Andale Sans UI"/>
                  <w:szCs w:val="24"/>
                  <w:lang w:bidi="en-US"/>
                </w:rPr>
              </w:pPr>
              <w:r>
                <w:rPr>
                  <w:rFonts w:eastAsia="Andale Sans UI"/>
                  <w:szCs w:val="24"/>
                  <w:lang w:bidi="en-US"/>
                </w:rPr>
                <w:t xml:space="preserve">Projektuojant ir statant faktiškai kitokios paskirties pastatus, nei nurodyta projekte ir teritorijų planavimo dokumentuose, kyla </w:t>
              </w:r>
              <w:r>
                <w:rPr>
                  <w:rFonts w:eastAsia="Andale Sans UI"/>
                  <w:b/>
                  <w:bCs/>
                  <w:szCs w:val="24"/>
                  <w:lang w:bidi="en-US"/>
                </w:rPr>
                <w:t>neigiamos pasekmės visuomenei</w:t>
              </w:r>
              <w:r>
                <w:rPr>
                  <w:rFonts w:eastAsia="Andale Sans UI"/>
                  <w:szCs w:val="24"/>
                  <w:lang w:bidi="en-US"/>
                </w:rPr>
                <w:t>: savivaldybių suplanuota infrastruktūra neatitinka poreikių, neužtikrinamas gyventojų informavimas ir teisėti lūkesčiai, nesukuriama sveikatai palanki gyvenamoji aplinka, gyventojai įsigyja „negyvenamus“ butus su iš to kylančiomis jų valdymo ir naudojimo problemomis, rekreacinės teritorijos nenaudojamos viešajam interesui tenkinti, didėja nepasitikėjimas valstybe, apkraunama teismų sistema ir kt.  </w:t>
              </w:r>
            </w:p>
            <w:p>
              <w:pPr>
                <w:widowControl w:val="0"/>
                <w:suppressAutoHyphens/>
                <w:ind w:firstLine="567"/>
                <w:rPr>
                  <w:rFonts w:eastAsia="Andale Sans UI"/>
                  <w:szCs w:val="24"/>
                  <w:lang w:eastAsia="lt-LT" w:bidi="en-US"/>
                </w:rPr>
              </w:pPr>
            </w:p>
            <w:p>
              <w:pPr>
                <w:widowControl w:val="0"/>
                <w:suppressAutoHyphens/>
                <w:ind w:firstLine="567"/>
                <w:jc w:val="both"/>
                <w:rPr>
                  <w:rFonts w:eastAsia="Andale Sans UI"/>
                  <w:i/>
                  <w:color w:val="000000"/>
                  <w:szCs w:val="24"/>
                  <w:lang w:bidi="en-US"/>
                </w:rPr>
              </w:pPr>
              <w:r>
                <w:rPr>
                  <w:rFonts w:eastAsia="Andale Sans UI"/>
                  <w:i/>
                  <w:color w:val="000000"/>
                  <w:szCs w:val="24"/>
                  <w:lang w:bidi="en-US"/>
                </w:rPr>
                <w:t>PROJEKTUOSE SIŪLOMOS PRIEMONĖS:</w:t>
              </w:r>
            </w:p>
          </w:sdtContent>
        </w:sdt>
        <w:sdt>
          <w:sdtPr>
            <w:alias w:val="1 p."/>
            <w:tag w:val="part_69c7832f2b9740d992b2ee8901324719"/>
            <w:lock w:val="sdtLocked"/>
            <w:richText/>
          </w:sdtPr>
          <w:sdtContent>
            <w:p>
              <w:pPr>
                <w:widowControl w:val="0"/>
                <w:suppressAutoHyphens/>
                <w:ind w:firstLine="567"/>
                <w:jc w:val="both"/>
                <w:rPr>
                  <w:rFonts w:eastAsia="Andale Sans UI"/>
                  <w:iCs/>
                  <w:color w:val="000000"/>
                  <w:szCs w:val="24"/>
                  <w:lang w:bidi="en-US"/>
                </w:rPr>
              </w:pPr>
              <w:sdt>
                <w:sdtPr>
                  <w:alias w:val="Numeris"/>
                  <w:tag w:val="nr_69c7832f2b9740d992b2ee8901324719"/>
                  <w:lock w:val="sdtLocked"/>
                  <w:richText/>
                </w:sdtPr>
                <w:sdtContent>
                  <w:r>
                    <w:rPr>
                      <w:rFonts w:eastAsia="Andale Sans UI"/>
                      <w:iCs/>
                      <w:color w:val="000000"/>
                      <w:szCs w:val="24"/>
                      <w:lang w:eastAsia="lt-LT"/>
                    </w:rPr>
                    <w:t>1</w:t>
                  </w:r>
                </w:sdtContent>
              </w:sdt>
              <w:r>
                <w:rPr>
                  <w:rFonts w:eastAsia="Andale Sans UI"/>
                  <w:iCs/>
                  <w:color w:val="000000"/>
                  <w:szCs w:val="24"/>
                  <w:lang w:eastAsia="lt-LT"/>
                </w:rPr>
                <w:t>.</w:t>
                <w:tab/>
              </w:r>
              <w:r>
                <w:rPr>
                  <w:rFonts w:eastAsia="Andale Sans UI"/>
                  <w:iCs/>
                  <w:color w:val="000000"/>
                  <w:szCs w:val="24"/>
                  <w:lang w:bidi="en-US"/>
                </w:rPr>
                <w:t xml:space="preserve">Keičiamas statinių paskirčių </w:t>
              </w:r>
              <w:r>
                <w:rPr>
                  <w:rFonts w:eastAsia="Andale Sans UI"/>
                  <w:b/>
                  <w:bCs/>
                  <w:iCs/>
                  <w:color w:val="000000"/>
                  <w:szCs w:val="24"/>
                  <w:lang w:bidi="en-US"/>
                </w:rPr>
                <w:t>klasifikavimas</w:t>
              </w:r>
              <w:r>
                <w:rPr>
                  <w:rFonts w:eastAsia="Andale Sans UI"/>
                  <w:iCs/>
                  <w:color w:val="000000"/>
                  <w:szCs w:val="24"/>
                  <w:lang w:bidi="en-US"/>
                </w:rPr>
                <w:t xml:space="preserve"> siekiant jį sutapatinti su žemės naudojimo būdų turiniu, kuris naudojamas teritorijų planavimo dokumentų, užkoduojančiu teritorijų naudojimą pirminiame, t. y. teritorijų planavimo etape [1].</w:t>
              </w:r>
            </w:p>
          </w:sdtContent>
        </w:sdt>
        <w:sdt>
          <w:sdtPr>
            <w:alias w:val="2 p."/>
            <w:tag w:val="part_c3eb8b5149df4d55867de08ea01b2670"/>
            <w:lock w:val="sdtLocked"/>
            <w:richText/>
          </w:sdtPr>
          <w:sdtContent>
            <w:p>
              <w:pPr>
                <w:widowControl w:val="0"/>
                <w:suppressAutoHyphens/>
                <w:ind w:firstLine="567"/>
                <w:jc w:val="both"/>
                <w:rPr>
                  <w:rFonts w:eastAsia="Andale Sans UI"/>
                  <w:iCs/>
                  <w:color w:val="000000"/>
                  <w:szCs w:val="24"/>
                  <w:lang w:bidi="en-US"/>
                </w:rPr>
              </w:pPr>
              <w:sdt>
                <w:sdtPr>
                  <w:alias w:val="Numeris"/>
                  <w:tag w:val="nr_c3eb8b5149df4d55867de08ea01b2670"/>
                  <w:lock w:val="sdtLocked"/>
                  <w:richText/>
                </w:sdtPr>
                <w:sdtContent>
                  <w:r>
                    <w:rPr>
                      <w:rFonts w:eastAsia="Andale Sans UI"/>
                      <w:iCs/>
                      <w:color w:val="000000"/>
                      <w:szCs w:val="24"/>
                      <w:lang w:eastAsia="lt-LT"/>
                    </w:rPr>
                    <w:t>2</w:t>
                  </w:r>
                </w:sdtContent>
              </w:sdt>
              <w:r>
                <w:rPr>
                  <w:rFonts w:eastAsia="Andale Sans UI"/>
                  <w:iCs/>
                  <w:color w:val="000000"/>
                  <w:szCs w:val="24"/>
                  <w:lang w:eastAsia="lt-LT"/>
                </w:rPr>
                <w:t>.</w:t>
                <w:tab/>
              </w:r>
              <w:r>
                <w:rPr>
                  <w:rFonts w:eastAsia="Andale Sans UI"/>
                  <w:iCs/>
                  <w:color w:val="000000"/>
                  <w:szCs w:val="24"/>
                  <w:lang w:bidi="en-US"/>
                </w:rPr>
                <w:t xml:space="preserve">Klasifikuojant statinių paskirtį, įvedamas </w:t>
              </w:r>
              <w:r>
                <w:rPr>
                  <w:rFonts w:eastAsia="Andale Sans UI"/>
                  <w:b/>
                  <w:bCs/>
                  <w:iCs/>
                  <w:color w:val="000000"/>
                  <w:szCs w:val="24"/>
                  <w:lang w:bidi="en-US"/>
                </w:rPr>
                <w:t>turtinių vienetų</w:t>
              </w:r>
              <w:r>
                <w:rPr>
                  <w:rFonts w:eastAsia="Andale Sans UI"/>
                  <w:iCs/>
                  <w:color w:val="000000"/>
                  <w:szCs w:val="24"/>
                  <w:lang w:bidi="en-US"/>
                </w:rPr>
                <w:t xml:space="preserve"> (galimų atskirais nekilojamojo turto kadastro objektais pastate suformuoti patalpų) apribojimas tam tikros paskirties statiniuose atsižvelgiant į tų paskirčių pastatų naudojimo specifiką [1].</w:t>
              </w:r>
            </w:p>
          </w:sdtContent>
        </w:sdt>
        <w:sdt>
          <w:sdtPr>
            <w:alias w:val="3 p."/>
            <w:tag w:val="part_b9d049c2f8c046fa947e0ab394007dde"/>
            <w:lock w:val="sdtLocked"/>
            <w:richText/>
          </w:sdtPr>
          <w:sdtContent>
            <w:p>
              <w:pPr>
                <w:widowControl w:val="0"/>
                <w:suppressAutoHyphens/>
                <w:ind w:firstLine="567"/>
                <w:jc w:val="both"/>
                <w:rPr>
                  <w:rFonts w:eastAsia="Andale Sans UI"/>
                  <w:iCs/>
                  <w:color w:val="000000"/>
                  <w:szCs w:val="24"/>
                  <w:lang w:bidi="en-US"/>
                </w:rPr>
              </w:pPr>
              <w:sdt>
                <w:sdtPr>
                  <w:alias w:val="Numeris"/>
                  <w:tag w:val="nr_b9d049c2f8c046fa947e0ab394007dde"/>
                  <w:lock w:val="sdtLocked"/>
                  <w:richText/>
                </w:sdtPr>
                <w:sdtContent>
                  <w:r>
                    <w:rPr>
                      <w:rFonts w:eastAsia="Andale Sans UI"/>
                      <w:iCs/>
                      <w:color w:val="000000"/>
                      <w:szCs w:val="24"/>
                      <w:lang w:eastAsia="lt-LT"/>
                    </w:rPr>
                    <w:t>3</w:t>
                  </w:r>
                </w:sdtContent>
              </w:sdt>
              <w:r>
                <w:rPr>
                  <w:rFonts w:eastAsia="Andale Sans UI"/>
                  <w:iCs/>
                  <w:color w:val="000000"/>
                  <w:szCs w:val="24"/>
                  <w:lang w:eastAsia="lt-LT"/>
                </w:rPr>
                <w:t>.</w:t>
                <w:tab/>
              </w:r>
              <w:r>
                <w:rPr>
                  <w:rFonts w:eastAsia="Andale Sans UI"/>
                  <w:iCs/>
                  <w:color w:val="000000"/>
                  <w:szCs w:val="24"/>
                  <w:lang w:bidi="en-US"/>
                </w:rPr>
                <w:t xml:space="preserve">Atsisakoma </w:t>
              </w:r>
              <w:r>
                <w:rPr>
                  <w:rFonts w:eastAsia="Andale Sans UI"/>
                  <w:b/>
                  <w:bCs/>
                  <w:iCs/>
                  <w:color w:val="000000"/>
                  <w:szCs w:val="24"/>
                  <w:lang w:bidi="en-US"/>
                </w:rPr>
                <w:t xml:space="preserve">nebeaktualių statinių paskirčių </w:t>
              </w:r>
              <w:r>
                <w:rPr>
                  <w:rFonts w:eastAsia="Andale Sans UI"/>
                  <w:iCs/>
                  <w:color w:val="000000"/>
                  <w:szCs w:val="24"/>
                  <w:lang w:bidi="en-US"/>
                </w:rPr>
                <w:t>[1].</w:t>
              </w:r>
            </w:p>
          </w:sdtContent>
        </w:sdt>
        <w:sdt>
          <w:sdtPr>
            <w:alias w:val="4 p."/>
            <w:tag w:val="part_4b5305181cb34a749badf39fa9c9bd4e"/>
            <w:lock w:val="sdtLocked"/>
            <w:richText/>
          </w:sdtPr>
          <w:sdtContent>
            <w:p>
              <w:pPr>
                <w:widowControl w:val="0"/>
                <w:suppressAutoHyphens/>
                <w:ind w:firstLine="567"/>
                <w:jc w:val="both"/>
                <w:rPr>
                  <w:rFonts w:eastAsia="Andale Sans UI"/>
                  <w:iCs/>
                  <w:color w:val="000000"/>
                  <w:szCs w:val="24"/>
                  <w:lang w:bidi="en-US"/>
                </w:rPr>
              </w:pPr>
              <w:sdt>
                <w:sdtPr>
                  <w:alias w:val="Numeris"/>
                  <w:tag w:val="nr_4b5305181cb34a749badf39fa9c9bd4e"/>
                  <w:lock w:val="sdtLocked"/>
                  <w:richText/>
                </w:sdtPr>
                <w:sdtContent>
                  <w:r>
                    <w:rPr>
                      <w:rFonts w:eastAsia="Andale Sans UI"/>
                      <w:iCs/>
                      <w:color w:val="000000"/>
                      <w:szCs w:val="24"/>
                      <w:lang w:eastAsia="lt-LT"/>
                    </w:rPr>
                    <w:t>4</w:t>
                  </w:r>
                </w:sdtContent>
              </w:sdt>
              <w:r>
                <w:rPr>
                  <w:rFonts w:eastAsia="Andale Sans UI"/>
                  <w:iCs/>
                  <w:color w:val="000000"/>
                  <w:szCs w:val="24"/>
                  <w:lang w:eastAsia="lt-LT"/>
                </w:rPr>
                <w:t>.</w:t>
                <w:tab/>
              </w:r>
              <w:r>
                <w:rPr>
                  <w:rFonts w:eastAsia="Andale Sans UI"/>
                  <w:iCs/>
                  <w:color w:val="000000"/>
                  <w:szCs w:val="24"/>
                  <w:lang w:bidi="en-US"/>
                </w:rPr>
                <w:t xml:space="preserve">Siekiant statinių naudojimo pagal paskirtį aiškumo ir teritorijų planavimo metu nustatyto teritorijos naudojimo būdo, išskiriami </w:t>
              </w:r>
              <w:r>
                <w:rPr>
                  <w:rFonts w:eastAsia="Andale Sans UI"/>
                  <w:b/>
                  <w:bCs/>
                  <w:iCs/>
                  <w:color w:val="000000"/>
                  <w:szCs w:val="24"/>
                  <w:lang w:bidi="en-US"/>
                </w:rPr>
                <w:t>mišrūs ir vienos paskirties pastatai</w:t>
              </w:r>
              <w:r>
                <w:rPr>
                  <w:rFonts w:eastAsia="Andale Sans UI"/>
                  <w:iCs/>
                  <w:color w:val="000000"/>
                  <w:szCs w:val="24"/>
                  <w:lang w:bidi="en-US"/>
                </w:rPr>
                <w:t xml:space="preserve"> (kuriuose nustatomas galimas įvairių paskirčių patalpų santykis), nustatomi papildomos normos (infrastruktūros poreikis) ir techniniai reikalavimai projektuojant mišrius pastatus, taip pat sąlygos mišriems pastatams atsirasti [1].</w:t>
              </w:r>
            </w:p>
          </w:sdtContent>
        </w:sdt>
        <w:sdt>
          <w:sdtPr>
            <w:alias w:val="5 p."/>
            <w:tag w:val="part_8d2a79b3ba6a40a2a96c5f5b864c97a4"/>
            <w:lock w:val="sdtLocked"/>
            <w:richText/>
          </w:sdtPr>
          <w:sdtContent>
            <w:p>
              <w:pPr>
                <w:widowControl w:val="0"/>
                <w:suppressAutoHyphens/>
                <w:ind w:firstLine="567"/>
                <w:jc w:val="both"/>
                <w:rPr>
                  <w:rFonts w:eastAsia="Andale Sans UI"/>
                  <w:iCs/>
                  <w:color w:val="000000"/>
                  <w:szCs w:val="24"/>
                  <w:lang w:bidi="en-US"/>
                </w:rPr>
              </w:pPr>
              <w:sdt>
                <w:sdtPr>
                  <w:alias w:val="Numeris"/>
                  <w:tag w:val="nr_8d2a79b3ba6a40a2a96c5f5b864c97a4"/>
                  <w:lock w:val="sdtLocked"/>
                  <w:richText/>
                </w:sdtPr>
                <w:sdtContent>
                  <w:r>
                    <w:rPr>
                      <w:rFonts w:eastAsia="Andale Sans UI"/>
                      <w:iCs/>
                      <w:color w:val="000000"/>
                      <w:szCs w:val="24"/>
                      <w:lang w:eastAsia="lt-LT"/>
                    </w:rPr>
                    <w:t>5</w:t>
                  </w:r>
                </w:sdtContent>
              </w:sdt>
              <w:r>
                <w:rPr>
                  <w:rFonts w:eastAsia="Andale Sans UI"/>
                  <w:iCs/>
                  <w:color w:val="000000"/>
                  <w:szCs w:val="24"/>
                  <w:lang w:eastAsia="lt-LT"/>
                </w:rPr>
                <w:t>.</w:t>
                <w:tab/>
              </w:r>
              <w:r>
                <w:rPr>
                  <w:rFonts w:eastAsia="Andale Sans UI"/>
                  <w:iCs/>
                  <w:color w:val="000000"/>
                  <w:szCs w:val="24"/>
                  <w:lang w:bidi="en-US"/>
                </w:rPr>
                <w:t xml:space="preserve">Tikslinama </w:t>
              </w:r>
              <w:r>
                <w:rPr>
                  <w:rFonts w:eastAsia="Andale Sans UI"/>
                  <w:b/>
                  <w:bCs/>
                  <w:iCs/>
                  <w:color w:val="000000"/>
                  <w:szCs w:val="24"/>
                  <w:lang w:bidi="en-US"/>
                </w:rPr>
                <w:t xml:space="preserve">blokuotų pastatų sąvoka siekiant </w:t>
              </w:r>
              <w:r>
                <w:rPr>
                  <w:rFonts w:eastAsia="Andale Sans UI"/>
                  <w:iCs/>
                  <w:szCs w:val="24"/>
                  <w:lang w:bidi="en-US"/>
                </w:rPr>
                <w:t>išvengti atvejų, kai blokuoti pastatai virsta horizontaliais daugiabučiais, kuriuose kiekvienas butas, nors ir vadinamas atskiru pastatu, bet yra susietas su kitu ir bendromis konstrukcijomis, ir dėl neišspręstos infrastuktūros ir valdymo [</w:t>
              </w:r>
              <w:r>
                <w:rPr>
                  <w:rFonts w:eastAsia="Andale Sans UI"/>
                  <w:iCs/>
                  <w:color w:val="000000"/>
                  <w:szCs w:val="24"/>
                  <w:lang w:bidi="en-US"/>
                </w:rPr>
                <w:t>1];</w:t>
              </w:r>
            </w:p>
          </w:sdtContent>
        </w:sdt>
        <w:sdt>
          <w:sdtPr>
            <w:alias w:val="6 p."/>
            <w:tag w:val="part_ef6e1be23e1d4b55a5f333b371fa7844"/>
            <w:lock w:val="sdtLocked"/>
            <w:richText/>
          </w:sdtPr>
          <w:sdtContent>
            <w:p>
              <w:pPr>
                <w:widowControl w:val="0"/>
                <w:suppressAutoHyphens/>
                <w:ind w:firstLine="567"/>
                <w:jc w:val="both"/>
                <w:rPr>
                  <w:rFonts w:eastAsia="Andale Sans UI"/>
                  <w:iCs/>
                  <w:color w:val="000000"/>
                  <w:szCs w:val="24"/>
                  <w:lang w:bidi="en-US"/>
                </w:rPr>
              </w:pPr>
              <w:sdt>
                <w:sdtPr>
                  <w:alias w:val="Numeris"/>
                  <w:tag w:val="nr_ef6e1be23e1d4b55a5f333b371fa7844"/>
                  <w:lock w:val="sdtLocked"/>
                  <w:richText/>
                </w:sdtPr>
                <w:sdtContent>
                  <w:r>
                    <w:rPr>
                      <w:rFonts w:eastAsia="Andale Sans UI"/>
                      <w:iCs/>
                      <w:color w:val="000000"/>
                      <w:szCs w:val="24"/>
                      <w:lang w:eastAsia="lt-LT"/>
                    </w:rPr>
                    <w:t>6</w:t>
                  </w:r>
                </w:sdtContent>
              </w:sdt>
              <w:r>
                <w:rPr>
                  <w:rFonts w:eastAsia="Andale Sans UI"/>
                  <w:iCs/>
                  <w:color w:val="000000"/>
                  <w:szCs w:val="24"/>
                  <w:lang w:eastAsia="lt-LT"/>
                </w:rPr>
                <w:t>.</w:t>
                <w:tab/>
              </w:r>
              <w:r>
                <w:rPr>
                  <w:rFonts w:eastAsia="Andale Sans UI"/>
                  <w:iCs/>
                  <w:color w:val="000000"/>
                  <w:szCs w:val="24"/>
                  <w:lang w:bidi="en-US"/>
                </w:rPr>
                <w:t xml:space="preserve">Išskiriami du rekreacinių </w:t>
              </w:r>
              <w:r>
                <w:rPr>
                  <w:rFonts w:eastAsia="Andale Sans UI"/>
                  <w:b/>
                  <w:bCs/>
                  <w:iCs/>
                  <w:color w:val="000000"/>
                  <w:szCs w:val="24"/>
                  <w:lang w:bidi="en-US"/>
                </w:rPr>
                <w:t>pastatų tipai: skirti viešai ir privačiai rekreacijai</w:t>
              </w:r>
              <w:r>
                <w:rPr>
                  <w:rFonts w:eastAsia="Andale Sans UI"/>
                  <w:iCs/>
                  <w:color w:val="000000"/>
                  <w:szCs w:val="24"/>
                  <w:lang w:bidi="en-US"/>
                </w:rPr>
                <w:t xml:space="preserve"> [1], </w:t>
              </w:r>
              <w:r>
                <w:rPr>
                  <w:rFonts w:eastAsia="Andale Sans UI"/>
                  <w:iCs/>
                  <w:szCs w:val="24"/>
                  <w:lang w:bidi="en-US"/>
                </w:rPr>
                <w:t xml:space="preserve">nustatoma, kad asmeninei rekreacijai skirti pastatai gali būti statomi rekreacinio naudojimo būdo žemės sklypuose tik jei jų statybos galimybė numatyta teritorijų planavimo dokumentuose, kitu atveju šiose teritorijose gali būti statomi tik viešai rekreacijai skirti </w:t>
              </w:r>
              <w:r>
                <w:rPr>
                  <w:rFonts w:eastAsia="Andale Sans UI"/>
                  <w:iCs/>
                  <w:color w:val="000000"/>
                  <w:szCs w:val="24"/>
                  <w:lang w:bidi="en-US"/>
                </w:rPr>
                <w:t>pastatai</w:t>
              </w:r>
              <w:r>
                <w:rPr>
                  <w:rFonts w:eastAsia="Andale Sans UI"/>
                  <w:iCs/>
                  <w:szCs w:val="24"/>
                  <w:lang w:bidi="en-US"/>
                </w:rPr>
                <w:t xml:space="preserve"> [4, 5]. Šis pakeitimas suteikia aiškumo planuojant  ir naudojant rekreacines teritorijas , sprendžia situacijas, kai vaizdingiausios, didžiausius rekreacinius resursus ir ekosistemines paslaugas galinčios suteikti rekreacinės teritorijos tampa privačiomis, neprieinamomis visuomenei . Pažymėtina, kad visi esami poilsio paskirties pastatai po šių pakeitimų netaps privačiai rekreacijai skirtais pastatais – atsižvelgiant į galiojantį reglamentavimą (pvz., poilsio paskirties pastatų pritaikymo asmenų su negalia reikmėms, numatant, kad juose bus teikiamos paslaugos), jie taps viešais rekreaciniais pastatais, privačiai rekreacijai skirtais galės tapti, jei tai bus numatyta teritorijų planavimo dokumentuose</w:t>
              </w:r>
            </w:p>
          </w:sdtContent>
        </w:sdt>
        <w:sdt>
          <w:sdtPr>
            <w:alias w:val="7 p."/>
            <w:tag w:val="part_bc3e73b4abb5494ebe71f587330a8d3d"/>
            <w:lock w:val="sdtLocked"/>
            <w:richText/>
          </w:sdtPr>
          <w:sdtContent>
            <w:p>
              <w:pPr>
                <w:widowControl w:val="0"/>
                <w:suppressAutoHyphens/>
                <w:ind w:firstLine="567"/>
                <w:jc w:val="both"/>
                <w:rPr>
                  <w:rFonts w:eastAsia="Andale Sans UI"/>
                  <w:iCs/>
                  <w:color w:val="000000"/>
                  <w:szCs w:val="24"/>
                  <w:lang w:bidi="en-US"/>
                </w:rPr>
              </w:pPr>
              <w:sdt>
                <w:sdtPr>
                  <w:alias w:val="Numeris"/>
                  <w:tag w:val="nr_bc3e73b4abb5494ebe71f587330a8d3d"/>
                  <w:lock w:val="sdtLocked"/>
                  <w:richText/>
                </w:sdtPr>
                <w:sdtContent>
                  <w:r>
                    <w:rPr>
                      <w:rFonts w:eastAsia="Andale Sans UI"/>
                      <w:iCs/>
                      <w:color w:val="000000"/>
                      <w:szCs w:val="24"/>
                      <w:lang w:eastAsia="lt-LT"/>
                    </w:rPr>
                    <w:t>7</w:t>
                  </w:r>
                </w:sdtContent>
              </w:sdt>
              <w:r>
                <w:rPr>
                  <w:rFonts w:eastAsia="Andale Sans UI"/>
                  <w:iCs/>
                  <w:color w:val="000000"/>
                  <w:szCs w:val="24"/>
                  <w:lang w:eastAsia="lt-LT"/>
                </w:rPr>
                <w:t>.</w:t>
                <w:tab/>
              </w:r>
              <w:r>
                <w:rPr>
                  <w:rFonts w:eastAsia="Andale Sans UI"/>
                  <w:iCs/>
                  <w:color w:val="000000"/>
                  <w:szCs w:val="24"/>
                  <w:lang w:bidi="en-US"/>
                </w:rPr>
                <w:t xml:space="preserve">Išskiriama atskira </w:t>
              </w:r>
              <w:r>
                <w:rPr>
                  <w:rFonts w:eastAsia="Andale Sans UI"/>
                  <w:b/>
                  <w:bCs/>
                  <w:iCs/>
                  <w:color w:val="000000"/>
                  <w:szCs w:val="24"/>
                  <w:lang w:bidi="en-US"/>
                </w:rPr>
                <w:t>specialiųjų paslaugų pastatų paskirtis</w:t>
              </w:r>
              <w:r>
                <w:rPr>
                  <w:rFonts w:eastAsia="Andale Sans UI"/>
                  <w:iCs/>
                  <w:color w:val="000000"/>
                  <w:szCs w:val="24"/>
                  <w:lang w:bidi="en-US"/>
                </w:rPr>
                <w:t xml:space="preserve"> siekiant prievolės gauti statybos leidimą norint keisti statinio paskirtį į didesnį poveikį aplinkinėms teritorijoms darančią pastatų ar patalpų paskirtį [1].</w:t>
              </w:r>
            </w:p>
          </w:sdtContent>
        </w:sdt>
        <w:sdt>
          <w:sdtPr>
            <w:alias w:val="8 p."/>
            <w:tag w:val="part_166f62715c8d468c8fdf8bbee653d23d"/>
            <w:lock w:val="sdtLocked"/>
            <w:richText/>
          </w:sdtPr>
          <w:sdtContent>
            <w:p>
              <w:pPr>
                <w:widowControl w:val="0"/>
                <w:suppressAutoHyphens/>
                <w:ind w:firstLine="567"/>
                <w:jc w:val="both"/>
                <w:rPr>
                  <w:rFonts w:eastAsia="Andale Sans UI"/>
                  <w:iCs/>
                  <w:color w:val="000000"/>
                  <w:szCs w:val="24"/>
                  <w:lang w:bidi="en-US"/>
                </w:rPr>
              </w:pPr>
              <w:sdt>
                <w:sdtPr>
                  <w:alias w:val="Numeris"/>
                  <w:tag w:val="nr_166f62715c8d468c8fdf8bbee653d23d"/>
                  <w:lock w:val="sdtLocked"/>
                  <w:richText/>
                </w:sdtPr>
                <w:sdtContent>
                  <w:r>
                    <w:rPr>
                      <w:rFonts w:eastAsia="Andale Sans UI"/>
                      <w:iCs/>
                      <w:color w:val="000000"/>
                      <w:szCs w:val="24"/>
                      <w:lang w:eastAsia="lt-LT"/>
                    </w:rPr>
                    <w:t>8</w:t>
                  </w:r>
                </w:sdtContent>
              </w:sdt>
              <w:r>
                <w:rPr>
                  <w:rFonts w:eastAsia="Andale Sans UI"/>
                  <w:iCs/>
                  <w:color w:val="000000"/>
                  <w:szCs w:val="24"/>
                  <w:lang w:eastAsia="lt-LT"/>
                </w:rPr>
                <w:t>.</w:t>
                <w:tab/>
              </w:r>
              <w:r>
                <w:rPr>
                  <w:rFonts w:eastAsia="Andale Sans UI"/>
                  <w:iCs/>
                  <w:color w:val="000000"/>
                  <w:szCs w:val="24"/>
                  <w:lang w:bidi="en-US"/>
                </w:rPr>
                <w:t xml:space="preserve">Naujai dėstomame statinių klasifikavime </w:t>
              </w:r>
              <w:r>
                <w:rPr>
                  <w:rFonts w:eastAsia="Andale Sans UI"/>
                  <w:b/>
                  <w:bCs/>
                  <w:iCs/>
                  <w:color w:val="000000"/>
                  <w:szCs w:val="24"/>
                  <w:lang w:bidi="en-US"/>
                </w:rPr>
                <w:t>nebelieka prievolės gauti statybos leidimą</w:t>
              </w:r>
              <w:r>
                <w:rPr>
                  <w:rFonts w:eastAsia="Andale Sans UI"/>
                  <w:iCs/>
                  <w:color w:val="000000"/>
                  <w:szCs w:val="24"/>
                  <w:lang w:bidi="en-US"/>
                </w:rPr>
                <w:t>, kai keičiamas tik pastato ar patalpos tipas (keičiama veikla pastate ar patalpoje į pagal pobūdį ar specifiką panašią veiklą) [1].</w:t>
              </w:r>
            </w:p>
          </w:sdtContent>
        </w:sdt>
        <w:sdt>
          <w:sdtPr>
            <w:alias w:val="9 p."/>
            <w:tag w:val="part_1005499fc96643138b016fd95f6997dd"/>
            <w:lock w:val="sdtLocked"/>
            <w:richText/>
          </w:sdtPr>
          <w:sdtContent>
            <w:p>
              <w:pPr>
                <w:widowControl w:val="0"/>
                <w:suppressAutoHyphens/>
                <w:ind w:firstLine="567"/>
                <w:jc w:val="both"/>
                <w:rPr>
                  <w:rFonts w:eastAsia="Andale Sans UI"/>
                  <w:iCs/>
                  <w:color w:val="000000"/>
                  <w:szCs w:val="24"/>
                  <w:lang w:bidi="en-US"/>
                </w:rPr>
              </w:pPr>
              <w:sdt>
                <w:sdtPr>
                  <w:alias w:val="Numeris"/>
                  <w:tag w:val="nr_1005499fc96643138b016fd95f6997dd"/>
                  <w:lock w:val="sdtLocked"/>
                  <w:richText/>
                </w:sdtPr>
                <w:sdtContent>
                  <w:r>
                    <w:rPr>
                      <w:rFonts w:eastAsia="Andale Sans UI"/>
                      <w:iCs/>
                      <w:color w:val="000000"/>
                      <w:szCs w:val="24"/>
                      <w:lang w:eastAsia="lt-LT"/>
                    </w:rPr>
                    <w:t>9</w:t>
                  </w:r>
                </w:sdtContent>
              </w:sdt>
              <w:r>
                <w:rPr>
                  <w:rFonts w:eastAsia="Andale Sans UI"/>
                  <w:iCs/>
                  <w:color w:val="000000"/>
                  <w:szCs w:val="24"/>
                  <w:lang w:eastAsia="lt-LT"/>
                </w:rPr>
                <w:t>.</w:t>
                <w:tab/>
              </w:r>
              <w:r>
                <w:rPr>
                  <w:rFonts w:eastAsia="Andale Sans UI"/>
                  <w:iCs/>
                  <w:color w:val="000000"/>
                  <w:szCs w:val="24"/>
                  <w:lang w:bidi="en-US"/>
                </w:rPr>
                <w:t>Kai kurioms atskirais nekilnojamojo turto kadastro objektais formuojamoms</w:t>
              </w:r>
              <w:r>
                <w:rPr>
                  <w:rFonts w:eastAsia="Andale Sans UI"/>
                  <w:b/>
                  <w:bCs/>
                  <w:iCs/>
                  <w:color w:val="000000"/>
                  <w:szCs w:val="24"/>
                  <w:lang w:bidi="en-US"/>
                </w:rPr>
                <w:t xml:space="preserve"> patalpoms nustatomi reikalavimai dėl jų sudėties (tipologijos) </w:t>
              </w:r>
              <w:r>
                <w:rPr>
                  <w:rFonts w:eastAsia="Andale Sans UI"/>
                  <w:iCs/>
                  <w:color w:val="000000"/>
                  <w:szCs w:val="24"/>
                  <w:lang w:bidi="en-US"/>
                </w:rPr>
                <w:t>siekiant, kad nebūtų piktnaudžiaujama jų kiekiu pastate – t. y. kai jos pagal faktą virsta butais [1].</w:t>
              </w:r>
            </w:p>
          </w:sdtContent>
        </w:sdt>
        <w:sdt>
          <w:sdtPr>
            <w:alias w:val="10 p."/>
            <w:tag w:val="part_7fa41cfe87324fd081434ed145ec836a"/>
            <w:lock w:val="sdtLocked"/>
            <w:richText/>
          </w:sdtPr>
          <w:sdtContent>
            <w:p>
              <w:pPr>
                <w:widowControl w:val="0"/>
                <w:suppressAutoHyphens/>
                <w:ind w:firstLine="567"/>
                <w:jc w:val="both"/>
                <w:rPr>
                  <w:rFonts w:eastAsia="Andale Sans UI"/>
                  <w:iCs/>
                  <w:color w:val="000000"/>
                  <w:szCs w:val="24"/>
                  <w:lang w:bidi="en-US"/>
                </w:rPr>
              </w:pPr>
              <w:sdt>
                <w:sdtPr>
                  <w:alias w:val="Numeris"/>
                  <w:tag w:val="nr_7fa41cfe87324fd081434ed145ec836a"/>
                  <w:lock w:val="sdtLocked"/>
                  <w:richText/>
                </w:sdtPr>
                <w:sdtContent>
                  <w:r>
                    <w:rPr>
                      <w:rFonts w:eastAsia="Andale Sans UI"/>
                      <w:iCs/>
                      <w:color w:val="000000"/>
                      <w:szCs w:val="24"/>
                      <w:lang w:eastAsia="lt-LT"/>
                    </w:rPr>
                    <w:t>10</w:t>
                  </w:r>
                </w:sdtContent>
              </w:sdt>
              <w:r>
                <w:rPr>
                  <w:rFonts w:eastAsia="Andale Sans UI"/>
                  <w:iCs/>
                  <w:color w:val="000000"/>
                  <w:szCs w:val="24"/>
                  <w:lang w:eastAsia="lt-LT"/>
                </w:rPr>
                <w:t>.</w:t>
                <w:tab/>
              </w:r>
              <w:r>
                <w:rPr>
                  <w:rFonts w:eastAsia="Andale Sans UI"/>
                  <w:iCs/>
                  <w:color w:val="000000"/>
                  <w:szCs w:val="24"/>
                  <w:lang w:bidi="en-US"/>
                </w:rPr>
                <w:t xml:space="preserve">Nustatomi </w:t>
              </w:r>
              <w:r>
                <w:rPr>
                  <w:rFonts w:eastAsia="Andale Sans UI"/>
                  <w:b/>
                  <w:bCs/>
                  <w:iCs/>
                  <w:color w:val="000000"/>
                  <w:szCs w:val="24"/>
                  <w:lang w:bidi="en-US"/>
                </w:rPr>
                <w:t>apribojimai pagalbinio ūkio pastatų statybai ir registravimui</w:t>
              </w:r>
              <w:r>
                <w:rPr>
                  <w:rFonts w:eastAsia="Andale Sans UI"/>
                  <w:iCs/>
                  <w:color w:val="000000"/>
                  <w:szCs w:val="24"/>
                  <w:lang w:bidi="en-US"/>
                </w:rPr>
                <w:t>, kai nėra pagrindinio pastato [1].</w:t>
              </w:r>
            </w:p>
          </w:sdtContent>
        </w:sdt>
        <w:sdt>
          <w:sdtPr>
            <w:alias w:val="11 p."/>
            <w:tag w:val="part_9dea8b3cddc54756a498582c5bcb0ad1"/>
            <w:lock w:val="sdtLocked"/>
            <w:richText/>
          </w:sdtPr>
          <w:sdtContent>
            <w:p>
              <w:pPr>
                <w:widowControl w:val="0"/>
                <w:suppressAutoHyphens/>
                <w:ind w:firstLine="567"/>
                <w:jc w:val="both"/>
                <w:rPr>
                  <w:rFonts w:eastAsia="Andale Sans UI"/>
                  <w:iCs/>
                  <w:color w:val="000000"/>
                  <w:szCs w:val="24"/>
                  <w:lang w:bidi="en-US"/>
                </w:rPr>
              </w:pPr>
              <w:sdt>
                <w:sdtPr>
                  <w:alias w:val="Numeris"/>
                  <w:tag w:val="nr_9dea8b3cddc54756a498582c5bcb0ad1"/>
                  <w:lock w:val="sdtLocked"/>
                  <w:richText/>
                </w:sdtPr>
                <w:sdtContent>
                  <w:r>
                    <w:rPr>
                      <w:rFonts w:eastAsia="Andale Sans UI"/>
                      <w:iCs/>
                      <w:color w:val="000000"/>
                      <w:szCs w:val="24"/>
                      <w:lang w:eastAsia="lt-LT"/>
                    </w:rPr>
                    <w:t>11</w:t>
                  </w:r>
                </w:sdtContent>
              </w:sdt>
              <w:r>
                <w:rPr>
                  <w:rFonts w:eastAsia="Andale Sans UI"/>
                  <w:iCs/>
                  <w:color w:val="000000"/>
                  <w:szCs w:val="24"/>
                  <w:lang w:eastAsia="lt-LT"/>
                </w:rPr>
                <w:t>.</w:t>
                <w:tab/>
              </w:r>
              <w:r>
                <w:rPr>
                  <w:rFonts w:eastAsia="Andale Sans UI"/>
                  <w:iCs/>
                  <w:color w:val="000000"/>
                  <w:szCs w:val="24"/>
                  <w:lang w:bidi="en-US"/>
                </w:rPr>
                <w:t xml:space="preserve">Reglamentuojamas </w:t>
              </w:r>
              <w:r>
                <w:rPr>
                  <w:rFonts w:eastAsia="Andale Sans UI"/>
                  <w:b/>
                  <w:bCs/>
                  <w:iCs/>
                  <w:color w:val="000000"/>
                  <w:szCs w:val="24"/>
                  <w:lang w:bidi="en-US"/>
                </w:rPr>
                <w:t>naujas bendro gyvenimo namų pastatų ir patalpų tipas</w:t>
              </w:r>
              <w:r>
                <w:rPr>
                  <w:rFonts w:eastAsia="Andale Sans UI"/>
                  <w:iCs/>
                  <w:color w:val="000000"/>
                  <w:szCs w:val="24"/>
                  <w:lang w:bidi="en-US"/>
                </w:rPr>
                <w:t xml:space="preserve"> [1].</w:t>
              </w:r>
            </w:p>
          </w:sdtContent>
        </w:sdt>
        <w:sdt>
          <w:sdtPr>
            <w:alias w:val="12 p."/>
            <w:tag w:val="part_93b48568ae504e9ebf1e02528e43b7cf"/>
            <w:lock w:val="sdtLocked"/>
            <w:richText/>
          </w:sdtPr>
          <w:sdtContent>
            <w:p>
              <w:pPr>
                <w:widowControl w:val="0"/>
                <w:suppressAutoHyphens/>
                <w:ind w:firstLine="567"/>
                <w:jc w:val="both"/>
                <w:rPr>
                  <w:rFonts w:eastAsia="Andale Sans UI"/>
                  <w:iCs/>
                  <w:color w:val="000000"/>
                  <w:szCs w:val="24"/>
                  <w:lang w:bidi="en-US"/>
                </w:rPr>
              </w:pPr>
              <w:sdt>
                <w:sdtPr>
                  <w:alias w:val="Numeris"/>
                  <w:tag w:val="nr_93b48568ae504e9ebf1e02528e43b7cf"/>
                  <w:lock w:val="sdtLocked"/>
                  <w:richText/>
                </w:sdtPr>
                <w:sdtContent>
                  <w:r>
                    <w:rPr>
                      <w:rFonts w:eastAsia="Andale Sans UI"/>
                      <w:iCs/>
                      <w:color w:val="000000"/>
                      <w:szCs w:val="24"/>
                      <w:lang w:eastAsia="lt-LT"/>
                    </w:rPr>
                    <w:t>12</w:t>
                  </w:r>
                </w:sdtContent>
              </w:sdt>
              <w:r>
                <w:rPr>
                  <w:rFonts w:eastAsia="Andale Sans UI"/>
                  <w:iCs/>
                  <w:color w:val="000000"/>
                  <w:szCs w:val="24"/>
                  <w:lang w:eastAsia="lt-LT"/>
                </w:rPr>
                <w:t>.</w:t>
                <w:tab/>
              </w:r>
              <w:r>
                <w:rPr>
                  <w:rFonts w:eastAsia="Andale Sans UI"/>
                  <w:iCs/>
                  <w:color w:val="000000"/>
                  <w:szCs w:val="24"/>
                  <w:lang w:bidi="en-US"/>
                </w:rPr>
                <w:t xml:space="preserve">Įtvirtinta nuostata, kad įrengiant </w:t>
              </w:r>
              <w:r>
                <w:rPr>
                  <w:rFonts w:eastAsia="Andale Sans UI"/>
                  <w:b/>
                  <w:bCs/>
                  <w:iCs/>
                  <w:color w:val="000000"/>
                  <w:szCs w:val="24"/>
                  <w:lang w:bidi="en-US"/>
                </w:rPr>
                <w:t>gyvenamąsias patalpas mišriuose pastatuose</w:t>
              </w:r>
              <w:r>
                <w:rPr>
                  <w:rFonts w:eastAsia="Andale Sans UI"/>
                  <w:iCs/>
                  <w:color w:val="000000"/>
                  <w:szCs w:val="24"/>
                  <w:lang w:bidi="en-US"/>
                </w:rPr>
                <w:t xml:space="preserve"> privaloma užtikrinti joms reikalingą infrastruktūrą žemės sklype [1,2].</w:t>
              </w:r>
            </w:p>
          </w:sdtContent>
        </w:sdt>
        <w:sdt>
          <w:sdtPr>
            <w:alias w:val="13 p."/>
            <w:tag w:val="part_0aca2035977e4e3484f3fbd510c7ed83"/>
            <w:lock w:val="sdtLocked"/>
            <w:richText/>
          </w:sdtPr>
          <w:sdtContent>
            <w:p>
              <w:pPr>
                <w:widowControl w:val="0"/>
                <w:suppressAutoHyphens/>
                <w:ind w:firstLine="567"/>
                <w:jc w:val="both"/>
                <w:rPr>
                  <w:rFonts w:eastAsia="Andale Sans UI"/>
                  <w:iCs/>
                  <w:color w:val="000000"/>
                  <w:szCs w:val="24"/>
                  <w:lang w:bidi="en-US"/>
                </w:rPr>
              </w:pPr>
              <w:sdt>
                <w:sdtPr>
                  <w:alias w:val="Numeris"/>
                  <w:tag w:val="nr_0aca2035977e4e3484f3fbd510c7ed83"/>
                  <w:lock w:val="sdtLocked"/>
                  <w:richText/>
                </w:sdtPr>
                <w:sdtContent>
                  <w:r>
                    <w:rPr>
                      <w:rFonts w:eastAsia="Andale Sans UI"/>
                      <w:iCs/>
                      <w:color w:val="000000"/>
                      <w:szCs w:val="24"/>
                      <w:lang w:eastAsia="lt-LT"/>
                    </w:rPr>
                    <w:t>13</w:t>
                  </w:r>
                </w:sdtContent>
              </w:sdt>
              <w:r>
                <w:rPr>
                  <w:rFonts w:eastAsia="Andale Sans UI"/>
                  <w:iCs/>
                  <w:color w:val="000000"/>
                  <w:szCs w:val="24"/>
                  <w:lang w:eastAsia="lt-LT"/>
                </w:rPr>
                <w:t>.</w:t>
                <w:tab/>
              </w:r>
              <w:r>
                <w:rPr>
                  <w:rFonts w:eastAsia="Andale Sans UI"/>
                  <w:iCs/>
                  <w:color w:val="000000"/>
                  <w:szCs w:val="24"/>
                  <w:lang w:bidi="en-US"/>
                </w:rPr>
                <w:t xml:space="preserve">Peržiūrimi ir tikslinami gyvenamųjų pastatų projektavimo techniniai normatyvai ir infrastruktūros reikalavimai siekiant sudaryti sąlygas </w:t>
              </w:r>
              <w:r>
                <w:rPr>
                  <w:rFonts w:eastAsia="Andale Sans UI"/>
                  <w:b/>
                  <w:bCs/>
                  <w:iCs/>
                  <w:color w:val="000000"/>
                  <w:szCs w:val="24"/>
                  <w:lang w:bidi="en-US"/>
                </w:rPr>
                <w:t>susiformavusio užstatymo teritorijose taikyti išimtis</w:t>
              </w:r>
              <w:r>
                <w:rPr>
                  <w:rFonts w:eastAsia="Andale Sans UI"/>
                  <w:iCs/>
                  <w:color w:val="000000"/>
                  <w:szCs w:val="24"/>
                  <w:lang w:bidi="en-US"/>
                </w:rPr>
                <w:t xml:space="preserve"> atsirasti naujiems gyvenamiesiems pastatams ar rekonstruoti esamus [2].</w:t>
              </w:r>
            </w:p>
          </w:sdtContent>
        </w:sdt>
        <w:sdt>
          <w:sdtPr>
            <w:alias w:val="14 p."/>
            <w:tag w:val="part_46b6548edf0a4d53a116648c389a977b"/>
            <w:lock w:val="sdtLocked"/>
            <w:richText/>
          </w:sdtPr>
          <w:sdtContent>
            <w:p>
              <w:pPr>
                <w:widowControl w:val="0"/>
                <w:suppressAutoHyphens/>
                <w:ind w:firstLine="567"/>
                <w:jc w:val="both"/>
                <w:rPr>
                  <w:rFonts w:eastAsia="Andale Sans UI"/>
                  <w:iCs/>
                  <w:color w:val="000000"/>
                  <w:szCs w:val="24"/>
                  <w:lang w:bidi="en-US"/>
                </w:rPr>
              </w:pPr>
              <w:sdt>
                <w:sdtPr>
                  <w:alias w:val="Numeris"/>
                  <w:tag w:val="nr_46b6548edf0a4d53a116648c389a977b"/>
                  <w:lock w:val="sdtLocked"/>
                  <w:richText/>
                </w:sdtPr>
                <w:sdtContent>
                  <w:r>
                    <w:rPr>
                      <w:rFonts w:eastAsia="Andale Sans UI"/>
                      <w:iCs/>
                      <w:color w:val="000000"/>
                      <w:szCs w:val="24"/>
                      <w:lang w:eastAsia="lt-LT"/>
                    </w:rPr>
                    <w:t>14</w:t>
                  </w:r>
                </w:sdtContent>
              </w:sdt>
              <w:r>
                <w:rPr>
                  <w:rFonts w:eastAsia="Andale Sans UI"/>
                  <w:iCs/>
                  <w:color w:val="000000"/>
                  <w:szCs w:val="24"/>
                  <w:lang w:eastAsia="lt-LT"/>
                </w:rPr>
                <w:t>.</w:t>
                <w:tab/>
              </w:r>
              <w:r>
                <w:rPr>
                  <w:rFonts w:eastAsia="Andale Sans UI"/>
                  <w:iCs/>
                  <w:color w:val="000000"/>
                  <w:szCs w:val="24"/>
                  <w:lang w:bidi="en-US"/>
                </w:rPr>
                <w:t xml:space="preserve">Sudaroma galimybė daugiabučiams gyvenamiesiems pastatams reikalingą </w:t>
              </w:r>
              <w:r>
                <w:rPr>
                  <w:rFonts w:eastAsia="Andale Sans UI"/>
                  <w:b/>
                  <w:bCs/>
                  <w:iCs/>
                  <w:color w:val="000000"/>
                  <w:szCs w:val="24"/>
                  <w:lang w:bidi="en-US"/>
                </w:rPr>
                <w:t>planuoti ir projektuoti bendrą infrastruktūrą - kvartalinę</w:t>
              </w:r>
              <w:r>
                <w:rPr>
                  <w:rFonts w:eastAsia="Andale Sans UI"/>
                  <w:iCs/>
                  <w:color w:val="000000"/>
                  <w:szCs w:val="24"/>
                  <w:lang w:bidi="en-US"/>
                </w:rPr>
                <w:t xml:space="preserve"> (t. y. skirtą aptarnauti kvartalą ar pastatų grupę, netaikyti galiojančio reikalavimo, kai keliems greta esantiems pastatams būtiną infrastruktūrą reikalaujama numatyti atskirai kiekviename žemės sklype) [2].</w:t>
              </w:r>
            </w:p>
          </w:sdtContent>
        </w:sdt>
        <w:sdt>
          <w:sdtPr>
            <w:alias w:val="15 p."/>
            <w:tag w:val="part_d8bb9ce5fca846c1b55290b3cc096be2"/>
            <w:lock w:val="sdtLocked"/>
            <w:richText/>
          </w:sdtPr>
          <w:sdtContent>
            <w:p>
              <w:pPr>
                <w:widowControl w:val="0"/>
                <w:suppressAutoHyphens/>
                <w:ind w:firstLine="567"/>
                <w:jc w:val="both"/>
                <w:rPr>
                  <w:rFonts w:eastAsia="Andale Sans UI"/>
                  <w:iCs/>
                  <w:color w:val="000000"/>
                  <w:szCs w:val="24"/>
                  <w:lang w:bidi="en-US"/>
                </w:rPr>
              </w:pPr>
              <w:sdt>
                <w:sdtPr>
                  <w:alias w:val="Numeris"/>
                  <w:tag w:val="nr_d8bb9ce5fca846c1b55290b3cc096be2"/>
                  <w:lock w:val="sdtLocked"/>
                  <w:richText/>
                </w:sdtPr>
                <w:sdtContent>
                  <w:r>
                    <w:rPr>
                      <w:rFonts w:eastAsia="Andale Sans UI"/>
                      <w:iCs/>
                      <w:color w:val="000000"/>
                      <w:szCs w:val="24"/>
                      <w:lang w:eastAsia="lt-LT"/>
                    </w:rPr>
                    <w:t>15</w:t>
                  </w:r>
                </w:sdtContent>
              </w:sdt>
              <w:r>
                <w:rPr>
                  <w:rFonts w:eastAsia="Andale Sans UI"/>
                  <w:iCs/>
                  <w:color w:val="000000"/>
                  <w:szCs w:val="24"/>
                  <w:lang w:eastAsia="lt-LT"/>
                </w:rPr>
                <w:t>.</w:t>
                <w:tab/>
              </w:r>
              <w:r>
                <w:rPr>
                  <w:rFonts w:eastAsia="Andale Sans UI"/>
                  <w:iCs/>
                  <w:color w:val="000000"/>
                  <w:szCs w:val="24"/>
                  <w:lang w:bidi="en-US"/>
                </w:rPr>
                <w:t xml:space="preserve">Atsižvelgiant į naują statinių paskirčių reglamentavimą, </w:t>
              </w:r>
              <w:r>
                <w:rPr>
                  <w:rFonts w:eastAsia="Andale Sans UI"/>
                  <w:b/>
                  <w:bCs/>
                  <w:iCs/>
                  <w:color w:val="000000"/>
                  <w:szCs w:val="24"/>
                  <w:lang w:bidi="en-US"/>
                </w:rPr>
                <w:t>tikslinamas minimalus reikalaujamas automobilių stovėjimo vietų skaičius</w:t>
              </w:r>
              <w:r>
                <w:rPr>
                  <w:rFonts w:eastAsia="Andale Sans UI"/>
                  <w:iCs/>
                  <w:color w:val="000000"/>
                  <w:szCs w:val="24"/>
                  <w:lang w:bidi="en-US"/>
                </w:rPr>
                <w:t xml:space="preserve"> [3].</w:t>
              </w:r>
            </w:p>
          </w:sdtContent>
        </w:sdt>
        <w:sdt>
          <w:sdtPr>
            <w:alias w:val="16 p."/>
            <w:tag w:val="part_781e15e23e894783aeeaf897fd7f94ae"/>
            <w:lock w:val="sdtLocked"/>
            <w:richText/>
          </w:sdtPr>
          <w:sdtContent>
            <w:p>
              <w:pPr>
                <w:widowControl w:val="0"/>
                <w:suppressAutoHyphens/>
                <w:ind w:firstLine="567"/>
                <w:jc w:val="both"/>
                <w:rPr>
                  <w:rFonts w:eastAsia="Andale Sans UI"/>
                  <w:iCs/>
                  <w:color w:val="000000"/>
                  <w:szCs w:val="24"/>
                  <w:lang w:bidi="en-US"/>
                </w:rPr>
              </w:pPr>
              <w:sdt>
                <w:sdtPr>
                  <w:alias w:val="Numeris"/>
                  <w:tag w:val="nr_781e15e23e894783aeeaf897fd7f94ae"/>
                  <w:lock w:val="sdtLocked"/>
                  <w:richText/>
                </w:sdtPr>
                <w:sdtContent>
                  <w:r>
                    <w:rPr>
                      <w:rFonts w:eastAsia="Andale Sans UI"/>
                      <w:iCs/>
                      <w:color w:val="000000"/>
                      <w:szCs w:val="24"/>
                      <w:lang w:eastAsia="lt-LT"/>
                    </w:rPr>
                    <w:t>16</w:t>
                  </w:r>
                </w:sdtContent>
              </w:sdt>
              <w:r>
                <w:rPr>
                  <w:rFonts w:eastAsia="Andale Sans UI"/>
                  <w:iCs/>
                  <w:color w:val="000000"/>
                  <w:szCs w:val="24"/>
                  <w:lang w:eastAsia="lt-LT"/>
                </w:rPr>
                <w:t>.</w:t>
                <w:tab/>
              </w:r>
              <w:r>
                <w:rPr>
                  <w:rFonts w:eastAsia="Andale Sans UI"/>
                  <w:iCs/>
                  <w:color w:val="000000"/>
                  <w:szCs w:val="24"/>
                  <w:lang w:bidi="en-US"/>
                </w:rPr>
                <w:t xml:space="preserve">Atsižvelgiant į tai, kad minimalus pastatui reikalingas automobilių stovėjimo vietų skaičius normuojamas siekiant užtikrinti tinkamą pastate esančių patalpų (butų) eksploataciją, nustatoma, kad kai jos įrengiamos pastato patalpose, šios patalpos priskiriamos pastate esančių butų ir kitų pastato patalpų savininkų </w:t>
              </w:r>
              <w:r>
                <w:rPr>
                  <w:rFonts w:eastAsia="Andale Sans UI"/>
                  <w:b/>
                  <w:bCs/>
                  <w:iCs/>
                  <w:color w:val="000000"/>
                  <w:szCs w:val="24"/>
                  <w:lang w:bidi="en-US"/>
                </w:rPr>
                <w:t>bendrosios dalinės nuosavybės teise priklausančioms patalpoms</w:t>
              </w:r>
              <w:r>
                <w:rPr>
                  <w:rFonts w:eastAsia="Andale Sans UI"/>
                  <w:iCs/>
                  <w:color w:val="000000"/>
                  <w:szCs w:val="24"/>
                  <w:lang w:bidi="en-US"/>
                </w:rPr>
                <w:t>[1, 3].</w:t>
              </w:r>
            </w:p>
          </w:sdtContent>
        </w:sdt>
        <w:sdt>
          <w:sdtPr>
            <w:alias w:val="17 p."/>
            <w:tag w:val="part_9183e290361a41c1b50cda9784b8b4a6"/>
            <w:lock w:val="sdtLocked"/>
            <w:richText/>
          </w:sdtPr>
          <w:sdtContent>
            <w:p>
              <w:pPr>
                <w:widowControl w:val="0"/>
                <w:suppressAutoHyphens/>
                <w:ind w:firstLine="567"/>
                <w:jc w:val="both"/>
                <w:rPr>
                  <w:rFonts w:eastAsia="Andale Sans UI"/>
                  <w:iCs/>
                  <w:color w:val="000000"/>
                  <w:szCs w:val="24"/>
                  <w:lang w:bidi="en-US"/>
                </w:rPr>
              </w:pPr>
              <w:sdt>
                <w:sdtPr>
                  <w:alias w:val="Numeris"/>
                  <w:tag w:val="nr_9183e290361a41c1b50cda9784b8b4a6"/>
                  <w:lock w:val="sdtLocked"/>
                  <w:richText/>
                </w:sdtPr>
                <w:sdtContent>
                  <w:r>
                    <w:rPr>
                      <w:rFonts w:eastAsia="Andale Sans UI"/>
                      <w:iCs/>
                      <w:color w:val="000000"/>
                      <w:szCs w:val="24"/>
                      <w:lang w:eastAsia="lt-LT"/>
                    </w:rPr>
                    <w:t>17</w:t>
                  </w:r>
                </w:sdtContent>
              </w:sdt>
              <w:r>
                <w:rPr>
                  <w:rFonts w:eastAsia="Andale Sans UI"/>
                  <w:iCs/>
                  <w:color w:val="000000"/>
                  <w:szCs w:val="24"/>
                  <w:lang w:eastAsia="lt-LT"/>
                </w:rPr>
                <w:t>.</w:t>
                <w:tab/>
              </w:r>
              <w:r>
                <w:rPr>
                  <w:rFonts w:eastAsia="Andale Sans UI"/>
                  <w:iCs/>
                  <w:color w:val="000000"/>
                  <w:szCs w:val="24"/>
                  <w:lang w:bidi="en-US"/>
                </w:rPr>
                <w:t xml:space="preserve">Atsižvelgiant į naujai reglamentuotas statinių paskirtis,  tikslinamas žemės naudojimo būdų </w:t>
              </w:r>
              <w:r>
                <w:rPr>
                  <w:rFonts w:eastAsia="Andale Sans UI"/>
                  <w:b/>
                  <w:bCs/>
                  <w:iCs/>
                  <w:color w:val="000000"/>
                  <w:szCs w:val="24"/>
                  <w:lang w:bidi="en-US"/>
                </w:rPr>
                <w:t>turinio aprašas</w:t>
              </w:r>
              <w:r>
                <w:rPr>
                  <w:rFonts w:eastAsia="Andale Sans UI"/>
                  <w:iCs/>
                  <w:color w:val="000000"/>
                  <w:szCs w:val="24"/>
                  <w:lang w:bidi="en-US"/>
                </w:rPr>
                <w:t xml:space="preserve"> [4, 5].</w:t>
              </w:r>
            </w:p>
          </w:sdtContent>
        </w:sdt>
        <w:sdt>
          <w:sdtPr>
            <w:alias w:val="18 p."/>
            <w:tag w:val="part_e160dcb1fc1c4a40b8f7273a04f35c48"/>
            <w:lock w:val="sdtLocked"/>
            <w:richText/>
          </w:sdtPr>
          <w:sdtContent>
            <w:p>
              <w:pPr>
                <w:widowControl w:val="0"/>
                <w:suppressAutoHyphens/>
                <w:ind w:firstLine="567"/>
                <w:jc w:val="both"/>
                <w:rPr>
                  <w:rFonts w:eastAsia="Andale Sans UI"/>
                  <w:iCs/>
                  <w:color w:val="000000"/>
                  <w:szCs w:val="24"/>
                  <w:lang w:bidi="en-US"/>
                </w:rPr>
              </w:pPr>
              <w:sdt>
                <w:sdtPr>
                  <w:alias w:val="Numeris"/>
                  <w:tag w:val="nr_e160dcb1fc1c4a40b8f7273a04f35c48"/>
                  <w:lock w:val="sdtLocked"/>
                  <w:richText/>
                </w:sdtPr>
                <w:sdtContent>
                  <w:r>
                    <w:rPr>
                      <w:rFonts w:eastAsia="Andale Sans UI"/>
                      <w:iCs/>
                      <w:color w:val="000000"/>
                      <w:szCs w:val="24"/>
                      <w:lang w:eastAsia="lt-LT"/>
                    </w:rPr>
                    <w:t>18</w:t>
                  </w:r>
                </w:sdtContent>
              </w:sdt>
              <w:r>
                <w:rPr>
                  <w:rFonts w:eastAsia="Andale Sans UI"/>
                  <w:iCs/>
                  <w:color w:val="000000"/>
                  <w:szCs w:val="24"/>
                  <w:lang w:eastAsia="lt-LT"/>
                </w:rPr>
                <w:t>.</w:t>
                <w:tab/>
              </w:r>
              <w:r>
                <w:rPr>
                  <w:rFonts w:eastAsia="Andale Sans UI"/>
                  <w:iCs/>
                  <w:color w:val="000000"/>
                  <w:szCs w:val="24"/>
                  <w:lang w:bidi="en-US"/>
                </w:rPr>
                <w:t xml:space="preserve">Techninis keitimas: naikinamas 2 ministrų įsakymas dėl žemės naudojimo būdų turinio aprašo ir tvirtinamas naujas aplinkos ministro įsakymas, kadangi </w:t>
              </w:r>
              <w:r>
                <w:rPr>
                  <w:rFonts w:eastAsia="Andale Sans UI"/>
                  <w:b/>
                  <w:bCs/>
                  <w:iCs/>
                  <w:color w:val="000000"/>
                  <w:szCs w:val="24"/>
                  <w:lang w:bidi="en-US"/>
                </w:rPr>
                <w:t>Žemės įstatymo kuravimas perduotas Aplinkos ministerijos</w:t>
              </w:r>
              <w:r>
                <w:rPr>
                  <w:rFonts w:eastAsia="Andale Sans UI"/>
                  <w:iCs/>
                  <w:color w:val="000000"/>
                  <w:szCs w:val="24"/>
                  <w:lang w:bidi="en-US"/>
                </w:rPr>
                <w:t xml:space="preserve"> kompetencijai [4,5].</w:t>
              </w:r>
            </w:p>
          </w:sdtContent>
        </w:sdt>
        <w:sdt>
          <w:sdtPr>
            <w:alias w:val="19 p."/>
            <w:tag w:val="part_1284aaa15e4e462183200d8d37ba8508"/>
            <w:lock w:val="sdtLocked"/>
            <w:richText/>
          </w:sdtPr>
          <w:sdtContent>
            <w:p>
              <w:pPr>
                <w:widowControl w:val="0"/>
                <w:suppressAutoHyphens/>
                <w:ind w:firstLine="567"/>
                <w:jc w:val="both"/>
                <w:rPr>
                  <w:rFonts w:eastAsia="Andale Sans UI"/>
                  <w:iCs/>
                  <w:color w:val="000000"/>
                  <w:szCs w:val="24"/>
                  <w:lang w:bidi="en-US"/>
                </w:rPr>
              </w:pPr>
              <w:sdt>
                <w:sdtPr>
                  <w:alias w:val="Numeris"/>
                  <w:tag w:val="nr_1284aaa15e4e462183200d8d37ba8508"/>
                  <w:lock w:val="sdtLocked"/>
                  <w:richText/>
                </w:sdtPr>
                <w:sdtContent>
                  <w:r>
                    <w:rPr>
                      <w:rFonts w:eastAsia="Andale Sans UI"/>
                      <w:iCs/>
                      <w:color w:val="000000"/>
                      <w:szCs w:val="24"/>
                      <w:lang w:eastAsia="lt-LT"/>
                    </w:rPr>
                    <w:t>19</w:t>
                  </w:r>
                </w:sdtContent>
              </w:sdt>
              <w:r>
                <w:rPr>
                  <w:rFonts w:eastAsia="Andale Sans UI"/>
                  <w:iCs/>
                  <w:color w:val="000000"/>
                  <w:szCs w:val="24"/>
                  <w:lang w:eastAsia="lt-LT"/>
                </w:rPr>
                <w:t>.</w:t>
                <w:tab/>
              </w:r>
              <w:r>
                <w:rPr>
                  <w:rFonts w:eastAsia="Andale Sans UI"/>
                  <w:iCs/>
                  <w:color w:val="000000"/>
                  <w:szCs w:val="24"/>
                  <w:lang w:bidi="en-US"/>
                </w:rPr>
                <w:t>Atliekami techniniai keitimai atsižvelgus į STR 2.06.04:2014 „Gatvės ir vietinės reikšmės keliai. Bendrieji reikalavimai“ (toliau – reglamentas) taikymo metu pastebėtus netikslumus, gautas pastabas ir pasiūlymus [3].</w:t>
              </w:r>
            </w:p>
          </w:sdtContent>
        </w:sdt>
        <w:sdt>
          <w:sdtPr>
            <w:alias w:val="20 p."/>
            <w:tag w:val="part_7a4982a60b7b4ac9bdb5ae04d9475f9a"/>
            <w:lock w:val="sdtLocked"/>
            <w:richText/>
          </w:sdtPr>
          <w:sdtContent>
            <w:p>
              <w:pPr>
                <w:widowControl w:val="0"/>
                <w:suppressAutoHyphens/>
                <w:ind w:firstLine="567"/>
                <w:jc w:val="both"/>
                <w:rPr>
                  <w:rFonts w:eastAsia="Andale Sans UI"/>
                  <w:iCs/>
                  <w:color w:val="000000"/>
                  <w:szCs w:val="24"/>
                  <w:lang w:bidi="en-US"/>
                </w:rPr>
              </w:pPr>
              <w:sdt>
                <w:sdtPr>
                  <w:alias w:val="Numeris"/>
                  <w:tag w:val="nr_7a4982a60b7b4ac9bdb5ae04d9475f9a"/>
                  <w:lock w:val="sdtLocked"/>
                  <w:richText/>
                </w:sdtPr>
                <w:sdtContent>
                  <w:r>
                    <w:rPr>
                      <w:rFonts w:eastAsia="Andale Sans UI"/>
                      <w:iCs/>
                      <w:color w:val="000000"/>
                      <w:szCs w:val="24"/>
                      <w:lang w:eastAsia="lt-LT"/>
                    </w:rPr>
                    <w:t>20</w:t>
                  </w:r>
                </w:sdtContent>
              </w:sdt>
              <w:r>
                <w:rPr>
                  <w:rFonts w:eastAsia="Andale Sans UI"/>
                  <w:iCs/>
                  <w:color w:val="000000"/>
                  <w:szCs w:val="24"/>
                  <w:lang w:eastAsia="lt-LT"/>
                </w:rPr>
                <w:t>.</w:t>
                <w:tab/>
              </w:r>
              <w:r>
                <w:rPr>
                  <w:rFonts w:eastAsia="Andale Sans UI"/>
                  <w:iCs/>
                  <w:color w:val="000000"/>
                  <w:szCs w:val="24"/>
                  <w:lang w:bidi="en-US"/>
                </w:rPr>
                <w:t>Sukuriama galimybė įsirengti priedangas daugumoje žemės naudojimo paskirčių ir naudojimo būdų žemės sklypuose [1, 5].</w:t>
              </w:r>
            </w:p>
            <w:p>
              <w:pPr>
                <w:widowControl w:val="0"/>
                <w:suppressAutoHyphens/>
                <w:ind w:firstLine="567"/>
                <w:rPr>
                  <w:rFonts w:eastAsia="Andale Sans UI"/>
                  <w:szCs w:val="24"/>
                  <w:lang w:bidi="en-US"/>
                </w:rPr>
              </w:pPr>
              <w:r>
                <w:rPr>
                  <w:rFonts w:eastAsia="Andale Sans UI"/>
                  <w:szCs w:val="24"/>
                  <w:lang w:bidi="en-US"/>
                </w:rPr>
                <w:t xml:space="preserve">Teisės aktų projektuose siūlomiems pakeitimams įgyvendinti iki jų įsigaliojimo nereikės kitų teisės aktų pakeitimų, neigiamų pasekmių priėmus projektus nenumatoma. </w:t>
              </w:r>
            </w:p>
            <w:p>
              <w:pPr>
                <w:widowControl w:val="0"/>
                <w:suppressAutoHyphens/>
                <w:ind w:firstLine="567"/>
                <w:jc w:val="both"/>
                <w:rPr>
                  <w:rFonts w:eastAsia="Andale Sans UI"/>
                  <w:szCs w:val="24"/>
                  <w:lang w:bidi="en-US"/>
                </w:rPr>
              </w:pPr>
              <w:r>
                <w:rPr>
                  <w:rFonts w:eastAsia="Andale Sans UI"/>
                  <w:szCs w:val="24"/>
                  <w:lang w:bidi="en-US"/>
                </w:rPr>
                <w:t xml:space="preserve">Įsakymų projektai neprieštarauja Lietuvos Respublikos Vyriausybės programai, Europos Sąjungos teisės reikalavimams ir Aštuonioliktosios Vyriausybės veiklos programai, neperkelia ir neįgyvendina Europos Sąjungos teisės aktų, nenotifikuotini Europos Komisijai. </w:t>
              </w:r>
            </w:p>
            <w:p>
              <w:pPr>
                <w:widowControl w:val="0"/>
                <w:suppressAutoHyphens/>
                <w:ind w:firstLine="567"/>
                <w:jc w:val="both"/>
                <w:rPr>
                  <w:rFonts w:eastAsia="Andale Sans UI"/>
                  <w:szCs w:val="24"/>
                  <w:lang w:bidi="en-US"/>
                </w:rPr>
              </w:pPr>
              <w:r>
                <w:rPr>
                  <w:rFonts w:eastAsia="Andale Sans UI"/>
                  <w:szCs w:val="24"/>
                  <w:lang w:bidi="en-US"/>
                </w:rPr>
                <w:t xml:space="preserve">Įsakymų projektai parengti laikantis Lietuvos Respublikos valstybinės kalbos įstatymo, Lietuvos Respublikos teisėkūros pagrindų įstatymo reikalavimų ir atitinka bendrinės lietuvių kalbos normas. </w:t>
              </w:r>
            </w:p>
            <w:p>
              <w:pPr>
                <w:widowControl w:val="0"/>
                <w:suppressAutoHyphens/>
                <w:ind w:firstLine="567"/>
                <w:jc w:val="both"/>
                <w:rPr>
                  <w:rFonts w:eastAsia="Andale Sans UI"/>
                  <w:szCs w:val="24"/>
                  <w:lang w:bidi="en-US"/>
                </w:rPr>
              </w:pPr>
              <w:r>
                <w:rPr>
                  <w:rFonts w:eastAsia="Andale Sans UI"/>
                  <w:szCs w:val="24"/>
                  <w:lang w:bidi="en-US"/>
                </w:rPr>
                <w:t>Numatomo teisinio reguliavimo poveikio vertinimas atliekamas, pažymos pridedamos.</w:t>
              </w:r>
            </w:p>
            <w:p>
              <w:pPr>
                <w:widowControl w:val="0"/>
                <w:suppressAutoHyphens/>
                <w:ind w:firstLine="567"/>
                <w:jc w:val="both"/>
                <w:rPr>
                  <w:rFonts w:eastAsia="Andale Sans UI"/>
                  <w:szCs w:val="24"/>
                  <w:lang w:bidi="en-US"/>
                </w:rPr>
              </w:pPr>
              <w:r>
                <w:rPr>
                  <w:rFonts w:eastAsia="Andale Sans UI"/>
                  <w:szCs w:val="24"/>
                  <w:lang w:bidi="en-US"/>
                </w:rPr>
                <w:t>Teisės aktų antikorupcinis vertinimas atliktas, teisės aktų pakeitimai papildomų korupcinio pobūdžio rizikų nesukels, pažymos pridedamos.</w:t>
              </w:r>
            </w:p>
            <w:p>
              <w:pPr>
                <w:widowControl w:val="0"/>
                <w:suppressAutoHyphens/>
                <w:ind w:firstLine="567"/>
                <w:jc w:val="both"/>
                <w:rPr>
                  <w:rFonts w:eastAsia="Andale Sans UI"/>
                  <w:iCs/>
                  <w:szCs w:val="24"/>
                  <w:lang w:bidi="en-US"/>
                </w:rPr>
              </w:pPr>
              <w:r>
                <w:rPr>
                  <w:rFonts w:eastAsia="Andale Sans UI"/>
                  <w:iCs/>
                  <w:szCs w:val="24"/>
                  <w:lang w:bidi="en-US"/>
                </w:rPr>
                <w:t xml:space="preserve">Įsakymų projektai skelbiami Lietuvos Respublikos Seimo teisės aktų informacinės sistemos (TAIS) Projektų registravimo posistemėje. </w:t>
              </w:r>
            </w:p>
            <w:p>
              <w:pPr>
                <w:widowControl w:val="0"/>
                <w:suppressAutoHyphens/>
                <w:ind w:firstLine="567"/>
                <w:jc w:val="both"/>
                <w:rPr>
                  <w:rFonts w:eastAsia="Andale Sans UI"/>
                  <w:iCs/>
                  <w:szCs w:val="24"/>
                  <w:lang w:bidi="en-US"/>
                </w:rPr>
              </w:pPr>
              <w:r>
                <w:rPr>
                  <w:rFonts w:eastAsia="Andale Sans UI"/>
                  <w:iCs/>
                  <w:szCs w:val="24"/>
                  <w:lang w:bidi="en-US"/>
                </w:rPr>
                <w:t>P</w:t>
              </w:r>
              <w:r>
                <w:rPr>
                  <w:rFonts w:eastAsia="Andale Sans UI"/>
                  <w:iCs/>
                  <w:color w:val="000000"/>
                  <w:szCs w:val="24"/>
                  <w:lang w:eastAsia="lt-LT" w:bidi="en-US"/>
                </w:rPr>
                <w:t xml:space="preserve">rašome pastabas ir pasiūlymus dėl projektų pateikti per </w:t>
              </w:r>
              <w:r>
                <w:rPr>
                  <w:rFonts w:eastAsia="Andale Sans UI"/>
                  <w:b/>
                  <w:bCs/>
                  <w:iCs/>
                  <w:color w:val="000000"/>
                  <w:szCs w:val="24"/>
                  <w:lang w:eastAsia="lt-LT" w:bidi="en-US"/>
                </w:rPr>
                <w:t>10 darbo dienų nuo</w:t>
              </w:r>
              <w:r>
                <w:rPr>
                  <w:rFonts w:eastAsia="Andale Sans UI"/>
                  <w:iCs/>
                  <w:color w:val="000000"/>
                  <w:szCs w:val="24"/>
                  <w:lang w:eastAsia="lt-LT" w:bidi="en-US"/>
                </w:rPr>
                <w:t xml:space="preserve"> jų paskelbimo TAIS dienos. </w:t>
              </w:r>
            </w:p>
            <w:p>
              <w:pPr>
                <w:widowControl w:val="0"/>
                <w:ind w:firstLine="567"/>
                <w:jc w:val="both"/>
                <w:rPr>
                  <w:rFonts w:eastAsia="Andale Sans UI"/>
                  <w:iCs/>
                  <w:szCs w:val="24"/>
                  <w:lang w:bidi="en-US"/>
                </w:rPr>
              </w:pPr>
              <w:r>
                <w:rPr>
                  <w:rFonts w:eastAsia="Andale Sans UI"/>
                  <w:iCs/>
                  <w:szCs w:val="24"/>
                  <w:lang w:bidi="en-US"/>
                </w:rPr>
                <w:t xml:space="preserve">Pažymime, kad parengtam įsakymo projektui, paskelbtam TAIS, pastabos ir pasiūlymai turi būti teikiami per šią informacinę sistemą iki nustatytos datos. </w:t>
              </w:r>
            </w:p>
            <w:p>
              <w:pPr>
                <w:widowControl w:val="0"/>
                <w:suppressAutoHyphens/>
                <w:ind w:firstLine="567"/>
                <w:jc w:val="both"/>
                <w:rPr>
                  <w:rFonts w:eastAsia="Andale Sans UI"/>
                  <w:szCs w:val="24"/>
                  <w:lang w:bidi="en-US"/>
                </w:rPr>
              </w:pPr>
              <w:r>
                <w:rPr>
                  <w:rFonts w:eastAsia="Andale Sans UI"/>
                  <w:szCs w:val="24"/>
                  <w:lang w:bidi="en-US"/>
                </w:rPr>
                <w:t xml:space="preserve">Įsakymo projektą parengė Aplinkos ministerijos Architektūros ir inovacijų politikos grupės vadovė Asta Rokickienė (el. p. </w:t>
              </w:r>
              <w:r>
                <w:rPr>
                  <w:rFonts w:eastAsia="Andale Sans UI"/>
                  <w:color w:val="000080"/>
                  <w:szCs w:val="24"/>
                  <w:u w:val="single"/>
                  <w:lang w:bidi="en-US"/>
                </w:rPr>
                <w:t>asta.rokickiene@am.lt</w:t>
              </w:r>
              <w:r>
                <w:rPr>
                  <w:rFonts w:eastAsia="Andale Sans UI"/>
                  <w:szCs w:val="24"/>
                  <w:lang w:bidi="en-US"/>
                </w:rPr>
                <w:t xml:space="preserve">), vyresnysis patarėjas Edvardas Minkevičius (tel. 8 614 45323, el. p. </w:t>
              </w:r>
              <w:r>
                <w:rPr>
                  <w:rFonts w:eastAsia="Andale Sans UI"/>
                  <w:color w:val="000080"/>
                  <w:szCs w:val="24"/>
                  <w:u w:val="single"/>
                  <w:lang w:bidi="en-US"/>
                </w:rPr>
                <w:t>edvardas.minkevicius@am.lt</w:t>
              </w:r>
              <w:r>
                <w:rPr>
                  <w:rFonts w:eastAsia="Andale Sans UI"/>
                  <w:szCs w:val="24"/>
                  <w:lang w:bidi="en-US"/>
                </w:rPr>
                <w:t xml:space="preserve">), patarėjas Aurimas Petniūnas (tel. 8 618 23454, el. p. </w:t>
              </w:r>
              <w:r>
                <w:rPr>
                  <w:rFonts w:eastAsia="Andale Sans UI"/>
                  <w:color w:val="000080"/>
                  <w:szCs w:val="24"/>
                  <w:u w:val="single"/>
                  <w:lang w:bidi="en-US"/>
                </w:rPr>
                <w:t>aurimas.petniunas@am.lt</w:t>
              </w:r>
              <w:r>
                <w:rPr>
                  <w:rFonts w:eastAsia="Andale Sans UI"/>
                  <w:szCs w:val="24"/>
                  <w:lang w:bidi="en-US"/>
                </w:rPr>
                <w:t>).</w:t>
              </w:r>
            </w:p>
            <w:p>
              <w:pPr>
                <w:widowControl w:val="0"/>
                <w:suppressAutoHyphens/>
                <w:ind w:firstLine="567"/>
                <w:jc w:val="both"/>
                <w:rPr>
                  <w:rFonts w:eastAsia="Andale Sans UI"/>
                  <w:szCs w:val="24"/>
                  <w:lang w:bidi="en-US"/>
                </w:rPr>
              </w:pPr>
              <w:r>
                <w:rPr>
                  <w:rFonts w:eastAsia="Andale Sans UI"/>
                  <w:szCs w:val="24"/>
                  <w:lang w:bidi="en-US"/>
                </w:rPr>
                <w:t>PRIDEDAMA:</w:t>
              </w:r>
            </w:p>
            <w:sdt>
              <w:sdtPr>
                <w:alias w:val="1.1 pp."/>
                <w:tag w:val="part_2b3d46d3d75647ac859d36f4937d23d9"/>
                <w:lock w:val="sdtLocked"/>
                <w:richText/>
              </w:sdtPr>
              <w:sdtContent>
                <w:p>
                  <w:pPr>
                    <w:widowControl w:val="0"/>
                    <w:suppressAutoHyphens/>
                    <w:ind w:firstLine="567"/>
                    <w:jc w:val="both"/>
                    <w:rPr>
                      <w:rFonts w:eastAsia="Andale Sans UI"/>
                      <w:iCs/>
                      <w:color w:val="000000"/>
                      <w:szCs w:val="24"/>
                      <w:lang w:bidi="en-US"/>
                    </w:rPr>
                  </w:pPr>
                  <w:sdt>
                    <w:sdtPr>
                      <w:alias w:val="Numeris"/>
                      <w:tag w:val="nr_2b3d46d3d75647ac859d36f4937d23d9"/>
                      <w:lock w:val="sdtLocked"/>
                      <w:richText/>
                    </w:sdtPr>
                    <w:sdtContent>
                      <w:r>
                        <w:rPr>
                          <w:rFonts w:eastAsia="Andale Sans UI"/>
                          <w:iCs/>
                          <w:color w:val="000000"/>
                          <w:szCs w:val="24"/>
                          <w:lang w:eastAsia="lt-LT"/>
                        </w:rPr>
                        <w:t>1.1</w:t>
                      </w:r>
                    </w:sdtContent>
                  </w:sdt>
                  <w:r>
                    <w:rPr>
                      <w:rFonts w:eastAsia="Andale Sans UI"/>
                      <w:iCs/>
                      <w:color w:val="000000"/>
                      <w:szCs w:val="24"/>
                      <w:lang w:eastAsia="lt-LT"/>
                    </w:rPr>
                    <w:tab/>
                  </w:r>
                  <w:r>
                    <w:rPr>
                      <w:rFonts w:eastAsia="Andale Sans UI"/>
                      <w:iCs/>
                      <w:color w:val="000000"/>
                      <w:szCs w:val="24"/>
                      <w:lang w:bidi="en-US"/>
                    </w:rPr>
                    <w:t>Aplinkos ministro įsakymo „Dėl Lietuvos Respublikos aplinkos ministro 2016 m. spalio 27 d. įsakymo Nr. D1-713 „Dėl statybos techninio reglamento STR 1.01.03:2017 „Statinių klasifikavimas“ patvirtinimo“ pakeitimo“ projektas, 34 lapai.</w:t>
                  </w:r>
                </w:p>
              </w:sdtContent>
            </w:sdt>
            <w:sdt>
              <w:sdtPr>
                <w:alias w:val="1.2 pp."/>
                <w:tag w:val="part_ed7f4e61a7c44db4820f3e7e96462990"/>
                <w:lock w:val="sdtLocked"/>
                <w:richText/>
              </w:sdtPr>
              <w:sdtContent>
                <w:p>
                  <w:pPr>
                    <w:widowControl w:val="0"/>
                    <w:suppressAutoHyphens/>
                    <w:ind w:firstLine="567"/>
                    <w:jc w:val="both"/>
                    <w:rPr>
                      <w:rFonts w:eastAsia="Andale Sans UI"/>
                      <w:iCs/>
                      <w:color w:val="000000"/>
                      <w:szCs w:val="24"/>
                      <w:lang w:bidi="en-US"/>
                    </w:rPr>
                  </w:pPr>
                  <w:sdt>
                    <w:sdtPr>
                      <w:alias w:val="Numeris"/>
                      <w:tag w:val="nr_ed7f4e61a7c44db4820f3e7e96462990"/>
                      <w:lock w:val="sdtLocked"/>
                      <w:richText/>
                    </w:sdtPr>
                    <w:sdtContent>
                      <w:r>
                        <w:rPr>
                          <w:rFonts w:eastAsia="Andale Sans UI"/>
                          <w:iCs/>
                          <w:color w:val="000000"/>
                          <w:szCs w:val="24"/>
                          <w:lang w:eastAsia="lt-LT"/>
                        </w:rPr>
                        <w:t>1.2</w:t>
                      </w:r>
                    </w:sdtContent>
                  </w:sdt>
                  <w:r>
                    <w:rPr>
                      <w:rFonts w:eastAsia="Andale Sans UI"/>
                      <w:iCs/>
                      <w:color w:val="000000"/>
                      <w:szCs w:val="24"/>
                      <w:lang w:eastAsia="lt-LT"/>
                    </w:rPr>
                    <w:tab/>
                  </w:r>
                  <w:r>
                    <w:rPr>
                      <w:rFonts w:eastAsia="Andale Sans UI"/>
                      <w:iCs/>
                      <w:color w:val="000000"/>
                      <w:szCs w:val="24"/>
                      <w:lang w:bidi="en-US"/>
                    </w:rPr>
                    <w:t>Aplinkos ministro įsakymo projekto „Dėl Lietuvos Respublikos aplinkos ministro 2016 m. spalio 27 d. įsakymo Nr. D1-713 „Dėl statybos techninio reglamento STR 1.01.03:2017 „Statinių klasifikavimas“ patvirtinimo“ pakeitimo“ projekto numatomo teisinio reguliavimo poveikio vertinimo pažyma, 3 lapai.</w:t>
                  </w:r>
                </w:p>
              </w:sdtContent>
            </w:sdt>
            <w:sdt>
              <w:sdtPr>
                <w:alias w:val="2.1 pp."/>
                <w:tag w:val="part_14b44b8960ef47a4b0bb6619d397c6df"/>
                <w:lock w:val="sdtLocked"/>
                <w:richText/>
              </w:sdtPr>
              <w:sdtContent>
                <w:p>
                  <w:pPr>
                    <w:widowControl w:val="0"/>
                    <w:suppressAutoHyphens/>
                    <w:ind w:firstLine="567"/>
                    <w:jc w:val="both"/>
                    <w:rPr>
                      <w:rFonts w:eastAsia="Andale Sans UI"/>
                      <w:iCs/>
                      <w:color w:val="000000"/>
                      <w:szCs w:val="24"/>
                      <w:lang w:bidi="en-US"/>
                    </w:rPr>
                  </w:pPr>
                  <w:sdt>
                    <w:sdtPr>
                      <w:alias w:val="Numeris"/>
                      <w:tag w:val="nr_14b44b8960ef47a4b0bb6619d397c6df"/>
                      <w:lock w:val="sdtLocked"/>
                      <w:richText/>
                    </w:sdtPr>
                    <w:sdtContent>
                      <w:r>
                        <w:rPr>
                          <w:rFonts w:eastAsia="Andale Sans UI"/>
                          <w:iCs/>
                          <w:color w:val="000000"/>
                          <w:szCs w:val="24"/>
                          <w:lang w:eastAsia="lt-LT"/>
                        </w:rPr>
                        <w:t>2.1</w:t>
                      </w:r>
                    </w:sdtContent>
                  </w:sdt>
                  <w:r>
                    <w:rPr>
                      <w:rFonts w:eastAsia="Andale Sans UI"/>
                      <w:iCs/>
                      <w:color w:val="000000"/>
                      <w:szCs w:val="24"/>
                      <w:lang w:eastAsia="lt-LT"/>
                    </w:rPr>
                    <w:tab/>
                  </w:r>
                  <w:r>
                    <w:rPr>
                      <w:rFonts w:eastAsia="Andale Sans UI"/>
                      <w:iCs/>
                      <w:color w:val="000000"/>
                      <w:szCs w:val="24"/>
                      <w:lang w:bidi="en-US"/>
                    </w:rPr>
                    <w:t>Aplinkos ministro įsakymo „Dėl Lietuvos Respublikos aplinkos ministro 2003 m. gruodžio 24 d. įsakymo Nr. 705 „Dėl statybos techninio reglamento STR 2.02.01:2004 „Gyvenamieji pastatai“ patvirtinimo“ pakeitimo“ projektas, 7 lapai.</w:t>
                  </w:r>
                </w:p>
              </w:sdtContent>
            </w:sdt>
            <w:sdt>
              <w:sdtPr>
                <w:alias w:val="2.2 pp."/>
                <w:tag w:val="part_43c79b8ebcc642f2bc13b1eeb2612bce"/>
                <w:lock w:val="sdtLocked"/>
                <w:richText/>
              </w:sdtPr>
              <w:sdtContent>
                <w:p>
                  <w:pPr>
                    <w:widowControl w:val="0"/>
                    <w:suppressAutoHyphens/>
                    <w:ind w:firstLine="567"/>
                    <w:jc w:val="both"/>
                    <w:rPr>
                      <w:rFonts w:eastAsia="Andale Sans UI"/>
                      <w:iCs/>
                      <w:color w:val="000000"/>
                      <w:szCs w:val="24"/>
                      <w:lang w:bidi="en-US"/>
                    </w:rPr>
                  </w:pPr>
                  <w:sdt>
                    <w:sdtPr>
                      <w:alias w:val="Numeris"/>
                      <w:tag w:val="nr_43c79b8ebcc642f2bc13b1eeb2612bce"/>
                      <w:lock w:val="sdtLocked"/>
                      <w:richText/>
                    </w:sdtPr>
                    <w:sdtContent>
                      <w:r>
                        <w:rPr>
                          <w:rFonts w:eastAsia="Andale Sans UI"/>
                          <w:iCs/>
                          <w:color w:val="000000"/>
                          <w:szCs w:val="24"/>
                          <w:lang w:eastAsia="lt-LT"/>
                        </w:rPr>
                        <w:t>2.2</w:t>
                      </w:r>
                    </w:sdtContent>
                  </w:sdt>
                  <w:r>
                    <w:rPr>
                      <w:rFonts w:eastAsia="Andale Sans UI"/>
                      <w:iCs/>
                      <w:color w:val="000000"/>
                      <w:szCs w:val="24"/>
                      <w:lang w:eastAsia="lt-LT"/>
                    </w:rPr>
                    <w:tab/>
                  </w:r>
                  <w:r>
                    <w:rPr>
                      <w:rFonts w:eastAsia="Andale Sans UI"/>
                      <w:iCs/>
                      <w:color w:val="000000"/>
                      <w:szCs w:val="24"/>
                      <w:lang w:bidi="en-US"/>
                    </w:rPr>
                    <w:t>Aplinkos ministro įsakymo „Dėl Lietuvos Respublikos aplinkos ministro 2003 m. gruodžio 24 d. įsakymo Nr. 705 „Dėl statybos techninio reglamento STR 2.02.01:2004 „Gyvenamieji pastatai“ patvirtinimo“ pakeitimo“ projekto lyginamasis variantas, 8 lapai.</w:t>
                  </w:r>
                </w:p>
              </w:sdtContent>
            </w:sdt>
            <w:sdt>
              <w:sdtPr>
                <w:alias w:val="2.3 pp."/>
                <w:tag w:val="part_ac567e025e6c4d73a61428e438213dc9"/>
                <w:lock w:val="sdtLocked"/>
                <w:richText/>
              </w:sdtPr>
              <w:sdtContent>
                <w:p>
                  <w:pPr>
                    <w:widowControl w:val="0"/>
                    <w:suppressAutoHyphens/>
                    <w:ind w:firstLine="567"/>
                    <w:jc w:val="both"/>
                    <w:rPr>
                      <w:rFonts w:eastAsia="Andale Sans UI"/>
                      <w:iCs/>
                      <w:color w:val="000000"/>
                      <w:szCs w:val="24"/>
                      <w:lang w:bidi="en-US"/>
                    </w:rPr>
                  </w:pPr>
                  <w:sdt>
                    <w:sdtPr>
                      <w:alias w:val="Numeris"/>
                      <w:tag w:val="nr_ac567e025e6c4d73a61428e438213dc9"/>
                      <w:lock w:val="sdtLocked"/>
                      <w:richText/>
                    </w:sdtPr>
                    <w:sdtContent>
                      <w:r>
                        <w:rPr>
                          <w:rFonts w:eastAsia="Andale Sans UI"/>
                          <w:iCs/>
                          <w:color w:val="000000"/>
                          <w:szCs w:val="24"/>
                          <w:lang w:eastAsia="lt-LT"/>
                        </w:rPr>
                        <w:t>2.3</w:t>
                      </w:r>
                    </w:sdtContent>
                  </w:sdt>
                  <w:r>
                    <w:rPr>
                      <w:rFonts w:eastAsia="Andale Sans UI"/>
                      <w:iCs/>
                      <w:color w:val="000000"/>
                      <w:szCs w:val="24"/>
                      <w:lang w:eastAsia="lt-LT"/>
                    </w:rPr>
                    <w:tab/>
                  </w:r>
                  <w:r>
                    <w:rPr>
                      <w:rFonts w:eastAsia="Andale Sans UI"/>
                      <w:iCs/>
                      <w:color w:val="000000"/>
                      <w:szCs w:val="24"/>
                      <w:lang w:bidi="en-US"/>
                    </w:rPr>
                    <w:t>Aplinkos ministro įsakymo projekto „Dėl Lietuvos Respublikos aplinkos ministro 2003 m. gruodžio 24 d. įsakymo Nr. 705 „Dėl statybos techninio reglamento STR 2.02.01:2004 „Gyvenamieji pastatai“ patvirtinimo“ pakeitimo“ projekto numatomo teisinio reguliavimo poveikio vertinimo pažyma, 2 lapai.</w:t>
                  </w:r>
                </w:p>
              </w:sdtContent>
            </w:sdt>
            <w:sdt>
              <w:sdtPr>
                <w:alias w:val="3.1 pp."/>
                <w:tag w:val="part_a966194e2d3e4e2e8fbeee265d15a552"/>
                <w:lock w:val="sdtLocked"/>
                <w:richText/>
              </w:sdtPr>
              <w:sdtContent>
                <w:p>
                  <w:pPr>
                    <w:widowControl w:val="0"/>
                    <w:suppressAutoHyphens/>
                    <w:ind w:firstLine="567"/>
                    <w:jc w:val="both"/>
                    <w:rPr>
                      <w:rFonts w:eastAsia="Andale Sans UI"/>
                      <w:iCs/>
                      <w:color w:val="000000"/>
                      <w:szCs w:val="24"/>
                      <w:lang w:bidi="en-US"/>
                    </w:rPr>
                  </w:pPr>
                  <w:sdt>
                    <w:sdtPr>
                      <w:alias w:val="Numeris"/>
                      <w:tag w:val="nr_a966194e2d3e4e2e8fbeee265d15a552"/>
                      <w:lock w:val="sdtLocked"/>
                      <w:richText/>
                    </w:sdtPr>
                    <w:sdtContent>
                      <w:r>
                        <w:rPr>
                          <w:rFonts w:eastAsia="Andale Sans UI"/>
                          <w:iCs/>
                          <w:color w:val="000000"/>
                          <w:szCs w:val="24"/>
                          <w:lang w:eastAsia="lt-LT"/>
                        </w:rPr>
                        <w:t>3.1</w:t>
                      </w:r>
                    </w:sdtContent>
                  </w:sdt>
                  <w:r>
                    <w:rPr>
                      <w:rFonts w:eastAsia="Andale Sans UI"/>
                      <w:iCs/>
                      <w:color w:val="000000"/>
                      <w:szCs w:val="24"/>
                      <w:lang w:eastAsia="lt-LT"/>
                    </w:rPr>
                    <w:tab/>
                  </w:r>
                  <w:r>
                    <w:rPr>
                      <w:rFonts w:eastAsia="Andale Sans UI"/>
                      <w:iCs/>
                      <w:color w:val="000000"/>
                      <w:szCs w:val="24"/>
                      <w:lang w:bidi="en-US"/>
                    </w:rPr>
                    <w:t>Aplinkos ministro įsakymo „Dėl Lietuvos Respublikos aplinkos ministro 2011 m. gruodžio 2 d. įsakymo Nr. D1-933 „Dėl statybos techninio reglamento STR 2.06.04:2014 „Gatvės ir vietinės reikšmės keliai. Bendrieji reikalavimai“ patvirtinimo“ pakeitimo“ projektas, 5 lapai.</w:t>
                  </w:r>
                </w:p>
              </w:sdtContent>
            </w:sdt>
            <w:sdt>
              <w:sdtPr>
                <w:alias w:val="3.2 pp."/>
                <w:tag w:val="part_aeeadff2ca7d4bc095e67421e070ece3"/>
                <w:lock w:val="sdtLocked"/>
                <w:richText/>
              </w:sdtPr>
              <w:sdtContent>
                <w:p>
                  <w:pPr>
                    <w:widowControl w:val="0"/>
                    <w:suppressAutoHyphens/>
                    <w:ind w:firstLine="567"/>
                    <w:jc w:val="both"/>
                    <w:rPr>
                      <w:rFonts w:eastAsia="Andale Sans UI"/>
                      <w:iCs/>
                      <w:color w:val="000000"/>
                      <w:szCs w:val="24"/>
                      <w:lang w:bidi="en-US"/>
                    </w:rPr>
                  </w:pPr>
                  <w:sdt>
                    <w:sdtPr>
                      <w:alias w:val="Numeris"/>
                      <w:tag w:val="nr_aeeadff2ca7d4bc095e67421e070ece3"/>
                      <w:lock w:val="sdtLocked"/>
                      <w:richText/>
                    </w:sdtPr>
                    <w:sdtContent>
                      <w:r>
                        <w:rPr>
                          <w:rFonts w:eastAsia="Andale Sans UI"/>
                          <w:iCs/>
                          <w:color w:val="000000"/>
                          <w:szCs w:val="24"/>
                          <w:lang w:eastAsia="lt-LT"/>
                        </w:rPr>
                        <w:t>3.2</w:t>
                      </w:r>
                    </w:sdtContent>
                  </w:sdt>
                  <w:r>
                    <w:rPr>
                      <w:rFonts w:eastAsia="Andale Sans UI"/>
                      <w:iCs/>
                      <w:color w:val="000000"/>
                      <w:szCs w:val="24"/>
                      <w:lang w:eastAsia="lt-LT"/>
                    </w:rPr>
                    <w:tab/>
                  </w:r>
                  <w:r>
                    <w:rPr>
                      <w:rFonts w:eastAsia="Andale Sans UI"/>
                      <w:iCs/>
                      <w:color w:val="000000"/>
                      <w:szCs w:val="24"/>
                      <w:lang w:bidi="en-US"/>
                    </w:rPr>
                    <w:t>Aplinkos ministro įsakymo „Dėl Lietuvos Respublikos aplinkos ministro 2011 m. gruodžio 2 d. įsakymo Nr. D1-933 „Dėl statybos techninio reglamento STR 2.06.04:2014 „Gatvės ir vietinės reikšmės keliai. Bendrieji reikalavimai“ patvirtinimo“ pakeitimo“ projekto lyginamasis variantas, 8 lapai.</w:t>
                  </w:r>
                </w:p>
              </w:sdtContent>
            </w:sdt>
            <w:sdt>
              <w:sdtPr>
                <w:alias w:val="3.3 pp."/>
                <w:tag w:val="part_226abda25b7d40eca2205e92248f56da"/>
                <w:lock w:val="sdtLocked"/>
                <w:richText/>
              </w:sdtPr>
              <w:sdtContent>
                <w:p>
                  <w:pPr>
                    <w:widowControl w:val="0"/>
                    <w:suppressAutoHyphens/>
                    <w:ind w:firstLine="567"/>
                    <w:jc w:val="both"/>
                    <w:rPr>
                      <w:rFonts w:eastAsia="Andale Sans UI"/>
                      <w:iCs/>
                      <w:color w:val="000000"/>
                      <w:szCs w:val="24"/>
                      <w:lang w:bidi="en-US"/>
                    </w:rPr>
                  </w:pPr>
                  <w:sdt>
                    <w:sdtPr>
                      <w:alias w:val="Numeris"/>
                      <w:tag w:val="nr_226abda25b7d40eca2205e92248f56da"/>
                      <w:lock w:val="sdtLocked"/>
                      <w:richText/>
                    </w:sdtPr>
                    <w:sdtContent>
                      <w:r>
                        <w:rPr>
                          <w:rFonts w:eastAsia="Andale Sans UI"/>
                          <w:iCs/>
                          <w:color w:val="000000"/>
                          <w:szCs w:val="24"/>
                          <w:lang w:eastAsia="lt-LT"/>
                        </w:rPr>
                        <w:t>3.3</w:t>
                      </w:r>
                    </w:sdtContent>
                  </w:sdt>
                  <w:r>
                    <w:rPr>
                      <w:rFonts w:eastAsia="Andale Sans UI"/>
                      <w:iCs/>
                      <w:color w:val="000000"/>
                      <w:szCs w:val="24"/>
                      <w:lang w:eastAsia="lt-LT"/>
                    </w:rPr>
                    <w:tab/>
                  </w:r>
                  <w:r>
                    <w:rPr>
                      <w:rFonts w:eastAsia="Andale Sans UI"/>
                      <w:iCs/>
                      <w:color w:val="000000"/>
                      <w:szCs w:val="24"/>
                      <w:lang w:bidi="en-US"/>
                    </w:rPr>
                    <w:t>Aplinkos ministro įsakymo „Dėl Lietuvos Respublikos aplinkos ministro 2011 m. gruodžio 2 d. įsakymo Nr. D1-933 „Dėl statybos techninio reglamento STR 2.06.04:2014 „Gatvės ir vietinės reikšmės keliai. bendrieji reikalavimai“ patvirtinimo“ pakeitimo“ projekto numatomo teisinio reguliavimo poveikio vertinimo pažyma, 3 lapai.</w:t>
                  </w:r>
                </w:p>
              </w:sdtContent>
            </w:sdt>
            <w:sdt>
              <w:sdtPr>
                <w:alias w:val="4.1 pp."/>
                <w:tag w:val="part_6a647f743510400bb10d5b3f9ec28327"/>
                <w:lock w:val="sdtLocked"/>
                <w:richText/>
              </w:sdtPr>
              <w:sdtContent>
                <w:p>
                  <w:pPr>
                    <w:widowControl w:val="0"/>
                    <w:suppressAutoHyphens/>
                    <w:ind w:firstLine="567"/>
                    <w:jc w:val="both"/>
                    <w:rPr>
                      <w:rFonts w:eastAsia="Andale Sans UI"/>
                      <w:iCs/>
                      <w:color w:val="000000"/>
                      <w:szCs w:val="24"/>
                      <w:lang w:bidi="en-US"/>
                    </w:rPr>
                  </w:pPr>
                  <w:sdt>
                    <w:sdtPr>
                      <w:alias w:val="Numeris"/>
                      <w:tag w:val="nr_6a647f743510400bb10d5b3f9ec28327"/>
                      <w:lock w:val="sdtLocked"/>
                      <w:richText/>
                    </w:sdtPr>
                    <w:sdtContent>
                      <w:r>
                        <w:rPr>
                          <w:rFonts w:eastAsia="Andale Sans UI"/>
                          <w:iCs/>
                          <w:color w:val="000000"/>
                          <w:szCs w:val="24"/>
                          <w:lang w:eastAsia="lt-LT"/>
                        </w:rPr>
                        <w:t>4.1</w:t>
                      </w:r>
                    </w:sdtContent>
                  </w:sdt>
                  <w:r>
                    <w:rPr>
                      <w:rFonts w:eastAsia="Andale Sans UI"/>
                      <w:iCs/>
                      <w:color w:val="000000"/>
                      <w:szCs w:val="24"/>
                      <w:lang w:eastAsia="lt-LT"/>
                    </w:rPr>
                    <w:tab/>
                  </w:r>
                  <w:r>
                    <w:rPr>
                      <w:rFonts w:eastAsia="Andale Sans UI"/>
                      <w:iCs/>
                      <w:color w:val="000000"/>
                      <w:szCs w:val="24"/>
                      <w:lang w:bidi="en-US"/>
                    </w:rPr>
                    <w:t>Žemės ūkio ministro ir aplinkos ministro įsakymo „Dėl Lietuvos Respublikos žemės ūkio ministro ir Lietuvos Respublikos aplinkos ministro 2005 m. sausio 20 d. įsakymo Nr. 3d 37/D1 40 „Dėl Žemės naudojimo būdų turinio aprašo patvirtinimo“ pripažinimo netekusiu galios“ projektas, 1 lapas.</w:t>
                  </w:r>
                </w:p>
              </w:sdtContent>
            </w:sdt>
            <w:sdt>
              <w:sdtPr>
                <w:alias w:val="4.2 pp."/>
                <w:tag w:val="part_868ae92982984157b44984d7dcc23ed7"/>
                <w:lock w:val="sdtLocked"/>
                <w:richText/>
              </w:sdtPr>
              <w:sdtContent>
                <w:p>
                  <w:pPr>
                    <w:widowControl w:val="0"/>
                    <w:suppressAutoHyphens/>
                    <w:ind w:firstLine="567"/>
                    <w:jc w:val="both"/>
                    <w:rPr>
                      <w:rFonts w:eastAsia="Andale Sans UI"/>
                      <w:iCs/>
                      <w:color w:val="000000"/>
                      <w:szCs w:val="24"/>
                      <w:lang w:bidi="en-US"/>
                    </w:rPr>
                  </w:pPr>
                  <w:sdt>
                    <w:sdtPr>
                      <w:alias w:val="Numeris"/>
                      <w:tag w:val="nr_868ae92982984157b44984d7dcc23ed7"/>
                      <w:lock w:val="sdtLocked"/>
                      <w:richText/>
                    </w:sdtPr>
                    <w:sdtContent>
                      <w:r>
                        <w:rPr>
                          <w:rFonts w:eastAsia="Andale Sans UI"/>
                          <w:iCs/>
                          <w:color w:val="000000"/>
                          <w:szCs w:val="24"/>
                          <w:lang w:eastAsia="lt-LT"/>
                        </w:rPr>
                        <w:t>4.2</w:t>
                      </w:r>
                    </w:sdtContent>
                  </w:sdt>
                  <w:r>
                    <w:rPr>
                      <w:rFonts w:eastAsia="Andale Sans UI"/>
                      <w:iCs/>
                      <w:color w:val="000000"/>
                      <w:szCs w:val="24"/>
                      <w:lang w:eastAsia="lt-LT"/>
                    </w:rPr>
                    <w:tab/>
                  </w:r>
                  <w:r>
                    <w:rPr>
                      <w:rFonts w:eastAsia="Andale Sans UI"/>
                      <w:iCs/>
                      <w:color w:val="000000"/>
                      <w:szCs w:val="24"/>
                      <w:lang w:bidi="en-US"/>
                    </w:rPr>
                    <w:t>Aplinkos ministro įsakymo „Dėl Žemės naudojimo būdų turinio aprašo patvirtinimo“ projektas, 3 lapai.</w:t>
                  </w:r>
                </w:p>
              </w:sdtContent>
            </w:sdt>
            <w:sdt>
              <w:sdtPr>
                <w:alias w:val="4.3 pp."/>
                <w:tag w:val="part_ff1d515f1de648b88fd06c9b1259be34"/>
                <w:lock w:val="sdtLocked"/>
                <w:richText/>
              </w:sdtPr>
              <w:sdtContent>
                <w:p>
                  <w:pPr>
                    <w:widowControl w:val="0"/>
                    <w:suppressAutoHyphens/>
                    <w:ind w:firstLine="567"/>
                    <w:jc w:val="both"/>
                    <w:rPr>
                      <w:rFonts w:eastAsia="Andale Sans UI"/>
                      <w:iCs/>
                      <w:color w:val="000000"/>
                      <w:szCs w:val="24"/>
                      <w:lang w:bidi="en-US"/>
                    </w:rPr>
                  </w:pPr>
                  <w:sdt>
                    <w:sdtPr>
                      <w:alias w:val="Numeris"/>
                      <w:tag w:val="nr_ff1d515f1de648b88fd06c9b1259be34"/>
                      <w:lock w:val="sdtLocked"/>
                      <w:richText/>
                    </w:sdtPr>
                    <w:sdtContent>
                      <w:r>
                        <w:rPr>
                          <w:rFonts w:eastAsia="Andale Sans UI"/>
                          <w:iCs/>
                          <w:color w:val="000000"/>
                          <w:szCs w:val="24"/>
                          <w:lang w:eastAsia="lt-LT"/>
                        </w:rPr>
                        <w:t>4.3</w:t>
                      </w:r>
                    </w:sdtContent>
                  </w:sdt>
                  <w:r>
                    <w:rPr>
                      <w:rFonts w:eastAsia="Andale Sans UI"/>
                      <w:iCs/>
                      <w:color w:val="000000"/>
                      <w:szCs w:val="24"/>
                      <w:lang w:eastAsia="lt-LT"/>
                    </w:rPr>
                    <w:tab/>
                  </w:r>
                  <w:r>
                    <w:rPr>
                      <w:rFonts w:eastAsia="Andale Sans UI"/>
                      <w:iCs/>
                      <w:color w:val="000000"/>
                      <w:szCs w:val="24"/>
                      <w:lang w:bidi="en-US"/>
                    </w:rPr>
                    <w:t>Žemės ūkio ministro ir aplinkos ministro įsakymo „Dėl Lietuvos Respublikos žemės ūkio ministro ir Lietuvos Respublikos aplinkos ministro 2005 m. sausio 20 d. įsakymo Nr. 3d 37/D1 40 „Dėl žemės naudojimo būdų turinio aprašo patvirtinimo“ pripažinimo netekusiu galios“ projekto ir aplinkos ministro įsakymo „Dėl Žemės naudojimo būdų turinio aprašo patvirtinimo“ projekto numatomo teisinio reguliavimo poveikio vertinimo pažyma, 2 lapai.</w:t>
                  </w:r>
                </w:p>
              </w:sdtContent>
            </w:sdt>
            <w:sdt>
              <w:sdtPr>
                <w:alias w:val="5.1 pp."/>
                <w:tag w:val="part_17634b71484843498aafc84ca0702e91"/>
                <w:lock w:val="sdtLocked"/>
                <w:richText/>
              </w:sdtPr>
              <w:sdtContent>
                <w:p>
                  <w:pPr>
                    <w:widowControl w:val="0"/>
                    <w:suppressAutoHyphens/>
                    <w:ind w:firstLine="567"/>
                    <w:jc w:val="both"/>
                    <w:rPr>
                      <w:rFonts w:eastAsia="Andale Sans UI"/>
                      <w:iCs/>
                      <w:color w:val="000000"/>
                      <w:szCs w:val="24"/>
                      <w:lang w:bidi="en-US"/>
                    </w:rPr>
                  </w:pPr>
                  <w:sdt>
                    <w:sdtPr>
                      <w:alias w:val="Numeris"/>
                      <w:tag w:val="nr_17634b71484843498aafc84ca0702e91"/>
                      <w:lock w:val="sdtLocked"/>
                      <w:richText/>
                    </w:sdtPr>
                    <w:sdtContent>
                      <w:r>
                        <w:rPr>
                          <w:rFonts w:eastAsia="Andale Sans UI"/>
                          <w:iCs/>
                          <w:color w:val="000000"/>
                          <w:szCs w:val="24"/>
                          <w:lang w:eastAsia="lt-LT"/>
                        </w:rPr>
                        <w:t>5.1</w:t>
                      </w:r>
                    </w:sdtContent>
                  </w:sdt>
                  <w:r>
                    <w:rPr>
                      <w:rFonts w:eastAsia="Andale Sans UI"/>
                      <w:iCs/>
                      <w:color w:val="000000"/>
                      <w:szCs w:val="24"/>
                      <w:lang w:eastAsia="lt-LT"/>
                    </w:rPr>
                    <w:tab/>
                  </w:r>
                  <w:r>
                    <w:rPr>
                      <w:rFonts w:eastAsia="Andale Sans UI"/>
                      <w:iCs/>
                      <w:color w:val="000000"/>
                      <w:szCs w:val="24"/>
                      <w:lang w:bidi="en-US"/>
                    </w:rPr>
                    <w:t>Aplinkos ministro įsakymo „Dėl Lietuvos Respublikos aplinkos ministro 2014 m. sausio 2 d. įsakymo Nr. D1-8 „Dėl Kompleksinio teritorijų planavimo dokumentų rengimo taisyklių patvirtinimo“ pakeitimo“ projektas, 1 lapas.</w:t>
                  </w:r>
                </w:p>
              </w:sdtContent>
            </w:sdt>
            <w:sdt>
              <w:sdtPr>
                <w:alias w:val="5.2 pp."/>
                <w:tag w:val="part_e84e4013bbd4427d93e878074106cdac"/>
                <w:lock w:val="sdtLocked"/>
                <w:richText/>
              </w:sdtPr>
              <w:sdtContent>
                <w:p>
                  <w:pPr>
                    <w:widowControl w:val="0"/>
                    <w:suppressAutoHyphens/>
                    <w:ind w:firstLine="567"/>
                    <w:jc w:val="both"/>
                    <w:rPr>
                      <w:rFonts w:eastAsia="Andale Sans UI"/>
                      <w:iCs/>
                      <w:color w:val="000000"/>
                      <w:szCs w:val="24"/>
                      <w:lang w:bidi="en-US"/>
                    </w:rPr>
                  </w:pPr>
                  <w:sdt>
                    <w:sdtPr>
                      <w:alias w:val="Numeris"/>
                      <w:tag w:val="nr_e84e4013bbd4427d93e878074106cdac"/>
                      <w:lock w:val="sdtLocked"/>
                      <w:richText/>
                    </w:sdtPr>
                    <w:sdtContent>
                      <w:r>
                        <w:rPr>
                          <w:rFonts w:eastAsia="Andale Sans UI"/>
                          <w:iCs/>
                          <w:color w:val="000000"/>
                          <w:szCs w:val="24"/>
                          <w:lang w:eastAsia="lt-LT"/>
                        </w:rPr>
                        <w:t>5.2</w:t>
                      </w:r>
                    </w:sdtContent>
                  </w:sdt>
                  <w:r>
                    <w:rPr>
                      <w:rFonts w:eastAsia="Andale Sans UI"/>
                      <w:iCs/>
                      <w:color w:val="000000"/>
                      <w:szCs w:val="24"/>
                      <w:lang w:eastAsia="lt-LT"/>
                    </w:rPr>
                    <w:tab/>
                  </w:r>
                  <w:r>
                    <w:rPr>
                      <w:rFonts w:eastAsia="Andale Sans UI"/>
                      <w:iCs/>
                      <w:color w:val="000000"/>
                      <w:szCs w:val="24"/>
                      <w:lang w:bidi="en-US"/>
                    </w:rPr>
                    <w:t xml:space="preserve">Aplinkos ministro įsakymo „Dėl Lietuvos Respublikos aplinkos ministro 2014 m. sausio 2 d. įsakymo Nr. D1-8 „Dėl Kompleksinio teritorijų planavimo dokumentų rengimo taisyklių patvirtinimo“ pakeitimo“  projekto lyginamasis variantas, 1 lapas.</w:t>
                  </w:r>
                </w:p>
              </w:sdtContent>
            </w:sdt>
            <w:sdt>
              <w:sdtPr>
                <w:alias w:val="5.3 pp."/>
                <w:tag w:val="part_3ef3575c4bba4ee9b3685c8c2e5a6be4"/>
                <w:lock w:val="sdtLocked"/>
                <w:richText/>
              </w:sdtPr>
              <w:sdtContent>
                <w:p>
                  <w:pPr>
                    <w:widowControl w:val="0"/>
                    <w:suppressAutoHyphens/>
                    <w:ind w:firstLine="567"/>
                    <w:jc w:val="both"/>
                    <w:rPr>
                      <w:rFonts w:eastAsia="Andale Sans UI"/>
                      <w:iCs/>
                      <w:color w:val="000000"/>
                      <w:szCs w:val="24"/>
                      <w:lang w:bidi="en-US"/>
                    </w:rPr>
                  </w:pPr>
                  <w:sdt>
                    <w:sdtPr>
                      <w:alias w:val="Numeris"/>
                      <w:tag w:val="nr_3ef3575c4bba4ee9b3685c8c2e5a6be4"/>
                      <w:lock w:val="sdtLocked"/>
                      <w:richText/>
                    </w:sdtPr>
                    <w:sdtContent>
                      <w:r>
                        <w:rPr>
                          <w:rFonts w:eastAsia="Andale Sans UI"/>
                          <w:iCs/>
                          <w:color w:val="000000"/>
                          <w:szCs w:val="24"/>
                          <w:lang w:eastAsia="lt-LT"/>
                        </w:rPr>
                        <w:t>5.3</w:t>
                      </w:r>
                    </w:sdtContent>
                  </w:sdt>
                  <w:r>
                    <w:rPr>
                      <w:rFonts w:eastAsia="Andale Sans UI"/>
                      <w:iCs/>
                      <w:color w:val="000000"/>
                      <w:szCs w:val="24"/>
                      <w:lang w:eastAsia="lt-LT"/>
                    </w:rPr>
                    <w:tab/>
                  </w:r>
                  <w:r>
                    <w:rPr>
                      <w:rFonts w:eastAsia="Andale Sans UI"/>
                      <w:iCs/>
                      <w:color w:val="000000"/>
                      <w:szCs w:val="24"/>
                      <w:lang w:bidi="en-US"/>
                    </w:rPr>
                    <w:t>Aplinkos ministro įsakymo „Dėl Lietuvos Respublikos aplinkos ministro 2014 m. sausio 2 d. įsakymo Nr. D1-8 „Dėl Kompleksinio teritorijų planavimo dokumentų rengimo taisyklių patvirtinimo“ pakeitimo“, projekto numatomo teisinio reguliavimo poveikio vertinimo pažyma, 2 lapai.</w:t>
                  </w:r>
                </w:p>
              </w:sdtContent>
            </w:sdt>
          </w:sdtContent>
        </w:sdt>
        <w:sdt>
          <w:sdtPr>
            <w:alias w:val="6 p."/>
            <w:tag w:val="part_8e2671111d9d44a19611d039f468f2d1"/>
            <w:lock w:val="sdtLocked"/>
            <w:richText/>
          </w:sdtPr>
          <w:sdtContent>
            <w:p>
              <w:pPr>
                <w:widowControl w:val="0"/>
                <w:suppressAutoHyphens/>
                <w:ind w:firstLine="567"/>
                <w:jc w:val="both"/>
                <w:rPr>
                  <w:rFonts w:eastAsia="Andale Sans UI"/>
                  <w:iCs/>
                  <w:color w:val="000000"/>
                  <w:szCs w:val="24"/>
                  <w:lang w:eastAsia="lt-LT"/>
                </w:rPr>
              </w:pPr>
              <w:sdt>
                <w:sdtPr>
                  <w:alias w:val="Numeris"/>
                  <w:tag w:val="nr_8e2671111d9d44a19611d039f468f2d1"/>
                  <w:lock w:val="sdtLocked"/>
                  <w:richText/>
                </w:sdtPr>
                <w:sdtContent>
                  <w:r>
                    <w:rPr>
                      <w:rFonts w:eastAsia="Andale Sans UI"/>
                      <w:iCs/>
                      <w:color w:val="000000"/>
                      <w:szCs w:val="24"/>
                      <w:lang w:eastAsia="lt-LT"/>
                    </w:rPr>
                    <w:t>6</w:t>
                  </w:r>
                </w:sdtContent>
              </w:sdt>
              <w:r>
                <w:rPr>
                  <w:rFonts w:eastAsia="Andale Sans UI"/>
                  <w:iCs/>
                  <w:color w:val="000000"/>
                  <w:szCs w:val="24"/>
                  <w:lang w:eastAsia="lt-LT"/>
                </w:rPr>
                <w:t>. Teisės aktų projektų antikorupcinio vertinimo pažyma, 6 lapai.</w:t>
              </w:r>
            </w:p>
            <w:p>
              <w:pPr>
                <w:suppressLineNumbers/>
                <w:spacing w:line="276" w:lineRule="auto"/>
                <w:ind w:firstLine="567"/>
                <w:jc w:val="both"/>
                <w:rPr>
                  <w:rFonts w:eastAsia="Andale Sans UI" w:cs="Tahoma"/>
                  <w:bCs/>
                  <w:szCs w:val="24"/>
                  <w:lang w:bidi="en-US"/>
                </w:rPr>
              </w:pPr>
            </w:p>
            <w:p>
              <w:pPr>
                <w:suppressLineNumbers/>
                <w:spacing w:line="276" w:lineRule="auto"/>
                <w:ind w:firstLine="567"/>
                <w:jc w:val="both"/>
                <w:rPr>
                  <w:rFonts w:eastAsia="Andale Sans UI" w:cs="Tahoma"/>
                  <w:bCs/>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szCs w:val="24"/>
                        <w:lang w:bidi="en-US"/>
                      </w:rPr>
                      <w:t>Aplinkos viceministrė</w:t>
                    </w:r>
                  </w:p>
                </w:tc>
                <w:tc>
                  <w:tcPr>
                    <w:tcW w:w="4826" w:type="dxa"/>
                    <w:vAlign w:val="bottom"/>
                  </w:tcPr>
                  <w:p>
                    <w:pPr>
                      <w:spacing w:line="276" w:lineRule="auto"/>
                      <w:ind w:right="34"/>
                      <w:jc w:val="right"/>
                      <w:rPr>
                        <w:rFonts w:eastAsia="Andale Sans UI" w:cs="Tahoma"/>
                        <w:szCs w:val="24"/>
                        <w:lang w:bidi="en-US"/>
                      </w:rPr>
                    </w:pPr>
                    <w:r>
                      <w:rPr>
                        <w:rFonts w:eastAsia="Andale Sans UI"/>
                        <w:szCs w:val="24"/>
                        <w:lang w:bidi="en-US"/>
                      </w:rPr>
                      <w:t>Daiva Matusevičė</w:t>
                    </w:r>
                  </w:p>
                </w:tc>
              </w:tr>
            </w:tbl>
            <w:p>
              <w:pPr>
                <w:spacing w:line="276" w:lineRule="auto"/>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tabs>
                  <w:tab w:val="left" w:pos="2355"/>
                </w:tabs>
                <w:ind w:firstLine="2355"/>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suppressLineNumbers/>
                      <w:jc w:val="both"/>
                      <w:rPr>
                        <w:rFonts w:eastAsia="Andale Sans UI" w:cs="Tahoma"/>
                        <w:szCs w:val="24"/>
                        <w:lang w:bidi="en-US"/>
                      </w:rPr>
                    </w:pPr>
                    <w:r>
                      <w:rPr>
                        <w:rFonts w:eastAsia="Andale Sans UI"/>
                        <w:szCs w:val="24"/>
                        <w:lang w:bidi="en-US"/>
                      </w:rPr>
                      <w:t>A. Petniūnas</w:t>
                    </w:r>
                    <w:r>
                      <w:rPr>
                        <w:rFonts w:eastAsia="Andale Sans UI" w:cs="Tahoma"/>
                        <w:szCs w:val="24"/>
                        <w:lang w:bidi="en-US"/>
                      </w:rPr>
                      <w:t xml:space="preserve"> tel. </w:t>
                    </w:r>
                    <w:r>
                      <w:rPr>
                        <w:rFonts w:eastAsia="Andale Sans UI"/>
                        <w:szCs w:val="24"/>
                        <w:lang w:bidi="en-US"/>
                      </w:rPr>
                      <w:t>8 618 23454</w:t>
                    </w:r>
                    <w:r>
                      <w:rPr>
                        <w:rFonts w:eastAsia="Andale Sans UI" w:cs="Tahoma"/>
                        <w:szCs w:val="24"/>
                        <w:lang w:bidi="en-US"/>
                      </w:rPr>
                      <w:t xml:space="preserve">, el. p. </w:t>
                    </w:r>
                    <w:r>
                      <w:rPr>
                        <w:rFonts w:eastAsia="Andale Sans UI"/>
                        <w:color w:val="000080"/>
                        <w:szCs w:val="24"/>
                        <w:u w:val="single"/>
                        <w:lang w:bidi="en-US"/>
                      </w:rPr>
                      <w:t>aurimas.petniūnas@am.lt</w:t>
                    </w:r>
                  </w:p>
                  <w:p>
                    <w:pPr>
                      <w:keepLines/>
                      <w:suppressLineNumbers/>
                      <w:jc w:val="both"/>
                      <w:rPr>
                        <w:rFonts w:eastAsia="Andale Sans UI" w:cs="Tahoma"/>
                        <w:sz w:val="18"/>
                        <w:szCs w:val="18"/>
                        <w:lang w:bidi="en-US"/>
                      </w:rPr>
                    </w:pPr>
                  </w:p>
                </w:tc>
              </w:tr>
            </w:tbl>
            <w:p>
              <w:pPr>
                <w:rPr>
                  <w:rFonts w:eastAsia="Andale Sans UI" w:cs="Tahoma"/>
                  <w:szCs w:val="24"/>
                  <w:lang w:bidi="en-US"/>
                </w:rPr>
              </w:pPr>
              <w:r>
                <w:rPr>
                  <w:rFonts w:eastAsia="Andale Sans UI" w:cs="Tahoma"/>
                  <w:szCs w:val="24"/>
                  <w:lang w:bidi="en-US"/>
                </w:rPr>
                <w:br w:type="page"/>
              </w:r>
            </w:p>
            <w:p>
              <w:pPr>
                <w:ind w:firstLine="567"/>
                <w:jc w:val="center"/>
                <w:rPr>
                  <w:rFonts w:eastAsia="Andale Sans UI" w:cs="Tahoma"/>
                  <w:color w:val="000000"/>
                  <w:sz w:val="27"/>
                  <w:szCs w:val="27"/>
                  <w:lang w:bidi="en-US"/>
                </w:rPr>
              </w:pPr>
              <w:r>
                <w:rPr>
                  <w:rFonts w:eastAsia="Andale Sans UI" w:cs="Tahoma"/>
                  <w:color w:val="000000"/>
                  <w:sz w:val="27"/>
                  <w:szCs w:val="27"/>
                  <w:lang w:bidi="en-US"/>
                </w:rPr>
                <w:t>ADRESATŲ SĄRAŠAS</w:t>
              </w:r>
            </w:p>
            <w:p>
              <w:pPr>
                <w:ind w:firstLine="567"/>
                <w:jc w:val="center"/>
                <w:rPr>
                  <w:rFonts w:eastAsia="Andale Sans UI" w:cs="Tahoma"/>
                  <w:color w:val="000000"/>
                  <w:sz w:val="27"/>
                  <w:szCs w:val="27"/>
                  <w:lang w:bidi="en-US"/>
                </w:rPr>
              </w:pPr>
            </w:p>
            <w:p>
              <w:pPr>
                <w:ind w:firstLine="567"/>
                <w:rPr>
                  <w:rFonts w:eastAsia="Andale Sans UI"/>
                  <w:szCs w:val="24"/>
                  <w:lang w:bidi="en-US"/>
                </w:rPr>
              </w:pPr>
              <w:r>
                <w:rPr>
                  <w:rFonts w:eastAsia="Andale Sans UI"/>
                  <w:szCs w:val="24"/>
                  <w:lang w:bidi="en-US"/>
                </w:rPr>
                <w:t>Lietuvos architektų rūmams</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Lietuvos architektų sąjungai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Lietuvos projektavimo įmonių asociacijai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Lietuvos smulkiųjų projektavimo įmonių asociacijai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Lietuvos savivaldybių asociacijai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Lietuvos nekilnojamojo turto plėtros asociacijai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Valstybinei maisto ir veterinarijos tarnybai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Sveikatos apsaugos ministerijai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Teisingumo ministerijai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Nacionaliniam visuomenės sveikatos centrui prie Sveikatos apsaugos ministerijos</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Žemės ūkio ministerijai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VĮ Registrų centras</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Priešgaisrinės apsaugos ir gelbėjimo departamentui prie Vidaus reikalų ministerijos</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Vidaus reikalų ministerijai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Valstybinei teritorijų planavimo ir statybos inspekcijai prie Aplinkos ministerijos</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Lietuvos Respublikos finansų ministerijai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Valstybinė mokesčių inspekcija prie Lietuvos Respublikos finansų ministerijos</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Valstybinei saugomų teritorijų tarnybai prie Aplinkos ministerijos</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Kultūros ministerijai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Specialiųjų tyrimų tarnybai</w:t>
              </w:r>
            </w:p>
            <w:p>
              <w:pPr>
                <w:ind w:firstLine="567"/>
                <w:rPr>
                  <w:rFonts w:eastAsia="Andale Sans UI"/>
                  <w:szCs w:val="24"/>
                  <w:lang w:bidi="en-US"/>
                </w:rPr>
              </w:pPr>
            </w:p>
            <w:p>
              <w:pPr>
                <w:ind w:firstLine="567"/>
                <w:rPr>
                  <w:rFonts w:eastAsia="Andale Sans UI"/>
                  <w:szCs w:val="24"/>
                  <w:lang w:bidi="en-US"/>
                </w:rPr>
              </w:pPr>
              <w:r>
                <w:rPr>
                  <w:rFonts w:eastAsia="Andale Sans UI"/>
                  <w:szCs w:val="24"/>
                  <w:lang w:bidi="en-US"/>
                </w:rPr>
                <w:t>Lietuvos Respublikos ekonomikos ir inovacijų ministerijai</w:t>
              </w:r>
            </w:p>
            <w:p>
              <w:pPr>
                <w:ind w:firstLine="567"/>
                <w:jc w:val="center"/>
                <w:rPr>
                  <w:rFonts w:eastAsia="Andale Sans UI" w:cs="Tahoma"/>
                  <w:szCs w:val="24"/>
                  <w:lang w:bidi="en-US"/>
                </w:rPr>
              </w:pPr>
            </w:p>
          </w:sdtContent>
        </w:sdt>
      </w:sdtContent>
    </w:sdt>
    <w:sectPr>
      <w:headerReference w:type="even" r:id="rId14"/>
      <w:headerReference w:type="default" r:id="rId15"/>
      <w:footerReference w:type="even" r:id="rId16"/>
      <w:footerReference w:type="default" r:id="rId17"/>
      <w:headerReference w:type="first" r:id="rId18"/>
      <w:footerReference w:type="first" r:id="rId19"/>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r>
      <w:rPr>
        <w:rFonts w:ascii="Arial" w:eastAsia="Andale Sans UI" w:hAnsi="Arial" w:cs="Tahoma"/>
        <w:spacing w:val="16"/>
        <w:sz w:val="10"/>
        <w:szCs w:val="24"/>
        <w:lang w:val="en-US" w:bidi="en-US"/>
      </w:rPr>
      <w:t xml:space="preserve">Dokumento paieškos nuoroda:  </w:t>
    </w:r>
    <w:r>
      <w:rPr>
        <w:rFonts w:eastAsia="Andale Sans UI" w:cs="Tahoma"/>
        <w:spacing w:val="16"/>
        <w:sz w:val="10"/>
        <w:szCs w:val="24"/>
        <w:lang w:val="en-US" w:bidi="en-US"/>
      </w:rPr>
      <w:t>Document2</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7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19287534">
      <w:bodyDiv w:val="1"/>
      <w:marLeft w:val="0"/>
      <w:marRight w:val="0"/>
      <w:marTop w:val="0"/>
      <w:marBottom w:val="0"/>
      <w:divBdr>
        <w:top w:val="none" w:sz="0" w:space="0" w:color="auto"/>
        <w:left w:val="none" w:sz="0" w:space="0" w:color="auto"/>
        <w:bottom w:val="none" w:sz="0" w:space="0" w:color="auto"/>
        <w:right w:val="none" w:sz="0" w:space="0" w:color="auto"/>
      </w:divBdr>
    </w:div>
    <w:div w:id="1158614721">
      <w:bodyDiv w:val="1"/>
      <w:marLeft w:val="0"/>
      <w:marRight w:val="0"/>
      <w:marTop w:val="0"/>
      <w:marBottom w:val="0"/>
      <w:divBdr>
        <w:top w:val="none" w:sz="0" w:space="0" w:color="auto"/>
        <w:left w:val="none" w:sz="0" w:space="0" w:color="auto"/>
        <w:bottom w:val="none" w:sz="0" w:space="0" w:color="auto"/>
        <w:right w:val="none" w:sz="0" w:space="0" w:color="auto"/>
      </w:divBdr>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 w:id="1785349227">
      <w:bodyDiv w:val="1"/>
      <w:marLeft w:val="0"/>
      <w:marRight w:val="0"/>
      <w:marTop w:val="0"/>
      <w:marBottom w:val="0"/>
      <w:divBdr>
        <w:top w:val="none" w:sz="0" w:space="0" w:color="auto"/>
        <w:left w:val="none" w:sz="0" w:space="0" w:color="auto"/>
        <w:bottom w:val="none" w:sz="0" w:space="0" w:color="auto"/>
        <w:right w:val="none" w:sz="0" w:space="0" w:color="auto"/>
      </w:divBdr>
      <w:divsChild>
        <w:div w:id="1707411926">
          <w:marLeft w:val="0"/>
          <w:marRight w:val="0"/>
          <w:marTop w:val="0"/>
          <w:marBottom w:val="0"/>
          <w:divBdr>
            <w:top w:val="none" w:sz="0" w:space="0" w:color="auto"/>
            <w:left w:val="none" w:sz="0" w:space="0" w:color="auto"/>
            <w:bottom w:val="none" w:sz="0" w:space="0" w:color="auto"/>
            <w:right w:val="none" w:sz="0" w:space="0" w:color="auto"/>
          </w:divBdr>
        </w:div>
      </w:divsChild>
    </w:div>
    <w:div w:id="1953589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8" ma:contentTypeDescription="Create a new document." ma:contentTypeScope="" ma:versionID="93e0a16fd47a8cab8c2d139a6a5b44f0">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0d03953f07cdd130e1d7f142167cd43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SharedWithUsers xmlns="2ad30025-d0d5-4532-b26e-26983efa1e1c">
      <UserInfo>
        <DisplayName>Gražina Rapkauskienė</DisplayName>
        <AccountId>89</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9221f5f910234b839a8bf0c81feed002" PartId="e48f13fba54c4387b48985685c94e8cd"/>
  <Part Type="pastraipa" DocPartId="9987b424da0c4ba68ed79f6746bfcdc1" PartId="cb23bae2fe814effbe1dab69ddf31e61"/>
  <Part Type="pastraipa" DocPartId="608b0d0b989b42e2b7b786446be43bc6" PartId="463a295a6ab94c70a85a8c8b75d50e66"/>
  <Part Type="pastraipa" DocPartId="d69f1e95495347dca79e9437f7b342fb" PartId="543064c2100f4176926c84df1f8ebb22"/>
  <Part Type="pastraipa" DocPartId="9c120b2423204e70ab020ce7512a6a47" PartId="73fdebe507684469b3a6f6fa8d94d156"/>
  <Part Type="pastraipa" DocPartId="266f10063ef14c76961717074d4f5647" PartId="bffa19336ae2407cb9d77e834b836f94"/>
  <Part Type="pastraipa" DocPartId="650eedc3f98648a092cb8042b798fa12" PartId="974cb09f820e4aa58604bc25eff9650f"/>
  <Part Type="pastraipa" DocPartId="13ee00d86b2c4ea48695dde8b59adb75" PartId="8e9c1ddf031e45f486f529f08f59f7d3">
    <Part Type="punktas" Nr="1" Abbr="1 p." DocPartId="102db6f92d7343e3945b31608a1c8fe5" PartId="6f485d08d07945b3930b78a96179e646"/>
    <Part Type="punktas" Nr="2" Abbr="2 p." DocPartId="1278cb3ed0f6470e838560c9ebc8362e" PartId="aac20acdcd3a4000920bded7398793ab"/>
    <Part Type="punktas" Nr="3" Abbr="3 p." DocPartId="f31aee9f8b0848ee92e534c536556086" PartId="d7223262f7554b52a92d1fc94ff74593"/>
    <Part Type="punktas" Nr="4" Abbr="4 p." DocPartId="ca86653704d24c99ab796ce6021d4000" PartId="eadca2ecd0ac4a2cab4ce0987e634b0e"/>
    <Part Type="punktas" Nr="5" Abbr="5 p." DocPartId="30bfa587a1a94025aa5adc01b1f420d7" PartId="d0eb8e4530db4436a91c696f6adaa4fd"/>
    <Part Type="punktas" Nr="6" Abbr="6 p." DocPartId="fd2eeae00b4c43edb6dacb642cefa7e1" PartId="8b8563930baa42999357a4351539343d"/>
    <Part Type="punktas" Nr="1" Abbr="1 p." Notes="Numeris ne iš eilės. Trūksta dalių? [DocDalys]" DocPartId="0d996da85bfb445cbd55de8b9972cc11" PartId="69c7832f2b9740d992b2ee8901324719"/>
    <Part Type="punktas" Nr="2" Abbr="2 p." DocPartId="b7e9f0fe7b9747d7b04d5ce49ca461c1" PartId="c3eb8b5149df4d55867de08ea01b2670"/>
    <Part Type="punktas" Nr="3" Abbr="3 p." DocPartId="2aa490d9a15a4f0da678b73e3065b1e2" PartId="b9d049c2f8c046fa947e0ab394007dde"/>
    <Part Type="punktas" Nr="4" Abbr="4 p." DocPartId="6ed1bea0a8bc402f9f8177b53bbe09d0" PartId="4b5305181cb34a749badf39fa9c9bd4e"/>
    <Part Type="punktas" Nr="5" Abbr="5 p." DocPartId="4473327509eb4a9193694941fd741972" PartId="8d2a79b3ba6a40a2a96c5f5b864c97a4"/>
    <Part Type="punktas" Nr="6" Abbr="6 p." DocPartId="0c8852bb386f4a53b1af4bb9b22b7b57" PartId="ef6e1be23e1d4b55a5f333b371fa7844"/>
    <Part Type="punktas" Nr="7" Abbr="7 p." DocPartId="571f74a19662429ba5f5d9cc12014cba" PartId="bc3e73b4abb5494ebe71f587330a8d3d"/>
    <Part Type="punktas" Nr="8" Abbr="8 p." DocPartId="a1d975b23c124f47bd517e8b390e457a" PartId="166f62715c8d468c8fdf8bbee653d23d"/>
    <Part Type="punktas" Nr="9" Abbr="9 p." DocPartId="b512fcb2b564425082fa6ed216fcd0af" PartId="1005499fc96643138b016fd95f6997dd"/>
    <Part Type="punktas" Nr="10" Abbr="10 p." DocPartId="7a84f9c3b19444e1b56d7a593d631c1f" PartId="7fa41cfe87324fd081434ed145ec836a"/>
    <Part Type="punktas" Nr="11" Abbr="11 p." DocPartId="47a1ecc770934e49a31327f80b507afa" PartId="9dea8b3cddc54756a498582c5bcb0ad1"/>
    <Part Type="punktas" Nr="12" Abbr="12 p." DocPartId="3f2b07e0127b4a5684e19a6a4a383c18" PartId="93b48568ae504e9ebf1e02528e43b7cf"/>
    <Part Type="punktas" Nr="13" Abbr="13 p." DocPartId="44d1d063fb10430ca829fb17654bc642" PartId="0aca2035977e4e3484f3fbd510c7ed83"/>
    <Part Type="punktas" Nr="14" Abbr="14 p." DocPartId="bdfcf2cac11444679332f56ad867a78e" PartId="46b6548edf0a4d53a116648c389a977b"/>
    <Part Type="punktas" Nr="15" Abbr="15 p." DocPartId="6adcdd609662409c8a6f3c368d825374" PartId="d8bb9ce5fca846c1b55290b3cc096be2"/>
    <Part Type="punktas" Nr="16" Abbr="16 p." DocPartId="add1a38e46f14f3cb18b95ce17314e8a" PartId="781e15e23e894783aeeaf897fd7f94ae"/>
    <Part Type="punktas" Nr="17" Abbr="17 p." DocPartId="7953f9111d524fbb918fcd961eef66ac" PartId="9183e290361a41c1b50cda9784b8b4a6"/>
    <Part Type="punktas" Nr="18" Abbr="18 p." DocPartId="1b3b48e3bee442eb91ab2074773d6a79" PartId="e160dcb1fc1c4a40b8f7273a04f35c48"/>
    <Part Type="punktas" Nr="19" Abbr="19 p." DocPartId="3d475e51fed14f70b008276965b20af7" PartId="1284aaa15e4e462183200d8d37ba8508"/>
    <Part Type="punktas" Nr="20" Abbr="20 p." DocPartId="164c4571dd354ccb9aaec6c80b821c7b" PartId="7a4982a60b7b4ac9bdb5ae04d9475f9a">
      <Part Type="papunktis" Nr="1.1" Abbr="1.1 pp." Notes="Numeris ne iš eilės. Trūksta dalių? [DocDalys]" DocPartId="c75b522863f24d0e95108c2d1dfeb1da" PartId="2b3d46d3d75647ac859d36f4937d23d9"/>
      <Part Type="papunktis" Nr="1.2" Abbr="1.2 pp." DocPartId="fd2c6e2f10b245f4b9b42fde78f45c62" PartId="ed7f4e61a7c44db4820f3e7e96462990"/>
      <Part Type="papunktis" Nr="2.1" Abbr="2.1 pp." Notes="Numeris ne iš eilės. Trūksta dalių? [DocDalys]" DocPartId="7fd00d2fea3b41a5aca13e040005d8c3" PartId="14b44b8960ef47a4b0bb6619d397c6df"/>
      <Part Type="papunktis" Nr="2.2" Abbr="2.2 pp." DocPartId="4d8467d733294c9fb898614d67d058e8" PartId="43c79b8ebcc642f2bc13b1eeb2612bce"/>
      <Part Type="papunktis" Nr="2.3" Abbr="2.3 pp." DocPartId="3dec013c65694759a8b3a07d808e3bfd" PartId="ac567e025e6c4d73a61428e438213dc9"/>
      <Part Type="papunktis" Nr="3.1" Abbr="3.1 pp." Notes="Numeris ne iš eilės. Trūksta dalių? [DocDalys]" DocPartId="f2d6bb21b772460ebe994fda167735cc" PartId="a966194e2d3e4e2e8fbeee265d15a552"/>
      <Part Type="papunktis" Nr="3.2" Abbr="3.2 pp." DocPartId="db579cd39a664fff88affe6f18f8cfaa" PartId="aeeadff2ca7d4bc095e67421e070ece3"/>
      <Part Type="papunktis" Nr="3.3" Abbr="3.3 pp." DocPartId="98ee4da6eb5f49e2886861200f4962d4" PartId="226abda25b7d40eca2205e92248f56da"/>
      <Part Type="papunktis" Nr="4.1" Abbr="4.1 pp." Notes="Numeris ne iš eilės. Trūksta dalių? [DocDalys]" DocPartId="50cb762e913845069ea5f4e5614d192c" PartId="6a647f743510400bb10d5b3f9ec28327"/>
      <Part Type="papunktis" Nr="4.2" Abbr="4.2 pp." DocPartId="efffa5ad72554f878ce7b988f50704b9" PartId="868ae92982984157b44984d7dcc23ed7"/>
      <Part Type="papunktis" Nr="4.3" Abbr="4.3 pp." DocPartId="3ffe18966f604e548aba65d31e12c1b6" PartId="ff1d515f1de648b88fd06c9b1259be34"/>
      <Part Type="papunktis" Nr="5.1" Abbr="5.1 pp." Notes="Numeris ne iš eilės. Trūksta dalių? [DocDalys]" DocPartId="7894b9c26c094b4caa9ded4ef323e68b" PartId="17634b71484843498aafc84ca0702e91"/>
      <Part Type="papunktis" Nr="5.2" Abbr="5.2 pp." DocPartId="53faa6a70b4645538d976a289bfeec4b" PartId="e84e4013bbd4427d93e878074106cdac"/>
      <Part Type="papunktis" Nr="5.3" Abbr="5.3 pp." DocPartId="507f13f8805e4f1f9b9dc605a019b610" PartId="3ef3575c4bba4ee9b3685c8c2e5a6be4"/>
    </Part>
    <Part Type="punktas" Nr="6" Abbr="6 p." Notes="Numeris ne iš eilės. Trūksta dalių? [DocDalys]" DocPartId="9499f93bc4804a388bd63863a97bd238" PartId="8e2671111d9d44a19611d039f468f2d1"/>
  </Part>
</Parts>
</file>

<file path=customXml/itemProps1.xml><?xml version="1.0" encoding="utf-8"?>
<ds:datastoreItem xmlns:ds="http://schemas.openxmlformats.org/officeDocument/2006/customXml" ds:itemID="{E35EB61B-BD39-4177-8CFB-B6C4C4D5B4CB}">
  <ds:schemaRefs>
    <ds:schemaRef ds:uri="http://schemas.microsoft.com/sharepoint/v3/contenttype/forms"/>
  </ds:schemaRefs>
</ds:datastoreItem>
</file>

<file path=customXml/itemProps2.xml><?xml version="1.0" encoding="utf-8"?>
<ds:datastoreItem xmlns:ds="http://schemas.openxmlformats.org/officeDocument/2006/customXml" ds:itemID="{CF45F7FD-2770-48FA-AA48-156AACD1AE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6CC651-46B9-4D86-A661-D2C361907B6D}">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4.xml><?xml version="1.0" encoding="utf-8"?>
<ds:datastoreItem xmlns:ds="http://schemas.openxmlformats.org/officeDocument/2006/customXml" ds:itemID="{160DD3C1-9901-48B9-82F5-12399ED9AAD3}">
  <ds:schemaRefs>
    <ds:schemaRef ds:uri="http://schemas.openxmlformats.org/officeDocument/2006/bibliography"/>
  </ds:schemaRefs>
</ds:datastoreItem>
</file>

<file path=customXml/itemProps5.xml><?xml version="1.0" encoding="utf-8"?>
<ds:datastoreItem xmlns:ds="http://schemas.openxmlformats.org/officeDocument/2006/customXml" ds:itemID="{DFE6B688-96B5-4967-BB79-7C23992668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1984</Words>
  <Characters>14468</Characters>
  <Application>Microsoft Office Word</Application>
  <DocSecurity>4</DocSecurity>
  <Lines>295</Lines>
  <Paragraphs>106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16346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2023-12-14T13:39:00Z</dcterms:created>
  <dcterms:modified xsi:type="dcterms:W3CDTF">2023-12-14T13:39:00Z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MediaServiceImageTags">
    <vt:lpwstr/>
  </property>
</Properties>
</file>