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ce6f8277a424925aac869471856d589"/>
        <w:lock w:val="sdtLocked"/>
        <w:richText/>
      </w:sdtPr>
      <w:sdtContent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LIETUVOS RESPUBLIKOS ENERGETIKOS MINISTERIJOS</w:t>
          </w: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TEISĖS IR PERSONALO GRUPĖ</w:t>
          </w: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TEISĖS AKTO PROJEKTO ANTIKORUPCINIO VERTINIMO PAŽYMA</w:t>
          </w:r>
        </w:p>
        <w:p>
          <w:pPr>
            <w:rPr>
              <w:b/>
              <w:szCs w:val="24"/>
            </w:rPr>
          </w:pPr>
        </w:p>
        <w:p>
          <w:pPr>
            <w:spacing w:line="276" w:lineRule="auto"/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2021 m.                            d. Nr. </w:t>
          </w:r>
        </w:p>
        <w:p>
          <w:pPr>
            <w:ind w:firstLine="720"/>
            <w:rPr>
              <w:szCs w:val="24"/>
            </w:rPr>
          </w:pPr>
        </w:p>
        <w:p>
          <w:pPr>
            <w:keepNext/>
            <w:tabs>
              <w:tab w:val="left" w:pos="851"/>
              <w:tab w:val="left" w:pos="1560"/>
              <w:tab w:val="left" w:pos="1843"/>
            </w:tabs>
            <w:overflowPunct w:val="0"/>
            <w:spacing w:line="276" w:lineRule="auto"/>
            <w:jc w:val="both"/>
            <w:textAlignment w:val="baseline"/>
            <w:rPr>
              <w:rFonts w:eastAsia="Calibri"/>
              <w:szCs w:val="24"/>
            </w:rPr>
          </w:pPr>
          <w:r>
            <w:rPr>
              <w:b/>
              <w:szCs w:val="24"/>
            </w:rPr>
            <w:t>Teisės akto projekto pavadinimas:</w:t>
          </w:r>
          <w:r>
            <w:rPr>
              <w:rFonts w:eastAsia="Calibri"/>
              <w:bCs/>
              <w:color w:val="000000"/>
              <w:szCs w:val="24"/>
            </w:rPr>
            <w:t xml:space="preserve"> </w:t>
          </w:r>
          <w:r>
            <w:rPr>
              <w:rFonts w:eastAsia="Calibri"/>
              <w:szCs w:val="24"/>
            </w:rPr>
            <w:t xml:space="preserve">Lietuvos Respublikos šilumos ūkio įstatymo Nr. IX-1565 </w:t>
          </w:r>
          <w:r>
            <w:rPr>
              <w:rFonts w:eastAsia="Calibri"/>
              <w:caps/>
              <w:szCs w:val="24"/>
            </w:rPr>
            <w:t>1, 2, 8, 9, 10, 10</w:t>
          </w:r>
          <w:r>
            <w:rPr>
              <w:rFonts w:eastAsia="Calibri"/>
              <w:caps/>
              <w:szCs w:val="24"/>
              <w:vertAlign w:val="superscript"/>
            </w:rPr>
            <w:t>1</w:t>
          </w:r>
          <w:r>
            <w:rPr>
              <w:rFonts w:eastAsia="Calibri"/>
              <w:caps/>
              <w:szCs w:val="24"/>
            </w:rPr>
            <w:t>,</w:t>
          </w:r>
          <w:r>
            <w:rPr>
              <w:rFonts w:eastAsia="Calibri"/>
              <w:caps/>
              <w:szCs w:val="24"/>
              <w:vertAlign w:val="superscript"/>
            </w:rPr>
            <w:t xml:space="preserve"> </w:t>
          </w:r>
          <w:r>
            <w:rPr>
              <w:rFonts w:eastAsia="Calibri"/>
              <w:caps/>
              <w:szCs w:val="24"/>
            </w:rPr>
            <w:t xml:space="preserve">12, 15, 20, 22, 23, 24, 30, 32 </w:t>
          </w:r>
          <w:r>
            <w:rPr>
              <w:rFonts w:eastAsia="Calibri"/>
              <w:szCs w:val="24"/>
            </w:rPr>
            <w:t>ir 35 straipsnių pakeitimo ir Įstatymo papildymo 8</w:t>
          </w:r>
          <w:r>
            <w:rPr>
              <w:rFonts w:eastAsia="Calibri"/>
              <w:szCs w:val="24"/>
              <w:vertAlign w:val="superscript"/>
            </w:rPr>
            <w:t>2</w:t>
          </w:r>
          <w:r>
            <w:rPr>
              <w:rFonts w:eastAsia="Calibri"/>
              <w:szCs w:val="24"/>
            </w:rPr>
            <w:t>, 8</w:t>
          </w:r>
          <w:r>
            <w:rPr>
              <w:rFonts w:eastAsia="Calibri"/>
              <w:szCs w:val="24"/>
              <w:vertAlign w:val="superscript"/>
            </w:rPr>
            <w:t>3</w:t>
          </w:r>
          <w:r>
            <w:rPr>
              <w:rFonts w:eastAsia="Calibri"/>
              <w:szCs w:val="24"/>
            </w:rPr>
            <w:t xml:space="preserve"> ir 18</w:t>
          </w:r>
          <w:r>
            <w:rPr>
              <w:rFonts w:eastAsia="Calibri"/>
              <w:szCs w:val="24"/>
              <w:vertAlign w:val="superscript"/>
            </w:rPr>
            <w:t>1</w:t>
          </w:r>
          <w:r>
            <w:rPr>
              <w:rFonts w:eastAsia="Calibri"/>
              <w:szCs w:val="24"/>
            </w:rPr>
            <w:t xml:space="preserve"> straipsniais įstatymo projektas  </w:t>
          </w:r>
          <w:r>
            <w:rPr>
              <w:rFonts w:eastAsia="Calibri"/>
              <w:bCs/>
              <w:color w:val="000000"/>
              <w:szCs w:val="24"/>
            </w:rPr>
            <w:t xml:space="preserve">(toliau – projektas). </w:t>
          </w:r>
        </w:p>
        <w:p>
          <w:pPr>
            <w:rPr>
              <w:sz w:val="18"/>
              <w:szCs w:val="18"/>
            </w:rPr>
          </w:pPr>
        </w:p>
        <w:p>
          <w:pPr>
            <w:ind w:firstLine="720"/>
            <w:jc w:val="both"/>
            <w:rPr>
              <w:szCs w:val="24"/>
            </w:rPr>
          </w:pPr>
          <w:r>
            <w:rPr>
              <w:b/>
              <w:szCs w:val="24"/>
            </w:rPr>
            <w:t>Teisės akto projekto tiesioginis rengėjas:</w:t>
          </w:r>
          <w:r>
            <w:rPr>
              <w:szCs w:val="24"/>
            </w:rPr>
            <w:t xml:space="preserve"> </w:t>
          </w:r>
          <w:r>
            <w:rPr>
              <w:rFonts w:eastAsia="Calibri"/>
              <w:szCs w:val="24"/>
              <w:lang w:eastAsia="lt-LT"/>
            </w:rPr>
            <w:t>Lietuvos Respublikos energetikos ministerijos Energetikos konkurencingumo grupės patarėja Vida Dzermeikienė</w:t>
          </w:r>
          <w:r>
            <w:rPr>
              <w:rFonts w:eastAsia="Calibri"/>
              <w:szCs w:val="24"/>
            </w:rPr>
            <w:t>.</w:t>
          </w:r>
        </w:p>
        <w:p>
          <w:pPr>
            <w:ind w:firstLine="720"/>
            <w:jc w:val="both"/>
            <w:rPr>
              <w:szCs w:val="24"/>
            </w:rPr>
          </w:pPr>
          <w:r>
            <w:rPr>
              <w:b/>
              <w:szCs w:val="24"/>
            </w:rPr>
            <w:t xml:space="preserve">Antikorupciniu požiūriu rizikingos teisės akto projekto nuostatos </w:t>
          </w:r>
          <w:r>
            <w:rPr>
              <w:i/>
              <w:szCs w:val="24"/>
            </w:rPr>
            <w:t>(nurodyti kriterijaus numerį, kurį taikant nustatytai korupcijos rizikai šalinti ar valdyti teisės akto projekte nenumatyta priemonių)</w:t>
          </w:r>
          <w:r>
            <w:rPr>
              <w:szCs w:val="24"/>
            </w:rPr>
            <w:t>: nėra.</w:t>
          </w:r>
        </w:p>
        <w:p>
          <w:pPr>
            <w:ind w:firstLine="720"/>
            <w:jc w:val="both"/>
            <w:rPr>
              <w:szCs w:val="24"/>
            </w:rPr>
          </w:pPr>
          <w:r>
            <w:rPr>
              <w:b/>
              <w:szCs w:val="24"/>
            </w:rPr>
            <w:t xml:space="preserve">Antikorupciniu požiūriu rizikingos teisės akto projekto nuostatos, nustatytos atliekant antikorupcinį vertinimą po tarpinstitucinio derinimo </w:t>
          </w:r>
          <w:r>
            <w:rPr>
              <w:i/>
              <w:szCs w:val="24"/>
            </w:rPr>
            <w:t>(nurodyti kriterijaus numerį, kurį taikant nustatytai korupcijos rizikai šalinti ar valdyti teisės akto projekte nenumatyta priemonių)</w:t>
          </w:r>
          <w:r>
            <w:rPr>
              <w:szCs w:val="24"/>
            </w:rPr>
            <w:t xml:space="preserve">: nėra. </w:t>
          </w:r>
        </w:p>
        <w:p>
          <w:pPr>
            <w:ind w:firstLine="720"/>
            <w:jc w:val="both"/>
            <w:rPr>
              <w:szCs w:val="24"/>
            </w:rPr>
          </w:pPr>
        </w:p>
        <w:tbl>
          <w:tblPr>
            <w:tblW w:w="5000" w:type="pct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CellMar>
              <w:left w:w="0" w:type="dxa"/>
              <w:right w:w="0" w:type="dxa"/>
            </w:tblCellMar>
            <w:tblLook w:val="00A0" w:firstRow="1" w:lastRow="0" w:firstColumn="1" w:lastColumn="0" w:noHBand="0" w:noVBand="0"/>
          </w:tblPr>
          <w:tblGrid>
            <w:gridCol w:w="532"/>
            <w:gridCol w:w="4408"/>
            <w:gridCol w:w="5068"/>
            <w:gridCol w:w="2267"/>
            <w:gridCol w:w="2001"/>
          </w:tblGrid>
          <w:tr>
            <w:trPr>
              <w:trHeight w:val="23"/>
              <w:tblHeader/>
              <w:jc w:val="center"/>
            </w:trPr>
            <w:tc>
              <w:tcPr>
                <w:tcW w:w="18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Eil. Nr.</w:t>
                </w:r>
              </w:p>
            </w:tc>
            <w:tc>
              <w:tcPr>
                <w:tcW w:w="154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ind w:left="57" w:right="57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Kriterijus</w:t>
                </w:r>
              </w:p>
            </w:tc>
            <w:tc>
              <w:tcPr>
                <w:tcW w:w="177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ind w:left="57" w:right="57"/>
                  <w:jc w:val="center"/>
                  <w:rPr>
                    <w:b/>
                    <w:szCs w:val="24"/>
                  </w:rPr>
                </w:pPr>
                <w:r>
                  <w:rPr>
                    <w:szCs w:val="24"/>
                  </w:rPr>
                  <w:t>Pagrindimas (nurodomos konkrečios teisės akto projekto ar kitų teisės aktų nuostatos, pagrindžiančios teigiamą atsakymą, arba pateikiamos antikorupcinį teisės akto projekto vertinimą atliekančio specialisto pastabos ir pasiūlymai dėl korupcijos rizikos mažinimo)</w:t>
                </w:r>
              </w:p>
            </w:tc>
            <w:tc>
              <w:tcPr>
                <w:tcW w:w="7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Teisės akto projekto pakeitimas, mažinantis korupcijos riziką, arba teisės akto projekto tiesioginio rengėjo argumentai, kodėl neatsižvelgta į pastabą</w:t>
                </w:r>
              </w:p>
            </w:tc>
            <w:tc>
              <w:tcPr>
                <w:tcW w:w="70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ind w:left="183" w:hanging="183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Išvada dėl teisės akto projekto pakeitimų arba argumentų, kodėl neatsižvelgta į pastabą</w:t>
                </w:r>
              </w:p>
            </w:tc>
          </w:tr>
          <w:tr>
            <w:trPr>
              <w:trHeight w:val="23"/>
              <w:tblHeader/>
              <w:jc w:val="center"/>
            </w:trPr>
            <w:tc>
              <w:tcPr>
                <w:tcW w:w="18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i/>
                    <w:szCs w:val="24"/>
                  </w:rPr>
                </w:pPr>
              </w:p>
            </w:tc>
            <w:tc>
              <w:tcPr>
                <w:tcW w:w="154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ind w:left="57" w:right="57"/>
                  <w:rPr>
                    <w:i/>
                    <w:szCs w:val="24"/>
                  </w:rPr>
                </w:pPr>
              </w:p>
            </w:tc>
            <w:tc>
              <w:tcPr>
                <w:tcW w:w="177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ind w:left="57" w:right="57"/>
                  <w:jc w:val="center"/>
                  <w:rPr>
                    <w:i/>
                    <w:szCs w:val="24"/>
                  </w:rPr>
                </w:pPr>
                <w:r>
                  <w:rPr>
                    <w:i/>
                    <w:szCs w:val="24"/>
                  </w:rPr>
                  <w:t>pildo teisės akto projekto vertintojas</w:t>
                </w:r>
              </w:p>
            </w:tc>
            <w:tc>
              <w:tcPr>
                <w:tcW w:w="7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i/>
                    <w:szCs w:val="24"/>
                  </w:rPr>
                </w:pPr>
                <w:r>
                  <w:rPr>
                    <w:i/>
                    <w:szCs w:val="24"/>
                  </w:rPr>
                  <w:t>pildo teisės akto projekto tiesioginis rengėjas</w:t>
                </w:r>
              </w:p>
            </w:tc>
            <w:tc>
              <w:tcPr>
                <w:tcW w:w="70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i/>
                    <w:szCs w:val="24"/>
                  </w:rPr>
                </w:pPr>
                <w:r>
                  <w:rPr>
                    <w:i/>
                    <w:szCs w:val="24"/>
                  </w:rPr>
                  <w:t>pildo teisės akto projekto vertintojas</w:t>
                </w:r>
              </w:p>
            </w:tc>
          </w:tr>
          <w:tr>
            <w:trPr>
              <w:trHeight w:val="23"/>
              <w:tblHeader/>
              <w:jc w:val="center"/>
            </w:trPr>
            <w:tc>
              <w:tcPr>
                <w:tcW w:w="18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154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ind w:left="57" w:right="57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Teisės akto projektas nesudaro išskirtinių ar nevienodų sąlygų subjektams, su kuriais susijęs teisės akto įgyvendinimas </w:t>
                </w:r>
              </w:p>
            </w:tc>
            <w:tc>
              <w:tcPr>
                <w:tcW w:w="177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ind w:left="57" w:right="5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Projektu nesudaromos išskirtinės ar nevienodos sąlygos subjektams, su kuriais susijęs teisės akto įgyvendinimas. </w:t>
                </w:r>
              </w:p>
            </w:tc>
            <w:tc>
              <w:tcPr>
                <w:tcW w:w="7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b/>
                    <w:szCs w:val="24"/>
                  </w:rPr>
                </w:pPr>
              </w:p>
            </w:tc>
            <w:tc>
              <w:tcPr>
                <w:tcW w:w="70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tenkina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netenkina</w:t>
                </w:r>
              </w:p>
            </w:tc>
          </w:tr>
        </w:tbl>
        <w:p>
          <w:pPr>
            <w:ind w:firstLine="720"/>
            <w:jc w:val="both"/>
            <w:rPr>
              <w:szCs w:val="24"/>
            </w:rPr>
          </w:pPr>
        </w:p>
        <w:p>
          <w:pPr>
            <w:ind w:firstLine="720"/>
            <w:jc w:val="both"/>
            <w:rPr>
              <w:szCs w:val="24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0" w:type="dxa"/>
              <w:right w:w="0" w:type="dxa"/>
            </w:tblCellMar>
            <w:tblLook w:val="00A0" w:firstRow="1" w:lastRow="0" w:firstColumn="1" w:lastColumn="0" w:noHBand="0" w:noVBand="0"/>
          </w:tblPr>
          <w:tblGrid>
            <w:gridCol w:w="531"/>
            <w:gridCol w:w="4283"/>
            <w:gridCol w:w="5194"/>
            <w:gridCol w:w="2267"/>
            <w:gridCol w:w="2001"/>
          </w:tblGrid>
          <w:tr>
            <w:trPr>
              <w:trHeight w:val="23"/>
              <w:tblHeader/>
            </w:trPr>
            <w:tc>
              <w:tcPr>
                <w:tcW w:w="18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0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181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ind w:right="57"/>
                  <w:jc w:val="both"/>
                  <w:rPr>
                    <w:szCs w:val="24"/>
                  </w:rPr>
                </w:pPr>
              </w:p>
            </w:tc>
            <w:tc>
              <w:tcPr>
                <w:tcW w:w="7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70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</w:p>
            </w:tc>
          </w:tr>
          <w:tr>
            <w:trPr>
              <w:trHeight w:val="23"/>
              <w:tblHeader/>
            </w:trPr>
            <w:tc>
              <w:tcPr>
                <w:tcW w:w="18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</w:r>
              </w:p>
            </w:tc>
            <w:tc>
              <w:tcPr>
                <w:tcW w:w="150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Teisės akto projekte nėra spragų ar nuostatų, leisiančių dviprasmiškai aiškinti ir taikyti teisės aktą</w:t>
                </w:r>
              </w:p>
              <w:p>
                <w:pPr>
                  <w:rPr>
                    <w:szCs w:val="24"/>
                  </w:rPr>
                </w:pPr>
              </w:p>
            </w:tc>
            <w:tc>
              <w:tcPr>
                <w:tcW w:w="181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ind w:right="57" w:firstLine="62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Projekte nėra spragų ar nuostatų, leisiančių dviprasmiškai aiškinti ir taikyti teisės aktus.</w:t>
                </w:r>
              </w:p>
            </w:tc>
            <w:tc>
              <w:tcPr>
                <w:tcW w:w="7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70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tenkina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netenkina</w:t>
                </w:r>
              </w:p>
            </w:tc>
          </w:tr>
          <w:tr>
            <w:trPr>
              <w:trHeight w:val="23"/>
              <w:tblHeader/>
            </w:trPr>
            <w:tc>
              <w:tcPr>
                <w:tcW w:w="18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</w:r>
              </w:p>
            </w:tc>
            <w:tc>
              <w:tcPr>
                <w:tcW w:w="150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Teisės akto projekte nustatyta, kad sprendimą dėl teisių suteikimo, apribojimų nustatymo, sankcijų taikymo ir panašiai priimantis subjektas atskirtas nuo šių sprendimų teisėtumą ir įgyvendinimą kontroliuojančio (prižiūrinčio) subjekto</w:t>
                </w:r>
              </w:p>
              <w:p>
                <w:pPr>
                  <w:rPr>
                    <w:szCs w:val="24"/>
                  </w:rPr>
                </w:pPr>
              </w:p>
            </w:tc>
            <w:tc>
              <w:tcPr>
                <w:tcW w:w="181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ind w:left="57" w:right="5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Projekte nustatomos aiškios </w:t>
                </w:r>
                <w:r>
                  <w:rPr>
                    <w:rFonts w:ascii="Calibri" w:hAnsi="Calibri"/>
                    <w:szCs w:val="24"/>
                  </w:rPr>
                  <w:t>Valstybinės energetikos reguliavimo tarybos, savivaldybių tarybų ir šilumos tiekėjų funkcijos, kurios nedubliuoja Energetikos ministerijos funkcijų.</w:t>
                </w:r>
              </w:p>
            </w:tc>
            <w:tc>
              <w:tcPr>
                <w:tcW w:w="7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70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tenkina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netenkina</w:t>
                </w:r>
              </w:p>
            </w:tc>
          </w:tr>
          <w:tr>
            <w:trPr>
              <w:trHeight w:val="23"/>
              <w:tblHeader/>
            </w:trPr>
            <w:tc>
              <w:tcPr>
                <w:tcW w:w="18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</w:r>
              </w:p>
            </w:tc>
            <w:tc>
              <w:tcPr>
                <w:tcW w:w="150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Teisės akto projekte nustatyti subjekto įgaliojimai (teisės) atitinka subjekto atliekamas funkcijas (pareigas)</w:t>
                </w:r>
              </w:p>
              <w:p>
                <w:pPr>
                  <w:rPr>
                    <w:szCs w:val="24"/>
                  </w:rPr>
                </w:pPr>
              </w:p>
            </w:tc>
            <w:tc>
              <w:tcPr>
                <w:tcW w:w="181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ind w:left="57" w:right="57"/>
                  <w:jc w:val="both"/>
                  <w:rPr>
                    <w:rFonts w:ascii="Calibri" w:hAnsi="Calibri"/>
                    <w:szCs w:val="24"/>
                  </w:rPr>
                </w:pPr>
                <w:r>
                  <w:rPr>
                    <w:rFonts w:ascii="Calibri" w:hAnsi="Calibri"/>
                    <w:szCs w:val="24"/>
                  </w:rPr>
                  <w:t xml:space="preserve">Projekte įtvirtinti subjektų įgaliojimai (teisės) </w:t>
                </w:r>
                <w:r>
                  <w:rPr>
                    <w:rFonts w:ascii="Calibri" w:eastAsia="Calibri" w:hAnsi="Calibri"/>
                    <w:szCs w:val="24"/>
                  </w:rPr>
                  <w:t>atitinka šio subjekto vykdomas funkcijas (pareigas), nustatytas kituose teisės aktuose</w:t>
                </w:r>
                <w:r>
                  <w:rPr>
                    <w:rFonts w:ascii="Calibri" w:hAnsi="Calibri"/>
                    <w:szCs w:val="24"/>
                  </w:rPr>
                  <w:t>.</w:t>
                </w:r>
              </w:p>
            </w:tc>
            <w:tc>
              <w:tcPr>
                <w:tcW w:w="7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70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tenkina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netenkina</w:t>
                </w:r>
              </w:p>
            </w:tc>
          </w:tr>
          <w:tr>
            <w:trPr>
              <w:trHeight w:val="23"/>
              <w:tblHeader/>
            </w:trPr>
            <w:tc>
              <w:tcPr>
                <w:tcW w:w="18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5.</w:t>
                </w:r>
              </w:p>
            </w:tc>
            <w:tc>
              <w:tcPr>
                <w:tcW w:w="150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Teisės akto projekte nustatytas baigtinis sprendimo priėmimo kriterijų (atvejų) sąrašas</w:t>
                </w:r>
              </w:p>
              <w:p>
                <w:pPr>
                  <w:rPr>
                    <w:szCs w:val="24"/>
                  </w:rPr>
                </w:pPr>
              </w:p>
            </w:tc>
            <w:tc>
              <w:tcPr>
                <w:tcW w:w="181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spacing w:line="276" w:lineRule="auto"/>
                  <w:jc w:val="both"/>
                  <w:rPr>
                    <w:rFonts w:ascii="Calibri" w:eastAsia="Calibri" w:hAnsi="Calibri"/>
                    <w:szCs w:val="24"/>
                  </w:rPr>
                </w:pPr>
                <w:r>
                  <w:rPr>
                    <w:rFonts w:ascii="Calibri" w:hAnsi="Calibri"/>
                    <w:szCs w:val="24"/>
                  </w:rPr>
                  <w:t xml:space="preserve">Projekte nėra </w:t>
                </w:r>
                <w:r>
                  <w:rPr>
                    <w:rFonts w:ascii="Calibri" w:eastAsia="Calibri" w:hAnsi="Calibri"/>
                    <w:szCs w:val="24"/>
                  </w:rPr>
                  <w:t xml:space="preserve">nustatomas baigtinis sprendimo priėmimo kriterijų sąrašas, tai nėra šio projekto dalykas. </w:t>
                </w:r>
              </w:p>
              <w:p>
                <w:pPr>
                  <w:rPr>
                    <w:sz w:val="18"/>
                    <w:szCs w:val="18"/>
                  </w:rPr>
                </w:pPr>
              </w:p>
              <w:p>
                <w:pPr>
                  <w:ind w:left="57" w:right="57"/>
                  <w:jc w:val="both"/>
                  <w:rPr>
                    <w:szCs w:val="24"/>
                  </w:rPr>
                </w:pPr>
              </w:p>
            </w:tc>
            <w:tc>
              <w:tcPr>
                <w:tcW w:w="7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70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tenkina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netenkina</w:t>
                </w:r>
              </w:p>
            </w:tc>
          </w:tr>
          <w:tr>
            <w:trPr>
              <w:trHeight w:val="23"/>
              <w:tblHeader/>
            </w:trPr>
            <w:tc>
              <w:tcPr>
                <w:tcW w:w="18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6.</w:t>
                </w:r>
              </w:p>
            </w:tc>
            <w:tc>
              <w:tcPr>
                <w:tcW w:w="150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Teisės akto projekte nustatytas baigtinis sąrašas motyvuotų atvejų, kai priimant sprendimus taikomos išimtys</w:t>
                </w:r>
              </w:p>
            </w:tc>
            <w:tc>
              <w:tcPr>
                <w:tcW w:w="181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ind w:left="57" w:right="5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Projekte nėra nustatytų išimčių.</w:t>
                </w:r>
              </w:p>
            </w:tc>
            <w:tc>
              <w:tcPr>
                <w:tcW w:w="7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70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tenkina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netenkina</w:t>
                </w:r>
              </w:p>
            </w:tc>
          </w:tr>
          <w:tr>
            <w:trPr>
              <w:trHeight w:val="23"/>
              <w:tblHeader/>
            </w:trPr>
            <w:tc>
              <w:tcPr>
                <w:tcW w:w="18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7.</w:t>
                </w:r>
              </w:p>
            </w:tc>
            <w:tc>
              <w:tcPr>
                <w:tcW w:w="150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Teisės akto projekte nustatyta sprendimų priėmimo, įforminimo tvarka ir priimtų sprendimų viešinimas</w:t>
                </w:r>
              </w:p>
            </w:tc>
            <w:tc>
              <w:tcPr>
                <w:tcW w:w="181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ind w:left="57" w:right="5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Projektu yra nustatoma savivaldybės tarybų sprendimų dėl šilumos ūkio plėtros planų patvirtinimo tvarka ir priimtų sprendimų viešinimo nuostatos.</w:t>
                </w:r>
              </w:p>
            </w:tc>
            <w:tc>
              <w:tcPr>
                <w:tcW w:w="7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70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tenkina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netenkina</w:t>
                </w:r>
              </w:p>
            </w:tc>
          </w:tr>
          <w:tr>
            <w:trPr>
              <w:trHeight w:val="23"/>
              <w:tblHeader/>
            </w:trPr>
            <w:tc>
              <w:tcPr>
                <w:tcW w:w="18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8.</w:t>
                </w:r>
              </w:p>
            </w:tc>
            <w:tc>
              <w:tcPr>
                <w:tcW w:w="150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Teisės akto projekte nustatyta sprendimų dėl mažareikšmiškumo priėmimo tvarka</w:t>
                </w:r>
              </w:p>
            </w:tc>
            <w:tc>
              <w:tcPr>
                <w:tcW w:w="181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ind w:left="57" w:right="5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Projekte nėra numatoma sprendimų dėl mažareikšmiškumo priėmimo tvarka, tai nėra šio projekto dalykas.</w:t>
                </w:r>
              </w:p>
              <w:p>
                <w:pPr>
                  <w:ind w:left="57" w:right="57" w:firstLine="142"/>
                  <w:rPr>
                    <w:szCs w:val="24"/>
                  </w:rPr>
                </w:pPr>
              </w:p>
            </w:tc>
            <w:tc>
              <w:tcPr>
                <w:tcW w:w="7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b/>
                    <w:szCs w:val="24"/>
                  </w:rPr>
                </w:pPr>
              </w:p>
            </w:tc>
            <w:tc>
              <w:tcPr>
                <w:tcW w:w="70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tenkina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netenkina</w:t>
                </w:r>
              </w:p>
            </w:tc>
          </w:tr>
          <w:tr>
            <w:trPr>
              <w:trHeight w:val="23"/>
              <w:tblHeader/>
            </w:trPr>
            <w:tc>
              <w:tcPr>
                <w:tcW w:w="18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9.</w:t>
                </w:r>
              </w:p>
            </w:tc>
            <w:tc>
              <w:tcPr>
                <w:tcW w:w="150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Jeigu pagal numatomą reguliavimą sprendimus priima kolegialus subjektas, teisės akto projekte nustatyta kolegialaus sprendimus priimančio subjekto:</w:t>
                </w:r>
              </w:p>
              <w:p>
                <w:pPr>
                  <w:ind w:left="33"/>
                  <w:rPr>
                    <w:szCs w:val="24"/>
                  </w:rPr>
                </w:pPr>
                <w:r>
                  <w:rPr>
                    <w:szCs w:val="24"/>
                  </w:rPr>
                  <w:t>9.1. konkretus narių skaičius, užtikrinantis kolegialaus sprendimus priimančio subjekto veiklos objektyvumą;</w:t>
                </w:r>
              </w:p>
              <w:p>
                <w:pPr>
                  <w:ind w:left="33"/>
                  <w:rPr>
                    <w:szCs w:val="24"/>
                  </w:rPr>
                </w:pPr>
                <w:r>
                  <w:rPr>
                    <w:szCs w:val="24"/>
                  </w:rPr>
                  <w:t>9.2. jeigu narius skiria keli subjektai, proporcinga kiekvieno subjekto skiriamų narių dalis, užtikrinanti tinkamą atstovavimą valstybės interesams ir kolegialaus sprendimus priimančio subjekto veiklos objektyvumą ir skaidrumą;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9.3</w:t>
                </w:r>
                <w:r>
                  <w:rPr>
                    <w:spacing w:val="-4"/>
                    <w:szCs w:val="24"/>
                  </w:rPr>
                  <w:t>. narių skyrimo mechanizmas;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9.4. narių rotacija ir kadencijų skaičius ir trukmė;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9.5. veiklos pobūdis laiko atžvilgiu;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9.6. individuali narių atsakomybė</w:t>
                </w:r>
              </w:p>
              <w:p>
                <w:pPr>
                  <w:rPr>
                    <w:szCs w:val="24"/>
                  </w:rPr>
                </w:pPr>
              </w:p>
            </w:tc>
            <w:tc>
              <w:tcPr>
                <w:tcW w:w="181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ind w:left="57" w:right="5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Projekte nėra nuostatų, reglamentuojančių kolegialaus subjekto sprendimų priėmimo tvarką. </w:t>
                </w:r>
              </w:p>
              <w:p>
                <w:pPr>
                  <w:ind w:left="57" w:right="57" w:firstLine="142"/>
                  <w:jc w:val="both"/>
                  <w:rPr>
                    <w:szCs w:val="24"/>
                  </w:rPr>
                </w:pPr>
              </w:p>
            </w:tc>
            <w:tc>
              <w:tcPr>
                <w:tcW w:w="7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70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tenkina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netenkina</w:t>
                </w:r>
              </w:p>
            </w:tc>
          </w:tr>
          <w:tr>
            <w:trPr>
              <w:trHeight w:val="23"/>
              <w:tblHeader/>
            </w:trPr>
            <w:tc>
              <w:tcPr>
                <w:tcW w:w="18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10.</w:t>
                </w:r>
              </w:p>
            </w:tc>
            <w:tc>
              <w:tcPr>
                <w:tcW w:w="150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Teisės akto projekto nuostatoms įgyvendinti numatytos administracinės procedūros yra </w:t>
                </w:r>
                <w:r>
                  <w:rPr>
                    <w:szCs w:val="24"/>
                    <w:shd w:val="clear" w:color="auto" w:fill="FFFFFF"/>
                  </w:rPr>
                  <w:t>būtinos,</w:t>
                </w:r>
                <w:r>
                  <w:rPr>
                    <w:szCs w:val="24"/>
                  </w:rPr>
                  <w:t xml:space="preserve"> nustatyta išsami jų taikymo tvarka </w:t>
                </w:r>
              </w:p>
              <w:p>
                <w:pPr>
                  <w:rPr>
                    <w:szCs w:val="24"/>
                  </w:rPr>
                </w:pPr>
              </w:p>
            </w:tc>
            <w:tc>
              <w:tcPr>
                <w:tcW w:w="181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ind w:left="57" w:right="5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Projektu keičiamo Šilumos ūkio įstatymo </w:t>
                </w:r>
                <w:r>
                  <w:rPr>
                    <w:szCs w:val="24"/>
                    <w:lang w:val="en-US"/>
                  </w:rPr>
                  <w:t xml:space="preserve">32 straipsnyje </w:t>
                </w:r>
                <w:r>
                  <w:rPr>
                    <w:szCs w:val="24"/>
                  </w:rPr>
                  <w:t xml:space="preserve">numatytos administracinės procedūros. </w:t>
                </w:r>
              </w:p>
            </w:tc>
            <w:tc>
              <w:tcPr>
                <w:tcW w:w="7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70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tenkina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netenkina</w:t>
                </w:r>
              </w:p>
            </w:tc>
          </w:tr>
          <w:tr>
            <w:trPr>
              <w:trHeight w:val="23"/>
              <w:tblHeader/>
            </w:trPr>
            <w:tc>
              <w:tcPr>
                <w:tcW w:w="18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11.</w:t>
                </w:r>
              </w:p>
            </w:tc>
            <w:tc>
              <w:tcPr>
                <w:tcW w:w="150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Teisės akto projekte nustatytas baigtinis sąrašas motyvuotų atvejų, kai administracinė procedūra netaikoma</w:t>
                </w:r>
              </w:p>
              <w:p>
                <w:pPr>
                  <w:rPr>
                    <w:szCs w:val="24"/>
                  </w:rPr>
                </w:pPr>
              </w:p>
            </w:tc>
            <w:tc>
              <w:tcPr>
                <w:tcW w:w="181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ind w:left="57" w:right="5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Projekte nėra numatyta atvejų, kai administracinė procedūra netaikoma.</w:t>
                </w:r>
              </w:p>
            </w:tc>
            <w:tc>
              <w:tcPr>
                <w:tcW w:w="7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70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tenkina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netenkina</w:t>
                </w:r>
              </w:p>
            </w:tc>
          </w:tr>
          <w:tr>
            <w:trPr>
              <w:trHeight w:val="23"/>
              <w:tblHeader/>
            </w:trPr>
            <w:tc>
              <w:tcPr>
                <w:tcW w:w="18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12.</w:t>
                </w:r>
              </w:p>
            </w:tc>
            <w:tc>
              <w:tcPr>
                <w:tcW w:w="150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Teisės akto projektas nustato jo nuostatoms įgyvendinti numatytų administracinių procedūrų ir sprendimo priėmimo konkrečius terminus</w:t>
                </w:r>
              </w:p>
              <w:p>
                <w:pPr>
                  <w:rPr>
                    <w:szCs w:val="24"/>
                  </w:rPr>
                </w:pPr>
              </w:p>
            </w:tc>
            <w:tc>
              <w:tcPr>
                <w:tcW w:w="181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ind w:left="57" w:right="5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Projektu keičiamo Šilumos ūkio įstatymo </w:t>
                </w:r>
                <w:r>
                  <w:rPr>
                    <w:szCs w:val="24"/>
                    <w:lang w:val="en-US"/>
                  </w:rPr>
                  <w:t xml:space="preserve">32 straipsnyje </w:t>
                </w:r>
                <w:r>
                  <w:rPr>
                    <w:szCs w:val="24"/>
                  </w:rPr>
                  <w:t>numatytos procedūros ir sprendimai bei jų terminai.</w:t>
                </w:r>
              </w:p>
            </w:tc>
            <w:tc>
              <w:tcPr>
                <w:tcW w:w="7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70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tenkina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netenkina</w:t>
                </w:r>
              </w:p>
            </w:tc>
          </w:tr>
          <w:tr>
            <w:trPr>
              <w:trHeight w:val="23"/>
              <w:tblHeader/>
            </w:trPr>
            <w:tc>
              <w:tcPr>
                <w:tcW w:w="18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13.</w:t>
                </w:r>
              </w:p>
            </w:tc>
            <w:tc>
              <w:tcPr>
                <w:tcW w:w="150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Teisės akto projektas nustato motyvuotas terminų sustabdymo ir pratęsimo galimybes</w:t>
                </w:r>
              </w:p>
            </w:tc>
            <w:tc>
              <w:tcPr>
                <w:tcW w:w="181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ind w:left="57" w:right="5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Projekte nėra numatytos terminų sustabdymo ir pratęsimo galimybės.</w:t>
                </w:r>
              </w:p>
            </w:tc>
            <w:tc>
              <w:tcPr>
                <w:tcW w:w="7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70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tenkina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netenkina</w:t>
                </w:r>
              </w:p>
            </w:tc>
          </w:tr>
          <w:tr>
            <w:trPr>
              <w:trHeight w:val="23"/>
              <w:tblHeader/>
            </w:trPr>
            <w:tc>
              <w:tcPr>
                <w:tcW w:w="18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14.</w:t>
                </w:r>
              </w:p>
            </w:tc>
            <w:tc>
              <w:tcPr>
                <w:tcW w:w="150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Teisės akto projektas nustato administracinių procedūrų viešinimo tvarką</w:t>
                </w:r>
              </w:p>
              <w:p>
                <w:pPr>
                  <w:rPr>
                    <w:szCs w:val="24"/>
                  </w:rPr>
                </w:pPr>
              </w:p>
            </w:tc>
            <w:tc>
              <w:tcPr>
                <w:tcW w:w="181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ind w:left="57" w:right="57"/>
                  <w:jc w:val="both"/>
                  <w:rPr>
                    <w:b/>
                    <w:szCs w:val="24"/>
                  </w:rPr>
                </w:pPr>
                <w:r>
                  <w:rPr>
                    <w:szCs w:val="24"/>
                  </w:rPr>
                  <w:t xml:space="preserve">Projekte nėra numatyta administracinės procedūros viešinimo tvarka. </w:t>
                </w:r>
              </w:p>
            </w:tc>
            <w:tc>
              <w:tcPr>
                <w:tcW w:w="7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b/>
                    <w:szCs w:val="24"/>
                  </w:rPr>
                </w:pPr>
              </w:p>
            </w:tc>
            <w:tc>
              <w:tcPr>
                <w:tcW w:w="70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tenkina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netenkina</w:t>
                </w:r>
              </w:p>
            </w:tc>
          </w:tr>
          <w:tr>
            <w:trPr>
              <w:trHeight w:val="23"/>
              <w:tblHeader/>
            </w:trPr>
            <w:tc>
              <w:tcPr>
                <w:tcW w:w="18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15.</w:t>
                </w:r>
              </w:p>
            </w:tc>
            <w:tc>
              <w:tcPr>
                <w:tcW w:w="150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Teisės akto projektas nustato kontrolės (priežiūros) procedūrą ir aiškius jos atlikimo kriterijus (atvejus, dažnį, fiksavimą, kontrolės rezultatų viešinimą ir panašiai)</w:t>
                </w:r>
              </w:p>
              <w:p>
                <w:pPr>
                  <w:rPr>
                    <w:szCs w:val="24"/>
                  </w:rPr>
                </w:pPr>
              </w:p>
            </w:tc>
            <w:tc>
              <w:tcPr>
                <w:tcW w:w="181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ind w:left="57" w:right="5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Projektu nėra nustatoma kontrolės ar priežiūros procedūra. </w:t>
                </w:r>
              </w:p>
            </w:tc>
            <w:tc>
              <w:tcPr>
                <w:tcW w:w="7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70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tenkina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netenkina</w:t>
                </w:r>
              </w:p>
            </w:tc>
          </w:tr>
          <w:tr>
            <w:trPr>
              <w:trHeight w:val="23"/>
              <w:tblHeader/>
            </w:trPr>
            <w:tc>
              <w:tcPr>
                <w:tcW w:w="18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16.</w:t>
                </w:r>
              </w:p>
            </w:tc>
            <w:tc>
              <w:tcPr>
                <w:tcW w:w="150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Teisės akto projekte nustatytos kontrolės (priežiūros) skaidrumo ir objektyvumo užtikrinimo priemonės</w:t>
                </w:r>
              </w:p>
              <w:p>
                <w:pPr>
                  <w:rPr>
                    <w:szCs w:val="24"/>
                  </w:rPr>
                </w:pPr>
              </w:p>
            </w:tc>
            <w:tc>
              <w:tcPr>
                <w:tcW w:w="181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ind w:left="57" w:right="5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Projekte nėra numatyta kontrolės ar priežiūros skaidrumo ir objektyvumo užtikrinimo priemonių. </w:t>
                </w:r>
              </w:p>
            </w:tc>
            <w:tc>
              <w:tcPr>
                <w:tcW w:w="7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70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tenkina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netenkina</w:t>
                </w:r>
              </w:p>
            </w:tc>
          </w:tr>
          <w:tr>
            <w:trPr>
              <w:trHeight w:val="23"/>
              <w:tblHeader/>
            </w:trPr>
            <w:tc>
              <w:tcPr>
                <w:tcW w:w="18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17.</w:t>
                </w:r>
              </w:p>
            </w:tc>
            <w:tc>
              <w:tcPr>
                <w:tcW w:w="150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Teisės akto projekte nustatyta subjektų, su kuriais susijęs teisės akto projekto nuostatų įgyvendinimas, atsakomybės rūšis (tarnybinė, administracinė, baudžiamoji ir panašiai)</w:t>
                </w:r>
              </w:p>
              <w:p>
                <w:pPr>
                  <w:rPr>
                    <w:szCs w:val="24"/>
                  </w:rPr>
                </w:pPr>
              </w:p>
            </w:tc>
            <w:tc>
              <w:tcPr>
                <w:tcW w:w="181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ind w:left="57" w:right="5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Projekte nėra konkrečių nuostatų, reglamentuojančių subjektų atsakomybę. </w:t>
                </w:r>
              </w:p>
              <w:p>
                <w:pPr>
                  <w:ind w:left="57" w:right="57"/>
                  <w:jc w:val="both"/>
                  <w:rPr>
                    <w:szCs w:val="24"/>
                  </w:rPr>
                </w:pPr>
              </w:p>
            </w:tc>
            <w:tc>
              <w:tcPr>
                <w:tcW w:w="7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b/>
                    <w:szCs w:val="24"/>
                  </w:rPr>
                </w:pPr>
              </w:p>
            </w:tc>
            <w:tc>
              <w:tcPr>
                <w:tcW w:w="70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tenkina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netenkina</w:t>
                </w:r>
              </w:p>
            </w:tc>
          </w:tr>
          <w:tr>
            <w:trPr>
              <w:trHeight w:val="23"/>
              <w:tblHeader/>
            </w:trPr>
            <w:tc>
              <w:tcPr>
                <w:tcW w:w="18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18.</w:t>
                </w:r>
              </w:p>
            </w:tc>
            <w:tc>
              <w:tcPr>
                <w:tcW w:w="150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Teisės aktų projekte numatytas baigtinis sąrašas kriterijų, pagal kuriuos skiriama nuobauda (sankcija) už teisės akto projekte nustatytų nurodymų nevykdymą, ir nustatyta aiški jos skyrimo procedūra</w:t>
                </w:r>
              </w:p>
              <w:p>
                <w:pPr>
                  <w:rPr>
                    <w:szCs w:val="24"/>
                  </w:rPr>
                </w:pPr>
              </w:p>
            </w:tc>
            <w:tc>
              <w:tcPr>
                <w:tcW w:w="181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ind w:left="57" w:right="5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Projekte nėra konkrečių nuostatų, reglamentuojančių subjektų atsakomybę. </w:t>
                </w:r>
              </w:p>
              <w:p>
                <w:pPr>
                  <w:ind w:left="57" w:right="57" w:firstLine="142"/>
                  <w:jc w:val="both"/>
                  <w:rPr>
                    <w:rFonts w:eastAsia="Calibri"/>
                    <w:color w:val="000000"/>
                    <w:szCs w:val="24"/>
                  </w:rPr>
                </w:pPr>
              </w:p>
            </w:tc>
            <w:tc>
              <w:tcPr>
                <w:tcW w:w="7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70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tenkina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netenkina</w:t>
                </w:r>
              </w:p>
            </w:tc>
          </w:tr>
          <w:tr>
            <w:trPr>
              <w:trHeight w:val="23"/>
              <w:tblHeader/>
            </w:trPr>
            <w:tc>
              <w:tcPr>
                <w:tcW w:w="18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19.</w:t>
                </w:r>
              </w:p>
            </w:tc>
            <w:tc>
              <w:tcPr>
                <w:tcW w:w="150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Kiti svarbūs kriterijai</w:t>
                </w:r>
              </w:p>
            </w:tc>
            <w:tc>
              <w:tcPr>
                <w:tcW w:w="181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ind w:firstLine="142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Nėra. </w:t>
                </w:r>
              </w:p>
            </w:tc>
            <w:tc>
              <w:tcPr>
                <w:tcW w:w="7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70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tenkina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netenkina</w:t>
                </w:r>
              </w:p>
            </w:tc>
          </w:tr>
        </w:tbl>
        <w:p>
          <w:pPr>
            <w:tabs>
              <w:tab w:val="left" w:pos="6237"/>
              <w:tab w:val="right" w:pos="8306"/>
            </w:tabs>
            <w:ind w:firstLine="720"/>
            <w:rPr>
              <w:color w:val="000000"/>
              <w:szCs w:val="24"/>
              <w:lang w:eastAsia="lt-LT"/>
            </w:rPr>
          </w:pPr>
        </w:p>
        <w:tbl>
          <w:tblPr>
            <w:tblW w:w="5002" w:type="pct"/>
            <w:tblCellMar>
              <w:left w:w="0" w:type="dxa"/>
              <w:right w:w="0" w:type="dxa"/>
            </w:tblCellMar>
            <w:tblLook w:val="00A0" w:firstRow="1" w:lastRow="0" w:firstColumn="1" w:lastColumn="0" w:noHBand="0" w:noVBand="0"/>
          </w:tblPr>
          <w:tblGrid>
            <w:gridCol w:w="2762"/>
            <w:gridCol w:w="4337"/>
            <w:gridCol w:w="2748"/>
            <w:gridCol w:w="4445"/>
          </w:tblGrid>
          <w:tr>
            <w:trPr>
              <w:trHeight w:val="25"/>
            </w:trPr>
            <w:tc>
              <w:tcPr>
                <w:tcW w:w="940" w:type="pct"/>
              </w:tcPr>
              <w:p>
                <w:pPr>
                  <w:rPr>
                    <w:sz w:val="23"/>
                    <w:szCs w:val="23"/>
                  </w:rPr>
                </w:pPr>
              </w:p>
              <w:p>
                <w:pPr>
                  <w:rPr>
                    <w:sz w:val="23"/>
                    <w:szCs w:val="23"/>
                  </w:rPr>
                </w:pPr>
                <w:r>
                  <w:rPr>
                    <w:sz w:val="23"/>
                    <w:szCs w:val="23"/>
                  </w:rPr>
                  <w:t>Teisės akto projekto tiesioginiai rengėjai:</w:t>
                </w:r>
              </w:p>
            </w:tc>
            <w:tc>
              <w:tcPr>
                <w:tcW w:w="1476" w:type="pct"/>
                <w:tcBorders>
                  <w:bottom w:val="single" w:sz="4" w:space="0" w:color="auto"/>
                </w:tcBorders>
              </w:tcPr>
              <w:p>
                <w:pPr>
                  <w:rPr>
                    <w:rFonts w:eastAsia="Calibri"/>
                    <w:sz w:val="23"/>
                    <w:szCs w:val="23"/>
                    <w:lang w:eastAsia="lt-LT"/>
                  </w:rPr>
                </w:pPr>
              </w:p>
              <w:p>
                <w:pPr>
                  <w:rPr>
                    <w:rFonts w:eastAsia="Calibri"/>
                    <w:sz w:val="23"/>
                    <w:szCs w:val="23"/>
                    <w:lang w:eastAsia="lt-LT"/>
                  </w:rPr>
                </w:pPr>
                <w:r>
                  <w:rPr>
                    <w:rFonts w:eastAsia="Calibri"/>
                    <w:sz w:val="23"/>
                    <w:szCs w:val="23"/>
                    <w:lang w:eastAsia="lt-LT"/>
                  </w:rPr>
                  <w:t>Energetikos ministerijos Energetikos konkurencingumo</w:t>
                </w:r>
                <w:r>
                  <w:rPr>
                    <w:rFonts w:eastAsia="Calibri"/>
                    <w:szCs w:val="24"/>
                  </w:rPr>
                  <w:t xml:space="preserve"> grupės</w:t>
                </w:r>
              </w:p>
              <w:p>
                <w:pPr>
                  <w:rPr>
                    <w:rFonts w:eastAsia="Calibri"/>
                    <w:sz w:val="23"/>
                    <w:szCs w:val="23"/>
                    <w:lang w:eastAsia="lt-LT"/>
                  </w:rPr>
                </w:pPr>
              </w:p>
              <w:p>
                <w:pPr>
                  <w:rPr>
                    <w:sz w:val="23"/>
                    <w:szCs w:val="23"/>
                  </w:rPr>
                </w:pPr>
                <w:r>
                  <w:rPr>
                    <w:sz w:val="23"/>
                    <w:szCs w:val="23"/>
                  </w:rPr>
                  <w:t xml:space="preserve">patarėja                    Vida Dzermeikienė</w:t>
                </w:r>
              </w:p>
            </w:tc>
            <w:tc>
              <w:tcPr>
                <w:tcW w:w="935" w:type="pct"/>
              </w:tcPr>
              <w:p>
                <w:pPr>
                  <w:rPr>
                    <w:sz w:val="23"/>
                    <w:szCs w:val="23"/>
                  </w:rPr>
                </w:pPr>
              </w:p>
              <w:p>
                <w:pPr>
                  <w:rPr>
                    <w:sz w:val="23"/>
                    <w:szCs w:val="23"/>
                  </w:rPr>
                </w:pPr>
                <w:r>
                  <w:rPr>
                    <w:sz w:val="23"/>
                    <w:szCs w:val="23"/>
                  </w:rPr>
                  <w:t>Teisės akto projekto vertintojas:</w:t>
                </w:r>
              </w:p>
            </w:tc>
            <w:tc>
              <w:tcPr>
                <w:tcW w:w="1513" w:type="pct"/>
                <w:tcBorders>
                  <w:bottom w:val="single" w:sz="4" w:space="0" w:color="auto"/>
                </w:tcBorders>
              </w:tcPr>
              <w:p>
                <w:pPr>
                  <w:rPr>
                    <w:sz w:val="23"/>
                    <w:szCs w:val="23"/>
                  </w:rPr>
                </w:pPr>
              </w:p>
              <w:p>
                <w:pPr>
                  <w:rPr>
                    <w:sz w:val="23"/>
                    <w:szCs w:val="23"/>
                  </w:rPr>
                </w:pPr>
                <w:r>
                  <w:rPr>
                    <w:sz w:val="23"/>
                    <w:szCs w:val="23"/>
                  </w:rPr>
                  <w:t xml:space="preserve">Energetikos ministerijos Teisės ir personalo grupės </w:t>
                </w:r>
              </w:p>
              <w:p>
                <w:pPr>
                  <w:rPr>
                    <w:sz w:val="23"/>
                    <w:szCs w:val="23"/>
                  </w:rPr>
                </w:pPr>
              </w:p>
              <w:p>
                <w:pPr>
                  <w:ind w:firstLine="57"/>
                  <w:rPr>
                    <w:sz w:val="23"/>
                    <w:szCs w:val="23"/>
                  </w:rPr>
                </w:pPr>
                <w:r>
                  <w:rPr>
                    <w:sz w:val="23"/>
                    <w:szCs w:val="23"/>
                  </w:rPr>
                  <w:t xml:space="preserve">vyriausioji specialistė          Vaida Dumčiūtė           </w:t>
                </w:r>
              </w:p>
            </w:tc>
          </w:tr>
          <w:tr>
            <w:trPr>
              <w:trHeight w:val="25"/>
            </w:trPr>
            <w:tc>
              <w:tcPr>
                <w:tcW w:w="940" w:type="pct"/>
              </w:tcPr>
              <w:p>
                <w:pPr>
                  <w:rPr>
                    <w:sz w:val="16"/>
                    <w:szCs w:val="16"/>
                  </w:rPr>
                </w:pPr>
              </w:p>
            </w:tc>
            <w:tc>
              <w:tcPr>
                <w:tcW w:w="1476" w:type="pct"/>
                <w:tcBorders>
                  <w:top w:val="single" w:sz="4" w:space="0" w:color="auto"/>
                </w:tcBorders>
              </w:tcPr>
              <w:p>
                <w:pPr>
                  <w:rPr>
                    <w:sz w:val="16"/>
                    <w:szCs w:val="16"/>
                  </w:rPr>
                </w:pPr>
              </w:p>
            </w:tc>
            <w:tc>
              <w:tcPr>
                <w:tcW w:w="935" w:type="pct"/>
              </w:tcPr>
              <w:p>
                <w:pPr>
                  <w:rPr>
                    <w:sz w:val="23"/>
                    <w:szCs w:val="23"/>
                  </w:rPr>
                </w:pPr>
              </w:p>
            </w:tc>
            <w:tc>
              <w:tcPr>
                <w:tcW w:w="1513" w:type="pct"/>
                <w:tcBorders>
                  <w:top w:val="single" w:sz="4" w:space="0" w:color="auto"/>
                </w:tcBorders>
              </w:tcPr>
              <w:p>
                <w:pPr>
                  <w:ind w:left="-11"/>
                  <w:rPr>
                    <w:sz w:val="16"/>
                    <w:szCs w:val="16"/>
                  </w:rPr>
                </w:pPr>
              </w:p>
            </w:tc>
          </w:tr>
          <w:tr>
            <w:trPr>
              <w:trHeight w:val="25"/>
            </w:trPr>
            <w:tc>
              <w:tcPr>
                <w:tcW w:w="940" w:type="pct"/>
              </w:tcPr>
              <w:p>
                <w:pPr>
                  <w:rPr>
                    <w:sz w:val="23"/>
                    <w:szCs w:val="23"/>
                  </w:rPr>
                </w:pPr>
              </w:p>
            </w:tc>
            <w:tc>
              <w:tcPr>
                <w:tcW w:w="1476" w:type="pct"/>
                <w:tcBorders>
                  <w:bottom w:val="single" w:sz="4" w:space="0" w:color="auto"/>
                </w:tcBorders>
              </w:tcPr>
              <w:p>
                <w:pPr>
                  <w:rPr>
                    <w:sz w:val="23"/>
                    <w:szCs w:val="23"/>
                  </w:rPr>
                </w:pPr>
              </w:p>
            </w:tc>
            <w:tc>
              <w:tcPr>
                <w:tcW w:w="935" w:type="pct"/>
              </w:tcPr>
              <w:p>
                <w:pPr>
                  <w:rPr>
                    <w:sz w:val="23"/>
                    <w:szCs w:val="23"/>
                  </w:rPr>
                </w:pPr>
              </w:p>
            </w:tc>
            <w:tc>
              <w:tcPr>
                <w:tcW w:w="1513" w:type="pct"/>
                <w:tcBorders>
                  <w:bottom w:val="single" w:sz="4" w:space="0" w:color="auto"/>
                </w:tcBorders>
              </w:tcPr>
              <w:p>
                <w:pPr>
                  <w:ind w:left="-11"/>
                  <w:rPr>
                    <w:sz w:val="23"/>
                    <w:szCs w:val="23"/>
                  </w:rPr>
                </w:pPr>
              </w:p>
            </w:tc>
          </w:tr>
          <w:tr>
            <w:trPr>
              <w:trHeight w:val="25"/>
            </w:trPr>
            <w:tc>
              <w:tcPr>
                <w:tcW w:w="940" w:type="pct"/>
              </w:tcPr>
              <w:p>
                <w:pPr>
                  <w:rPr>
                    <w:sz w:val="16"/>
                    <w:szCs w:val="16"/>
                  </w:rPr>
                </w:pPr>
              </w:p>
            </w:tc>
            <w:tc>
              <w:tcPr>
                <w:tcW w:w="1476" w:type="pct"/>
                <w:tcBorders>
                  <w:top w:val="single" w:sz="4" w:space="0" w:color="auto"/>
                </w:tcBorders>
              </w:tcPr>
              <w:p>
                <w:pPr>
                  <w:ind w:left="-11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(parašas) (data)</w:t>
                </w:r>
              </w:p>
            </w:tc>
            <w:tc>
              <w:tcPr>
                <w:tcW w:w="935" w:type="pct"/>
              </w:tcPr>
              <w:p>
                <w:pPr>
                  <w:rPr>
                    <w:sz w:val="23"/>
                    <w:szCs w:val="23"/>
                  </w:rPr>
                </w:pPr>
              </w:p>
            </w:tc>
            <w:tc>
              <w:tcPr>
                <w:tcW w:w="1513" w:type="pct"/>
                <w:tcBorders>
                  <w:top w:val="single" w:sz="4" w:space="0" w:color="auto"/>
                </w:tcBorders>
              </w:tcPr>
              <w:p>
                <w:pPr>
                  <w:ind w:left="-11" w:firstLine="38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(parašas) (data)</w:t>
                </w:r>
              </w:p>
            </w:tc>
          </w:tr>
        </w:tbl>
        <w:p/>
      </w:sdtContent>
    </w:sdt>
    <w:sectPr>
      <w:pgSz w:w="16838" w:h="11906" w:orient="landscape"/>
      <w:pgMar w:top="851" w:right="851" w:bottom="709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29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0A63938-B071-4605-80DB-03C0AE0168E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64d6555a5d8400b844a34ff4af24f27" PartId="8ce6f8277a424925aac869471856d589"/>
</Parts>
</file>

<file path=customXml/itemProps1.xml><?xml version="1.0" encoding="utf-8"?>
<ds:datastoreItem xmlns:ds="http://schemas.openxmlformats.org/officeDocument/2006/customXml" ds:itemID="{28C8CA43-3156-4A66-886D-05E50D4BD81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876</Words>
  <Characters>6256</Characters>
  <Application>Microsoft Office Word</Application>
  <DocSecurity>4</DocSecurity>
  <Lines>312</Lines>
  <Paragraphs>145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Lietuvos Respublikos energetikos ministerija</Company>
  <LinksUpToDate>false</LinksUpToDate>
  <CharactersWithSpaces>6987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2021-12-29T08:38:00Z</dcterms:created>
  <dc:creator>Dovilė Kavaliauskienė</dc:creator>
  <lastModifiedBy>adlibuser</lastModifiedBy>
  <dcterms:modified xsi:type="dcterms:W3CDTF">2021-12-29T08:38:00Z</dcterms:modified>
  <revision>2</revision>
</coreProperties>
</file>