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62d8ddd0e304e04b29dac04940f25be"/>
        <w:lock w:val="sdtLocked"/>
        <w:richText/>
      </w:sdtPr>
      <w:sdtContent>
        <w:p>
          <w:pPr>
            <w:tabs>
              <w:tab w:val="center" w:pos="4153"/>
              <w:tab w:val="right" w:pos="8306"/>
            </w:tabs>
            <w:jc w:val="right"/>
          </w:pPr>
          <w:r>
            <w:tab/>
            <w:tab/>
            <w:tab/>
          </w:r>
        </w:p>
        <w:p>
          <w:pPr>
            <w:rPr>
              <w:sz w:val="14"/>
              <w:szCs w:val="14"/>
            </w:rPr>
          </w:pPr>
        </w:p>
        <w:p>
          <w:pPr>
            <w:ind w:left="-851" w:firstLine="851"/>
            <w:jc w:val="center"/>
            <w:rPr>
              <w:b/>
              <w:caps/>
            </w:rPr>
          </w:pPr>
          <w:r>
            <w:rPr>
              <w:lang w:val="en-US"/>
            </w:rPr>
            <w:drawing>
              <wp:inline distT="0" distB="0" distL="0" distR="0" wp14:anchorId="2DD19365" wp14:editId="2DD19366">
                <wp:extent cx="614477" cy="68626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36095" cy="710406"/>
                        </a:xfrm>
                        <a:prstGeom prst="rect">
                          <a:avLst/>
                        </a:prstGeom>
                      </pic:spPr>
                    </pic:pic>
                  </a:graphicData>
                </a:graphic>
              </wp:inline>
            </w:drawing>
          </w:r>
        </w:p>
        <w:p>
          <w:pPr>
            <w:rPr>
              <w:sz w:val="14"/>
              <w:szCs w:val="14"/>
            </w:rPr>
          </w:pPr>
        </w:p>
        <w:p>
          <w:pPr>
            <w:ind w:left="-851" w:firstLine="851"/>
            <w:jc w:val="center"/>
            <w:rPr>
              <w:b/>
              <w:caps/>
            </w:rPr>
          </w:pPr>
          <w:r>
            <w:rPr>
              <w:b/>
              <w:caps/>
            </w:rPr>
            <w:t>LIETUVOS RESPUBLIKOS energetikos MINISTERIJA</w:t>
          </w:r>
        </w:p>
        <w:p>
          <w:pPr>
            <w:ind w:left="-851"/>
            <w:jc w:val="center"/>
            <w:rPr>
              <w:b/>
              <w:caps/>
              <w:sz w:val="10"/>
            </w:rPr>
          </w:pPr>
        </w:p>
        <w:p>
          <w:pPr>
            <w:rPr>
              <w:sz w:val="4"/>
              <w:szCs w:val="4"/>
            </w:rPr>
          </w:pPr>
        </w:p>
        <w:p>
          <w:pPr>
            <w:ind w:left="-851"/>
            <w:jc w:val="center"/>
            <w:rPr>
              <w:sz w:val="17"/>
            </w:rPr>
          </w:pPr>
          <w:r>
            <w:rPr>
              <w:sz w:val="17"/>
            </w:rPr>
            <w:t>Biudžetinė įstaiga, Gedimino pr. 38, LT-01104 Vilnius, tel. (8 5) 203 4407,</w:t>
          </w:r>
        </w:p>
        <w:p>
          <w:pPr>
            <w:rPr>
              <w:sz w:val="4"/>
              <w:szCs w:val="4"/>
            </w:rPr>
          </w:pPr>
        </w:p>
        <w:p>
          <w:pPr>
            <w:ind w:left="-851"/>
            <w:jc w:val="center"/>
            <w:rPr>
              <w:sz w:val="17"/>
            </w:rPr>
          </w:pPr>
          <w:r>
            <w:rPr>
              <w:sz w:val="17"/>
            </w:rPr>
            <w:t xml:space="preserve">faks. (8 5) 203 4692, el. p. </w:t>
          </w:r>
          <w:r>
            <w:rPr>
              <w:color w:val="0000FF"/>
              <w:sz w:val="17"/>
              <w:u w:val="single"/>
            </w:rPr>
            <w:t>info</w:t>
          </w:r>
          <w:r>
            <w:rPr>
              <w:color w:val="0000FF"/>
              <w:sz w:val="17"/>
              <w:u w:val="single"/>
              <w:lang w:val="en-US"/>
            </w:rPr>
            <w:t>@enmin.lt</w:t>
          </w:r>
          <w:r>
            <w:rPr>
              <w:color w:val="0000FF"/>
              <w:sz w:val="17"/>
              <w:u w:val="single"/>
              <w:lang w:val="en-US"/>
            </w:rPr>
            <w:t>.</w:t>
          </w:r>
        </w:p>
        <w:p>
          <w:pPr>
            <w:widowControl w:val="0"/>
            <w:ind w:left="-851"/>
            <w:jc w:val="center"/>
            <w:rPr>
              <w:sz w:val="17"/>
            </w:rPr>
          </w:pPr>
          <w:r>
            <w:rPr>
              <w:sz w:val="17"/>
            </w:rPr>
            <w:t>Duomenys kaupiami ir saugomi Juridinių asmenų registre, kodas 302308327</w:t>
          </w:r>
        </w:p>
        <w:p>
          <w:pPr>
            <w:rPr>
              <w:sz w:val="4"/>
              <w:szCs w:val="4"/>
            </w:rPr>
          </w:pPr>
        </w:p>
        <w:p>
          <w:pPr>
            <w:jc w:val="both"/>
          </w:pPr>
          <w:r>
            <w:rPr>
              <w:lang w:val="en-US"/>
            </w:rPr>
            <mc:AlternateContent>
              <mc:Choice Requires="wps">
                <w:drawing>
                  <wp:anchor distT="4294967295" distB="4294967295" distL="114300" distR="114300" simplePos="0" relativeHeight="251658240" behindDoc="1" locked="0" layoutInCell="1" allowOverlap="1" wp14:anchorId="2DD19367" wp14:editId="2DD19368">
                    <wp:simplePos x="0" y="0"/>
                    <wp:positionH relativeFrom="column">
                      <wp:posOffset>-41910</wp:posOffset>
                    </wp:positionH>
                    <wp:positionV relativeFrom="paragraph">
                      <wp:posOffset>-636</wp:posOffset>
                    </wp:positionV>
                    <wp:extent cx="6078855" cy="0"/>
                    <wp:effectExtent l="0" t="0" r="36195" b="19050"/>
                    <wp:wrapNone/>
                    <wp:docPr id="1" name="AutoShap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78855" cy="0"/>
                            </a:xfrm>
                            <a:prstGeom prst="straightConnector1">
                              <a:avLst/>
                            </a:prstGeom>
                            <a:noFill/>
                            <a:ln w="63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rgbClr val="7F7F7F">
                                        <a:alpha val="50000"/>
                                      </a:srgb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7C30FAF" id="_x0000_t32" coordsize="21600,21600" o:spt="32" o:oned="t" path="m,l21600,21600e" filled="f">
                    <v:path arrowok="t" fillok="f" o:connecttype="none"/>
                    <o:lock v:ext="edit" shapetype="t"/>
                  </v:shapetype>
                  <v:shape id="AutoShape 2" o:spid="_x0000_s1026" type="#_x0000_t32" style="position:absolute;margin-left:-3.3pt;margin-top:-.05pt;width:478.65pt;height:0;z-index:-25165824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BposzyzwEAAIoDAAAOAAAAZHJzL2Uyb0RvYy54bWysU8GO0zAQvSPxD5bvNGlRlypqukJdlssC lXb5gKntJBa2x7Ldpv17xm5TFrghcrA8npk3M+9N1vcna9hRhajRtXw+qzlTTqDUrm/595fHdyvO YgInwaBTLT+ryO83b9+sR9+oBQ5opAqMQFxsRt/yISXfVFUUg7IQZ+iVI2eHwUIiM/SVDDASujXV oq7vqhGD9AGFipFeHy5Ovin4XadE+tZ1USVmWk69pXKGcu7zWW3W0PQB/KDFtQ34hy4saEdFb1AP kIAdgv4LymoRMGKXZgJthV2nhSoz0DTz+o9pngfwqsxC5ER/oyn+P1jx9bgLTEvSjjMHliT6eEhY KrNFpmf0saGorduFPKA4uWf/hOJHZA63A7heleCXs6fcec6ofkvJRvRUZD9+QUkxQPiFq1MXbIYk FtipSHK+SaJOiQl6vKs/rFbLJWdi8lXQTIk+xPRZoWX50vKYAuh+SFt0joTHMC9l4PgUU24Lmikh V3X4qI0p+hvHRir1flmXhIhGy+zMYTH0+60J7Ah5g8pXZiTP67CABycL2KBAfrreE2hzuVNx4zKe Kkt57Wji5sLyHuV5FyYCSfDS83U580a9tgvNv36hzU8AAAD//wMAUEsDBBQABgAIAAAAIQA8W/dQ 2QAAAAYBAAAPAAAAZHJzL2Rvd25yZXYueG1sTI4xT8MwFIR3JP6D9SqxtXaRGkqIUyEQExNph4xO /JpEjZ+j2E3Sf8+DBabT6U53X3ZYXC8mHEPnScN2o0Ag1d521Gg4HT/WexAhGrKm94QabhjgkN/f ZSa1fqYvnIrYCB6hkBoNbYxDKmWoW3QmbPyAxNnZj85EtmMj7WhmHne9fFQqkc50xA+tGfCtxfpS XJ2Go38/d7uyqPalL5NJ4fx5K2atH1bL6wuIiEv8K8MPPqNDzkyVv5INotewThJusm5BcPy8U08g ql8v80z+x8+/AQAA//8DAFBLAQItABQABgAIAAAAIQC2gziS/gAAAOEBAAATAAAAAAAAAAAAAAAA AAAAAABbQ29udGVudF9UeXBlc10ueG1sUEsBAi0AFAAGAAgAAAAhADj9If/WAAAAlAEAAAsAAAAA AAAAAAAAAAAALwEAAF9yZWxzLy5yZWxzUEsBAi0AFAAGAAgAAAAhAGmizPLPAQAAigMAAA4AAAAA AAAAAAAAAAAALgIAAGRycy9lMm9Eb2MueG1sUEsBAi0AFAAGAAgAAAAhADxb91DZAAAABgEAAA8A AAAAAAAAAAAAAAAAKQQAAGRycy9kb3ducmV2LnhtbFBLBQYAAAAABAAEAPMAAAAvBQAAAAA= " strokeweight=".5pt">
                    <v:shadow color="#7f7f7f" opacity=".5" offset="1pt"/>
                  </v:shape>
                </w:pict>
              </mc:Fallback>
            </mc:AlternateContent>
          </w:r>
        </w:p>
        <w:tbl>
          <w:tblPr>
            <w:tblW w:w="9712" w:type="dxa"/>
            <w:tblCellMar>
              <w:left w:w="0" w:type="dxa"/>
              <w:right w:w="28" w:type="dxa"/>
            </w:tblCellMar>
            <w:tblLook w:val="0000" w:firstRow="0" w:lastRow="0" w:firstColumn="0" w:lastColumn="0" w:noHBand="0" w:noVBand="0"/>
          </w:tblPr>
          <w:tblGrid>
            <w:gridCol w:w="5812"/>
            <w:gridCol w:w="142"/>
            <w:gridCol w:w="1559"/>
            <w:gridCol w:w="2199"/>
          </w:tblGrid>
          <w:tr>
            <w:trPr>
              <w:cantSplit/>
            </w:trPr>
            <w:tc>
              <w:tcPr>
                <w:tcW w:w="5812" w:type="dxa"/>
              </w:tcPr>
              <w:p>
                <w:pPr>
                  <w:jc w:val="both"/>
                  <w:rPr>
                    <w:szCs w:val="24"/>
                  </w:rPr>
                </w:pPr>
                <w:r>
                  <w:rPr>
                    <w:szCs w:val="24"/>
                  </w:rPr>
                  <w:t>Lietuvos Respublikos teisingumo ministerijai,</w:t>
                </w:r>
              </w:p>
              <w:p>
                <w:pPr>
                  <w:jc w:val="both"/>
                  <w:rPr>
                    <w:szCs w:val="24"/>
                  </w:rPr>
                </w:pPr>
                <w:r>
                  <w:rPr>
                    <w:szCs w:val="24"/>
                  </w:rPr>
                  <w:t>Lietuvos Respublikos aplinkos ministerijai,</w:t>
                </w:r>
              </w:p>
              <w:p>
                <w:pPr>
                  <w:jc w:val="both"/>
                  <w:rPr>
                    <w:szCs w:val="24"/>
                  </w:rPr>
                </w:pPr>
                <w:r>
                  <w:rPr>
                    <w:szCs w:val="24"/>
                  </w:rPr>
                  <w:t>Valstybinei energetikos reguliavimo tarybai,</w:t>
                </w:r>
              </w:p>
              <w:p>
                <w:pPr>
                  <w:jc w:val="both"/>
                  <w:rPr>
                    <w:szCs w:val="24"/>
                  </w:rPr>
                </w:pPr>
                <w:r>
                  <w:rPr>
                    <w:szCs w:val="24"/>
                  </w:rPr>
                  <w:t>Valstybinei vartotojų teisių apsaugos tarnybai,</w:t>
                </w:r>
              </w:p>
              <w:p>
                <w:pPr>
                  <w:jc w:val="both"/>
                  <w:rPr>
                    <w:szCs w:val="24"/>
                  </w:rPr>
                </w:pPr>
                <w:r>
                  <w:rPr>
                    <w:szCs w:val="24"/>
                  </w:rPr>
                  <w:t>Lietuvos savivaldybių asociacijai,</w:t>
                </w:r>
              </w:p>
              <w:p>
                <w:pPr>
                  <w:jc w:val="both"/>
                  <w:rPr>
                    <w:szCs w:val="24"/>
                  </w:rPr>
                </w:pPr>
                <w:r>
                  <w:rPr>
                    <w:szCs w:val="24"/>
                  </w:rPr>
                  <w:t>Lietuvos šilumos tiekėjų asociacijai,</w:t>
                </w:r>
              </w:p>
              <w:p>
                <w:pPr>
                  <w:jc w:val="both"/>
                  <w:rPr>
                    <w:szCs w:val="24"/>
                  </w:rPr>
                </w:pPr>
                <w:r>
                  <w:rPr>
                    <w:szCs w:val="24"/>
                  </w:rPr>
                  <w:t>Nepriklausomų šilumos gamintojų asociacijai,</w:t>
                </w:r>
              </w:p>
              <w:p>
                <w:pPr>
                  <w:jc w:val="both"/>
                  <w:rPr>
                    <w:szCs w:val="24"/>
                  </w:rPr>
                </w:pPr>
                <w:r>
                  <w:rPr>
                    <w:szCs w:val="24"/>
                  </w:rPr>
                  <w:t>Lietuvos būsto rūmams,</w:t>
                </w:r>
              </w:p>
              <w:p>
                <w:pPr>
                  <w:jc w:val="both"/>
                  <w:rPr>
                    <w:szCs w:val="24"/>
                  </w:rPr>
                </w:pPr>
                <w:r>
                  <w:rPr>
                    <w:szCs w:val="24"/>
                  </w:rPr>
                  <w:t>AB Vilniaus šilumos tinklams</w:t>
                </w:r>
              </w:p>
            </w:tc>
            <w:tc>
              <w:tcPr>
                <w:tcW w:w="142" w:type="dxa"/>
              </w:tcPr>
              <w:p>
                <w:pPr>
                  <w:rPr>
                    <w:szCs w:val="24"/>
                  </w:rPr>
                </w:pPr>
              </w:p>
            </w:tc>
            <w:tc>
              <w:tcPr>
                <w:tcW w:w="1559" w:type="dxa"/>
              </w:tcPr>
              <w:p>
                <w:pPr>
                  <w:ind w:firstLine="992"/>
                  <w:rPr>
                    <w:szCs w:val="24"/>
                  </w:rPr>
                </w:pPr>
              </w:p>
            </w:tc>
            <w:tc>
              <w:tcPr>
                <w:tcW w:w="2199" w:type="dxa"/>
              </w:tcPr>
              <w:p>
                <w:pPr>
                  <w:rPr>
                    <w:szCs w:val="24"/>
                  </w:rPr>
                </w:pPr>
                <w:r>
                  <w:rPr>
                    <w:szCs w:val="24"/>
                  </w:rPr>
                  <w:t>Nr. (21.2-25Mr.)3-</w:t>
                </w:r>
              </w:p>
              <w:p>
                <w:pPr>
                  <w:rPr>
                    <w:szCs w:val="24"/>
                  </w:rPr>
                </w:pPr>
              </w:p>
            </w:tc>
          </w:tr>
        </w:tbl>
        <w:p>
          <w:pPr>
            <w:jc w:val="both"/>
            <w:rPr>
              <w:b/>
              <w:bCs/>
              <w:caps/>
              <w:szCs w:val="24"/>
            </w:rPr>
          </w:pPr>
        </w:p>
        <w:sdt>
          <w:sdtPr>
            <w:alias w:val="skirsnis"/>
            <w:tag w:val="part_7cb986e66f194ebaad578a6aff036992"/>
            <w:lock w:val="sdtLocked"/>
            <w:richText/>
          </w:sdtPr>
          <w:sdtContent>
            <w:p>
              <w:pPr>
                <w:jc w:val="both"/>
                <w:rPr>
                  <w:b/>
                  <w:bCs/>
                  <w:caps/>
                  <w:szCs w:val="24"/>
                </w:rPr>
              </w:pPr>
              <w:sdt>
                <w:sdtPr>
                  <w:alias w:val="Pavadinimas"/>
                  <w:tag w:val="title_7cb986e66f194ebaad578a6aff036992"/>
                  <w:lock w:val="sdtLocked"/>
                  <w:richText/>
                </w:sdtPr>
                <w:sdtContent>
                  <w:r>
                    <w:rPr>
                      <w:b/>
                      <w:bCs/>
                      <w:caps/>
                      <w:szCs w:val="24"/>
                    </w:rPr>
                    <w:t xml:space="preserve">dėl </w:t>
                  </w:r>
                  <w:r>
                    <w:rPr>
                      <w:b/>
                      <w:bCs/>
                      <w:szCs w:val="24"/>
                    </w:rPr>
                    <w:t>LIETUVOS RESPUBLIKOS</w:t>
                  </w:r>
                  <w:r>
                    <w:rPr>
                      <w:szCs w:val="24"/>
                    </w:rPr>
                    <w:t xml:space="preserve"> </w:t>
                  </w:r>
                  <w:r>
                    <w:rPr>
                      <w:b/>
                      <w:bCs/>
                      <w:caps/>
                      <w:szCs w:val="24"/>
                    </w:rPr>
                    <w:t xml:space="preserve">Šilumos Ūkio įstatymo </w:t>
                  </w:r>
                  <w:r>
                    <w:rPr>
                      <w:b/>
                      <w:bCs/>
                      <w:szCs w:val="24"/>
                    </w:rPr>
                    <w:t>NR. IX-1565 1, 2, 8, 9, 10, 10</w:t>
                  </w:r>
                  <w:r>
                    <w:rPr>
                      <w:b/>
                      <w:bCs/>
                      <w:szCs w:val="24"/>
                      <w:vertAlign w:val="superscript"/>
                    </w:rPr>
                    <w:t>1</w:t>
                  </w:r>
                  <w:r>
                    <w:rPr>
                      <w:b/>
                      <w:bCs/>
                      <w:szCs w:val="24"/>
                    </w:rPr>
                    <w:t>,</w:t>
                  </w:r>
                  <w:r>
                    <w:rPr>
                      <w:b/>
                      <w:bCs/>
                      <w:szCs w:val="24"/>
                      <w:vertAlign w:val="superscript"/>
                    </w:rPr>
                    <w:t xml:space="preserve"> </w:t>
                  </w:r>
                  <w:r>
                    <w:rPr>
                      <w:b/>
                      <w:bCs/>
                      <w:szCs w:val="24"/>
                    </w:rPr>
                    <w:t>12, 15, 20, 22, 23, 24, 30, 32 IR 35 STRAIPSNIŲ PAKEITIMO IR ĮSTATYMO PAPILDYMO 8</w:t>
                  </w:r>
                  <w:r>
                    <w:rPr>
                      <w:b/>
                      <w:bCs/>
                      <w:szCs w:val="24"/>
                      <w:vertAlign w:val="superscript"/>
                    </w:rPr>
                    <w:t>2</w:t>
                  </w:r>
                  <w:r>
                    <w:rPr>
                      <w:b/>
                      <w:bCs/>
                      <w:szCs w:val="24"/>
                    </w:rPr>
                    <w:t>, 8</w:t>
                  </w:r>
                  <w:r>
                    <w:rPr>
                      <w:b/>
                      <w:bCs/>
                      <w:szCs w:val="24"/>
                      <w:vertAlign w:val="superscript"/>
                    </w:rPr>
                    <w:t>3</w:t>
                  </w:r>
                  <w:r>
                    <w:rPr>
                      <w:b/>
                      <w:bCs/>
                      <w:szCs w:val="24"/>
                    </w:rPr>
                    <w:t xml:space="preserve"> IR 18</w:t>
                  </w:r>
                  <w:r>
                    <w:rPr>
                      <w:b/>
                      <w:bCs/>
                      <w:szCs w:val="24"/>
                      <w:vertAlign w:val="superscript"/>
                    </w:rPr>
                    <w:t>1</w:t>
                  </w:r>
                  <w:r>
                    <w:rPr>
                      <w:b/>
                      <w:bCs/>
                      <w:szCs w:val="24"/>
                    </w:rPr>
                    <w:t xml:space="preserve"> STRAIPSNIAIS ĮSTATYMO TEIKIMO IŠVADOMS GAUTI</w:t>
                  </w:r>
                </w:sdtContent>
              </w:sdt>
            </w:p>
            <w:p>
              <w:pPr>
                <w:jc w:val="both"/>
                <w:rPr>
                  <w:szCs w:val="24"/>
                </w:rPr>
              </w:pPr>
            </w:p>
            <w:p>
              <w:pPr>
                <w:ind w:firstLine="851"/>
                <w:jc w:val="both"/>
                <w:rPr>
                  <w:szCs w:val="24"/>
                </w:rPr>
              </w:pPr>
              <w:r>
                <w:rPr>
                  <w:szCs w:val="24"/>
                </w:rPr>
                <w:t xml:space="preserve">Lietuvos Respublikos energetikos ministerija (toliau – Energetikos ministerija), įvertinusi suinteresuotų institucijų gautas išvadas, pakartotinai teikia Lietuvos Respublikos šilumos ūkio įstatymo Nr. IX-1565 </w:t>
              </w:r>
              <w:r>
                <w:rPr>
                  <w:caps/>
                  <w:szCs w:val="24"/>
                </w:rPr>
                <w:t>1, 2, 8, 9, 10, 10</w:t>
              </w:r>
              <w:r>
                <w:rPr>
                  <w:caps/>
                  <w:szCs w:val="24"/>
                  <w:vertAlign w:val="superscript"/>
                </w:rPr>
                <w:t>1</w:t>
              </w:r>
              <w:r>
                <w:rPr>
                  <w:caps/>
                  <w:szCs w:val="24"/>
                </w:rPr>
                <w:t>,</w:t>
              </w:r>
              <w:r>
                <w:rPr>
                  <w:caps/>
                  <w:szCs w:val="24"/>
                  <w:vertAlign w:val="superscript"/>
                </w:rPr>
                <w:t xml:space="preserve"> </w:t>
              </w:r>
              <w:r>
                <w:rPr>
                  <w:caps/>
                  <w:szCs w:val="24"/>
                </w:rPr>
                <w:t xml:space="preserve">12, 15, 20, 22, 23, 24, 30, 32 </w:t>
              </w:r>
              <w:r>
                <w:rPr>
                  <w:szCs w:val="24"/>
                </w:rPr>
                <w:t>ir 35 straipsnių pakeitimo ir Įstatymo papildymo 8</w:t>
              </w:r>
              <w:r>
                <w:rPr>
                  <w:szCs w:val="24"/>
                  <w:vertAlign w:val="superscript"/>
                </w:rPr>
                <w:t>2</w:t>
              </w:r>
              <w:r>
                <w:rPr>
                  <w:szCs w:val="24"/>
                </w:rPr>
                <w:t>, 8</w:t>
              </w:r>
              <w:r>
                <w:rPr>
                  <w:szCs w:val="24"/>
                  <w:vertAlign w:val="superscript"/>
                </w:rPr>
                <w:t>3</w:t>
              </w:r>
              <w:r>
                <w:rPr>
                  <w:szCs w:val="24"/>
                </w:rPr>
                <w:t xml:space="preserve"> ir 18</w:t>
              </w:r>
              <w:r>
                <w:rPr>
                  <w:szCs w:val="24"/>
                  <w:vertAlign w:val="superscript"/>
                </w:rPr>
                <w:t>1</w:t>
              </w:r>
              <w:r>
                <w:rPr>
                  <w:szCs w:val="24"/>
                </w:rPr>
                <w:t xml:space="preserve"> straipsniais įstatymo projektą (toliau – Įstatymo projektas) išvadoms gauti.</w:t>
              </w:r>
            </w:p>
            <w:p>
              <w:pPr>
                <w:ind w:firstLine="851"/>
                <w:jc w:val="both"/>
                <w:rPr>
                  <w:szCs w:val="24"/>
                </w:rPr>
              </w:pPr>
              <w:r>
                <w:rPr>
                  <w:szCs w:val="24"/>
                </w:rPr>
                <w:t xml:space="preserve">Įstatymo projektą paskatino parengti Lietuvos Respublikos Vyriausybės 2021–2024 metų teisėkūros plane nurodytas pavedimas – Šilumos ūkio įstatyme numatyti pakeitimus, skatinančius ilgalaikį centralizuoto šilumos tiekimo (CŠT) sistemų planavimą ir motyvacines priemones investicijoms, susijusioms su CŠT sistemų dekarbonizacija, šilumos vartojimo efektyvumo didinimu, šilumos vartojimo paklausos ir šilumos nuostolių sumažinimu, taip pat siekiant spręsti kitas šilumos ūkio sektoriaus faktinės situacijos neatitiktis esamam teisiniam reguliavimui. </w:t>
              </w:r>
            </w:p>
            <w:p>
              <w:pPr>
                <w:ind w:firstLine="720"/>
                <w:jc w:val="both"/>
                <w:rPr>
                  <w:szCs w:val="24"/>
                </w:rPr>
              </w:pPr>
              <w:r>
                <w:rPr>
                  <w:szCs w:val="24"/>
                </w:rPr>
                <w:t xml:space="preserve">Teikiame apibendrintą informaciją apie Įstatymo projektu sprendžiamas problemas, siūlomas problemų sprendimo priemones, priemonių kaštus ir naudą visuomenei: </w:t>
              </w:r>
            </w:p>
            <w:p>
              <w:pPr>
                <w:ind w:firstLine="720"/>
                <w:jc w:val="both"/>
                <w:rPr>
                  <w:szCs w:val="2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2"/>
                <w:gridCol w:w="7512"/>
              </w:tblGrid>
              <w:tr>
                <w:tc>
                  <w:tcPr>
                    <w:tcW w:w="212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I. Sprendžiama problema </w:t>
                    </w:r>
                  </w:p>
                </w:tc>
                <w:tc>
                  <w:tcPr>
                    <w:tcW w:w="7512" w:type="dxa"/>
                    <w:tcBorders>
                      <w:top w:val="single" w:sz="4" w:space="0" w:color="auto"/>
                      <w:left w:val="single" w:sz="4" w:space="0" w:color="auto"/>
                      <w:bottom w:val="single" w:sz="4" w:space="0" w:color="auto"/>
                      <w:right w:val="single" w:sz="4" w:space="0" w:color="auto"/>
                    </w:tcBorders>
                  </w:tcPr>
                  <w:p>
                    <w:pPr>
                      <w:ind w:firstLine="567"/>
                      <w:jc w:val="both"/>
                      <w:rPr>
                        <w:szCs w:val="24"/>
                      </w:rPr>
                    </w:pPr>
                    <w:r>
                      <w:rPr>
                        <w:szCs w:val="24"/>
                      </w:rPr>
                      <w:t>Šiuo metu galiojančio Lietuvos Respublikos šilumos ūkio įstatymo (toliau – Įstatymas) nuostatos nevisiškai ir aiškiai teisiškai reglamentuoja kintančią šilumos ūkio sektoriaus veiklą, todėl Įstatymo projektu siekiama:</w:t>
                    </w:r>
                  </w:p>
                  <w:p>
                    <w:pPr>
                      <w:ind w:firstLine="567"/>
                      <w:jc w:val="both"/>
                      <w:rPr>
                        <w:szCs w:val="24"/>
                      </w:rPr>
                    </w:pPr>
                    <w:r>
                      <w:rPr>
                        <w:szCs w:val="24"/>
                      </w:rPr>
                      <w:t>1. Aiškiau apibrėžti sąvokas: „Apsirūpinimo karštu vandeniu būdas“, „Atliekinė šiluma“, „Karšto vandens tiekimas“, „Šildymo sezonas“, „Šilumos dvinarė kaina“, „Šilumos įrenginys“, „Šilumos ūkio specialusis planas“, „Šilumos vienanarė kaina“, „Kintamoji šilumos bazinės kainos dedamoji“ keičiama į „Šilumos kintamosios dalies pajamų lygis“, „Pastovioji šilumos bazinės kainos dedamoji“ keičiama į „Šilumos pastoviosios dalies pajamų lygis“, „Šilumos bazinė kaina“ keičiama į „Šilumos bazinis pajamų lygis“.</w:t>
                    </w:r>
                  </w:p>
                  <w:p>
                    <w:pPr>
                      <w:ind w:firstLine="567"/>
                      <w:jc w:val="both"/>
                      <w:rPr>
                        <w:szCs w:val="24"/>
                      </w:rPr>
                    </w:pPr>
                    <w:r>
                      <w:rPr>
                        <w:szCs w:val="24"/>
                      </w:rPr>
                      <w:t>2. Praplėsti vietos savivaldos įtaką planuojant šilumos ūkio plėtrą ir investicijas.</w:t>
                    </w:r>
                  </w:p>
                  <w:p>
                    <w:pPr>
                      <w:ind w:firstLine="567"/>
                      <w:jc w:val="both"/>
                      <w:rPr>
                        <w:szCs w:val="24"/>
                      </w:rPr>
                    </w:pPr>
                    <w:r>
                      <w:rPr>
                        <w:szCs w:val="24"/>
                      </w:rPr>
                      <w:t>3. Nustatyti šilumos tiekėjo 10 metų laikotarpio šilumos ūkio plėtros plano rengimo gaires.</w:t>
                    </w:r>
                  </w:p>
                  <w:p>
                    <w:pPr>
                      <w:ind w:firstLine="567"/>
                      <w:jc w:val="both"/>
                      <w:rPr>
                        <w:szCs w:val="24"/>
                      </w:rPr>
                    </w:pPr>
                    <w:r>
                      <w:rPr>
                        <w:szCs w:val="24"/>
                      </w:rPr>
                      <w:t>4. Tikslinti apsirūpinimo karštu vandeniu teisinį reglamentavimą.</w:t>
                    </w:r>
                  </w:p>
                  <w:p>
                    <w:pPr>
                      <w:ind w:firstLine="567"/>
                      <w:jc w:val="both"/>
                      <w:rPr>
                        <w:szCs w:val="24"/>
                      </w:rPr>
                    </w:pPr>
                    <w:r>
                      <w:rPr>
                        <w:szCs w:val="24"/>
                      </w:rPr>
                      <w:t>5. Tikslinti daugiabučio namo šildymo ir karšto vandens sistemos privalomųjų reikalavimų įgyvendinimo tvarką.</w:t>
                    </w:r>
                  </w:p>
                  <w:p>
                    <w:pPr>
                      <w:ind w:firstLine="567"/>
                      <w:jc w:val="both"/>
                      <w:rPr>
                        <w:szCs w:val="24"/>
                      </w:rPr>
                    </w:pPr>
                    <w:r>
                      <w:rPr>
                        <w:szCs w:val="24"/>
                      </w:rPr>
                      <w:t>6. Nustatyti pastato šildymo ir karšto vandens sistemos prižiūrėtojo (eksploatuotojo) veiklos kriterijus, užtikrinant pastato šildymo ir karšto vandens sistemos prižiūrėtojų veiklos kokybę, sprendžiant atsakomybės, kontrolės, įpareigojimų vykdymo, poveikio priemonių taikymo, sankcijų už veiklos pažeidimus skyrimą.</w:t>
                    </w:r>
                  </w:p>
                  <w:p>
                    <w:pPr>
                      <w:ind w:firstLine="567"/>
                      <w:jc w:val="both"/>
                      <w:rPr>
                        <w:szCs w:val="24"/>
                      </w:rPr>
                    </w:pPr>
                    <w:r>
                      <w:rPr>
                        <w:szCs w:val="24"/>
                      </w:rPr>
                      <w:t>7. Apibrėžti garantinio šilumos tiekimo teisinį reguliavimą.</w:t>
                    </w:r>
                  </w:p>
                  <w:p>
                    <w:pPr>
                      <w:ind w:firstLine="567"/>
                      <w:jc w:val="both"/>
                      <w:rPr>
                        <w:szCs w:val="24"/>
                      </w:rPr>
                    </w:pPr>
                    <w:r>
                      <w:rPr>
                        <w:szCs w:val="24"/>
                      </w:rPr>
                      <w:t xml:space="preserve">8. Įtvirtinti naujus šilumos kainodaros principus. </w:t>
                    </w:r>
                  </w:p>
                  <w:p>
                    <w:pPr>
                      <w:ind w:firstLine="567"/>
                      <w:jc w:val="both"/>
                      <w:rPr>
                        <w:szCs w:val="24"/>
                      </w:rPr>
                    </w:pPr>
                    <w:r>
                      <w:rPr>
                        <w:szCs w:val="24"/>
                      </w:rPr>
                      <w:t xml:space="preserve">9. Atlikti kitus redakcinio pobūdžio pakeitimus. </w:t>
                    </w:r>
                  </w:p>
                </w:tc>
              </w:tr>
              <w:tr>
                <w:tc>
                  <w:tcPr>
                    <w:tcW w:w="212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II. Siūlomos priemonės</w:t>
                    </w:r>
                  </w:p>
                </w:tc>
                <w:tc>
                  <w:tcPr>
                    <w:tcW w:w="7512" w:type="dxa"/>
                    <w:tcBorders>
                      <w:top w:val="single" w:sz="4" w:space="0" w:color="auto"/>
                      <w:left w:val="single" w:sz="4" w:space="0" w:color="auto"/>
                      <w:bottom w:val="single" w:sz="4" w:space="0" w:color="auto"/>
                      <w:right w:val="single" w:sz="4" w:space="0" w:color="auto"/>
                    </w:tcBorders>
                  </w:tcPr>
                  <w:p>
                    <w:pPr>
                      <w:ind w:firstLine="567"/>
                      <w:jc w:val="both"/>
                      <w:rPr>
                        <w:szCs w:val="24"/>
                        <w:lang w:eastAsia="lt-LT"/>
                      </w:rPr>
                    </w:pPr>
                    <w:r>
                      <w:rPr>
                        <w:szCs w:val="24"/>
                      </w:rPr>
                      <w:t>1. Tikslinamos sąvokos: „Apsirūpinimo karštu vandeniu būdas“, „Atliekinė šiluma“, „Karšto vandens tiekimas“, „Šildymo sezonas“, „Šilumos dvinarė kaina“, „Šilumos įrenginys“, „Šilumos ūkio specialusis planas“, „Šilumos vienanarė kaina“, „Kintamoji šilumos bazinės kainos dedamoji“ keičiama į „Šilumos kintamosios dalies pajamų lygis“, „Pastovioji šilumos bazinės kainos dedamoji“ keičiama į „Šilumos pastoviosios dalies pajamų lygis“, „Šilumos bazinė kaina“ keičiama į „Šilumos bazinis pajamų lygis“.</w:t>
                    </w:r>
                  </w:p>
                  <w:p>
                    <w:pPr>
                      <w:ind w:firstLine="567"/>
                      <w:jc w:val="both"/>
                      <w:rPr>
                        <w:szCs w:val="24"/>
                        <w:lang w:eastAsia="lt-LT"/>
                      </w:rPr>
                    </w:pPr>
                    <w:r>
                      <w:rPr>
                        <w:szCs w:val="24"/>
                        <w:lang w:eastAsia="lt-LT"/>
                      </w:rPr>
                      <w:t xml:space="preserve">2. Vietos savivaldai nustatoma galimybė ilgesniam laikotarpiui pagal nurodytus principus planuoti šilumos ūkio tvarią plėtrą, rengiant 10 metų laikotarpio strateginius dokumentus, – šilumos ūkio specialųjį  planą ir savivaldybės strateginį šilumos ūkio plėtros planą.</w:t>
                    </w:r>
                  </w:p>
                  <w:p>
                    <w:pPr>
                      <w:ind w:firstLine="567"/>
                      <w:jc w:val="both"/>
                      <w:rPr>
                        <w:szCs w:val="24"/>
                        <w:lang w:eastAsia="lt-LT"/>
                      </w:rPr>
                    </w:pPr>
                    <w:r>
                      <w:rPr>
                        <w:szCs w:val="24"/>
                        <w:lang w:eastAsia="lt-LT"/>
                      </w:rPr>
                      <w:t>3. Nustatomos šilumos tiekėjo 10 metų laikotarpio šilumos ūkio plėtros plano rengimo gairės.</w:t>
                    </w:r>
                  </w:p>
                  <w:p>
                    <w:pPr>
                      <w:ind w:firstLine="567"/>
                      <w:jc w:val="both"/>
                      <w:rPr>
                        <w:szCs w:val="24"/>
                        <w:lang w:eastAsia="lt-LT"/>
                      </w:rPr>
                    </w:pPr>
                    <w:r>
                      <w:rPr>
                        <w:szCs w:val="24"/>
                        <w:lang w:eastAsia="lt-LT"/>
                      </w:rPr>
                      <w:t>4. Tikslinamas apsirūpinimo karštu vandeniu reglamentavimo mechanizmas.</w:t>
                    </w:r>
                  </w:p>
                  <w:p>
                    <w:pPr>
                      <w:ind w:firstLine="567"/>
                      <w:jc w:val="both"/>
                      <w:rPr>
                        <w:bCs/>
                        <w:szCs w:val="24"/>
                      </w:rPr>
                    </w:pPr>
                    <w:r>
                      <w:rPr>
                        <w:bCs/>
                        <w:szCs w:val="24"/>
                      </w:rPr>
                      <w:t>5. Tikslinama daugiabučio namo šildymo ir karšto vandens sistemos privalomųjų reikalavimų įgyvendinimo tvarka.</w:t>
                    </w:r>
                  </w:p>
                  <w:p>
                    <w:pPr>
                      <w:ind w:firstLine="567"/>
                      <w:jc w:val="both"/>
                      <w:rPr>
                        <w:bCs/>
                        <w:szCs w:val="24"/>
                      </w:rPr>
                    </w:pPr>
                    <w:r>
                      <w:rPr>
                        <w:bCs/>
                        <w:szCs w:val="24"/>
                      </w:rPr>
                      <w:t>6. Papildomai nustatomi pastato šildymo ir karšto vandens sistemos prižiūrėtojo (eksploatuotojo) veiklos kriterijai, užtikrinant pastato šildymo ir karšto vandens sistemos prižiūrėtojų veiklos kokybę, sprendžiant atsakomybės, kontrolės, įpareigojimų vykdymo, poveikio priemonių taikymo, sankcijų už veiklos pažeidimus skyrimą.</w:t>
                    </w:r>
                  </w:p>
                  <w:p>
                    <w:pPr>
                      <w:ind w:firstLine="567"/>
                      <w:jc w:val="both"/>
                      <w:rPr>
                        <w:bCs/>
                        <w:szCs w:val="24"/>
                      </w:rPr>
                    </w:pPr>
                    <w:r>
                      <w:rPr>
                        <w:bCs/>
                        <w:szCs w:val="24"/>
                      </w:rPr>
                      <w:t xml:space="preserve">7. Nustatomas garantinio šilumos tiekimo teisinio reguliavimo mechanizmas. </w:t>
                    </w:r>
                  </w:p>
                  <w:p>
                    <w:pPr>
                      <w:ind w:firstLine="567"/>
                      <w:jc w:val="both"/>
                      <w:rPr>
                        <w:szCs w:val="24"/>
                      </w:rPr>
                    </w:pPr>
                    <w:r>
                      <w:rPr>
                        <w:szCs w:val="24"/>
                      </w:rPr>
                      <w:t>8. Įtvirtinami nauji šilumos kainodaros principai, mažinantys administracinę naštą, skatinantys investicijas į inovacijas ir centralizuoto šilumos tiekimo sistemų modernizavimą, šilumos tiekimo įmonių paslaugų plėtrą, bei sudarantys nediskriminacinę aplinką visiems centralizuotai tiekiamos šilumos rinkos dalyviams, būtinomis pagrįstomis sąnaudomis užtikrinti patikimą ir kokybišką šilumos tiekimą šilumos vartotojams.</w:t>
                    </w:r>
                  </w:p>
                  <w:p>
                    <w:pPr>
                      <w:ind w:firstLine="567"/>
                      <w:jc w:val="both"/>
                      <w:rPr>
                        <w:szCs w:val="24"/>
                      </w:rPr>
                    </w:pPr>
                    <w:r>
                      <w:rPr>
                        <w:bCs/>
                        <w:szCs w:val="24"/>
                      </w:rPr>
                      <w:t>9. Atlikti kiti redakcinio pobūdžio pakeitimai.</w:t>
                    </w:r>
                  </w:p>
                </w:tc>
              </w:tr>
              <w:tr>
                <w:trPr>
                  <w:trHeight w:val="257"/>
                </w:trPr>
                <w:tc>
                  <w:tcPr>
                    <w:tcW w:w="212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III. Priemonių kaštai</w:t>
                    </w:r>
                  </w:p>
                </w:tc>
                <w:tc>
                  <w:tcPr>
                    <w:tcW w:w="7512" w:type="dxa"/>
                    <w:tcBorders>
                      <w:top w:val="single" w:sz="4" w:space="0" w:color="auto"/>
                      <w:left w:val="single" w:sz="4" w:space="0" w:color="auto"/>
                      <w:bottom w:val="single" w:sz="4" w:space="0" w:color="auto"/>
                      <w:right w:val="single" w:sz="4" w:space="0" w:color="auto"/>
                    </w:tcBorders>
                    <w:hideMark/>
                  </w:tcPr>
                  <w:p>
                    <w:pPr>
                      <w:widowControl w:val="0"/>
                      <w:jc w:val="both"/>
                      <w:rPr>
                        <w:szCs w:val="24"/>
                      </w:rPr>
                    </w:pPr>
                    <w:r>
                      <w:rPr>
                        <w:szCs w:val="24"/>
                      </w:rPr>
                      <w:t>Įstatymo projekto nuostatoms įgyvendinti papildomų valstybės ir (ar) savivaldybių biudžetų lėšų nereikės.</w:t>
                    </w:r>
                  </w:p>
                </w:tc>
              </w:tr>
              <w:tr>
                <w:tc>
                  <w:tcPr>
                    <w:tcW w:w="2122"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IV. Nauda visuomenei</w:t>
                    </w:r>
                  </w:p>
                </w:tc>
                <w:tc>
                  <w:tcPr>
                    <w:tcW w:w="7512" w:type="dxa"/>
                    <w:tcBorders>
                      <w:top w:val="single" w:sz="4" w:space="0" w:color="auto"/>
                      <w:left w:val="single" w:sz="4" w:space="0" w:color="auto"/>
                      <w:bottom w:val="single" w:sz="4" w:space="0" w:color="auto"/>
                      <w:right w:val="single" w:sz="4" w:space="0" w:color="auto"/>
                    </w:tcBorders>
                    <w:hideMark/>
                  </w:tcPr>
                  <w:p>
                    <w:pPr>
                      <w:ind w:firstLine="720"/>
                      <w:jc w:val="both"/>
                      <w:rPr>
                        <w:szCs w:val="24"/>
                      </w:rPr>
                    </w:pPr>
                    <w:r>
                      <w:rPr>
                        <w:szCs w:val="24"/>
                      </w:rPr>
                      <w:t>Priėmus Įstatymo projektą būtų užtikrinta šilumos ūkio sektoriaus tvari plėtra, skatinant centralizuoto šilumos tiekimo sistemų dekarbonizaciją, jų efektyvumo didinimą, pagrįstą investicijų planavimą. Įtvirtinus naujus šilumos kainodaros principus, skatinančius investicijas į inovacijas ir centralizuoto šilumos tiekimo sistemų modernizavimą, efektyvių, tvarių technologiškai pažangių šilumos tiekimo sistemų plėtrą bei sudarančius nediskriminacinę aplinką visiems šilumos ūkio rinkos dalyviams, būtų įgyvendintas Nacionalinės energetinės nepriklausomybės strategijos įgyvendinimo priemonių plane nustatytas tikslas / priemonė – mažinti nacionalinio reguliuotojo tikrinamų ir vienasmeniškai nustatomų šilumos kainų kiekį. Sprendžiama vartotojų apsirūpinimo karštu vandeniu problema sumažintų ginčus tarp šilumos, geriamojo vandens tiekėjų ir vartotojų. Įtvirtinus papildomas nuostatas pastato šildymo ir karšto vandens sistemos prižiūrėtojų veiklos kokybei gerinti, nustatant atsakomybės, kontrolės, įpareigojimų vykdymo, poveikio priemonių taikymo, sankcijų už veiklos pažeidimus skyrimą, tikimasi efektyvesnės veiklos ir kylančių ginčų mažėjimo. Kiti Įstatymo projekto nuostatomis įtvirtinami pakeitimai šilumos ūkio sektoriaus rinkos dalyviams padės aiškiai ir nedviprasmiškai vertinti šilumos ūkio teisinio reguliavimo aspektus.</w:t>
                    </w:r>
                  </w:p>
                </w:tc>
              </w:tr>
            </w:tbl>
            <w:p>
              <w:pPr>
                <w:ind w:right="-11" w:firstLine="720"/>
                <w:jc w:val="both"/>
                <w:rPr>
                  <w:szCs w:val="24"/>
                </w:rPr>
              </w:pPr>
              <w:r>
                <w:rPr>
                  <w:szCs w:val="24"/>
                </w:rPr>
                <w:t>Išsamesnė informacija apie Įstatymo projektą pateikta Įstatymo projekto aiškinamajame rašte</w:t>
              </w:r>
              <w:r>
                <w:rPr>
                  <w:szCs w:val="24"/>
                  <w:lang w:eastAsia="lt-LT"/>
                </w:rPr>
                <w:t>.</w:t>
              </w:r>
            </w:p>
            <w:p>
              <w:pPr>
                <w:ind w:right="-11" w:firstLine="709"/>
                <w:jc w:val="both"/>
                <w:rPr>
                  <w:szCs w:val="24"/>
                </w:rPr>
              </w:pPr>
              <w:r>
                <w:rPr>
                  <w:szCs w:val="24"/>
                </w:rPr>
                <w:t>Priėmus Įstatymo projektą neigiamų pasekmių nenumatoma.</w:t>
              </w:r>
            </w:p>
            <w:p>
              <w:pPr>
                <w:tabs>
                  <w:tab w:val="left" w:pos="0"/>
                </w:tabs>
                <w:spacing w:line="252" w:lineRule="auto"/>
                <w:ind w:firstLine="709"/>
                <w:jc w:val="both"/>
                <w:rPr>
                  <w:szCs w:val="24"/>
                  <w:lang w:eastAsia="lt-LT"/>
                </w:rPr>
              </w:pPr>
              <w:r>
                <w:rPr>
                  <w:szCs w:val="24"/>
                  <w:lang w:eastAsia="lt-LT"/>
                </w:rPr>
                <w:t>Įstatymo projektas nėra notifikuotinas Europos Komisijai pagal Informacijos apie techninius reglamentus ir atitikties įvertinimo procedūras teikimo taisyklių, patvirtintų Lietuvos Respublikos Vyriausybės 1999 m. gegužės 20 d. nutarimu Nr. 617 „Dėl Informacijos apie techninius reglamentus ir atitikties įvertinimo procedūras teikimo taisyklių patvirtinimo“, reikalavimus.</w:t>
              </w:r>
            </w:p>
            <w:p>
              <w:pPr>
                <w:ind w:firstLine="709"/>
                <w:jc w:val="both"/>
                <w:rPr>
                  <w:lang w:eastAsia="lt-LT"/>
                </w:rPr>
              </w:pPr>
              <w:r>
                <w:rPr>
                  <w:lang w:eastAsia="lt-LT"/>
                </w:rPr>
                <w:t>Vadovaujantis Numatomo teisinio reguliavimo poveikio vertinimo metodikos, patvirtintos Lietuvos Respublikos Vyriausybės 2003 m. vasario 6 d. nutarimu Nr. 276 „Dėl Numatomo teisinio reguliavimo poveikio vertinimo metodikos patvirtinimo“, 4 punktu, Įstatymo projekto numatomo teisinio reguliavimo poveikio vertinimas atliktas.</w:t>
              </w:r>
            </w:p>
            <w:p>
              <w:pPr>
                <w:ind w:firstLine="709"/>
                <w:jc w:val="both"/>
                <w:rPr>
                  <w:lang w:eastAsia="lt-LT"/>
                </w:rPr>
              </w:pPr>
              <w:r>
                <w:t>Numatomo teisinio reguliavimo poveikio korupcijos mastui (antikorupcinis) vertinimas atliktas.</w:t>
              </w:r>
            </w:p>
            <w:p>
              <w:pPr>
                <w:ind w:firstLine="709"/>
                <w:jc w:val="both"/>
                <w:rPr>
                  <w:szCs w:val="24"/>
                  <w:lang w:eastAsia="lt-LT"/>
                </w:rPr>
              </w:pPr>
              <w:r>
                <w:rPr>
                  <w:szCs w:val="24"/>
                  <w:lang w:eastAsia="lt-LT"/>
                </w:rPr>
                <w:t>Įstatymo projektas neprieštarauja Lietuvos Respublikos Vyriausybės programai ir Europos Sąjungos teisės aktams.</w:t>
              </w:r>
            </w:p>
            <w:p>
              <w:pPr>
                <w:ind w:firstLine="567"/>
                <w:jc w:val="both"/>
                <w:rPr>
                  <w:szCs w:val="24"/>
                </w:rPr>
              </w:pPr>
              <w:r>
                <w:rPr>
                  <w:szCs w:val="24"/>
                </w:rPr>
                <w:t xml:space="preserve">Įstatymo projektas teikiamas išvadoms gauti suinteresuotoms institucijoms ir įmonėms, paskelbtas TAIS. </w:t>
              </w:r>
            </w:p>
            <w:p>
              <w:pPr>
                <w:tabs>
                  <w:tab w:val="left" w:pos="0"/>
                </w:tabs>
                <w:ind w:firstLine="709"/>
                <w:jc w:val="both"/>
                <w:rPr>
                  <w:szCs w:val="24"/>
                  <w:lang w:eastAsia="lt-LT"/>
                </w:rPr>
              </w:pPr>
              <w:r>
                <w:rPr>
                  <w:color w:val="000000"/>
                  <w:szCs w:val="24"/>
                  <w:shd w:val="clear" w:color="auto" w:fill="FFFFFF"/>
                  <w:lang w:eastAsia="lt-LT"/>
                </w:rPr>
                <w:t xml:space="preserve">Įstatymo projektas </w:t>
              </w:r>
              <w:r>
                <w:rPr>
                  <w:szCs w:val="24"/>
                  <w:lang w:eastAsia="lt-LT"/>
                </w:rPr>
                <w:t xml:space="preserve">ir jo lydimieji dokumentai skelbiami Lietuvos Respublikos Seimo kanceliarijos teisės aktų informacinėje sistemoje (TAIS). Prašome pastabas ir pasiūlymus dėl </w:t>
              </w:r>
              <w:r>
                <w:rPr>
                  <w:bCs/>
                  <w:szCs w:val="24"/>
                  <w:lang w:eastAsia="lt-LT"/>
                </w:rPr>
                <w:t xml:space="preserve">Įstatymo projekto </w:t>
              </w:r>
              <w:r>
                <w:rPr>
                  <w:szCs w:val="24"/>
                  <w:lang w:eastAsia="lt-LT"/>
                </w:rPr>
                <w:t xml:space="preserve">pateikti per 20 darbo dienų nuo jo paskelbimo TAIS. </w:t>
              </w:r>
            </w:p>
            <w:p>
              <w:pPr>
                <w:tabs>
                  <w:tab w:val="left" w:pos="0"/>
                </w:tabs>
                <w:ind w:firstLine="709"/>
                <w:jc w:val="both"/>
                <w:rPr>
                  <w:szCs w:val="24"/>
                  <w:lang w:eastAsia="lt-LT"/>
                </w:rPr>
              </w:pPr>
              <w:r>
                <w:rPr>
                  <w:szCs w:val="24"/>
                  <w:lang w:eastAsia="lt-LT"/>
                </w:rPr>
                <w:t>Įstatymo projektą parengė Energetikos ministerijos Energetikos konkurencingumo grupės (vadovas Karolis Švaikauskas, tel. +370 670 39 352, el. p. karolis.svaikauskas@enmin.lt) patarėja Vida Dzermeikienė, tel. +370 658 42 175, el. p. vida.dzermeikiene@enmin.lt).</w:t>
              </w:r>
            </w:p>
            <w:p>
              <w:pPr>
                <w:ind w:firstLine="720"/>
                <w:jc w:val="both"/>
                <w:rPr>
                  <w:szCs w:val="24"/>
                </w:rPr>
              </w:pPr>
              <w:r>
                <w:rPr>
                  <w:szCs w:val="24"/>
                </w:rPr>
                <w:t>PRIDEDAMA:</w:t>
              </w:r>
            </w:p>
            <w:sdt>
              <w:sdtPr>
                <w:alias w:val="1 p."/>
                <w:tag w:val="part_eea71898bdc84d50995ddb3a626a2ad3"/>
                <w:lock w:val="sdtLocked"/>
                <w:richText/>
              </w:sdtPr>
              <w:sdtContent>
                <w:p>
                  <w:pPr>
                    <w:ind w:left="1069" w:hanging="360"/>
                    <w:jc w:val="both"/>
                    <w:rPr>
                      <w:szCs w:val="24"/>
                    </w:rPr>
                  </w:pPr>
                  <w:sdt>
                    <w:sdtPr>
                      <w:alias w:val="Numeris"/>
                      <w:tag w:val="nr_eea71898bdc84d50995ddb3a626a2ad3"/>
                      <w:lock w:val="sdtLocked"/>
                      <w:richText/>
                    </w:sdtPr>
                    <w:sdtContent>
                      <w:r>
                        <w:rPr>
                          <w:szCs w:val="24"/>
                        </w:rPr>
                        <w:t>1</w:t>
                      </w:r>
                    </w:sdtContent>
                  </w:sdt>
                  <w:r>
                    <w:rPr>
                      <w:szCs w:val="24"/>
                    </w:rPr>
                    <w:t>.</w:t>
                    <w:tab/>
                    <w:t>Nutarimo projektas, 1 lapas.</w:t>
                  </w:r>
                </w:p>
              </w:sdtContent>
            </w:sdt>
            <w:sdt>
              <w:sdtPr>
                <w:alias w:val="2 p."/>
                <w:tag w:val="part_7cb04045aafc498793abcb4919e209af"/>
                <w:lock w:val="sdtLocked"/>
                <w:richText/>
              </w:sdtPr>
              <w:sdtContent>
                <w:p>
                  <w:pPr>
                    <w:ind w:left="1069" w:hanging="360"/>
                    <w:jc w:val="both"/>
                    <w:rPr>
                      <w:szCs w:val="24"/>
                    </w:rPr>
                  </w:pPr>
                  <w:sdt>
                    <w:sdtPr>
                      <w:alias w:val="Numeris"/>
                      <w:tag w:val="nr_7cb04045aafc498793abcb4919e209af"/>
                      <w:lock w:val="sdtLocked"/>
                      <w:richText/>
                    </w:sdtPr>
                    <w:sdtContent>
                      <w:r>
                        <w:rPr>
                          <w:szCs w:val="24"/>
                        </w:rPr>
                        <w:t>2</w:t>
                      </w:r>
                    </w:sdtContent>
                  </w:sdt>
                  <w:r>
                    <w:rPr>
                      <w:szCs w:val="24"/>
                    </w:rPr>
                    <w:t>.</w:t>
                    <w:tab/>
                    <w:t>Įstatymo projektas, 15 lapų.</w:t>
                  </w:r>
                </w:p>
              </w:sdtContent>
            </w:sdt>
            <w:sdt>
              <w:sdtPr>
                <w:alias w:val="3 p."/>
                <w:tag w:val="part_16146297d8c84f29adac45a31f805fe2"/>
                <w:lock w:val="sdtLocked"/>
                <w:richText/>
              </w:sdtPr>
              <w:sdtContent>
                <w:p>
                  <w:pPr>
                    <w:ind w:left="1069" w:hanging="360"/>
                    <w:jc w:val="both"/>
                    <w:rPr>
                      <w:szCs w:val="24"/>
                    </w:rPr>
                  </w:pPr>
                  <w:sdt>
                    <w:sdtPr>
                      <w:alias w:val="Numeris"/>
                      <w:tag w:val="nr_16146297d8c84f29adac45a31f805fe2"/>
                      <w:lock w:val="sdtLocked"/>
                      <w:richText/>
                    </w:sdtPr>
                    <w:sdtContent>
                      <w:r>
                        <w:rPr>
                          <w:szCs w:val="24"/>
                        </w:rPr>
                        <w:t>3</w:t>
                      </w:r>
                    </w:sdtContent>
                  </w:sdt>
                  <w:r>
                    <w:rPr>
                      <w:szCs w:val="24"/>
                    </w:rPr>
                    <w:t>.</w:t>
                    <w:tab/>
                    <w:t>Įstatymo projekto lyginamasis variantas, 19 lapų.</w:t>
                  </w:r>
                </w:p>
              </w:sdtContent>
            </w:sdt>
            <w:sdt>
              <w:sdtPr>
                <w:alias w:val="4 p."/>
                <w:tag w:val="part_7230cbb8c47e487faa0c7c516cda001b"/>
                <w:lock w:val="sdtLocked"/>
                <w:richText/>
              </w:sdtPr>
              <w:sdtContent>
                <w:p>
                  <w:pPr>
                    <w:ind w:left="1069" w:hanging="360"/>
                    <w:jc w:val="both"/>
                    <w:rPr>
                      <w:szCs w:val="24"/>
                    </w:rPr>
                  </w:pPr>
                  <w:sdt>
                    <w:sdtPr>
                      <w:alias w:val="Numeris"/>
                      <w:tag w:val="nr_7230cbb8c47e487faa0c7c516cda001b"/>
                      <w:lock w:val="sdtLocked"/>
                      <w:richText/>
                    </w:sdtPr>
                    <w:sdtContent>
                      <w:r>
                        <w:rPr>
                          <w:szCs w:val="24"/>
                        </w:rPr>
                        <w:t>4</w:t>
                      </w:r>
                    </w:sdtContent>
                  </w:sdt>
                  <w:r>
                    <w:rPr>
                      <w:szCs w:val="24"/>
                    </w:rPr>
                    <w:t>.</w:t>
                    <w:tab/>
                    <w:t>Įstatymo projekto aiškinamasis raštas, 17 lapų.</w:t>
                  </w:r>
                </w:p>
              </w:sdtContent>
            </w:sdt>
            <w:sdt>
              <w:sdtPr>
                <w:alias w:val="5 p."/>
                <w:tag w:val="part_41ca1c22e4fe4717acbaff8ffdbccbac"/>
                <w:lock w:val="sdtLocked"/>
                <w:richText/>
              </w:sdtPr>
              <w:sdtContent>
                <w:p>
                  <w:pPr>
                    <w:ind w:left="1069" w:hanging="360"/>
                    <w:jc w:val="both"/>
                    <w:rPr>
                      <w:szCs w:val="24"/>
                    </w:rPr>
                  </w:pPr>
                  <w:sdt>
                    <w:sdtPr>
                      <w:alias w:val="Numeris"/>
                      <w:tag w:val="nr_41ca1c22e4fe4717acbaff8ffdbccbac"/>
                      <w:lock w:val="sdtLocked"/>
                      <w:richText/>
                    </w:sdtPr>
                    <w:sdtContent>
                      <w:r>
                        <w:rPr>
                          <w:szCs w:val="24"/>
                        </w:rPr>
                        <w:t>5</w:t>
                      </w:r>
                    </w:sdtContent>
                  </w:sdt>
                  <w:r>
                    <w:rPr>
                      <w:szCs w:val="24"/>
                    </w:rPr>
                    <w:t>.</w:t>
                    <w:tab/>
                  </w:r>
                  <w:r>
                    <w:rPr>
                      <w:lang w:eastAsia="lt-LT"/>
                    </w:rPr>
                    <w:t xml:space="preserve">Įstatymo projekto numatomo teisinio reguliavimo poveikio vertinimo pažyma, 3 lapai. </w:t>
                  </w:r>
                </w:p>
              </w:sdtContent>
            </w:sdt>
            <w:sdt>
              <w:sdtPr>
                <w:alias w:val="6 p."/>
                <w:tag w:val="part_f2645e312dfe44c1afa24d1697080585"/>
                <w:lock w:val="sdtLocked"/>
                <w:richText/>
              </w:sdtPr>
              <w:sdtContent>
                <w:p>
                  <w:pPr>
                    <w:ind w:left="1069" w:hanging="360"/>
                    <w:jc w:val="both"/>
                    <w:rPr>
                      <w:szCs w:val="24"/>
                    </w:rPr>
                  </w:pPr>
                  <w:sdt>
                    <w:sdtPr>
                      <w:alias w:val="Numeris"/>
                      <w:tag w:val="nr_f2645e312dfe44c1afa24d1697080585"/>
                      <w:lock w:val="sdtLocked"/>
                      <w:richText/>
                    </w:sdtPr>
                    <w:sdtContent>
                      <w:r>
                        <w:rPr>
                          <w:szCs w:val="24"/>
                        </w:rPr>
                        <w:t>6</w:t>
                      </w:r>
                    </w:sdtContent>
                  </w:sdt>
                  <w:r>
                    <w:rPr>
                      <w:szCs w:val="24"/>
                    </w:rPr>
                    <w:t>.</w:t>
                    <w:tab/>
                    <w:t>Įstatymo projekto antikorupcinio vertinimo pažyma, 4 lapai.</w:t>
                  </w:r>
                </w:p>
                <w:p>
                  <w:pPr>
                    <w:jc w:val="both"/>
                    <w:rPr>
                      <w:szCs w:val="24"/>
                    </w:rPr>
                  </w:pPr>
                </w:p>
                <w:p>
                  <w:pPr>
                    <w:jc w:val="both"/>
                    <w:rPr>
                      <w:szCs w:val="24"/>
                    </w:rPr>
                  </w:pPr>
                </w:p>
                <w:p>
                  <w:pPr>
                    <w:jc w:val="both"/>
                    <w:rPr>
                      <w:szCs w:val="24"/>
                    </w:rPr>
                  </w:pPr>
                  <w:r>
                    <w:rPr>
                      <w:szCs w:val="24"/>
                    </w:rPr>
                    <w:t>Energetikos viceministrė</w:t>
                    <w:tab/>
                    <w:tab/>
                    <w:tab/>
                    <w:tab/>
                    <w:tab/>
                    <w:tab/>
                    <w:tab/>
                    <w:tab/>
                    <w:t>Inga Žilienė</w:t>
                  </w:r>
                </w:p>
                <w:p>
                  <w:pPr>
                    <w:jc w:val="both"/>
                    <w:rPr>
                      <w:szCs w:val="24"/>
                    </w:rPr>
                  </w:pPr>
                </w:p>
                <w:p/>
                <w:p>
                  <w:pPr>
                    <w:jc w:val="both"/>
                  </w:pPr>
                </w:p>
                <w:p>
                  <w:pPr>
                    <w:jc w:val="both"/>
                  </w:pPr>
                  <w:r>
                    <w:t xml:space="preserve">V. Dzermeikiene, tel. +370 658 42 175, el. p. </w:t>
                  </w:r>
                  <w:r>
                    <w:rPr>
                      <w:color w:val="0000FF"/>
                      <w:u w:val="single"/>
                    </w:rPr>
                    <w:t>vida.dzermeikiene@enmin.lt</w:t>
                  </w:r>
                </w:p>
              </w:sdtContent>
            </w:sdt>
          </w:sdtContent>
        </w:sdt>
      </w:sdtContent>
    </w:sdt>
    <w:sectPr>
      <w:headerReference w:type="even" r:id="rId13"/>
      <w:headerReference w:type="default" r:id="rId14"/>
      <w:footerReference w:type="even" r:id="rId15"/>
      <w:footerReference w:type="default" r:id="rId16"/>
      <w:headerReference w:type="first" r:id="rId17"/>
      <w:footerReference w:type="first" r:id="rId18"/>
      <w:pgSz w:w="11906" w:h="16838" w:code="9"/>
      <w:pgMar w:top="1134" w:right="567" w:bottom="1134" w:left="1701" w:header="567" w:footer="851"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jc w:val="both"/>
      </w:pPr>
      <w:r>
        <w:separator/>
      </w:r>
    </w:p>
  </w:endnote>
  <w:endnote w:type="continuationSeparator" w:id="0">
    <w:p>
      <w:pPr>
        <w:jc w:val="both"/>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jc w:val="both"/>
    </w:pPr>
    <w:r>
      <w:fldChar w:fldCharType="begin"/>
    </w:r>
    <w:r>
      <w:instrText xml:space="preserve">PAGE  </w:instrText>
    </w:r>
    <w:r>
      <w:fldChar w:fldCharType="separate"/>
    </w:r>
    <w:r>
      <w:t>1</w:t>
    </w:r>
    <w:r>
      <w:fldChar w:fldCharType="end"/>
    </w:r>
  </w:p>
  <w:p>
    <w:pPr>
      <w:tabs>
        <w:tab w:val="center" w:pos="4153"/>
        <w:tab w:val="right" w:pos="8306"/>
      </w:tabs>
      <w:jc w:val="both"/>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4A0" w:firstRow="1" w:lastRow="0" w:firstColumn="1" w:lastColumn="0" w:noHBand="0" w:noVBand="1"/>
    </w:tblPr>
    <w:tblGrid>
      <w:gridCol w:w="3212"/>
      <w:gridCol w:w="3213"/>
      <w:gridCol w:w="3213"/>
    </w:tblGrid>
    <w:tr>
      <w:tc>
        <w:tcPr>
          <w:tcW w:w="3213" w:type="dxa"/>
        </w:tcPr>
        <w:p>
          <w:pPr>
            <w:tabs>
              <w:tab w:val="center" w:pos="4153"/>
              <w:tab w:val="right" w:pos="8306"/>
            </w:tabs>
            <w:ind w:left="-115"/>
          </w:pPr>
        </w:p>
      </w:tc>
      <w:tc>
        <w:tcPr>
          <w:tcW w:w="3213" w:type="dxa"/>
        </w:tcPr>
        <w:p>
          <w:pPr>
            <w:tabs>
              <w:tab w:val="center" w:pos="4153"/>
              <w:tab w:val="right" w:pos="8306"/>
            </w:tabs>
            <w:jc w:val="center"/>
          </w:pPr>
        </w:p>
      </w:tc>
      <w:tc>
        <w:tcPr>
          <w:tcW w:w="3213" w:type="dxa"/>
        </w:tcPr>
        <w:p>
          <w:pPr>
            <w:tabs>
              <w:tab w:val="center" w:pos="4153"/>
              <w:tab w:val="right" w:pos="8306"/>
            </w:tabs>
            <w:ind w:right="-115"/>
            <w:jc w:val="right"/>
          </w:pPr>
        </w:p>
      </w:tc>
    </w:tr>
  </w:tbl>
  <w:p>
    <w:pPr>
      <w:tabs>
        <w:tab w:val="center" w:pos="4153"/>
        <w:tab w:val="right" w:pos="8306"/>
      </w:tabs>
      <w:jc w:val="both"/>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pPr>
    <w:r>
      <w:ptab w:relativeTo="margin" w:alignment="right" w:leader="none"/>
      <w:tab/>
      <w:tab/>
    </w: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jc w:val="both"/>
      </w:pPr>
      <w:r>
        <w:separator/>
      </w:r>
    </w:p>
  </w:footnote>
  <w:footnote w:type="continuationSeparator" w:id="0">
    <w:p>
      <w:pPr>
        <w:jc w:val="both"/>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center"/>
    </w:pPr>
    <w:r>
      <w:fldChar w:fldCharType="begin"/>
    </w:r>
    <w:r>
      <w:instrText xml:space="preserve"> PAGE </w:instrText>
    </w:r>
    <w:r>
      <w:fldChar w:fldCharType="separate"/>
    </w:r>
    <w:r>
      <w:t>2</w:t>
    </w:r>
    <w: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jc w:val="both"/>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F63A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chartTrackingRefBased/>
  <w15:docId w15:val="{382322F7-01E1-4183-A286-1E1634C4E3E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6727869">
      <w:bodyDiv w:val="1"/>
      <w:marLeft w:val="0"/>
      <w:marRight w:val="0"/>
      <w:marTop w:val="0"/>
      <w:marBottom w:val="0"/>
      <w:divBdr>
        <w:top w:val="none" w:sz="0" w:space="0" w:color="auto"/>
        <w:left w:val="none" w:sz="0" w:space="0" w:color="auto"/>
        <w:bottom w:val="none" w:sz="0" w:space="0" w:color="auto"/>
        <w:right w:val="none" w:sz="0" w:space="0" w:color="auto"/>
      </w:divBdr>
    </w:div>
    <w:div w:id="657003217">
      <w:bodyDiv w:val="1"/>
      <w:marLeft w:val="0"/>
      <w:marRight w:val="0"/>
      <w:marTop w:val="0"/>
      <w:marBottom w:val="0"/>
      <w:divBdr>
        <w:top w:val="none" w:sz="0" w:space="0" w:color="auto"/>
        <w:left w:val="none" w:sz="0" w:space="0" w:color="auto"/>
        <w:bottom w:val="none" w:sz="0" w:space="0" w:color="auto"/>
        <w:right w:val="none" w:sz="0" w:space="0" w:color="auto"/>
      </w:divBdr>
      <w:divsChild>
        <w:div w:id="11956963">
          <w:marLeft w:val="0"/>
          <w:marRight w:val="0"/>
          <w:marTop w:val="0"/>
          <w:marBottom w:val="0"/>
          <w:divBdr>
            <w:top w:val="none" w:sz="0" w:space="0" w:color="auto"/>
            <w:left w:val="none" w:sz="0" w:space="0" w:color="auto"/>
            <w:bottom w:val="none" w:sz="0" w:space="0" w:color="auto"/>
            <w:right w:val="none" w:sz="0" w:space="0" w:color="auto"/>
          </w:divBdr>
          <w:divsChild>
            <w:div w:id="542206506">
              <w:marLeft w:val="0"/>
              <w:marRight w:val="0"/>
              <w:marTop w:val="0"/>
              <w:marBottom w:val="0"/>
              <w:divBdr>
                <w:top w:val="none" w:sz="0" w:space="0" w:color="auto"/>
                <w:left w:val="none" w:sz="0" w:space="0" w:color="auto"/>
                <w:bottom w:val="none" w:sz="0" w:space="0" w:color="auto"/>
                <w:right w:val="none" w:sz="0" w:space="0" w:color="auto"/>
              </w:divBdr>
              <w:divsChild>
                <w:div w:id="1864324907">
                  <w:marLeft w:val="0"/>
                  <w:marRight w:val="0"/>
                  <w:marTop w:val="0"/>
                  <w:marBottom w:val="0"/>
                  <w:divBdr>
                    <w:top w:val="none" w:sz="0" w:space="0" w:color="auto"/>
                    <w:left w:val="none" w:sz="0" w:space="0" w:color="auto"/>
                    <w:bottom w:val="none" w:sz="0" w:space="0" w:color="auto"/>
                    <w:right w:val="none" w:sz="0" w:space="0" w:color="auto"/>
                  </w:divBdr>
                  <w:divsChild>
                    <w:div w:id="1520775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2844430">
      <w:bodyDiv w:val="1"/>
      <w:marLeft w:val="0"/>
      <w:marRight w:val="0"/>
      <w:marTop w:val="0"/>
      <w:marBottom w:val="0"/>
      <w:divBdr>
        <w:top w:val="none" w:sz="0" w:space="0" w:color="auto"/>
        <w:left w:val="none" w:sz="0" w:space="0" w:color="auto"/>
        <w:bottom w:val="none" w:sz="0" w:space="0" w:color="auto"/>
        <w:right w:val="none" w:sz="0" w:space="0" w:color="auto"/>
      </w:divBdr>
    </w:div>
    <w:div w:id="1094325668">
      <w:bodyDiv w:val="1"/>
      <w:marLeft w:val="0"/>
      <w:marRight w:val="0"/>
      <w:marTop w:val="0"/>
      <w:marBottom w:val="0"/>
      <w:divBdr>
        <w:top w:val="none" w:sz="0" w:space="0" w:color="auto"/>
        <w:left w:val="none" w:sz="0" w:space="0" w:color="auto"/>
        <w:bottom w:val="none" w:sz="0" w:space="0" w:color="auto"/>
        <w:right w:val="none" w:sz="0" w:space="0" w:color="auto"/>
      </w:divBdr>
    </w:div>
    <w:div w:id="1252465440">
      <w:bodyDiv w:val="1"/>
      <w:marLeft w:val="0"/>
      <w:marRight w:val="0"/>
      <w:marTop w:val="0"/>
      <w:marBottom w:val="0"/>
      <w:divBdr>
        <w:top w:val="none" w:sz="0" w:space="0" w:color="auto"/>
        <w:left w:val="none" w:sz="0" w:space="0" w:color="auto"/>
        <w:bottom w:val="none" w:sz="0" w:space="0" w:color="auto"/>
        <w:right w:val="none" w:sz="0" w:space="0" w:color="auto"/>
      </w:divBdr>
    </w:div>
    <w:div w:id="1412509714">
      <w:bodyDiv w:val="1"/>
      <w:marLeft w:val="0"/>
      <w:marRight w:val="0"/>
      <w:marTop w:val="0"/>
      <w:marBottom w:val="0"/>
      <w:divBdr>
        <w:top w:val="none" w:sz="0" w:space="0" w:color="auto"/>
        <w:left w:val="none" w:sz="0" w:space="0" w:color="auto"/>
        <w:bottom w:val="none" w:sz="0" w:space="0" w:color="auto"/>
        <w:right w:val="none" w:sz="0" w:space="0" w:color="auto"/>
      </w:divBdr>
      <w:divsChild>
        <w:div w:id="1584144038">
          <w:marLeft w:val="0"/>
          <w:marRight w:val="0"/>
          <w:marTop w:val="0"/>
          <w:marBottom w:val="0"/>
          <w:divBdr>
            <w:top w:val="none" w:sz="0" w:space="0" w:color="auto"/>
            <w:left w:val="none" w:sz="0" w:space="0" w:color="auto"/>
            <w:bottom w:val="none" w:sz="0" w:space="0" w:color="auto"/>
            <w:right w:val="none" w:sz="0" w:space="0" w:color="auto"/>
          </w:divBdr>
        </w:div>
      </w:divsChild>
    </w:div>
    <w:div w:id="1482456908">
      <w:bodyDiv w:val="1"/>
      <w:marLeft w:val="0"/>
      <w:marRight w:val="0"/>
      <w:marTop w:val="0"/>
      <w:marBottom w:val="0"/>
      <w:divBdr>
        <w:top w:val="none" w:sz="0" w:space="0" w:color="auto"/>
        <w:left w:val="none" w:sz="0" w:space="0" w:color="auto"/>
        <w:bottom w:val="none" w:sz="0" w:space="0" w:color="auto"/>
        <w:right w:val="none" w:sz="0" w:space="0" w:color="auto"/>
      </w:divBdr>
    </w:div>
    <w:div w:id="1503935653">
      <w:bodyDiv w:val="1"/>
      <w:marLeft w:val="0"/>
      <w:marRight w:val="0"/>
      <w:marTop w:val="0"/>
      <w:marBottom w:val="0"/>
      <w:divBdr>
        <w:top w:val="none" w:sz="0" w:space="0" w:color="auto"/>
        <w:left w:val="none" w:sz="0" w:space="0" w:color="auto"/>
        <w:bottom w:val="none" w:sz="0" w:space="0" w:color="auto"/>
        <w:right w:val="none" w:sz="0" w:space="0" w:color="auto"/>
      </w:divBdr>
    </w:div>
    <w:div w:id="1576161565">
      <w:bodyDiv w:val="1"/>
      <w:marLeft w:val="0"/>
      <w:marRight w:val="0"/>
      <w:marTop w:val="0"/>
      <w:marBottom w:val="0"/>
      <w:divBdr>
        <w:top w:val="none" w:sz="0" w:space="0" w:color="auto"/>
        <w:left w:val="none" w:sz="0" w:space="0" w:color="auto"/>
        <w:bottom w:val="none" w:sz="0" w:space="0" w:color="auto"/>
        <w:right w:val="none" w:sz="0" w:space="0" w:color="auto"/>
      </w:divBdr>
    </w:div>
    <w:div w:id="1723402198">
      <w:bodyDiv w:val="1"/>
      <w:marLeft w:val="0"/>
      <w:marRight w:val="0"/>
      <w:marTop w:val="0"/>
      <w:marBottom w:val="0"/>
      <w:divBdr>
        <w:top w:val="none" w:sz="0" w:space="0" w:color="auto"/>
        <w:left w:val="none" w:sz="0" w:space="0" w:color="auto"/>
        <w:bottom w:val="none" w:sz="0" w:space="0" w:color="auto"/>
        <w:right w:val="none" w:sz="0" w:space="0" w:color="auto"/>
      </w:divBdr>
    </w:div>
    <w:div w:id="2001813434">
      <w:bodyDiv w:val="1"/>
      <w:marLeft w:val="0"/>
      <w:marRight w:val="0"/>
      <w:marTop w:val="0"/>
      <w:marBottom w:val="0"/>
      <w:divBdr>
        <w:top w:val="none" w:sz="0" w:space="0" w:color="auto"/>
        <w:left w:val="none" w:sz="0" w:space="0" w:color="auto"/>
        <w:bottom w:val="none" w:sz="0" w:space="0" w:color="auto"/>
        <w:right w:val="none" w:sz="0" w:space="0" w:color="auto"/>
      </w:divBdr>
    </w:div>
    <w:div w:id="2069570608">
      <w:bodyDiv w:val="1"/>
      <w:marLeft w:val="0"/>
      <w:marRight w:val="0"/>
      <w:marTop w:val="0"/>
      <w:marBottom w:val="0"/>
      <w:divBdr>
        <w:top w:val="none" w:sz="0" w:space="0" w:color="auto"/>
        <w:left w:val="none" w:sz="0" w:space="0" w:color="auto"/>
        <w:bottom w:val="none" w:sz="0" w:space="0" w:color="auto"/>
        <w:right w:val="none" w:sz="0" w:space="0" w:color="auto"/>
      </w:divBdr>
    </w:div>
    <w:div w:id="2146503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image" Target="media/image1.png"/>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footer" Target="footer1.xml"/>
  <Relationship Id="rId16" Type="http://schemas.openxmlformats.org/officeDocument/2006/relationships/footer" Target="footer2.xml"/>
  <Relationship Id="rId17" Type="http://schemas.openxmlformats.org/officeDocument/2006/relationships/header" Target="header3.xml"/>
  <Relationship Id="rId18" Type="http://schemas.openxmlformats.org/officeDocument/2006/relationships/footer" Target="footer3.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081C6B491B68143A15B91DE7A2BBF90" ma:contentTypeVersion="8" ma:contentTypeDescription="Kurkite naują dokumentą." ma:contentTypeScope="" ma:versionID="4c0aecfff3a8c2172d062f5cdf8cde9a">
  <xsd:schema xmlns:xsd="http://www.w3.org/2001/XMLSchema" xmlns:xs="http://www.w3.org/2001/XMLSchema" xmlns:p="http://schemas.microsoft.com/office/2006/metadata/properties" xmlns:ns3="50fc5535-802c-4625-ab1e-90d20e1b23e0" targetNamespace="http://schemas.microsoft.com/office/2006/metadata/properties" ma:root="true" ma:fieldsID="0d012f6cebce07f97fd058582726e6ac" ns3:_="">
    <xsd:import namespace="50fc5535-802c-4625-ab1e-90d20e1b23e0"/>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Location" minOccurs="0"/>
                <xsd:element ref="ns3:MediaServiceGenerationTime" minOccurs="0"/>
                <xsd:element ref="ns3: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fc5535-802c-4625-ab1e-90d20e1b23e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5b5a984774ac4805afb353b6e4fc8ae2" PartId="062d8ddd0e304e04b29dac04940f25be">
    <Part Type="skirsnis" Title="DĖL LIETUVOS RESPUBLIKOS ŠILUMOS ŪKIO ĮSTATYMO NR. IX-1565 1, 2, 8, 9, 10, 10¹, 12, 15, 20, 22, 23, 24, 30, 32 IR 35 STRAIPSNIŲ PAKEITIMO IR ĮSTATYMO PAPILDYMO 8², 8³ IR 18¹ STRAIPSNIAIS ĮSTATYMO TEIKIMO IŠVADOMS GAUTI" DocPartId="6041a5e6a2d94a449645b5ff8a695b56" PartId="7cb986e66f194ebaad578a6aff036992">
      <Part Type="punktas" Nr="1" Abbr="1 p." DocPartId="1c13510797b34485baa32594018a5a1a" PartId="eea71898bdc84d50995ddb3a626a2ad3"/>
      <Part Type="punktas" Nr="2" Abbr="2 p." DocPartId="24339cf8346642b781563278fa39fa44" PartId="7cb04045aafc498793abcb4919e209af"/>
      <Part Type="punktas" Nr="3" Abbr="3 p." DocPartId="5fdad26e5d004b459501f6b700c8a541" PartId="16146297d8c84f29adac45a31f805fe2"/>
      <Part Type="punktas" Nr="4" Abbr="4 p." DocPartId="6cbc498e61454727899906575be44221" PartId="7230cbb8c47e487faa0c7c516cda001b"/>
      <Part Type="punktas" Nr="5" Abbr="5 p." DocPartId="508d85f1d1a64deba3d793f5f95a3390" PartId="41ca1c22e4fe4717acbaff8ffdbccbac"/>
      <Part Type="punktas" Nr="6" Abbr="6 p." DocPartId="975de4711d084186b06600ebf4064a6a" PartId="f2645e312dfe44c1afa24d1697080585"/>
    </Part>
  </Part>
</Parts>
</file>

<file path=customXml/itemProps1.xml><?xml version="1.0" encoding="utf-8"?>
<ds:datastoreItem xmlns:ds="http://schemas.openxmlformats.org/officeDocument/2006/customXml" ds:itemID="{C3F9DE05-2E77-4A3D-A59E-2072ED559F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fc5535-802c-4625-ab1e-90d20e1b23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B288BCF-3731-4D75-B212-411FF8F4A9EB}">
  <ds:schemaRefs>
    <ds:schemaRef ds:uri="http://schemas.microsoft.com/sharepoint/v3/contenttype/forms"/>
  </ds:schemaRefs>
</ds:datastoreItem>
</file>

<file path=customXml/itemProps3.xml><?xml version="1.0" encoding="utf-8"?>
<ds:datastoreItem xmlns:ds="http://schemas.openxmlformats.org/officeDocument/2006/customXml" ds:itemID="{3AEFBA9A-5832-4CD2-BD35-3E75F80F8B82}">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9BF8DEB-9D74-45A8-B915-BDB5406A7556}">
  <ds:schemaRefs>
    <ds:schemaRef ds:uri="http://schemas.openxmlformats.org/officeDocument/2006/bibliography"/>
  </ds:schemaRefs>
</ds:datastoreItem>
</file>

<file path=customXml/itemProps5.xml><?xml version="1.0" encoding="utf-8"?>
<ds:datastoreItem xmlns:ds="http://schemas.openxmlformats.org/officeDocument/2006/customXml" ds:itemID="{C5A2AFE7-BF43-4F8C-8310-56508D3F300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1076</Words>
  <Characters>8092</Characters>
  <Application>Microsoft Office Word</Application>
  <DocSecurity>4</DocSecurity>
  <Lines>165</Lines>
  <Paragraphs>69</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LR Energetikos ministerija</vt:lpstr>
      <vt:lpstr>LR Energetikos ministerija</vt:lpstr>
    </vt:vector>
  </TitlesOfParts>
  <Company>KPC</Company>
  <LinksUpToDate>false</LinksUpToDate>
  <CharactersWithSpaces>9099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2021-12-29T08:38:00Z</dcterms:created>
  <dc:creator>Birute Jocaite</dc:creator>
  <lastModifiedBy>adlibuser</lastModifiedBy>
  <lastPrinted>2019-01-17T13:26:00Z</lastPrinted>
  <dcterms:modified xsi:type="dcterms:W3CDTF">2021-12-29T08:38:00Z</dcterms:modified>
  <revision>2</revision>
  <dc:title>LR Energetikos ministerija</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0x0101008081C6B491B68143A15B91DE7A2BBF90</vt:lpwstr>
  </property>
</Properties>
</file>