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64e237c3814324910feb2290e84d9b"/>
        <w:lock w:val="sdtLocked"/>
        <w:richText/>
      </w:sdtPr>
      <w:sdtContent>
        <w:p w14:paraId="0FEADFCC" w14:textId="77777777">
          <w:pPr>
            <w:spacing w:line="276" w:lineRule="auto"/>
            <w:jc w:val="center"/>
            <w:rPr>
              <w:sz w:val="22"/>
              <w:szCs w:val="22"/>
              <w:lang w:eastAsia="lt-LT"/>
            </w:rPr>
          </w:pPr>
          <w:r>
            <w:rPr>
              <w:b/>
              <w:sz w:val="22"/>
              <w:szCs w:val="22"/>
              <w:lang w:eastAsia="lt-LT"/>
            </w:rPr>
            <w:t>JONAVOS RAJONO SAVIVALDYBĖS TARYBAI</w:t>
          </w:r>
        </w:p>
        <w:p w14:paraId="40984C7B" w14:textId="77777777">
          <w:pPr>
            <w:spacing w:line="276" w:lineRule="auto"/>
            <w:jc w:val="center"/>
            <w:rPr>
              <w:b/>
              <w:sz w:val="22"/>
              <w:szCs w:val="22"/>
              <w:lang w:eastAsia="lt-LT"/>
            </w:rPr>
          </w:pPr>
          <w:r>
            <w:rPr>
              <w:b/>
              <w:sz w:val="22"/>
              <w:szCs w:val="22"/>
              <w:lang w:eastAsia="lt-LT"/>
            </w:rPr>
            <w:t>AIŠKINAMASIS RAŠTAS</w:t>
          </w:r>
        </w:p>
        <w:p w14:paraId="2DBAED71" w14:textId="77777777">
          <w:pPr>
            <w:spacing w:line="276" w:lineRule="auto"/>
            <w:jc w:val="center"/>
            <w:rPr>
              <w:sz w:val="22"/>
              <w:szCs w:val="22"/>
              <w:lang w:eastAsia="lt-LT"/>
            </w:rPr>
          </w:pPr>
          <w:r>
            <w:rPr>
              <w:b/>
              <w:sz w:val="22"/>
              <w:szCs w:val="22"/>
              <w:lang w:eastAsia="lt-LT"/>
            </w:rPr>
            <w:t>(</w:t>
          </w:r>
          <w:r>
            <w:rPr>
              <w:sz w:val="22"/>
              <w:szCs w:val="22"/>
              <w:lang w:eastAsia="lt-LT"/>
            </w:rPr>
            <w:t>prie sprendimo projekto)</w:t>
          </w:r>
        </w:p>
        <w:p w14:paraId="43026026" w14:textId="77777777">
          <w:pPr>
            <w:spacing w:line="276" w:lineRule="auto"/>
            <w:jc w:val="center"/>
            <w:rPr>
              <w:sz w:val="22"/>
              <w:szCs w:val="22"/>
              <w:lang w:eastAsia="lt-LT"/>
            </w:rPr>
          </w:pPr>
        </w:p>
        <w:p w14:paraId="18FE2114" w14:textId="656A0130">
          <w:pPr>
            <w:tabs>
              <w:tab w:val="left" w:pos="3998"/>
            </w:tabs>
            <w:spacing w:line="276" w:lineRule="auto"/>
            <w:jc w:val="center"/>
            <w:rPr>
              <w:b/>
              <w:sz w:val="22"/>
              <w:szCs w:val="22"/>
              <w:lang w:eastAsia="lt-LT"/>
            </w:rPr>
          </w:pPr>
          <w:r>
            <w:rPr>
              <w:b/>
              <w:sz w:val="22"/>
              <w:szCs w:val="22"/>
              <w:lang w:eastAsia="lt-LT"/>
            </w:rPr>
            <w:t>DĖL SAVIVALDYBĖS BŪSTO PARDAVIMO</w:t>
          </w:r>
        </w:p>
        <w:p w14:paraId="6847AA58" w14:textId="3F0F7A9D">
          <w:pPr>
            <w:spacing w:line="276" w:lineRule="auto"/>
            <w:jc w:val="center"/>
            <w:rPr>
              <w:sz w:val="22"/>
              <w:szCs w:val="22"/>
              <w:lang w:eastAsia="lt-LT"/>
            </w:rPr>
          </w:pPr>
          <w:r>
            <w:rPr>
              <w:sz w:val="22"/>
              <w:szCs w:val="22"/>
              <w:lang w:eastAsia="lt-LT"/>
            </w:rPr>
            <w:t xml:space="preserve">2026 m. birželio        d.</w:t>
          </w:r>
        </w:p>
        <w:p w14:paraId="205EE702" w14:textId="77777777">
          <w:pPr>
            <w:spacing w:line="276" w:lineRule="auto"/>
            <w:jc w:val="center"/>
            <w:rPr>
              <w:sz w:val="22"/>
              <w:szCs w:val="22"/>
              <w:lang w:eastAsia="lt-LT"/>
            </w:rPr>
          </w:pPr>
        </w:p>
        <w:sdt>
          <w:sdtPr>
            <w:alias w:val="1 p."/>
            <w:tag w:val="part_866a7252dae9441c9e72571a0742f54e"/>
            <w:lock w:val="sdtLocked"/>
            <w:richText/>
          </w:sdtPr>
          <w:sdtContent>
            <w:p w14:paraId="73D106EC" w14:textId="15A1CDED">
              <w:pPr>
                <w:tabs>
                  <w:tab w:val="left" w:pos="567"/>
                </w:tabs>
                <w:overflowPunct w:val="0"/>
                <w:spacing w:line="276" w:lineRule="auto"/>
                <w:ind w:left="142"/>
                <w:jc w:val="both"/>
                <w:outlineLvl w:val="5"/>
                <w:rPr>
                  <w:b/>
                  <w:sz w:val="20"/>
                  <w:lang w:val="en-GB" w:eastAsia="lt-LT"/>
                </w:rPr>
              </w:pPr>
              <w:sdt>
                <w:sdtPr>
                  <w:alias w:val="Numeris"/>
                  <w:tag w:val="nr_866a7252dae9441c9e72571a0742f54e"/>
                  <w:lock w:val="sdtLocked"/>
                  <w:richText/>
                </w:sdtPr>
                <w:sdtContent>
                  <w:r>
                    <w:rPr>
                      <w:rFonts w:eastAsia="Calibri"/>
                      <w:b/>
                      <w:sz w:val="20"/>
                      <w:lang w:eastAsia="lt-LT"/>
                    </w:rPr>
                    <w:t>1</w:t>
                  </w:r>
                </w:sdtContent>
              </w:sdt>
              <w:r>
                <w:rPr>
                  <w:rFonts w:eastAsia="Calibri"/>
                  <w:b/>
                  <w:sz w:val="20"/>
                  <w:lang w:eastAsia="lt-LT"/>
                </w:rPr>
                <w:t>.</w:t>
                <w:tab/>
              </w:r>
              <w:r>
                <w:rPr>
                  <w:b/>
                  <w:sz w:val="20"/>
                  <w:lang w:val="en-GB" w:eastAsia="lt-LT"/>
                </w:rPr>
                <w:t xml:space="preserve">Sprendimo projekto tikslai ir uždaviniai, kiti sprendimui priimti reikalingi pagrindimai. </w:t>
              </w:r>
            </w:p>
            <w:p w14:paraId="35038BB6" w14:textId="1BC325EC">
              <w:pPr>
                <w:tabs>
                  <w:tab w:val="left" w:pos="567"/>
                </w:tabs>
                <w:spacing w:line="276" w:lineRule="auto"/>
                <w:ind w:firstLine="567"/>
                <w:jc w:val="both"/>
                <w:rPr>
                  <w:sz w:val="20"/>
                  <w:lang w:eastAsia="lt-LT"/>
                </w:rPr>
              </w:pPr>
              <w:r>
                <w:rPr>
                  <w:rFonts w:eastAsia="Calibri"/>
                  <w:sz w:val="20"/>
                  <w:lang w:eastAsia="lt-LT"/>
                </w:rPr>
                <w:t>Sprendimo projekto tikslas – parduoti savivaldybės būstą savivaldybės būsto nuomininkei. Vadovaujantis Lietuvos Respublikos paramos būstui įsigyti ar išsinuomoti įstatymu gali būti parduodami savivaldybės būstai ir pagalbinio ūkio paskirties pastatai bei jų dalys, kurie nuomojami ne socialinio būsto nuomos sąlygomis ir kuriuose nuomininkai yra išgyvenę ne trumpiau kaip 5 metus nuo būsto nuomos sutarties sudarymo dienos, neatsižvelgiant į taikytas būsto nuomos sąlygas, už rinkos kainą, apskaičiuotą pagal Lietuvos Respublikos turto ir verslo vertinimo pagrindų įstatymą.</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4"/>
                <w:gridCol w:w="992"/>
                <w:gridCol w:w="993"/>
                <w:gridCol w:w="1417"/>
              </w:tblGrid>
              <w:tr w14:paraId="3D507238" w14:textId="77777777">
                <w:trPr>
                  <w:trHeight w:val="355"/>
                </w:trPr>
                <w:tc>
                  <w:tcPr>
                    <w:tcW w:w="6374" w:type="dxa"/>
                    <w:vAlign w:val="center"/>
                  </w:tcPr>
                  <w:p w14:paraId="6413A83F" w14:textId="5ED1579A">
                    <w:pPr>
                      <w:tabs>
                        <w:tab w:val="left" w:pos="567"/>
                      </w:tabs>
                      <w:spacing w:line="276" w:lineRule="auto"/>
                      <w:ind w:left="142"/>
                      <w:jc w:val="center"/>
                      <w:rPr>
                        <w:rFonts w:eastAsia="Calibri"/>
                        <w:bCs/>
                        <w:sz w:val="20"/>
                        <w:lang w:eastAsia="lt-LT"/>
                      </w:rPr>
                    </w:pPr>
                    <w:r>
                      <w:rPr>
                        <w:rFonts w:eastAsia="Calibri"/>
                        <w:bCs/>
                        <w:sz w:val="20"/>
                        <w:lang w:eastAsia="lt-LT"/>
                      </w:rPr>
                      <w:t>Parduodamo objekto adresas, unikalus numeris ir kita informacija</w:t>
                    </w:r>
                  </w:p>
                </w:tc>
                <w:tc>
                  <w:tcPr>
                    <w:tcW w:w="992" w:type="dxa"/>
                    <w:vAlign w:val="center"/>
                  </w:tcPr>
                  <w:p w14:paraId="612A5EA3" w14:textId="77777777">
                    <w:pPr>
                      <w:tabs>
                        <w:tab w:val="left" w:pos="567"/>
                      </w:tabs>
                      <w:spacing w:line="276" w:lineRule="auto"/>
                      <w:jc w:val="center"/>
                      <w:rPr>
                        <w:rFonts w:eastAsia="Calibri"/>
                        <w:bCs/>
                        <w:sz w:val="20"/>
                        <w:lang w:eastAsia="lt-LT"/>
                      </w:rPr>
                    </w:pPr>
                    <w:r>
                      <w:rPr>
                        <w:rFonts w:eastAsia="Calibri"/>
                        <w:bCs/>
                        <w:sz w:val="20"/>
                        <w:lang w:eastAsia="lt-LT"/>
                      </w:rPr>
                      <w:t>Buto aukštas</w:t>
                    </w:r>
                  </w:p>
                </w:tc>
                <w:tc>
                  <w:tcPr>
                    <w:tcW w:w="993" w:type="dxa"/>
                    <w:vAlign w:val="center"/>
                  </w:tcPr>
                  <w:p w14:paraId="37A49787" w14:textId="70577547">
                    <w:pPr>
                      <w:tabs>
                        <w:tab w:val="left" w:pos="567"/>
                      </w:tabs>
                      <w:spacing w:line="276" w:lineRule="auto"/>
                      <w:ind w:left="142"/>
                      <w:jc w:val="center"/>
                      <w:rPr>
                        <w:rFonts w:eastAsia="Calibri"/>
                        <w:bCs/>
                        <w:sz w:val="20"/>
                        <w:lang w:eastAsia="lt-LT"/>
                      </w:rPr>
                    </w:pPr>
                    <w:r>
                      <w:rPr>
                        <w:rFonts w:eastAsia="Calibri"/>
                        <w:bCs/>
                        <w:sz w:val="20"/>
                        <w:lang w:eastAsia="lt-LT"/>
                      </w:rPr>
                      <w:t>Kaina Eur</w:t>
                    </w:r>
                  </w:p>
                </w:tc>
                <w:tc>
                  <w:tcPr>
                    <w:tcW w:w="1417" w:type="dxa"/>
                    <w:vAlign w:val="center"/>
                  </w:tcPr>
                  <w:p w14:paraId="4055F979" w14:textId="6BF58410">
                    <w:pPr>
                      <w:tabs>
                        <w:tab w:val="left" w:pos="567"/>
                      </w:tabs>
                      <w:spacing w:line="276" w:lineRule="auto"/>
                      <w:ind w:left="142"/>
                      <w:jc w:val="center"/>
                      <w:rPr>
                        <w:rFonts w:eastAsia="Calibri"/>
                        <w:bCs/>
                        <w:sz w:val="20"/>
                        <w:lang w:eastAsia="lt-LT"/>
                      </w:rPr>
                    </w:pPr>
                    <w:r>
                      <w:rPr>
                        <w:rFonts w:eastAsia="Calibri"/>
                        <w:bCs/>
                        <w:sz w:val="20"/>
                        <w:lang w:eastAsia="lt-LT"/>
                      </w:rPr>
                      <w:t>Vertinimo data</w:t>
                    </w:r>
                  </w:p>
                </w:tc>
              </w:tr>
              <w:tr w14:paraId="50DA0F1A" w14:textId="77777777">
                <w:trPr>
                  <w:trHeight w:val="362"/>
                </w:trPr>
                <w:tc>
                  <w:tcPr>
                    <w:tcW w:w="6374" w:type="dxa"/>
                    <w:vAlign w:val="center"/>
                  </w:tcPr>
                  <w:p w14:paraId="523AB153" w14:textId="3CE02131">
                    <w:pPr>
                      <w:spacing w:line="276" w:lineRule="auto"/>
                      <w:rPr>
                        <w:rFonts w:eastAsia="Calibri"/>
                        <w:iCs/>
                        <w:sz w:val="22"/>
                        <w:szCs w:val="22"/>
                        <w:lang w:eastAsia="lt-LT"/>
                      </w:rPr>
                    </w:pPr>
                    <w:r>
                      <w:rPr>
                        <w:sz w:val="22"/>
                        <w:szCs w:val="22"/>
                      </w:rPr>
                      <w:t xml:space="preserve">Gyvenamas namas, Plento g. </w:t>
                    </w:r>
                    <w:r>
                      <w:rPr>
                        <w:i/>
                        <w:sz w:val="22"/>
                        <w:szCs w:val="22"/>
                      </w:rPr>
                      <w:t>(duomenys neskelbtini)</w:t>
                    </w:r>
                    <w:r>
                      <w:rPr>
                        <w:sz w:val="22"/>
                        <w:szCs w:val="22"/>
                      </w:rPr>
                      <w:t>, Liepių k., Bukonių sen., Jonavos r. sav., unikalus Nr. 4400-0141-</w:t>
                    </w:r>
                    <w:r>
                      <w:rPr>
                        <w:i/>
                        <w:sz w:val="22"/>
                        <w:szCs w:val="22"/>
                      </w:rPr>
                      <w:t>(duomenys neskelbtini)</w:t>
                    </w:r>
                    <w:r>
                      <w:rPr>
                        <w:sz w:val="22"/>
                        <w:szCs w:val="22"/>
                      </w:rPr>
                      <w:t xml:space="preserve">, 5 kamb., plotas 96,77 kv. m,  su priklausiniais: pastatu-ūkio pastatu, unikalus Nr. 4400-0145-</w:t>
                    </w:r>
                    <w:r>
                      <w:rPr>
                        <w:i/>
                        <w:sz w:val="22"/>
                        <w:szCs w:val="22"/>
                      </w:rPr>
                      <w:t>(duomenys neskelbtini)</w:t>
                    </w:r>
                    <w:r>
                      <w:rPr>
                        <w:sz w:val="22"/>
                        <w:szCs w:val="22"/>
                      </w:rPr>
                      <w:t>, ir kitu inžineriniu statiniu- kiemo statiniu, unikalus Nr. 4400-0145-</w:t>
                    </w:r>
                    <w:r>
                      <w:rPr>
                        <w:i/>
                        <w:sz w:val="22"/>
                        <w:szCs w:val="22"/>
                      </w:rPr>
                      <w:t>(duomenys neskelbtini)</w:t>
                    </w:r>
                    <w:r>
                      <w:rPr>
                        <w:sz w:val="22"/>
                        <w:szCs w:val="22"/>
                      </w:rPr>
                      <w:t>, nuomininkės deklaravimo data 2007-12-10.</w:t>
                    </w:r>
                  </w:p>
                </w:tc>
                <w:tc>
                  <w:tcPr>
                    <w:tcW w:w="992" w:type="dxa"/>
                    <w:vAlign w:val="center"/>
                  </w:tcPr>
                  <w:p w14:paraId="30B194F8" w14:textId="577CEE97">
                    <w:pPr>
                      <w:tabs>
                        <w:tab w:val="left" w:pos="567"/>
                      </w:tabs>
                      <w:spacing w:line="276" w:lineRule="auto"/>
                      <w:jc w:val="center"/>
                      <w:rPr>
                        <w:rFonts w:eastAsia="Calibri"/>
                        <w:sz w:val="22"/>
                        <w:szCs w:val="22"/>
                        <w:lang w:eastAsia="lt-LT"/>
                      </w:rPr>
                    </w:pPr>
                    <w:r>
                      <w:rPr>
                        <w:rFonts w:eastAsia="Calibri"/>
                        <w:sz w:val="22"/>
                        <w:szCs w:val="22"/>
                        <w:lang w:eastAsia="lt-LT"/>
                      </w:rPr>
                      <w:t>1</w:t>
                    </w:r>
                  </w:p>
                </w:tc>
                <w:tc>
                  <w:tcPr>
                    <w:tcW w:w="993" w:type="dxa"/>
                    <w:vAlign w:val="center"/>
                  </w:tcPr>
                  <w:p w14:paraId="29D27542" w14:textId="7FE72B40">
                    <w:pPr>
                      <w:spacing w:line="276" w:lineRule="auto"/>
                      <w:jc w:val="center"/>
                      <w:rPr>
                        <w:sz w:val="22"/>
                        <w:szCs w:val="22"/>
                      </w:rPr>
                    </w:pPr>
                    <w:r>
                      <w:rPr>
                        <w:sz w:val="22"/>
                        <w:szCs w:val="22"/>
                      </w:rPr>
                      <w:t>57 700</w:t>
                    </w:r>
                  </w:p>
                </w:tc>
                <w:tc>
                  <w:tcPr>
                    <w:tcW w:w="1417" w:type="dxa"/>
                    <w:vAlign w:val="center"/>
                  </w:tcPr>
                  <w:p w14:paraId="09E92917" w14:textId="633623B5">
                    <w:pPr>
                      <w:tabs>
                        <w:tab w:val="left" w:pos="567"/>
                      </w:tabs>
                      <w:spacing w:line="276" w:lineRule="auto"/>
                      <w:jc w:val="center"/>
                      <w:rPr>
                        <w:rFonts w:eastAsia="Calibri"/>
                        <w:sz w:val="22"/>
                        <w:szCs w:val="22"/>
                        <w:lang w:eastAsia="lt-LT"/>
                      </w:rPr>
                    </w:pPr>
                    <w:r>
                      <w:rPr>
                        <w:rFonts w:eastAsia="Calibri"/>
                        <w:sz w:val="22"/>
                        <w:szCs w:val="22"/>
                        <w:lang w:eastAsia="lt-LT"/>
                      </w:rPr>
                      <w:t>2026-05-08</w:t>
                    </w:r>
                  </w:p>
                </w:tc>
              </w:tr>
            </w:tbl>
            <w:p w14:paraId="20FB142C" w14:textId="445E5FE7">
              <w:pPr>
                <w:tabs>
                  <w:tab w:val="left" w:pos="567"/>
                </w:tabs>
                <w:spacing w:line="276" w:lineRule="auto"/>
                <w:ind w:left="142"/>
                <w:jc w:val="both"/>
                <w:rPr>
                  <w:rFonts w:eastAsia="Calibri"/>
                  <w:bCs/>
                  <w:sz w:val="22"/>
                  <w:szCs w:val="22"/>
                  <w:lang w:eastAsia="lt-LT"/>
                </w:rPr>
              </w:pPr>
              <w:r>
                <w:rPr>
                  <w:rFonts w:eastAsia="Calibri"/>
                  <w:bCs/>
                  <w:sz w:val="22"/>
                  <w:szCs w:val="22"/>
                  <w:lang w:eastAsia="lt-LT"/>
                </w:rPr>
                <w:t>Turto vertinimą atliko įmonė UAB „Turto ir verslo tyrimo centras “, kuri išrinkta viešojo pirkimo būdu pagal įstatymą.</w:t>
              </w:r>
            </w:p>
          </w:sdtContent>
        </w:sdt>
        <w:sdt>
          <w:sdtPr>
            <w:alias w:val="2 p."/>
            <w:tag w:val="part_1dcbdb637942487f84d2b455147a4a13"/>
            <w:lock w:val="sdtLocked"/>
            <w:richText/>
          </w:sdtPr>
          <w:sdtContent>
            <w:p w14:paraId="03284C80" w14:textId="0AE37DE7">
              <w:pPr>
                <w:tabs>
                  <w:tab w:val="left" w:pos="567"/>
                </w:tabs>
                <w:spacing w:line="276" w:lineRule="auto"/>
                <w:ind w:left="142"/>
                <w:jc w:val="both"/>
                <w:rPr>
                  <w:b/>
                  <w:sz w:val="20"/>
                  <w:lang w:val="en-GB" w:eastAsia="lt-LT"/>
                </w:rPr>
              </w:pPr>
              <w:sdt>
                <w:sdtPr>
                  <w:alias w:val="Numeris"/>
                  <w:tag w:val="nr_1dcbdb637942487f84d2b455147a4a13"/>
                  <w:lock w:val="sdtLocked"/>
                  <w:richText/>
                </w:sdtPr>
                <w:sdtContent>
                  <w:r>
                    <w:rPr>
                      <w:rFonts w:eastAsia="Calibri"/>
                      <w:b/>
                      <w:sz w:val="22"/>
                      <w:szCs w:val="22"/>
                      <w:lang w:eastAsia="lt-LT"/>
                    </w:rPr>
                    <w:t>2</w:t>
                  </w:r>
                </w:sdtContent>
              </w:sdt>
              <w:r>
                <w:rPr>
                  <w:rFonts w:eastAsia="Calibri"/>
                  <w:b/>
                  <w:sz w:val="22"/>
                  <w:szCs w:val="22"/>
                  <w:lang w:eastAsia="lt-LT"/>
                </w:rPr>
                <w:t>.</w:t>
                <w:tab/>
              </w:r>
              <w:r>
                <w:rPr>
                  <w:b/>
                  <w:sz w:val="20"/>
                  <w:lang w:val="en-GB" w:eastAsia="lt-LT"/>
                </w:rPr>
                <w:t>Teisinis reglamentavimas, kuriuo vadovaujantis parengtas sprendimo projektas. Keičiami/naikinami teisės aktai priimant sprendimą.</w:t>
              </w:r>
            </w:p>
            <w:p w14:paraId="3C0B76EF" w14:textId="251C72AA">
              <w:pPr>
                <w:tabs>
                  <w:tab w:val="left" w:pos="567"/>
                </w:tabs>
                <w:spacing w:line="276" w:lineRule="auto"/>
                <w:ind w:left="142" w:firstLine="425"/>
                <w:jc w:val="both"/>
                <w:outlineLvl w:val="5"/>
                <w:rPr>
                  <w:sz w:val="20"/>
                  <w:lang w:eastAsia="lt-LT"/>
                </w:rPr>
              </w:pPr>
              <w:r>
                <w:rPr>
                  <w:sz w:val="20"/>
                  <w:lang w:eastAsia="lt-LT"/>
                </w:rPr>
                <w:t xml:space="preserve">Vietos savivaldos įstatymo 15 straipsnio 2 dalies 19 punktas numato,  savivaldybės tarybos išimtinę kompetenciją įgyvendinti savivaldybei nuosavybės teise priklausančio turto savininko funkcijas įstatymų nustatyta tvarka, Paramos būstui įsigyti ar išsinuomoti įstatymo 4 straipsnio 4 dalis nurodo, kad įstatyme nustatytas funkcijas vykdo savivaldybės taryba,  25 straipsnio 2 dalies 5 punktas numato, kad už rinkos kainą, apskaičiuotą pagal Lietuvos Respublikos turto ir verslo vertinimo pagrindų įstatymą, gali būti parduodami savivaldybės būstai ir pagalbinio ūkio paskirties pastatai bei jų dalys, kurie nuomojami ne socialinio būsto nuomos sąlygomis ir kuriuose nuomininkai yra išgyvenę ne trumpiau kaip 5 metus nuo būsto nuomos sutarties sudarymo dienos, neatsižvelgiant į taikytas būsto nuomos sąlygas, 25 straipsnio 5 dalis nurodo, kad savivaldybės taryba tvirtina parduodamų savivaldybės būstų ir pagalbinio ūkio paskirties pastatų sąrašą, kuris skelbiamas savivaldybės interneto svetainėje, o 27 straipsnis nustato atsiskaitymo tvarką už parduodamus savivaldybės būstus bei pagalbinio ūkio paskirties pastatus ir nurodo, jog turi būti atsiskaityta ne vėliau kaip per 3 mėnesius nuo pirkimo – pardavimo sutarties pasirašymo, taip pat nurodo galimybę kredito davėjui įkeisti savivaldybės tarybos nustatyta tvarka perkamą savivaldybės būstą bei pagalbinio ūkio paskirties pastatus.</w:t>
              </w:r>
            </w:p>
          </w:sdtContent>
        </w:sdt>
        <w:sdt>
          <w:sdtPr>
            <w:alias w:val="3 p."/>
            <w:tag w:val="part_9413b62e96054e04bf1303ee2454ce1c"/>
            <w:lock w:val="sdtLocked"/>
            <w:richText/>
          </w:sdtPr>
          <w:sdtContent>
            <w:p w14:paraId="1EDE7DA7" w14:textId="77777777">
              <w:pPr>
                <w:tabs>
                  <w:tab w:val="left" w:pos="567"/>
                </w:tabs>
                <w:spacing w:line="276" w:lineRule="auto"/>
                <w:ind w:left="142"/>
                <w:jc w:val="both"/>
                <w:outlineLvl w:val="5"/>
                <w:rPr>
                  <w:rFonts w:eastAsia="Calibri"/>
                  <w:b/>
                  <w:sz w:val="20"/>
                  <w:lang w:eastAsia="lt-LT"/>
                </w:rPr>
              </w:pPr>
              <w:sdt>
                <w:sdtPr>
                  <w:alias w:val="Numeris"/>
                  <w:tag w:val="nr_9413b62e96054e04bf1303ee2454ce1c"/>
                  <w:lock w:val="sdtLocked"/>
                  <w:richText/>
                </w:sdtPr>
                <w:sdtContent>
                  <w:r>
                    <w:rPr>
                      <w:rFonts w:eastAsia="Calibri"/>
                      <w:b/>
                      <w:sz w:val="20"/>
                      <w:lang w:eastAsia="lt-LT"/>
                    </w:rPr>
                    <w:t>3</w:t>
                  </w:r>
                </w:sdtContent>
              </w:sdt>
              <w:r>
                <w:rPr>
                  <w:rFonts w:eastAsia="Calibri"/>
                  <w:b/>
                  <w:sz w:val="20"/>
                  <w:lang w:eastAsia="lt-LT"/>
                </w:rPr>
                <w:t xml:space="preserve">.    Laukiami sprendimo priėmimo rezultatai.</w:t>
              </w:r>
            </w:p>
            <w:p w14:paraId="58873D71" w14:textId="77DCC208">
              <w:pPr>
                <w:tabs>
                  <w:tab w:val="left" w:pos="567"/>
                </w:tabs>
                <w:overflowPunct w:val="0"/>
                <w:spacing w:line="276" w:lineRule="auto"/>
                <w:ind w:left="142" w:firstLine="425"/>
                <w:jc w:val="both"/>
                <w:outlineLvl w:val="5"/>
                <w:rPr>
                  <w:rFonts w:eastAsia="Calibri"/>
                  <w:sz w:val="20"/>
                  <w:lang w:eastAsia="lt-LT"/>
                </w:rPr>
              </w:pPr>
              <w:r>
                <w:rPr>
                  <w:rFonts w:eastAsia="Calibri"/>
                  <w:sz w:val="20"/>
                  <w:lang w:eastAsia="lt-LT"/>
                </w:rPr>
                <w:t>Priėmus sprendimą, sprendime nurodytas būstas bus parduotas būsto nuomininkei. Gautos lėšos bus naudojamos naujų socialinių būstų įsigijimui.</w:t>
              </w:r>
            </w:p>
          </w:sdtContent>
        </w:sdt>
        <w:sdt>
          <w:sdtPr>
            <w:alias w:val="4 p."/>
            <w:tag w:val="part_4c836fa590d54218a1838422b120ca24"/>
            <w:lock w:val="sdtLocked"/>
            <w:richText/>
          </w:sdtPr>
          <w:sdtContent>
            <w:p w14:paraId="574D06B8" w14:textId="77777777">
              <w:pPr>
                <w:tabs>
                  <w:tab w:val="left" w:pos="567"/>
                </w:tabs>
                <w:overflowPunct w:val="0"/>
                <w:spacing w:line="276" w:lineRule="auto"/>
                <w:ind w:left="142"/>
                <w:jc w:val="both"/>
                <w:outlineLvl w:val="5"/>
                <w:rPr>
                  <w:rFonts w:eastAsia="Calibri"/>
                  <w:b/>
                  <w:sz w:val="20"/>
                  <w:lang w:eastAsia="lt-LT"/>
                </w:rPr>
              </w:pPr>
              <w:sdt>
                <w:sdtPr>
                  <w:alias w:val="Numeris"/>
                  <w:tag w:val="nr_4c836fa590d54218a1838422b120ca24"/>
                  <w:lock w:val="sdtLocked"/>
                  <w:richText/>
                </w:sdtPr>
                <w:sdtContent>
                  <w:r>
                    <w:rPr>
                      <w:rFonts w:eastAsia="Calibri"/>
                      <w:b/>
                      <w:sz w:val="20"/>
                      <w:lang w:eastAsia="lt-LT"/>
                    </w:rPr>
                    <w:t>4</w:t>
                  </w:r>
                </w:sdtContent>
              </w:sdt>
              <w:r>
                <w:rPr>
                  <w:rFonts w:eastAsia="Calibri"/>
                  <w:b/>
                  <w:sz w:val="20"/>
                  <w:lang w:eastAsia="lt-LT"/>
                </w:rPr>
                <w:t xml:space="preserve">.    Lėšų poreikis ir šaltiniai reikalingi sprendimo priėmimui.</w:t>
              </w:r>
            </w:p>
            <w:p w14:paraId="4107A58C" w14:textId="77777777">
              <w:pPr>
                <w:tabs>
                  <w:tab w:val="left" w:pos="567"/>
                </w:tabs>
                <w:spacing w:line="276" w:lineRule="auto"/>
                <w:ind w:left="142" w:firstLine="425"/>
                <w:jc w:val="both"/>
                <w:rPr>
                  <w:sz w:val="20"/>
                  <w:lang w:eastAsia="lt-LT"/>
                </w:rPr>
              </w:pPr>
              <w:r>
                <w:rPr>
                  <w:sz w:val="20"/>
                  <w:lang w:eastAsia="lt-LT"/>
                </w:rPr>
                <w:t>Sprendimo priėmimui nereikalingos papildomos lėšos.</w:t>
              </w:r>
            </w:p>
          </w:sdtContent>
        </w:sdt>
        <w:sdt>
          <w:sdtPr>
            <w:alias w:val="5 p."/>
            <w:tag w:val="part_bfe53c7259594a578174d17bef246f48"/>
            <w:lock w:val="sdtLocked"/>
            <w:richText/>
          </w:sdtPr>
          <w:sdtContent>
            <w:p w14:paraId="5D66CA7E" w14:textId="77777777">
              <w:pPr>
                <w:tabs>
                  <w:tab w:val="left" w:pos="567"/>
                </w:tabs>
                <w:spacing w:line="276" w:lineRule="auto"/>
                <w:ind w:left="142"/>
                <w:jc w:val="both"/>
                <w:outlineLvl w:val="5"/>
                <w:rPr>
                  <w:rFonts w:eastAsia="Calibri"/>
                  <w:b/>
                  <w:bCs/>
                  <w:sz w:val="20"/>
                  <w:lang w:eastAsia="lt-LT"/>
                </w:rPr>
              </w:pPr>
              <w:sdt>
                <w:sdtPr>
                  <w:alias w:val="Numeris"/>
                  <w:tag w:val="nr_bfe53c7259594a578174d17bef246f48"/>
                  <w:lock w:val="sdtLocked"/>
                  <w:richText/>
                </w:sdtPr>
                <w:sdtContent>
                  <w:r>
                    <w:rPr>
                      <w:rFonts w:eastAsia="Calibri"/>
                      <w:b/>
                      <w:bCs/>
                      <w:sz w:val="20"/>
                      <w:lang w:eastAsia="lt-LT"/>
                    </w:rPr>
                    <w:t>5</w:t>
                  </w:r>
                </w:sdtContent>
              </w:sdt>
              <w:r>
                <w:rPr>
                  <w:rFonts w:eastAsia="Calibri"/>
                  <w:b/>
                  <w:bCs/>
                  <w:sz w:val="20"/>
                  <w:lang w:eastAsia="lt-LT"/>
                </w:rPr>
                <w:t xml:space="preserve">.    Antikorupcinis vertinimas. </w:t>
              </w:r>
            </w:p>
            <w:p w14:paraId="4B732D6C" w14:textId="364C8FCC">
              <w:pPr>
                <w:tabs>
                  <w:tab w:val="left" w:pos="567"/>
                </w:tabs>
                <w:spacing w:line="276" w:lineRule="auto"/>
                <w:ind w:left="142" w:firstLine="425"/>
                <w:jc w:val="both"/>
                <w:rPr>
                  <w:sz w:val="20"/>
                  <w:lang w:eastAsia="lt-LT"/>
                </w:rPr>
              </w:pPr>
              <w:r>
                <w:rPr>
                  <w:sz w:val="20"/>
                  <w:lang w:eastAsia="lt-LT"/>
                </w:rPr>
                <w:t>Vadovaujantis Lietuvos Respublikos korupcijos prevencijos įstatymo nuostatomis, sprendimo projekto antikorupcinis vertinimas neatliekamas, nes sprendime nenumatoma reguliuoti visuomeninius santykius, numatytus šio įstatymo 8 straipsnio 1 dalies 1 punkte.</w:t>
              </w:r>
            </w:p>
            <w:p w14:paraId="1CA2666C" w14:textId="77777777">
              <w:pPr>
                <w:tabs>
                  <w:tab w:val="left" w:pos="567"/>
                </w:tabs>
                <w:spacing w:line="276" w:lineRule="auto"/>
                <w:ind w:left="142" w:firstLine="425"/>
                <w:jc w:val="both"/>
                <w:rPr>
                  <w:sz w:val="20"/>
                  <w:lang w:eastAsia="lt-LT"/>
                </w:rPr>
              </w:pPr>
            </w:p>
            <w:p w14:paraId="6F08278B" w14:textId="77777777">
              <w:pPr>
                <w:tabs>
                  <w:tab w:val="left" w:pos="567"/>
                </w:tabs>
                <w:spacing w:line="276" w:lineRule="auto"/>
                <w:ind w:left="142" w:firstLine="425"/>
                <w:jc w:val="both"/>
                <w:rPr>
                  <w:sz w:val="22"/>
                  <w:szCs w:val="22"/>
                  <w:lang w:eastAsia="lt-LT"/>
                </w:rPr>
              </w:pPr>
            </w:p>
            <w:p w14:paraId="450D3F5E" w14:textId="77777777">
              <w:pPr>
                <w:tabs>
                  <w:tab w:val="left" w:pos="567"/>
                </w:tabs>
                <w:spacing w:line="276" w:lineRule="auto"/>
                <w:ind w:left="142" w:firstLine="425"/>
                <w:jc w:val="both"/>
                <w:rPr>
                  <w:sz w:val="22"/>
                  <w:szCs w:val="22"/>
                  <w:lang w:eastAsia="lt-LT"/>
                </w:rPr>
              </w:pPr>
            </w:p>
          </w:sdtContent>
        </w:sdt>
        <w:sdt>
          <w:sdtPr>
            <w:alias w:val="signatura"/>
            <w:tag w:val="part_54e09d6eed7e4318a5d3542373f4e3e3"/>
            <w:lock w:val="sdtLocked"/>
            <w:richText/>
          </w:sdtPr>
          <w:sdtContent>
            <w:p w14:paraId="1D3FFD13" w14:textId="77777777">
              <w:pPr>
                <w:tabs>
                  <w:tab w:val="left" w:pos="7187"/>
                </w:tabs>
                <w:spacing w:line="276" w:lineRule="auto"/>
                <w:rPr>
                  <w:sz w:val="22"/>
                  <w:szCs w:val="22"/>
                </w:rPr>
              </w:pPr>
              <w:r>
                <w:rPr>
                  <w:sz w:val="22"/>
                  <w:szCs w:val="22"/>
                  <w:lang w:eastAsia="lt-LT"/>
                </w:rPr>
                <w:t xml:space="preserve">Turto ir aplinkos apsaugos skyriaus specialistė                      </w:t>
                <w:tab/>
                <w:t xml:space="preserve">                  Asta Mauricienė</w:t>
              </w:r>
            </w:p>
          </w:sdtContent>
        </w:sdt>
      </w:sdtContent>
    </w:sdt>
    <w:sectPr>
      <w:pgSz w:w="11906" w:h="16838"/>
      <w:pgMar w:top="1134" w:right="707" w:bottom="851" w:left="1559" w:header="567" w:footer="284"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C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B29BB"/>
  <w15:chartTrackingRefBased/>
  <w15:docId w15:val="{4B8739FA-B783-4515-9D91-12150ECF917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916ad9452b41d583e61f8d45fd5aca" PartId="f364e237c3814324910feb2290e84d9b">
    <Part Type="punktas" Nr="1" Abbr="1 p." DocPartId="e998fceba380417fb72a7c2220781e5c" PartId="866a7252dae9441c9e72571a0742f54e"/>
    <Part Type="punktas" Nr="2" Abbr="2 p." DocPartId="29f1728da0c8469cadb368d8fb450eac" PartId="1dcbdb637942487f84d2b455147a4a13"/>
    <Part Type="punktas" Nr="3" Abbr="3 p." DocPartId="ed75e044d71a4f0d992d40bccd2e32f0" PartId="9413b62e96054e04bf1303ee2454ce1c"/>
    <Part Type="punktas" Nr="4" Abbr="4 p." DocPartId="826d1d6098c74b599aab8d84580da73b" PartId="4c836fa590d54218a1838422b120ca24"/>
    <Part Type="punktas" Nr="5" Abbr="5 p." DocPartId="8e3452ba589544a69607b7f3ba45cc7a" PartId="bfe53c7259594a578174d17bef246f48"/>
    <Part Type="signatura" DocPartId="48c11160f6034009ad88179be169c687" PartId="54e09d6eed7e4318a5d3542373f4e3e3"/>
  </Part>
</Parts>
</file>

<file path=customXml/itemProps1.xml><?xml version="1.0" encoding="utf-8"?>
<ds:datastoreItem xmlns:ds="http://schemas.openxmlformats.org/officeDocument/2006/customXml" ds:itemID="{09418EB1-1627-457C-90BD-FC0CA96CC1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456</Words>
  <Characters>3215</Characters>
  <Application>Microsoft Office Word</Application>
  <DocSecurity>4</DocSecurity>
  <Lines>59</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2026-06-12T09:46:00Z</dcterms:created>
  <dc:creator>Asta Mauricienė</dc:creator>
  <lastModifiedBy>adlibuser</lastModifiedBy>
  <lastPrinted>2026-06-08T13:00:00Z</lastPrinted>
  <dcterms:modified xsi:type="dcterms:W3CDTF">2026-06-12T09:46:00Z</dcterms:modified>
  <revision>2</revision>
</coreProperties>
</file>