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97b9fd531a14a88ad19b128b91418e4"/>
        <w:lock w:val="sdtLocked"/>
        <w:richText/>
      </w:sdtPr>
      <w:sdtContent>
        <w:p>
          <w:pPr>
            <w:jc w:val="center"/>
            <w:rPr>
              <w:szCs w:val="24"/>
              <w:lang w:eastAsia="lt-LT"/>
            </w:rPr>
          </w:pPr>
          <w:r>
            <w:rPr>
              <w:b/>
              <w:bCs/>
              <w:color w:val="000000"/>
              <w:szCs w:val="24"/>
              <w:lang w:eastAsia="lt-LT"/>
            </w:rPr>
            <w:t xml:space="preserve">NUMATOMO TEISINIO REGULIAVIMO POVEIKIO VERTINIMO PAŽYMA </w:t>
          </w:r>
        </w:p>
        <w:p>
          <w:pPr>
            <w:rPr>
              <w:szCs w:val="24"/>
              <w:lang w:eastAsia="lt-LT"/>
            </w:rPr>
          </w:pPr>
        </w:p>
        <w:tbl>
          <w:tblPr>
            <w:tblW w:w="0" w:type="auto"/>
            <w:tblCellMar>
              <w:left w:w="0" w:type="dxa"/>
              <w:right w:w="0" w:type="dxa"/>
            </w:tblCellMar>
            <w:tblLook w:val="04A0" w:firstRow="1" w:lastRow="0" w:firstColumn="1" w:lastColumn="0" w:noHBand="0" w:noVBand="1"/>
          </w:tblPr>
          <w:tblGrid>
            <w:gridCol w:w="2235"/>
            <w:gridCol w:w="7337"/>
          </w:tblGrid>
          <w:tr>
            <w:tc>
              <w:tcPr>
                <w:tcW w:w="2235" w:type="dxa"/>
                <w:shd w:val="clear" w:color="auto" w:fill="DBE5F1" w:themeFill="accent1" w:themeFillTint="33"/>
                <w:tcMar>
                  <w:top w:w="0" w:type="dxa"/>
                  <w:left w:w="108" w:type="dxa"/>
                  <w:bottom w:w="0" w:type="dxa"/>
                  <w:right w:w="108" w:type="dxa"/>
                </w:tcMar>
                <w:hideMark/>
              </w:tcPr>
              <w:p>
                <w:pPr>
                  <w:rPr>
                    <w:szCs w:val="24"/>
                    <w:lang w:eastAsia="lt-LT"/>
                  </w:rPr>
                </w:pPr>
                <w:r>
                  <w:rPr>
                    <w:b/>
                    <w:bCs/>
                    <w:szCs w:val="24"/>
                    <w:shd w:val="clear" w:color="auto" w:fill="DBE5F1"/>
                    <w:lang w:eastAsia="lt-LT"/>
                  </w:rPr>
                  <w:t>Projekto pavadinimas</w:t>
                </w:r>
              </w:p>
            </w:tc>
            <w:tc>
              <w:tcPr>
                <w:tcW w:w="7337" w:type="dxa"/>
                <w:shd w:val="clear" w:color="auto" w:fill="DBE5F1" w:themeFill="accent1" w:themeFillTint="33"/>
                <w:tcMar>
                  <w:top w:w="0" w:type="dxa"/>
                  <w:left w:w="108" w:type="dxa"/>
                  <w:bottom w:w="0" w:type="dxa"/>
                  <w:right w:w="108" w:type="dxa"/>
                </w:tcMar>
                <w:vAlign w:val="center"/>
                <w:hideMark/>
              </w:tcPr>
              <w:p>
                <w:pPr>
                  <w:tabs>
                    <w:tab w:val="left" w:pos="851"/>
                  </w:tabs>
                  <w:rPr>
                    <w:szCs w:val="24"/>
                  </w:rPr>
                </w:pPr>
                <w:r>
                  <w:rPr>
                    <w:rFonts w:eastAsia="Arial Unicode MS"/>
                    <w:szCs w:val="24"/>
                  </w:rPr>
                  <w:t>Lietuvos Respublikos hidrometeorologijos įstatymo projektas.</w:t>
                </w:r>
              </w:p>
            </w:tc>
          </w:tr>
        </w:tbl>
        <w:p>
          <w:pPr>
            <w:ind w:firstLine="62"/>
            <w:rPr>
              <w:szCs w:val="24"/>
              <w:lang w:eastAsia="lt-LT"/>
            </w:rPr>
          </w:pPr>
        </w:p>
        <w:tbl>
          <w:tblPr>
            <w:tblW w:w="0" w:type="auto"/>
            <w:tblCellMar>
              <w:left w:w="0" w:type="dxa"/>
              <w:right w:w="0" w:type="dxa"/>
            </w:tblCellMar>
            <w:tblLook w:val="04A0" w:firstRow="1" w:lastRow="0" w:firstColumn="1" w:lastColumn="0" w:noHBand="0" w:noVBand="1"/>
          </w:tblPr>
          <w:tblGrid>
            <w:gridCol w:w="2235"/>
            <w:gridCol w:w="7337"/>
          </w:tblGrid>
          <w:tr>
            <w:tc>
              <w:tcPr>
                <w:tcW w:w="2235" w:type="dxa"/>
                <w:shd w:val="clear" w:color="auto" w:fill="DBE5F1"/>
                <w:tcMar>
                  <w:top w:w="0" w:type="dxa"/>
                  <w:left w:w="108" w:type="dxa"/>
                  <w:bottom w:w="0" w:type="dxa"/>
                  <w:right w:w="108" w:type="dxa"/>
                </w:tcMar>
                <w:hideMark/>
              </w:tcPr>
              <w:p>
                <w:pPr>
                  <w:rPr>
                    <w:szCs w:val="24"/>
                    <w:lang w:eastAsia="lt-LT"/>
                  </w:rPr>
                </w:pPr>
                <w:r>
                  <w:rPr>
                    <w:b/>
                    <w:bCs/>
                    <w:szCs w:val="24"/>
                    <w:shd w:val="clear" w:color="auto" w:fill="DBE5F1"/>
                    <w:lang w:eastAsia="lt-LT"/>
                  </w:rPr>
                  <w:t>Projekto rengėjas</w:t>
                </w:r>
              </w:p>
            </w:tc>
            <w:tc>
              <w:tcPr>
                <w:tcW w:w="7337" w:type="dxa"/>
                <w:shd w:val="clear" w:color="auto" w:fill="DBE5F1"/>
                <w:tcMar>
                  <w:top w:w="0" w:type="dxa"/>
                  <w:left w:w="108" w:type="dxa"/>
                  <w:bottom w:w="0" w:type="dxa"/>
                  <w:right w:w="108" w:type="dxa"/>
                </w:tcMar>
                <w:hideMark/>
              </w:tcPr>
              <w:p>
                <w:pPr>
                  <w:jc w:val="both"/>
                  <w:rPr>
                    <w:szCs w:val="24"/>
                    <w:lang w:eastAsia="lt-LT"/>
                  </w:rPr>
                </w:pPr>
                <w:r>
                  <w:rPr>
                    <w:szCs w:val="24"/>
                    <w:lang w:eastAsia="lt-LT"/>
                  </w:rPr>
                  <w:t>Lietuvos Respublikos aplinkos ministerija.</w:t>
                </w:r>
              </w:p>
            </w:tc>
          </w:tr>
        </w:tbl>
        <w:p>
          <w:pPr>
            <w:ind w:firstLine="62"/>
            <w:rPr>
              <w:szCs w:val="24"/>
              <w:lang w:eastAsia="lt-LT"/>
            </w:rPr>
          </w:pPr>
        </w:p>
        <w:tbl>
          <w:tblPr>
            <w:tblW w:w="0" w:type="auto"/>
            <w:tblCellMar>
              <w:left w:w="0" w:type="dxa"/>
              <w:right w:w="0" w:type="dxa"/>
            </w:tblCellMar>
            <w:tblLook w:val="04A0" w:firstRow="1" w:lastRow="0" w:firstColumn="1" w:lastColumn="0" w:noHBand="0" w:noVBand="1"/>
          </w:tblPr>
          <w:tblGrid>
            <w:gridCol w:w="2235"/>
            <w:gridCol w:w="7337"/>
          </w:tblGrid>
          <w:tr>
            <w:tc>
              <w:tcPr>
                <w:tcW w:w="2235" w:type="dxa"/>
                <w:shd w:val="clear" w:color="auto" w:fill="DBE5F1" w:themeFill="accent1" w:themeFillTint="33"/>
                <w:tcMar>
                  <w:top w:w="0" w:type="dxa"/>
                  <w:left w:w="108" w:type="dxa"/>
                  <w:bottom w:w="0" w:type="dxa"/>
                  <w:right w:w="108" w:type="dxa"/>
                </w:tcMar>
                <w:hideMark/>
              </w:tcPr>
              <w:p>
                <w:pPr>
                  <w:rPr>
                    <w:szCs w:val="24"/>
                    <w:lang w:eastAsia="lt-LT"/>
                  </w:rPr>
                </w:pPr>
                <w:r>
                  <w:rPr>
                    <w:b/>
                    <w:bCs/>
                    <w:szCs w:val="24"/>
                    <w:lang w:eastAsia="lt-LT"/>
                  </w:rPr>
                  <w:t>Projekto tikslas</w:t>
                </w:r>
              </w:p>
            </w:tc>
            <w:tc>
              <w:tcPr>
                <w:tcW w:w="7337" w:type="dxa"/>
                <w:shd w:val="clear" w:color="auto" w:fill="DBE5F1" w:themeFill="accent1" w:themeFillTint="33"/>
                <w:tcMar>
                  <w:top w:w="0" w:type="dxa"/>
                  <w:left w:w="108" w:type="dxa"/>
                  <w:bottom w:w="0" w:type="dxa"/>
                  <w:right w:w="108" w:type="dxa"/>
                </w:tcMar>
                <w:hideMark/>
              </w:tcPr>
              <w:p>
                <w:pPr>
                  <w:ind w:firstLine="354"/>
                  <w:jc w:val="both"/>
                  <w:rPr>
                    <w:rFonts w:eastAsia="Calibri"/>
                    <w:szCs w:val="24"/>
                  </w:rPr>
                </w:pPr>
                <w:r>
                  <w:rPr>
                    <w:rFonts w:eastAsia="Calibri"/>
                    <w:szCs w:val="24"/>
                  </w:rPr>
                  <w:t>Projekto tikslas – nustatyti hidrologinės, meteorologinės ir klimatologinės veiklos vykdymo ir valdymo, prisitaikymui prie klimato kaitos reikalingos informacijos rinkimo ir teikimo teisinius pagrindus.</w:t>
                </w:r>
              </w:p>
              <w:p>
                <w:pPr>
                  <w:rPr>
                    <w:sz w:val="6"/>
                    <w:szCs w:val="6"/>
                  </w:rPr>
                </w:pPr>
              </w:p>
              <w:p>
                <w:pPr>
                  <w:ind w:firstLine="354"/>
                  <w:jc w:val="both"/>
                  <w:rPr>
                    <w:rFonts w:eastAsia="Calibri"/>
                    <w:szCs w:val="24"/>
                  </w:rPr>
                </w:pPr>
                <w:r>
                  <w:rPr>
                    <w:rFonts w:eastAsia="Calibri"/>
                    <w:szCs w:val="24"/>
                  </w:rPr>
                  <w:t>Lietuvos Respublikoje nėra teisės akto, išsamiai reglamentuojančio su hidrologijos ir meteorologijos veikla susijusių teisinių santykių visumos, todėl neįmanoma efektyviai užtikrinti racionalaus valstybės institucijų ir kitų subjektų resursų naudojimo hidrometeorologinei veiklai. Tai riboja valstybės galimybes sumažinti nepalankių hidrometeorologinių reiškinių nulemiamus nuostolius šalies ekonomikai.</w:t>
                </w:r>
              </w:p>
            </w:tc>
          </w:tr>
        </w:tbl>
        <w:p>
          <w:pPr>
            <w:ind w:firstLine="62"/>
            <w:rPr>
              <w:sz w:val="16"/>
              <w:szCs w:val="16"/>
              <w:lang w:eastAsia="lt-LT"/>
            </w:rPr>
          </w:pPr>
        </w:p>
        <w:tbl>
          <w:tblPr>
            <w:tblW w:w="0" w:type="auto"/>
            <w:tblCellMar>
              <w:left w:w="0" w:type="dxa"/>
              <w:right w:w="0" w:type="dxa"/>
            </w:tblCellMar>
            <w:tblLook w:val="04A0" w:firstRow="1" w:lastRow="0" w:firstColumn="1" w:lastColumn="0" w:noHBand="0" w:noVBand="1"/>
          </w:tblPr>
          <w:tblGrid>
            <w:gridCol w:w="9606"/>
          </w:tblGrid>
          <w:tr>
            <w:trPr>
              <w:trHeight w:val="415"/>
            </w:trPr>
            <w:tc>
              <w:tcPr>
                <w:tcW w:w="9606" w:type="dxa"/>
                <w:shd w:val="clear" w:color="auto" w:fill="DBE5F1"/>
                <w:tcMar>
                  <w:top w:w="0" w:type="dxa"/>
                  <w:left w:w="108" w:type="dxa"/>
                  <w:bottom w:w="0" w:type="dxa"/>
                  <w:right w:w="108" w:type="dxa"/>
                </w:tcMar>
                <w:vAlign w:val="center"/>
                <w:hideMark/>
              </w:tcPr>
              <w:p>
                <w:pPr>
                  <w:jc w:val="center"/>
                  <w:rPr>
                    <w:szCs w:val="24"/>
                    <w:lang w:eastAsia="lt-LT"/>
                  </w:rPr>
                </w:pPr>
                <w:r>
                  <w:rPr>
                    <w:b/>
                    <w:bCs/>
                    <w:szCs w:val="24"/>
                    <w:lang w:eastAsia="lt-LT"/>
                  </w:rPr>
                  <w:t>Siūlomo projekto poveikio įvertinimas (teigiamos ir (ar) neigiamos pasekmės)</w:t>
                </w:r>
              </w:p>
            </w:tc>
          </w:tr>
        </w:tbl>
        <w:p>
          <w:pPr>
            <w:ind w:firstLine="62"/>
            <w:rPr>
              <w:sz w:val="16"/>
              <w:szCs w:val="16"/>
              <w:lang w:eastAsia="lt-LT"/>
            </w:rPr>
          </w:pPr>
        </w:p>
        <w:tbl>
          <w:tblPr>
            <w:tblW w:w="0" w:type="auto"/>
            <w:tblCellMar>
              <w:left w:w="0" w:type="dxa"/>
              <w:right w:w="0" w:type="dxa"/>
            </w:tblCellMar>
            <w:tblLook w:val="04A0" w:firstRow="1" w:lastRow="0" w:firstColumn="1" w:lastColumn="0" w:noHBand="0" w:noVBand="1"/>
          </w:tblPr>
          <w:tblGrid>
            <w:gridCol w:w="2802"/>
            <w:gridCol w:w="6804"/>
          </w:tblGrid>
          <w:tr>
            <w:tc>
              <w:tcPr>
                <w:tcW w:w="2802" w:type="dxa"/>
                <w:shd w:val="clear" w:color="auto" w:fill="DBE5F1"/>
                <w:tcMar>
                  <w:top w:w="0" w:type="dxa"/>
                  <w:left w:w="108" w:type="dxa"/>
                  <w:bottom w:w="0" w:type="dxa"/>
                  <w:right w:w="108" w:type="dxa"/>
                </w:tcMar>
                <w:hideMark/>
              </w:tcPr>
              <w:p>
                <w:pPr>
                  <w:rPr>
                    <w:szCs w:val="24"/>
                    <w:lang w:eastAsia="lt-LT"/>
                  </w:rPr>
                </w:pPr>
                <w:r>
                  <w:rPr>
                    <w:b/>
                    <w:bCs/>
                    <w:szCs w:val="24"/>
                    <w:lang w:eastAsia="lt-LT"/>
                  </w:rPr>
                  <w:t xml:space="preserve">Poveikis </w:t>
                </w:r>
                <w:r>
                  <w:rPr>
                    <w:b/>
                    <w:color w:val="000000"/>
                    <w:szCs w:val="24"/>
                    <w:lang w:eastAsia="lt-LT"/>
                  </w:rPr>
                  <w:t>aplinkai</w:t>
                </w:r>
              </w:p>
            </w:tc>
            <w:tc>
              <w:tcPr>
                <w:tcW w:w="6804" w:type="dxa"/>
                <w:tcMar>
                  <w:top w:w="0" w:type="dxa"/>
                  <w:left w:w="108" w:type="dxa"/>
                  <w:bottom w:w="0" w:type="dxa"/>
                  <w:right w:w="108" w:type="dxa"/>
                </w:tcMar>
                <w:hideMark/>
              </w:tcPr>
              <w:p>
                <w:pPr>
                  <w:jc w:val="both"/>
                  <w:rPr>
                    <w:szCs w:val="24"/>
                    <w:lang w:eastAsia="lt-LT"/>
                  </w:rPr>
                </w:pPr>
                <w:r>
                  <w:rPr>
                    <w:szCs w:val="24"/>
                    <w:lang w:eastAsia="lt-LT"/>
                  </w:rPr>
                  <w:t>Numatomos teigiamos pasekmės, nes įstatyme esančios nuostatos užtikrina sistemingą hidrologinių, meteorologinių ir klimatologinių duomenų rinkimą ir analizę, būtiną ir aplinkosauginių reikalavimų vykdymo kontrolei atlikti.</w:t>
                </w:r>
              </w:p>
            </w:tc>
          </w:tr>
        </w:tbl>
        <w:p>
          <w:pPr>
            <w:ind w:firstLine="62"/>
            <w:rPr>
              <w:sz w:val="16"/>
              <w:szCs w:val="16"/>
              <w:lang w:eastAsia="lt-LT"/>
            </w:rPr>
          </w:pPr>
        </w:p>
        <w:tbl>
          <w:tblPr>
            <w:tblW w:w="9606" w:type="dxa"/>
            <w:tblCellMar>
              <w:left w:w="0" w:type="dxa"/>
              <w:right w:w="0" w:type="dxa"/>
            </w:tblCellMar>
            <w:tblLook w:val="04A0" w:firstRow="1" w:lastRow="0" w:firstColumn="1" w:lastColumn="0" w:noHBand="0" w:noVBand="1"/>
          </w:tblPr>
          <w:tblGrid>
            <w:gridCol w:w="2802"/>
            <w:gridCol w:w="6804"/>
          </w:tblGrid>
          <w:tr>
            <w:tc>
              <w:tcPr>
                <w:tcW w:w="2802" w:type="dxa"/>
                <w:shd w:val="clear" w:color="auto" w:fill="DBE5F1"/>
                <w:tcMar>
                  <w:top w:w="0" w:type="dxa"/>
                  <w:left w:w="108" w:type="dxa"/>
                  <w:bottom w:w="0" w:type="dxa"/>
                  <w:right w:w="108" w:type="dxa"/>
                </w:tcMar>
                <w:hideMark/>
              </w:tcPr>
              <w:p>
                <w:pPr>
                  <w:rPr>
                    <w:szCs w:val="24"/>
                    <w:lang w:eastAsia="lt-LT"/>
                  </w:rPr>
                </w:pPr>
                <w:r>
                  <w:rPr>
                    <w:b/>
                    <w:bCs/>
                    <w:szCs w:val="24"/>
                    <w:lang w:eastAsia="lt-LT"/>
                  </w:rPr>
                  <w:t>Poveikis valstybės finansams</w:t>
                </w:r>
              </w:p>
            </w:tc>
            <w:tc>
              <w:tcPr>
                <w:tcW w:w="6804" w:type="dxa"/>
                <w:tcMar>
                  <w:top w:w="0" w:type="dxa"/>
                  <w:left w:w="108" w:type="dxa"/>
                  <w:bottom w:w="0" w:type="dxa"/>
                  <w:right w:w="108" w:type="dxa"/>
                </w:tcMar>
                <w:hideMark/>
              </w:tcPr>
              <w:p>
                <w:pPr>
                  <w:jc w:val="both"/>
                  <w:rPr>
                    <w:szCs w:val="24"/>
                    <w:lang w:eastAsia="lt-LT"/>
                  </w:rPr>
                </w:pPr>
                <w:r>
                  <w:rPr>
                    <w:szCs w:val="24"/>
                    <w:lang w:eastAsia="lt-LT"/>
                  </w:rPr>
                  <w:t>Įstatymui įgyvendinti papildomo Lietuvos Respublikos valstybės biudžeto finansavimo nereikės. Koordinuojant atskirų valstybinių, privačių ir nevyriausybinių subjektų vykdomą hidrometeorologinę veiklą bus galima racionaliau naudoti Lietuvos Respublikos valstybės biudžeto lėšas, naudoti gaunamą hidrometeorologinę informaciją platesnio vartotojų rato poreikiams tenkinti.</w:t>
                </w:r>
              </w:p>
              <w:p>
                <w:pPr>
                  <w:jc w:val="both"/>
                  <w:rPr>
                    <w:szCs w:val="24"/>
                    <w:lang w:eastAsia="lt-LT"/>
                  </w:rPr>
                </w:pPr>
                <w:r>
                  <w:rPr>
                    <w:szCs w:val="24"/>
                    <w:lang w:eastAsia="lt-LT"/>
                  </w:rPr>
                  <w:t>Priėmus šį įstatymą, pagerės šalies gyventojų, valstybės ir savivaldybių institucijų ir įstaigų, verslo subjektų aprūpinimas juos dominančia hidrometeorologine informacija, bus sudarytos galimybės mažinti nuostolius, kuriuos gali sukelti nepalankūs hidrometeorologiniai reiškiniai.</w:t>
                </w:r>
              </w:p>
            </w:tc>
          </w:tr>
        </w:tbl>
        <w:p>
          <w:pPr>
            <w:rPr>
              <w:sz w:val="16"/>
              <w:szCs w:val="16"/>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02"/>
            <w:gridCol w:w="6804"/>
          </w:tblGrid>
          <w:tr>
            <w:tc>
              <w:tcPr>
                <w:tcW w:w="2802" w:type="dxa"/>
                <w:tcBorders>
                  <w:top w:val="nil"/>
                  <w:left w:val="nil"/>
                  <w:bottom w:val="nil"/>
                  <w:right w:val="nil"/>
                </w:tcBorders>
                <w:shd w:val="clear" w:color="auto" w:fill="DBE5F1" w:themeFill="accent1" w:themeFillTint="33"/>
              </w:tcPr>
              <w:p>
                <w:pPr>
                  <w:shd w:val="clear" w:color="auto" w:fill="DBE5F1"/>
                  <w:rPr>
                    <w:b/>
                    <w:szCs w:val="24"/>
                    <w:lang w:eastAsia="lt-LT"/>
                  </w:rPr>
                </w:pPr>
                <w:r>
                  <w:rPr>
                    <w:b/>
                    <w:szCs w:val="24"/>
                    <w:lang w:eastAsia="lt-LT"/>
                  </w:rPr>
                  <w:t>Poveikis administracinei naštai</w:t>
                </w:r>
              </w:p>
            </w:tc>
            <w:tc>
              <w:tcPr>
                <w:tcW w:w="6804" w:type="dxa"/>
                <w:tcBorders>
                  <w:top w:val="nil"/>
                  <w:left w:val="nil"/>
                  <w:bottom w:val="nil"/>
                  <w:right w:val="nil"/>
                </w:tcBorders>
                <w:hideMark/>
              </w:tcPr>
              <w:p>
                <w:pPr>
                  <w:spacing w:line="257" w:lineRule="auto"/>
                  <w:jc w:val="both"/>
                  <w:rPr>
                    <w:rFonts w:ascii="Calibri" w:eastAsia="Calibri" w:hAnsi="Calibri" w:cs="Calibri"/>
                    <w:sz w:val="22"/>
                    <w:szCs w:val="22"/>
                    <w:lang w:val="en-US" w:eastAsia="lt-LT"/>
                  </w:rPr>
                </w:pPr>
                <w:r>
                  <w:rPr>
                    <w:szCs w:val="24"/>
                    <w:lang w:eastAsia="lt-LT"/>
                  </w:rPr>
                  <w:t>Hidrometeorologijos įstatymo projektas gali padidinti administracinę naštą valstybės institucijoms ir (ar) įstaigoms ir privatiems subjektams dėl naujų įpareigojimų teikti duomenis apie hidrologinius ir meteorologinius įrenginius. Taip pat savivaldybėms – rengti ir įgyvendinti vietos prisitaikymo prie klimato kaitos planus. Be to, įstatymu reglamentuojama, kad atitinkami subjektai reguliariai teiktų informaciją apie hidrologinių ir meteorologinių reiškinių sukeltus padarinius, kas gali pareikalauti papildomų išteklių.</w:t>
                </w:r>
              </w:p>
              <w:p>
                <w:pPr>
                  <w:rPr>
                    <w:sz w:val="14"/>
                    <w:szCs w:val="14"/>
                  </w:rPr>
                </w:pPr>
              </w:p>
              <w:p>
                <w:pPr>
                  <w:jc w:val="both"/>
                  <w:rPr>
                    <w:szCs w:val="24"/>
                    <w:lang w:eastAsia="lt-LT"/>
                  </w:rPr>
                </w:pPr>
              </w:p>
            </w:tc>
          </w:tr>
        </w:tbl>
        <w:p>
          <w:pPr>
            <w:rPr>
              <w:sz w:val="16"/>
              <w:szCs w:val="16"/>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02"/>
            <w:gridCol w:w="6804"/>
          </w:tblGrid>
          <w:tr>
            <w:tc>
              <w:tcPr>
                <w:tcW w:w="2802" w:type="dxa"/>
                <w:tcBorders>
                  <w:top w:val="nil"/>
                  <w:left w:val="nil"/>
                  <w:bottom w:val="nil"/>
                  <w:right w:val="nil"/>
                </w:tcBorders>
                <w:shd w:val="clear" w:color="auto" w:fill="DBE5F1"/>
              </w:tcPr>
              <w:p>
                <w:pPr>
                  <w:rPr>
                    <w:b/>
                    <w:szCs w:val="24"/>
                    <w:lang w:eastAsia="lt-LT"/>
                  </w:rPr>
                </w:pPr>
                <w:r>
                  <w:rPr>
                    <w:b/>
                    <w:szCs w:val="24"/>
                    <w:lang w:eastAsia="lt-LT"/>
                  </w:rPr>
                  <w:t>Poveikis klimato kaitai</w:t>
                </w:r>
              </w:p>
            </w:tc>
            <w:tc>
              <w:tcPr>
                <w:tcW w:w="6804" w:type="dxa"/>
                <w:tcBorders>
                  <w:top w:val="nil"/>
                  <w:left w:val="nil"/>
                  <w:bottom w:val="nil"/>
                  <w:right w:val="nil"/>
                </w:tcBorders>
                <w:hideMark/>
              </w:tcPr>
              <w:p>
                <w:pPr>
                  <w:jc w:val="both"/>
                  <w:rPr>
                    <w:szCs w:val="24"/>
                    <w:lang w:eastAsia="lt-LT"/>
                  </w:rPr>
                </w:pPr>
                <w:r>
                  <w:rPr>
                    <w:szCs w:val="24"/>
                    <w:lang w:eastAsia="lt-LT"/>
                  </w:rPr>
                  <w:t>Tiesioginis poveikis klimato kaitai nenumatomas, tačiau turi teigiamą poveikį klimato kaitos valdymui, nes numato sistemingą klimato kaitos poveikio vertinimą, duomenų rinkimą bei prognozių sudarymą, kas leis tiksliau nustatyti ekstremalių hidrometeorologinių reiškinių padarinius ir imtis veiksmingų prisitaikymo prie klimato kaitos priemonių.</w:t>
                </w:r>
              </w:p>
            </w:tc>
          </w:tr>
        </w:tbl>
        <w:p>
          <w:pPr>
            <w:rPr>
              <w:sz w:val="16"/>
              <w:szCs w:val="16"/>
              <w:lang w:eastAsia="lt-LT"/>
            </w:rPr>
          </w:pPr>
        </w:p>
        <w:tbl>
          <w:tblPr>
            <w:tblW w:w="9606" w:type="dxa"/>
            <w:tblLook w:val="00A0" w:firstRow="1" w:lastRow="0" w:firstColumn="1" w:lastColumn="0" w:noHBand="0" w:noVBand="0"/>
          </w:tblPr>
          <w:tblGrid>
            <w:gridCol w:w="2835"/>
            <w:gridCol w:w="6771"/>
          </w:tblGrid>
          <w:tr>
            <w:trPr>
              <w:trHeight w:val="399"/>
            </w:trPr>
            <w:tc>
              <w:tcPr>
                <w:tcW w:w="2835" w:type="dxa"/>
                <w:shd w:val="clear" w:color="auto" w:fill="DBE5F1" w:themeFill="accent1" w:themeFillTint="33"/>
                <w:hideMark/>
              </w:tcPr>
              <w:p>
                <w:pPr>
                  <w:tabs>
                    <w:tab w:val="right" w:pos="4587"/>
                  </w:tabs>
                  <w:rPr>
                    <w:b/>
                    <w:szCs w:val="24"/>
                    <w:lang w:eastAsia="lt-LT"/>
                  </w:rPr>
                </w:pPr>
                <w:r>
                  <w:rPr>
                    <w:b/>
                    <w:szCs w:val="24"/>
                    <w:lang w:eastAsia="lt-LT"/>
                  </w:rPr>
                  <w:t>Kita svarbi informacija</w:t>
                  <w:tab/>
                </w:r>
              </w:p>
            </w:tc>
            <w:tc>
              <w:tcPr>
                <w:tcW w:w="6771" w:type="dxa"/>
                <w:shd w:val="clear" w:color="auto" w:fill="DBE5F1" w:themeFill="accent1" w:themeFillTint="33"/>
              </w:tcPr>
              <w:p>
                <w:pPr>
                  <w:rPr>
                    <w:sz w:val="8"/>
                    <w:szCs w:val="8"/>
                  </w:rPr>
                </w:pPr>
              </w:p>
              <w:p>
                <w:pPr>
                  <w:ind w:right="-15"/>
                  <w:jc w:val="both"/>
                  <w:textAlignment w:val="baseline"/>
                  <w:rPr>
                    <w:szCs w:val="24"/>
                    <w:lang w:eastAsia="en-GB"/>
                  </w:rPr>
                </w:pPr>
                <w:r>
                  <w:rPr>
                    <w:szCs w:val="24"/>
                    <w:lang w:eastAsia="en-GB"/>
                  </w:rPr>
                  <w:t>Lietuvos Respublikos hidrometeorologijos įstatymo projektas parengtas įgyvendinant priemonę Nr. 6.1.14: „Parengti ir priimti Hidrometeorologijos įstatymo projektą, reglamentuojantį institucijų teises ir pareigas hidrometeorologijos srityje, siekiant efektyviau rinkti duomenis ir juos panaudoti prisitaikymo prie klimato kaitos politikai formuoti ir kitoms viešosios politikos reikmėms“, patvirtintą Lietuvos Respublikos Vyriausybės 2021 m. kovo 10 d. nutarimu Nr. 155 „Dėl Aštuonioliktosios Lietuvos Respublikos Vyriausybės programos nuostatų įgyvendinimo plano patvirtinimo“.</w:t>
                </w:r>
              </w:p>
            </w:tc>
          </w:tr>
        </w:tbl>
        <w:p>
          <w:pPr>
            <w:jc w:val="both"/>
            <w:rPr>
              <w:b/>
              <w:bCs/>
              <w:szCs w:val="24"/>
              <w:lang w:eastAsia="lt-LT"/>
            </w:rPr>
          </w:pPr>
        </w:p>
        <w:sdt>
          <w:sdtPr>
            <w:alias w:val="lentele"/>
            <w:tag w:val="part_42cc242f13a141ef9c2cf0849facbf99"/>
            <w:lock w:val="sdtLocked"/>
            <w:richText/>
          </w:sdtPr>
          <w:sdtContent>
            <w:p>
              <w:pPr>
                <w:jc w:val="both"/>
                <w:rPr>
                  <w:b/>
                  <w:bCs/>
                  <w:szCs w:val="24"/>
                  <w:lang w:eastAsia="lt-LT"/>
                </w:rPr>
              </w:pPr>
              <w:sdt>
                <w:sdtPr>
                  <w:alias w:val="Pavadinimas"/>
                  <w:tag w:val="title_42cc242f13a141ef9c2cf0849facbf99"/>
                  <w:lock w:val="sdtLocked"/>
                  <w:richText/>
                </w:sdtPr>
                <w:sdtContent>
                  <w:r>
                    <w:rPr>
                      <w:b/>
                      <w:bCs/>
                      <w:szCs w:val="24"/>
                      <w:lang w:eastAsia="lt-LT"/>
                    </w:rPr>
                    <w:t>Informacija apie asmenį ir instituciją, atsakingą už poveikio vertinimą</w:t>
                  </w:r>
                </w:sdtContent>
              </w:sdt>
            </w:p>
            <w:p>
              <w:pPr>
                <w:jc w:val="both"/>
                <w:rPr>
                  <w:b/>
                  <w:bCs/>
                  <w:szCs w:val="24"/>
                  <w:lang w:eastAsia="lt-LT"/>
                </w:rPr>
              </w:pPr>
            </w:p>
            <w:tbl>
              <w:tblPr>
                <w:tblW w:w="4874"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66"/>
                <w:gridCol w:w="6610"/>
              </w:tblGrid>
              <w:tr>
                <w:tc>
                  <w:tcPr>
                    <w:tcW w:w="1475" w:type="pct"/>
                    <w:tcBorders>
                      <w:top w:val="single" w:sz="8" w:space="0" w:color="auto"/>
                      <w:left w:val="single" w:sz="8" w:space="0" w:color="auto"/>
                      <w:bottom w:val="single" w:sz="8" w:space="0" w:color="auto"/>
                      <w:right w:val="single" w:sz="8" w:space="0" w:color="auto"/>
                    </w:tcBorders>
                    <w:shd w:val="clear" w:color="auto" w:fill="auto"/>
                    <w:tcMar>
                      <w:top w:w="28" w:type="dxa"/>
                      <w:left w:w="108" w:type="dxa"/>
                      <w:bottom w:w="28" w:type="dxa"/>
                      <w:right w:w="108" w:type="dxa"/>
                    </w:tcMar>
                    <w:hideMark/>
                  </w:tcPr>
                  <w:p>
                    <w:pPr>
                      <w:rPr>
                        <w:szCs w:val="24"/>
                        <w:lang w:eastAsia="lt-LT"/>
                      </w:rPr>
                    </w:pPr>
                    <w:r>
                      <w:rPr>
                        <w:szCs w:val="24"/>
                        <w:lang w:eastAsia="lt-LT"/>
                      </w:rPr>
                      <w:t>Vardas ir pavardė</w:t>
                    </w:r>
                  </w:p>
                </w:tc>
                <w:tc>
                  <w:tcPr>
                    <w:tcW w:w="3525" w:type="pct"/>
                    <w:tcBorders>
                      <w:top w:val="single" w:sz="8" w:space="0" w:color="auto"/>
                      <w:left w:val="nil"/>
                      <w:bottom w:val="single" w:sz="8" w:space="0" w:color="auto"/>
                      <w:right w:val="single" w:sz="8" w:space="0" w:color="auto"/>
                    </w:tcBorders>
                    <w:shd w:val="clear" w:color="auto" w:fill="auto"/>
                    <w:tcMar>
                      <w:top w:w="28" w:type="dxa"/>
                      <w:left w:w="108" w:type="dxa"/>
                      <w:bottom w:w="28" w:type="dxa"/>
                      <w:right w:w="108" w:type="dxa"/>
                    </w:tcMar>
                    <w:hideMark/>
                  </w:tcPr>
                  <w:p>
                    <w:pPr>
                      <w:rPr>
                        <w:szCs w:val="24"/>
                        <w:lang w:eastAsia="lt-LT"/>
                      </w:rPr>
                    </w:pPr>
                    <w:r>
                      <w:rPr>
                        <w:szCs w:val="24"/>
                        <w:lang w:eastAsia="lt-LT"/>
                      </w:rPr>
                      <w:t>Marilė Kosaitė</w:t>
                    </w:r>
                  </w:p>
                </w:tc>
              </w:tr>
              <w:tr>
                <w:tc>
                  <w:tcPr>
                    <w:tcW w:w="1475" w:type="pct"/>
                    <w:tcBorders>
                      <w:top w:val="nil"/>
                      <w:left w:val="single" w:sz="8" w:space="0" w:color="auto"/>
                      <w:bottom w:val="single" w:sz="8" w:space="0" w:color="auto"/>
                      <w:right w:val="single" w:sz="8" w:space="0" w:color="auto"/>
                    </w:tcBorders>
                    <w:shd w:val="clear" w:color="auto" w:fill="auto"/>
                    <w:tcMar>
                      <w:top w:w="28" w:type="dxa"/>
                      <w:left w:w="108" w:type="dxa"/>
                      <w:bottom w:w="28" w:type="dxa"/>
                      <w:right w:w="108" w:type="dxa"/>
                    </w:tcMar>
                    <w:hideMark/>
                  </w:tcPr>
                  <w:p>
                    <w:pPr>
                      <w:rPr>
                        <w:szCs w:val="24"/>
                        <w:lang w:eastAsia="lt-LT"/>
                      </w:rPr>
                    </w:pPr>
                    <w:r>
                      <w:rPr>
                        <w:szCs w:val="24"/>
                        <w:lang w:eastAsia="lt-LT"/>
                      </w:rPr>
                      <w:t>Pareigos</w:t>
                    </w:r>
                  </w:p>
                </w:tc>
                <w:tc>
                  <w:tcPr>
                    <w:tcW w:w="3525" w:type="pct"/>
                    <w:tcBorders>
                      <w:top w:val="nil"/>
                      <w:left w:val="nil"/>
                      <w:bottom w:val="single" w:sz="8" w:space="0" w:color="auto"/>
                      <w:right w:val="single" w:sz="8" w:space="0" w:color="auto"/>
                    </w:tcBorders>
                    <w:shd w:val="clear" w:color="auto" w:fill="auto"/>
                    <w:tcMar>
                      <w:top w:w="28" w:type="dxa"/>
                      <w:left w:w="108" w:type="dxa"/>
                      <w:bottom w:w="28" w:type="dxa"/>
                      <w:right w:w="108" w:type="dxa"/>
                    </w:tcMar>
                    <w:hideMark/>
                  </w:tcPr>
                  <w:p>
                    <w:pPr>
                      <w:jc w:val="both"/>
                      <w:rPr>
                        <w:szCs w:val="24"/>
                        <w:lang w:eastAsia="lt-LT"/>
                      </w:rPr>
                    </w:pPr>
                    <w:r>
                      <w:rPr>
                        <w:szCs w:val="24"/>
                        <w:lang w:eastAsia="lt-LT"/>
                      </w:rPr>
                      <w:t>Klimato politikos grupės vyr. specialistė</w:t>
                    </w:r>
                  </w:p>
                </w:tc>
              </w:tr>
              <w:tr>
                <w:tc>
                  <w:tcPr>
                    <w:tcW w:w="1475" w:type="pct"/>
                    <w:tcBorders>
                      <w:top w:val="nil"/>
                      <w:left w:val="single" w:sz="8" w:space="0" w:color="auto"/>
                      <w:bottom w:val="single" w:sz="8" w:space="0" w:color="auto"/>
                      <w:right w:val="single" w:sz="8" w:space="0" w:color="auto"/>
                    </w:tcBorders>
                    <w:tcMar>
                      <w:top w:w="28" w:type="dxa"/>
                      <w:left w:w="108" w:type="dxa"/>
                      <w:bottom w:w="28" w:type="dxa"/>
                      <w:right w:w="108" w:type="dxa"/>
                    </w:tcMar>
                    <w:hideMark/>
                  </w:tcPr>
                  <w:p>
                    <w:pPr>
                      <w:rPr>
                        <w:szCs w:val="24"/>
                        <w:lang w:eastAsia="lt-LT"/>
                      </w:rPr>
                    </w:pPr>
                    <w:r>
                      <w:rPr>
                        <w:szCs w:val="24"/>
                        <w:lang w:eastAsia="lt-LT"/>
                      </w:rPr>
                      <w:t>Institucija (padalinys)</w:t>
                    </w:r>
                  </w:p>
                </w:tc>
                <w:tc>
                  <w:tcPr>
                    <w:tcW w:w="3525" w:type="pct"/>
                    <w:tcBorders>
                      <w:top w:val="nil"/>
                      <w:left w:val="nil"/>
                      <w:bottom w:val="single" w:sz="8" w:space="0" w:color="auto"/>
                      <w:right w:val="single" w:sz="8" w:space="0" w:color="auto"/>
                    </w:tcBorders>
                    <w:tcMar>
                      <w:top w:w="28" w:type="dxa"/>
                      <w:left w:w="108" w:type="dxa"/>
                      <w:bottom w:w="28" w:type="dxa"/>
                      <w:right w:w="108" w:type="dxa"/>
                    </w:tcMar>
                    <w:hideMark/>
                  </w:tcPr>
                  <w:p>
                    <w:pPr>
                      <w:jc w:val="both"/>
                      <w:rPr>
                        <w:szCs w:val="24"/>
                        <w:lang w:eastAsia="lt-LT"/>
                      </w:rPr>
                    </w:pPr>
                    <w:r>
                      <w:rPr>
                        <w:bCs/>
                        <w:szCs w:val="24"/>
                        <w:lang w:eastAsia="lt-LT"/>
                      </w:rPr>
                      <w:t>Lietuvos Respublikos aplinkos ministerijos Klimato politikos grupė</w:t>
                    </w:r>
                  </w:p>
                </w:tc>
              </w:tr>
              <w:tr>
                <w:tc>
                  <w:tcPr>
                    <w:tcW w:w="1475" w:type="pct"/>
                    <w:tcBorders>
                      <w:top w:val="nil"/>
                      <w:left w:val="single" w:sz="8" w:space="0" w:color="auto"/>
                      <w:bottom w:val="single" w:sz="8" w:space="0" w:color="auto"/>
                      <w:right w:val="single" w:sz="8" w:space="0" w:color="auto"/>
                    </w:tcBorders>
                    <w:tcMar>
                      <w:top w:w="28" w:type="dxa"/>
                      <w:left w:w="108" w:type="dxa"/>
                      <w:bottom w:w="28" w:type="dxa"/>
                      <w:right w:w="108" w:type="dxa"/>
                    </w:tcMar>
                    <w:hideMark/>
                  </w:tcPr>
                  <w:p>
                    <w:pPr>
                      <w:rPr>
                        <w:szCs w:val="24"/>
                        <w:lang w:eastAsia="lt-LT"/>
                      </w:rPr>
                    </w:pPr>
                    <w:r>
                      <w:rPr>
                        <w:szCs w:val="24"/>
                        <w:lang w:eastAsia="lt-LT"/>
                      </w:rPr>
                      <w:t>Telefono numeris ir elektroninio pašto adresas</w:t>
                    </w:r>
                  </w:p>
                </w:tc>
                <w:tc>
                  <w:tcPr>
                    <w:tcW w:w="3525" w:type="pct"/>
                    <w:tcBorders>
                      <w:top w:val="nil"/>
                      <w:left w:val="nil"/>
                      <w:bottom w:val="single" w:sz="8" w:space="0" w:color="auto"/>
                      <w:right w:val="single" w:sz="8" w:space="0" w:color="auto"/>
                    </w:tcBorders>
                    <w:tcMar>
                      <w:top w:w="28" w:type="dxa"/>
                      <w:left w:w="108" w:type="dxa"/>
                      <w:bottom w:w="28" w:type="dxa"/>
                      <w:right w:w="108" w:type="dxa"/>
                    </w:tcMar>
                    <w:hideMark/>
                  </w:tcPr>
                  <w:p>
                    <w:pPr>
                      <w:widowControl w:val="0"/>
                      <w:suppressAutoHyphens/>
                      <w:jc w:val="both"/>
                      <w:rPr>
                        <w:rFonts w:eastAsia="Andale Sans UI"/>
                        <w:szCs w:val="24"/>
                        <w:lang w:val="en-US" w:eastAsia="lt-LT" w:bidi="en-US"/>
                      </w:rPr>
                    </w:pPr>
                    <w:r>
                      <w:rPr>
                        <w:rFonts w:eastAsia="Andale Sans UI"/>
                        <w:szCs w:val="24"/>
                        <w:lang w:eastAsia="lt-LT" w:bidi="en-US"/>
                      </w:rPr>
                      <w:t>+370 687 96504, marile.kosaite</w:t>
                    </w:r>
                    <w:r>
                      <w:rPr>
                        <w:rFonts w:eastAsia="Andale Sans UI"/>
                        <w:szCs w:val="24"/>
                        <w:lang w:val="en-US" w:eastAsia="lt-LT" w:bidi="en-US"/>
                      </w:rPr>
                      <w:t>@am.lt</w:t>
                    </w:r>
                  </w:p>
                </w:tc>
              </w:tr>
            </w:tbl>
            <w:p/>
          </w:sdtContent>
        </w:sdt>
        <w:sdt>
          <w:sdtPr>
            <w:alias w:val="pabaiga"/>
            <w:tag w:val="part_7f703bc158f24011aec1e67d61c92660"/>
            <w:lock w:val="sdtLocked"/>
            <w:richText/>
          </w:sdtPr>
          <w:sdtContent>
            <w:p>
              <w:pPr>
                <w:jc w:val="center"/>
                <w:rPr>
                  <w:szCs w:val="24"/>
                  <w:lang w:eastAsia="lt-LT"/>
                </w:rPr>
              </w:pPr>
              <w:r>
                <w:rPr>
                  <w:szCs w:val="22"/>
                  <w:lang w:eastAsia="lt-LT"/>
                </w:rPr>
                <w:t>––––––––––––––––</w:t>
              </w:r>
            </w:p>
          </w:sdtContent>
        </w:sdt>
      </w:sdtContent>
    </w:sdt>
    <w:sectPr>
      <w:pgSz w:w="11906" w:h="16838"/>
      <w:pgMar w:top="993"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Andale Sans UI">
    <w:altName w:val="Times New Roman"/>
    <w:charset w:val="BA"/>
    <w:family w:val="swiss"/>
    <w:pitch w:val="variable"/>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338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7235F7F-74C4-4A9C-B7E3-5F68B4AF97D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80251837">
      <w:bodyDiv w:val="1"/>
      <w:marLeft w:val="0"/>
      <w:marRight w:val="0"/>
      <w:marTop w:val="0"/>
      <w:marBottom w:val="0"/>
      <w:divBdr>
        <w:top w:val="none" w:sz="0" w:space="0" w:color="auto"/>
        <w:left w:val="none" w:sz="0" w:space="0" w:color="auto"/>
        <w:bottom w:val="none" w:sz="0" w:space="0" w:color="auto"/>
        <w:right w:val="none" w:sz="0" w:space="0" w:color="auto"/>
      </w:divBdr>
      <w:divsChild>
        <w:div w:id="678890077">
          <w:marLeft w:val="0"/>
          <w:marRight w:val="0"/>
          <w:marTop w:val="0"/>
          <w:marBottom w:val="0"/>
          <w:divBdr>
            <w:top w:val="none" w:sz="0" w:space="0" w:color="auto"/>
            <w:left w:val="none" w:sz="0" w:space="0" w:color="auto"/>
            <w:bottom w:val="none" w:sz="0" w:space="0" w:color="auto"/>
            <w:right w:val="none" w:sz="0" w:space="0" w:color="auto"/>
          </w:divBdr>
          <w:divsChild>
            <w:div w:id="1055354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7504973">
      <w:bodyDiv w:val="1"/>
      <w:marLeft w:val="225"/>
      <w:marRight w:val="225"/>
      <w:marTop w:val="0"/>
      <w:marBottom w:val="0"/>
      <w:divBdr>
        <w:top w:val="none" w:sz="0" w:space="0" w:color="auto"/>
        <w:left w:val="none" w:sz="0" w:space="0" w:color="auto"/>
        <w:bottom w:val="none" w:sz="0" w:space="0" w:color="auto"/>
        <w:right w:val="none" w:sz="0" w:space="0" w:color="auto"/>
      </w:divBdr>
      <w:divsChild>
        <w:div w:id="1163207053">
          <w:marLeft w:val="0"/>
          <w:marRight w:val="0"/>
          <w:marTop w:val="0"/>
          <w:marBottom w:val="0"/>
          <w:divBdr>
            <w:top w:val="none" w:sz="0" w:space="0" w:color="auto"/>
            <w:left w:val="none" w:sz="0" w:space="0" w:color="auto"/>
            <w:bottom w:val="none" w:sz="0" w:space="0" w:color="auto"/>
            <w:right w:val="none" w:sz="0" w:space="0" w:color="auto"/>
          </w:divBdr>
        </w:div>
      </w:divsChild>
    </w:div>
    <w:div w:id="1161198044">
      <w:bodyDiv w:val="1"/>
      <w:marLeft w:val="0"/>
      <w:marRight w:val="0"/>
      <w:marTop w:val="0"/>
      <w:marBottom w:val="0"/>
      <w:divBdr>
        <w:top w:val="none" w:sz="0" w:space="0" w:color="auto"/>
        <w:left w:val="none" w:sz="0" w:space="0" w:color="auto"/>
        <w:bottom w:val="none" w:sz="0" w:space="0" w:color="auto"/>
        <w:right w:val="none" w:sz="0" w:space="0" w:color="auto"/>
      </w:divBdr>
      <w:divsChild>
        <w:div w:id="514346425">
          <w:marLeft w:val="0"/>
          <w:marRight w:val="0"/>
          <w:marTop w:val="0"/>
          <w:marBottom w:val="0"/>
          <w:divBdr>
            <w:top w:val="none" w:sz="0" w:space="0" w:color="auto"/>
            <w:left w:val="none" w:sz="0" w:space="0" w:color="auto"/>
            <w:bottom w:val="none" w:sz="0" w:space="0" w:color="auto"/>
            <w:right w:val="none" w:sz="0" w:space="0" w:color="auto"/>
          </w:divBdr>
          <w:divsChild>
            <w:div w:id="1361975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8741229">
      <w:bodyDiv w:val="1"/>
      <w:marLeft w:val="0"/>
      <w:marRight w:val="0"/>
      <w:marTop w:val="0"/>
      <w:marBottom w:val="0"/>
      <w:divBdr>
        <w:top w:val="none" w:sz="0" w:space="0" w:color="auto"/>
        <w:left w:val="none" w:sz="0" w:space="0" w:color="auto"/>
        <w:bottom w:val="none" w:sz="0" w:space="0" w:color="auto"/>
        <w:right w:val="none" w:sz="0" w:space="0" w:color="auto"/>
      </w:divBdr>
      <w:divsChild>
        <w:div w:id="1088842175">
          <w:marLeft w:val="0"/>
          <w:marRight w:val="0"/>
          <w:marTop w:val="0"/>
          <w:marBottom w:val="0"/>
          <w:divBdr>
            <w:top w:val="none" w:sz="0" w:space="0" w:color="auto"/>
            <w:left w:val="none" w:sz="0" w:space="0" w:color="auto"/>
            <w:bottom w:val="none" w:sz="0" w:space="0" w:color="auto"/>
            <w:right w:val="none" w:sz="0" w:space="0" w:color="auto"/>
          </w:divBdr>
          <w:divsChild>
            <w:div w:id="1293712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Virginija Kalesinskienė</DisplayName>
        <AccountId>83</AccountId>
        <AccountType/>
      </UserInfo>
    </SharedWithUsers>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9" ma:contentTypeDescription="Kurkite naują dokumentą." ma:contentTypeScope="" ma:versionID="82b470e20210134b03a8d3dcaeced4a5">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c5fbb76855e999113af2b88fd07dc362"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hidden="true" ma:internalName="MediaServiceKeyPoints" ma:readOnly="true">
      <xsd:simpleType>
        <xsd:restriction base="dms:Note"/>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hidden="true"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hidden="true" ma:internalName="MediaServiceOCR" ma:readOnly="true">
      <xsd:simpleType>
        <xsd:restriction base="dms:Note"/>
      </xsd:simpleType>
    </xsd:element>
    <xsd:element name="MediaServiceLocation" ma:index="19" nillable="true" ma:displayName="Location" ma:hidden="true" ma:internalName="MediaServiceLocation" ma:readOnly="true">
      <xsd:simpleType>
        <xsd:restriction base="dms:Text"/>
      </xsd:simpleType>
    </xsd:element>
    <xsd:element name="MediaLengthInSeconds" ma:index="20" nillable="true" ma:displayName="Length (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hidden="true" ma:internalName="SharedWithDetails" ma:readOnly="true">
      <xsd:simpleType>
        <xsd:restriction base="dms:Note"/>
      </xsd:simpleType>
    </xsd:element>
    <xsd:element name="TaxCatchAll" ma:index="23" nillable="true" ma:displayName="Taxonomy Catch All Column" ma:hidden="true" ma:list="{dde36950-9db2-4bd5-ad22-c7fd61453dde}" ma:internalName="TaxCatchAll" ma:readOnly="false"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Turinio tipas"/>
        <xsd:element ref="dc:title" minOccurs="0" maxOccurs="1" ma:index="1"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a92411aa80b4493ca8ce70a717a144ba" PartId="797b9fd531a14a88ad19b128b91418e4">
    <Part Type="lentele" Title="Informacija apie asmenį ir instituciją, atsakingą už poveikio vertinimą" DocPartId="7aafc5856d6f46c08504c4bdf238f24d" PartId="42cc242f13a141ef9c2cf0849facbf99"/>
    <Part Type="pabaiga" DocPartId="368a641705554b10821419558cee27da" PartId="7f703bc158f24011aec1e67d61c92660"/>
  </Part>
</Parts>
</file>

<file path=customXml/itemProps1.xml><?xml version="1.0" encoding="utf-8"?>
<ds:datastoreItem xmlns:ds="http://schemas.openxmlformats.org/officeDocument/2006/customXml" ds:itemID="{5C5A6E79-C320-4F09-A5F7-8D7F1B4D78B0}">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2.xml><?xml version="1.0" encoding="utf-8"?>
<ds:datastoreItem xmlns:ds="http://schemas.openxmlformats.org/officeDocument/2006/customXml" ds:itemID="{689E9A45-91EC-4B41-82CF-B6DCABF8DC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8316205-5208-44D1-B2B0-F80954878CFF}">
  <ds:schemaRefs>
    <ds:schemaRef ds:uri="http://schemas.microsoft.com/sharepoint/v3/contenttype/forms"/>
  </ds:schemaRefs>
</ds:datastoreItem>
</file>

<file path=customXml/itemProps4.xml><?xml version="1.0" encoding="utf-8"?>
<ds:datastoreItem xmlns:ds="http://schemas.openxmlformats.org/officeDocument/2006/customXml" ds:itemID="{BFA727A5-2B2F-4BC2-B082-D9F19F37749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403</Words>
  <Characters>3325</Characters>
  <Application>Microsoft Office Word</Application>
  <DocSecurity>4</DocSecurity>
  <Lines>87</Lines>
  <Paragraphs>32</Paragraphs>
  <ScaleCrop>false</ScaleCrop>
  <Company/>
  <LinksUpToDate>false</LinksUpToDate>
  <CharactersWithSpaces>3696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2024-09-23T11:55:00Z</dcterms:created>
  <dc:creator>v.siaudinyte</dc:creator>
  <lastModifiedBy>adlibuser</lastModifiedBy>
  <lastPrinted>2016-02-17T23:00:00Z</lastPrinted>
  <dcterms:modified xsi:type="dcterms:W3CDTF">2024-09-23T11:55:00Z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