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9f2c04567944595baabb0874a48a018"/>
        <w:lock w:val="sdtLocked"/>
        <w:richText/>
      </w:sdtPr>
      <w:sdtContent>
        <w:tbl>
          <w:tblPr>
            <w:tblW w:w="9835" w:type="dxa"/>
            <w:tblInd w:w="-142" w:type="dxa"/>
            <w:tblLayout w:type="fixed"/>
            <w:tblCellMar>
              <w:top w:w="55" w:type="dxa"/>
              <w:left w:w="55" w:type="dxa"/>
              <w:bottom w:w="55" w:type="dxa"/>
              <w:right w:w="55" w:type="dxa"/>
            </w:tblCellMar>
            <w:tblLook w:val="0000" w:firstRow="0" w:lastRow="0" w:firstColumn="0" w:lastColumn="0" w:noHBand="0" w:noVBand="0"/>
          </w:tblPr>
          <w:tblGrid>
            <w:gridCol w:w="5014"/>
            <w:gridCol w:w="282"/>
            <w:gridCol w:w="1841"/>
            <w:gridCol w:w="565"/>
            <w:gridCol w:w="1654"/>
            <w:gridCol w:w="479"/>
          </w:tblGrid>
          <w:tr>
            <w:tc>
              <w:tcPr>
                <w:tcW w:w="9835" w:type="dxa"/>
                <w:gridSpan w:val="6"/>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835" w:type="dxa"/>
                <w:gridSpan w:val="6"/>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5014"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cs="Tahoma"/>
                    <w:szCs w:val="24"/>
                    <w:lang w:bidi="en-US"/>
                  </w:rPr>
                  <w:t>2024-</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gridSpan w:val="2"/>
              </w:tcPr>
              <w:p>
                <w:pPr>
                  <w:suppressLineNumbers/>
                  <w:ind w:right="67"/>
                  <w:jc w:val="both"/>
                  <w:rPr>
                    <w:rFonts w:eastAsia="Andale Sans UI"/>
                    <w:szCs w:val="24"/>
                    <w:lang w:bidi="en-US"/>
                  </w:rPr>
                </w:pPr>
                <w:r>
                  <w:rPr>
                    <w:rFonts w:eastAsia="Andale Sans UI" w:cs="Tahoma"/>
                    <w:szCs w:val="24"/>
                    <w:lang w:bidi="en-US"/>
                  </w:rPr>
                  <w:t>(14)-D8(E)-</w:t>
                </w:r>
              </w:p>
            </w:tc>
          </w:tr>
          <w:tr>
            <w:trPr>
              <w:cantSplit/>
              <w:trHeight w:val="340"/>
            </w:trPr>
            <w:tc>
              <w:tcPr>
                <w:tcW w:w="5014"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gridSpan w:val="2"/>
              </w:tcPr>
              <w:p>
                <w:pPr>
                  <w:suppressLineNumbers/>
                  <w:ind w:right="67"/>
                  <w:jc w:val="both"/>
                  <w:rPr>
                    <w:rFonts w:eastAsia="Andale Sans UI"/>
                    <w:szCs w:val="24"/>
                    <w:lang w:bidi="en-US"/>
                  </w:rPr>
                </w:pPr>
              </w:p>
            </w:tc>
          </w:tr>
          <w:tr>
            <w:trPr>
              <w:cantSplit/>
            </w:trPr>
            <w:tc>
              <w:tcPr>
                <w:tcW w:w="5014" w:type="dxa"/>
                <w:vMerge/>
                <w:tcMar>
                  <w:top w:w="0" w:type="dxa"/>
                  <w:left w:w="0" w:type="dxa"/>
                  <w:bottom w:w="0" w:type="dxa"/>
                  <w:right w:w="0" w:type="dxa"/>
                </w:tcMar>
              </w:tcPr>
              <w:p>
                <w:pPr>
                  <w:jc w:val="both"/>
                  <w:rPr>
                    <w:rFonts w:eastAsia="Andale Sans UI"/>
                    <w:szCs w:val="24"/>
                    <w:lang w:bidi="en-US"/>
                  </w:rPr>
                </w:pPr>
              </w:p>
            </w:tc>
            <w:tc>
              <w:tcPr>
                <w:tcW w:w="4821" w:type="dxa"/>
                <w:gridSpan w:val="5"/>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gridAfter w:val="1"/>
              <w:wAfter w:w="479" w:type="dxa"/>
              <w:trHeight w:val="340"/>
            </w:trPr>
            <w:tc>
              <w:tcPr>
                <w:tcW w:w="9356" w:type="dxa"/>
                <w:gridSpan w:val="5"/>
                <w:tcMar>
                  <w:top w:w="0" w:type="dxa"/>
                  <w:left w:w="0" w:type="dxa"/>
                  <w:bottom w:w="0" w:type="dxa"/>
                  <w:right w:w="0" w:type="dxa"/>
                </w:tcMar>
              </w:tcPr>
              <w:p>
                <w:pPr>
                  <w:widowControl w:val="0"/>
                  <w:suppressLineNumbers/>
                  <w:suppressAutoHyphens/>
                  <w:jc w:val="both"/>
                  <w:rPr>
                    <w:rFonts w:eastAsia="Andale Sans UI" w:cs="Tahoma"/>
                    <w:b/>
                    <w:bCs/>
                    <w:szCs w:val="24"/>
                    <w:highlight w:val="yellow"/>
                    <w:lang w:bidi="en-US"/>
                  </w:rPr>
                </w:pPr>
                <w:r>
                  <w:rPr>
                    <w:rFonts w:eastAsia="Andale Sans UI" w:cs="Tahoma"/>
                    <w:b/>
                    <w:bCs/>
                    <w:szCs w:val="24"/>
                    <w:lang w:eastAsia="lt-LT" w:bidi="en-US"/>
                  </w:rPr>
                  <w:t xml:space="preserve">DĖL APLINKOS MINISTRO ĮSAKYMO </w:t>
                </w:r>
                <w:r>
                  <w:rPr>
                    <w:rFonts w:eastAsia="Andale Sans UI" w:cs="Tahoma"/>
                    <w:b/>
                    <w:bCs/>
                    <w:szCs w:val="24"/>
                    <w:lang w:bidi="en-US"/>
                  </w:rPr>
                  <w:t>PROJEKTO DERINIMO</w:t>
                </w:r>
              </w:p>
            </w:tc>
          </w:tr>
          <w:tr>
            <w:trPr>
              <w:trHeight w:val="340"/>
            </w:trPr>
            <w:tc>
              <w:tcPr>
                <w:tcW w:w="9835" w:type="dxa"/>
                <w:gridSpan w:val="6"/>
                <w:tcMar>
                  <w:top w:w="0" w:type="dxa"/>
                  <w:left w:w="0" w:type="dxa"/>
                  <w:bottom w:w="0" w:type="dxa"/>
                  <w:right w:w="0" w:type="dxa"/>
                </w:tcMar>
              </w:tcPr>
              <w:p>
                <w:pPr>
                  <w:suppressLineNumbers/>
                  <w:jc w:val="both"/>
                  <w:rPr>
                    <w:rFonts w:eastAsia="Andale Sans UI"/>
                    <w:b/>
                    <w:bCs/>
                    <w:szCs w:val="24"/>
                    <w:lang w:bidi="en-US"/>
                  </w:rPr>
                </w:pPr>
              </w:p>
            </w:tc>
          </w:tr>
        </w:tbl>
        <w:p/>
      </w:sdtContent>
    </w:sdt>
    <w:sdt>
      <w:sdtPr>
        <w:alias w:val="pastraipa"/>
        <w:tag w:val="part_89dc992a00ea46c284a74ccf3d50e358"/>
        <w:lock w:val="sdtLocked"/>
        <w:richText/>
      </w:sdtPr>
      <w:sdtContent>
        <w:p>
          <w:pPr>
            <w:shd w:val="clear" w:color="auto" w:fill="FFFFFF"/>
            <w:spacing w:line="276" w:lineRule="auto"/>
            <w:ind w:firstLine="567"/>
            <w:jc w:val="both"/>
            <w:textAlignment w:val="center"/>
            <w:rPr>
              <w:rFonts w:eastAsia="Andale Sans UI" w:cs="Tahoma"/>
              <w:szCs w:val="24"/>
              <w:lang w:bidi="en-US"/>
            </w:rPr>
          </w:pPr>
          <w:r>
            <w:rPr>
              <w:rFonts w:eastAsia="Andale Sans UI"/>
              <w:szCs w:val="24"/>
              <w:lang w:bidi="en-US"/>
            </w:rPr>
            <w:t xml:space="preserve">Aplinkos ministerija teikia išvadoms gauti </w:t>
          </w:r>
          <w:r>
            <w:rPr>
              <w:rFonts w:eastAsia="Andale Sans UI" w:cs="Tahoma"/>
              <w:szCs w:val="24"/>
              <w:lang w:bidi="en-US"/>
            </w:rPr>
            <w:t xml:space="preserve">Lietuvos Respublikos aplinkos ministro įsakymo „Dėl Valstybės paramos daugiabučiams namams atnaujinti (modernizuoti) teikimo ir daugiabučių namų atnaujinimo (modernizavimo) projektų įgyvendinimo priežiūros taisyklių patvirtinimo ir </w:t>
          </w:r>
          <w:r>
            <w:rPr>
              <w:rFonts w:eastAsia="Andale Sans UI" w:cs="Tahoma"/>
              <w:szCs w:val="24"/>
              <w:lang w:eastAsia="en-GB" w:bidi="en-US"/>
            </w:rPr>
            <w:t>daugiabučio namo atnaujinimo (modernizavimo) projektui įgyvendinti skirto kaupiamojo įnašo ir (ar) kitų įmokų didžiausios mėnesinės įmokos nustatymo</w:t>
          </w:r>
          <w:r>
            <w:rPr>
              <w:rFonts w:eastAsia="Andale Sans UI" w:cs="Tahoma"/>
              <w:szCs w:val="24"/>
              <w:lang w:bidi="en-US"/>
            </w:rPr>
            <w:t>“ projektą (toliau – Projektas)</w:t>
          </w:r>
          <w:r>
            <w:rPr>
              <w:rFonts w:eastAsia="Andale Sans UI"/>
              <w:szCs w:val="24"/>
              <w:lang w:bidi="en-US"/>
            </w:rPr>
            <w:t>.</w:t>
          </w:r>
        </w:p>
        <w:sdt>
          <w:sdtPr>
            <w:alias w:val="1 p."/>
            <w:tag w:val="part_ce8c8819abd24b6fa42302581144a2dd"/>
            <w:lock w:val="sdtLocked"/>
            <w:richText/>
          </w:sdtPr>
          <w:sdtContent>
            <w:p>
              <w:pPr>
                <w:tabs>
                  <w:tab w:val="left" w:pos="720"/>
                  <w:tab w:val="left" w:pos="993"/>
                </w:tabs>
                <w:spacing w:line="276" w:lineRule="auto"/>
                <w:ind w:firstLine="567"/>
                <w:jc w:val="both"/>
                <w:rPr>
                  <w:szCs w:val="24"/>
                </w:rPr>
              </w:pPr>
              <w:sdt>
                <w:sdtPr>
                  <w:alias w:val="Numeris"/>
                  <w:tag w:val="nr_ce8c8819abd24b6fa42302581144a2dd"/>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tabs>
                  <w:tab w:val="left" w:pos="720"/>
                  <w:tab w:val="left" w:pos="993"/>
                </w:tabs>
                <w:spacing w:line="276" w:lineRule="auto"/>
                <w:ind w:firstLine="567"/>
                <w:jc w:val="both"/>
                <w:rPr>
                  <w:szCs w:val="24"/>
                  <w:lang w:eastAsia="en-GB"/>
                </w:rPr>
              </w:pPr>
              <w:r>
                <w:rPr>
                  <w:szCs w:val="24"/>
                </w:rPr>
                <w:t xml:space="preserve">2024 m. balandžio 11 d. Seimui priėmus Valstybės paramos daugiabučiams namams atnaujinti (modernizuoti) įstatymo Nr. I-2455 3, 5, 6 ir 9 straipsnių pakeitimus (toliau – Įstatymas), </w:t>
              </w:r>
              <w:r>
                <w:rPr>
                  <w:rFonts w:ascii="Times" w:hAnsi="Times"/>
                  <w:szCs w:val="24"/>
                  <w:lang w:eastAsia="lt-LT"/>
                </w:rPr>
                <w:t>siekiant spartesnio ir lankstesnio teisės aktų keitimo proceso,</w:t>
              </w:r>
              <w:r>
                <w:rPr>
                  <w:szCs w:val="24"/>
                </w:rPr>
                <w:t xml:space="preserve"> sudaryta galimybė </w:t>
              </w:r>
              <w:r>
                <w:rPr>
                  <w:rFonts w:ascii="Times" w:hAnsi="Times"/>
                  <w:szCs w:val="24"/>
                  <w:lang w:eastAsia="lt-LT"/>
                </w:rPr>
                <w:t>Vyriausybei įgalioti aplinkos ministrą rengti ir tvirtinti teisės aktus, tarp jų – ir V</w:t>
              </w:r>
              <w:r>
                <w:rPr>
                  <w:szCs w:val="24"/>
                  <w:lang w:eastAsia="en-GB"/>
                </w:rPr>
                <w:t xml:space="preserve">alstybės paramos daugiabučiams namams atnaujinti (modernizuoti) teikimo ir daugiabučių namų atnaujinimo (modernizavimo) projektų įgyvendinimo priežiūros taisykles ir </w:t>
              </w:r>
              <w:r>
                <w:rPr>
                  <w:rFonts w:eastAsia="Andale Sans UI" w:cs="Tahoma"/>
                  <w:color w:val="000000"/>
                  <w:szCs w:val="24"/>
                  <w:shd w:val="clear" w:color="auto" w:fill="FFFFFF"/>
                  <w:lang w:bidi="en-US"/>
                </w:rPr>
                <w:t xml:space="preserve">daugiabučio namo atnaujinimo (modernizavimo) projektui įgyvendinti skirto kaupiamojo įnašo ir (ar) kitų įmokų didžiausias mėnesines įmokas </w:t>
              </w:r>
              <w:r>
                <w:rPr>
                  <w:szCs w:val="24"/>
                  <w:lang w:eastAsia="en-GB"/>
                </w:rPr>
                <w:t xml:space="preserve">(toliau – Įsakymu tvirtinamos Taisyklės). </w:t>
              </w:r>
            </w:p>
            <w:p>
              <w:pPr>
                <w:tabs>
                  <w:tab w:val="left" w:pos="851"/>
                  <w:tab w:val="left" w:pos="1134"/>
                  <w:tab w:val="left" w:pos="1276"/>
                  <w:tab w:val="left" w:pos="1418"/>
                </w:tabs>
                <w:spacing w:line="276" w:lineRule="auto"/>
                <w:ind w:firstLine="709"/>
                <w:jc w:val="both"/>
                <w:rPr>
                  <w:rFonts w:eastAsia="Andale Sans UI" w:cs="Tahoma"/>
                  <w:color w:val="000000"/>
                  <w:szCs w:val="24"/>
                  <w:lang w:bidi="en-US"/>
                </w:rPr>
              </w:pPr>
              <w:r>
                <w:rPr>
                  <w:rFonts w:ascii="Times" w:eastAsia="Andale Sans UI" w:hAnsi="Times" w:cs="Tahoma"/>
                  <w:szCs w:val="24"/>
                  <w:lang w:eastAsia="lt-LT" w:bidi="en-US"/>
                </w:rPr>
                <w:t>Vadovaujantis Įstatymo</w:t>
              </w:r>
              <w:r>
                <w:rPr>
                  <w:rFonts w:eastAsia="Andale Sans UI" w:cs="Tahoma"/>
                  <w:color w:val="000000"/>
                  <w:szCs w:val="24"/>
                  <w:lang w:bidi="en-US"/>
                </w:rPr>
                <w:t xml:space="preserve"> 3 straipsnio 1 dalies 2 punktu ir 5 dalimi, 5 straipsnio 1 ir 2 dalimis, </w:t>
              </w:r>
              <w:r>
                <w:rPr>
                  <w:rFonts w:eastAsia="Andale Sans UI" w:cs="Tahoma"/>
                  <w:szCs w:val="24"/>
                  <w:lang w:bidi="en-US"/>
                </w:rPr>
                <w:t>6 straipsnio 2  dalimi,</w:t>
              </w:r>
              <w:r>
                <w:rPr>
                  <w:rFonts w:eastAsia="Andale Sans UI" w:cs="Tahoma"/>
                  <w:color w:val="000000"/>
                  <w:szCs w:val="24"/>
                  <w:lang w:bidi="en-US"/>
                </w:rPr>
                <w:t xml:space="preserve"> </w:t>
              </w:r>
              <w:r>
                <w:rPr>
                  <w:rFonts w:ascii="Times" w:eastAsia="Andale Sans UI" w:hAnsi="Times" w:cs="Tahoma"/>
                  <w:szCs w:val="24"/>
                  <w:lang w:eastAsia="lt-LT" w:bidi="en-US"/>
                </w:rPr>
                <w:t>Vyriausybei</w:t>
              </w:r>
              <w:r>
                <w:rPr>
                  <w:rFonts w:ascii="Times" w:eastAsia="Andale Sans UI" w:hAnsi="Times" w:cs="Tahoma"/>
                  <w:szCs w:val="24"/>
                  <w:vertAlign w:val="superscript"/>
                  <w:lang w:eastAsia="lt-LT" w:bidi="en-US"/>
                </w:rPr>
                <w:footnoteReference w:id="1"/>
              </w:r>
              <w:r>
                <w:rPr>
                  <w:rFonts w:ascii="Times" w:eastAsia="Andale Sans UI" w:hAnsi="Times" w:cs="Tahoma"/>
                  <w:szCs w:val="24"/>
                  <w:lang w:eastAsia="lt-LT" w:bidi="en-US"/>
                </w:rPr>
                <w:t xml:space="preserve"> įgaliojus aplinkos ministrą patvirtinti </w:t>
              </w:r>
              <w:r>
                <w:rPr>
                  <w:szCs w:val="24"/>
                  <w:lang w:eastAsia="en-GB"/>
                </w:rPr>
                <w:t xml:space="preserve">Įsakymu tvirtinamas </w:t>
              </w:r>
              <w:r>
                <w:rPr>
                  <w:rFonts w:ascii="Times" w:eastAsia="Andale Sans UI" w:hAnsi="Times" w:cs="Tahoma"/>
                  <w:szCs w:val="24"/>
                  <w:lang w:eastAsia="lt-LT" w:bidi="en-US"/>
                </w:rPr>
                <w:t xml:space="preserve">Taisykles, numatoma, kad </w:t>
              </w:r>
              <w:r>
                <w:rPr>
                  <w:rFonts w:ascii="Times" w:eastAsia="Andale Sans UI" w:hAnsi="Times" w:cs="Tahoma"/>
                  <w:b/>
                  <w:bCs/>
                  <w:szCs w:val="24"/>
                  <w:lang w:eastAsia="lt-LT" w:bidi="en-US"/>
                </w:rPr>
                <w:t>d</w:t>
              </w:r>
              <w:r>
                <w:rPr>
                  <w:rFonts w:eastAsia="Andale Sans UI" w:cs="Tahoma"/>
                  <w:b/>
                  <w:bCs/>
                  <w:color w:val="000000"/>
                  <w:szCs w:val="24"/>
                  <w:lang w:bidi="en-US"/>
                </w:rPr>
                <w:t xml:space="preserve">augiabučio namo atnaujinimo (modernizavimo) </w:t>
              </w:r>
              <w:r>
                <w:rPr>
                  <w:rFonts w:eastAsia="Andale Sans UI" w:cs="Tahoma"/>
                  <w:b/>
                  <w:bCs/>
                  <w:szCs w:val="24"/>
                  <w:lang w:bidi="en-US"/>
                </w:rPr>
                <w:t xml:space="preserve">projektai, </w:t>
              </w:r>
              <w:r>
                <w:rPr>
                  <w:rFonts w:eastAsia="Andale Sans UI" w:cs="Tahoma"/>
                  <w:b/>
                  <w:bCs/>
                  <w:szCs w:val="24"/>
                  <w:lang w:eastAsia="lt-LT" w:bidi="en-US"/>
                </w:rPr>
                <w:t xml:space="preserve">kurių paraiškos pateiktos pagal kvietimus, paskelbtus iki 2024 metų rugpjūčio 31 d., teikti paraiškas atnaujinti (modernizuoti) daugiabučius namus </w:t>
              </w:r>
              <w:r>
                <w:rPr>
                  <w:rFonts w:eastAsia="Andale Sans UI" w:cs="Tahoma"/>
                  <w:b/>
                  <w:bCs/>
                  <w:szCs w:val="24"/>
                  <w:lang w:bidi="en-US"/>
                </w:rPr>
                <w:t>paga</w:t>
              </w:r>
              <w:r>
                <w:rPr>
                  <w:rFonts w:eastAsia="Andale Sans UI" w:cs="Tahoma"/>
                  <w:b/>
                  <w:bCs/>
                  <w:color w:val="000000"/>
                  <w:szCs w:val="24"/>
                  <w:lang w:bidi="en-US"/>
                </w:rPr>
                <w:t>l</w:t>
              </w:r>
              <w:r>
                <w:rPr>
                  <w:rFonts w:eastAsia="Andale Sans UI" w:cs="Tahoma"/>
                  <w:szCs w:val="24"/>
                  <w:lang w:eastAsia="en-GB" w:bidi="en-US"/>
                </w:rPr>
                <w:t xml:space="preserve"> </w:t>
              </w:r>
              <w:r>
                <w:rPr>
                  <w:rFonts w:eastAsia="Andale Sans UI" w:cs="Tahoma"/>
                  <w:i/>
                  <w:iCs/>
                  <w:szCs w:val="24"/>
                  <w:lang w:eastAsia="en-GB" w:bidi="en-US"/>
                </w:rPr>
                <w:t>Vyriausybės 2009 m. gruodžio 16 d. nutarimo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rFonts w:eastAsia="Andale Sans UI" w:cs="Tahoma"/>
                  <w:szCs w:val="24"/>
                  <w:lang w:eastAsia="en-GB" w:bidi="en-US"/>
                </w:rPr>
                <w:t xml:space="preserve">“  (toliau – Nutarimas Nr. 1725) ir Nutarimu patvirtintų  </w:t>
              </w:r>
              <w:r>
                <w:rPr>
                  <w:rFonts w:eastAsia="Andale Sans UI" w:cs="Tahoma"/>
                  <w:i/>
                  <w:iCs/>
                  <w:szCs w:val="24"/>
                  <w:lang w:eastAsia="en-GB" w:bidi="en-US"/>
                </w:rPr>
                <w:t>Valstybės paramos daugiabučiams namams atnaujinti (modernizuoti) teikimo ir daugiabučių namų atnaujinimo (modernizavimo) projektų įgyvendinimo priežiūros taisyklių</w:t>
              </w:r>
              <w:r>
                <w:rPr>
                  <w:rFonts w:eastAsia="Andale Sans UI" w:cs="Tahoma"/>
                  <w:szCs w:val="24"/>
                  <w:lang w:eastAsia="en-GB" w:bidi="en-US"/>
                </w:rPr>
                <w:t xml:space="preserve"> (toliau – Nutarimu Nr. 1725 patvirtintos Taisyklės) nuostatas, bus baigiami įgyvendinti pagal </w:t>
              </w:r>
              <w:r>
                <w:rPr>
                  <w:rFonts w:eastAsia="Andale Sans UI" w:cs="Tahoma"/>
                  <w:color w:val="000000"/>
                  <w:szCs w:val="24"/>
                  <w:lang w:bidi="en-US"/>
                </w:rPr>
                <w:t xml:space="preserve">Nutarimo </w:t>
              </w:r>
              <w:r>
                <w:rPr>
                  <w:rFonts w:eastAsia="Andale Sans UI" w:cs="Tahoma"/>
                  <w:szCs w:val="24"/>
                  <w:lang w:eastAsia="en-GB" w:bidi="en-US"/>
                </w:rPr>
                <w:t xml:space="preserve">Nr. 1725 </w:t>
              </w:r>
              <w:r>
                <w:rPr>
                  <w:rFonts w:eastAsia="Andale Sans UI" w:cs="Tahoma"/>
                  <w:color w:val="000000"/>
                  <w:szCs w:val="24"/>
                  <w:lang w:bidi="en-US"/>
                </w:rPr>
                <w:t xml:space="preserve">ir juo patvirtintų Taisyklių nuostatas. </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Numatoma, kad nauji kvietimai būtų skelbiami tik pagal naujas </w:t>
              </w:r>
              <w:r>
                <w:rPr>
                  <w:szCs w:val="24"/>
                  <w:lang w:eastAsia="en-GB"/>
                </w:rPr>
                <w:t xml:space="preserve">Įsakymu tvirtinamas </w:t>
              </w:r>
              <w:r>
                <w:rPr>
                  <w:rFonts w:ascii="Times" w:eastAsia="Andale Sans UI" w:hAnsi="Times" w:cs="Tahoma"/>
                  <w:szCs w:val="24"/>
                  <w:lang w:eastAsia="lt-LT" w:bidi="en-US"/>
                </w:rPr>
                <w:t>Taisykles</w:t>
              </w:r>
              <w:r>
                <w:rPr>
                  <w:rFonts w:eastAsia="Andale Sans UI" w:cs="Tahoma"/>
                  <w:szCs w:val="24"/>
                  <w:lang w:bidi="en-US"/>
                </w:rPr>
                <w:t xml:space="preserve">, kurias </w:t>
              </w:r>
              <w:r>
                <w:rPr>
                  <w:rFonts w:eastAsia="Andale Sans UI" w:cs="Tahoma"/>
                  <w:color w:val="000000"/>
                  <w:szCs w:val="24"/>
                  <w:lang w:bidi="en-US"/>
                </w:rPr>
                <w:t xml:space="preserve">aplinkos ministras patvirtins 2024 m. </w:t>
              </w:r>
            </w:p>
            <w:p>
              <w:pPr>
                <w:widowControl w:val="0"/>
                <w:suppressAutoHyphens/>
                <w:spacing w:line="276" w:lineRule="auto"/>
                <w:ind w:firstLine="567"/>
                <w:jc w:val="both"/>
                <w:rPr>
                  <w:rFonts w:eastAsia="Andale Sans UI" w:cs="Tahoma"/>
                  <w:szCs w:val="24"/>
                  <w:lang w:bidi="en-US"/>
                </w:rPr>
              </w:pPr>
              <w:r>
                <w:rPr>
                  <w:szCs w:val="24"/>
                  <w:lang w:eastAsia="en-GB"/>
                </w:rPr>
                <w:t>Įsakymu patvirtintos Tais</w:t>
              </w:r>
              <w:r>
                <w:rPr>
                  <w:rFonts w:eastAsia="Andale Sans UI" w:cs="Tahoma"/>
                  <w:szCs w:val="24"/>
                  <w:lang w:bidi="en-US"/>
                </w:rPr>
                <w:t>yklės apims Nutarimo Nr. 1725 ir juo patvirtintų Taisyklių nuostatas, kuriomis siekiama optimizuoti procesus ir reikalavimus projektams. Projektas bus papildytos nauju skyriumi „Valstybės parama taikant fiksuotąjį projekto išlaidų vieneto įkainį“</w:t>
              </w:r>
              <w:r>
                <w:rPr>
                  <w:rFonts w:eastAsia="Andale Sans UI" w:cs="Tahoma"/>
                  <w:szCs w:val="24"/>
                  <w:lang w:eastAsia="en-GB" w:bidi="en-US"/>
                </w:rPr>
                <w:t>.</w:t>
              </w:r>
              <w:r>
                <w:rPr>
                  <w:rFonts w:eastAsia="Andale Sans UI" w:cs="Tahoma"/>
                  <w:szCs w:val="24"/>
                  <w:lang w:bidi="en-US"/>
                </w:rPr>
                <w:t xml:space="preserve"> </w:t>
              </w:r>
            </w:p>
            <w:p>
              <w:pPr>
                <w:shd w:val="clear" w:color="auto" w:fill="FFFFFF"/>
                <w:spacing w:line="276" w:lineRule="auto"/>
                <w:ind w:firstLine="567"/>
                <w:jc w:val="both"/>
                <w:textAlignment w:val="center"/>
                <w:rPr>
                  <w:rFonts w:eastAsia="Andale Sans UI" w:cs="Tahoma"/>
                  <w:szCs w:val="24"/>
                  <w:lang w:eastAsia="lt-LT" w:bidi="en-US"/>
                </w:rPr>
              </w:pPr>
              <w:r>
                <w:rPr>
                  <w:rFonts w:eastAsia="Andale Sans UI"/>
                  <w:szCs w:val="24"/>
                  <w:lang w:bidi="en-US"/>
                </w:rPr>
                <w:t xml:space="preserve">Vadovaujantis Nutarimo Nr. 19 projekto nuostatomis, </w:t>
              </w:r>
              <w:r>
                <w:rPr>
                  <w:rFonts w:eastAsia="Andale Sans UI" w:cs="Tahoma"/>
                  <w:color w:val="000000"/>
                  <w:szCs w:val="24"/>
                  <w:lang w:bidi="en-US"/>
                </w:rPr>
                <w:t xml:space="preserve">Nutarimo </w:t>
              </w:r>
              <w:r>
                <w:rPr>
                  <w:rFonts w:eastAsia="Andale Sans UI" w:cs="Tahoma"/>
                  <w:szCs w:val="24"/>
                  <w:lang w:eastAsia="en-GB" w:bidi="en-US"/>
                </w:rPr>
                <w:t xml:space="preserve">Nr. 1725 </w:t>
              </w:r>
              <w:r>
                <w:rPr>
                  <w:rFonts w:eastAsia="Andale Sans UI" w:cs="Tahoma"/>
                  <w:color w:val="000000"/>
                  <w:szCs w:val="24"/>
                  <w:lang w:bidi="en-US"/>
                </w:rPr>
                <w:t>ir juo patvirtintų Taisyklių nuostatos neteks galios nuo 2024 m. rugsėjo 1 d.</w:t>
              </w:r>
              <w:r>
                <w:rPr>
                  <w:rFonts w:eastAsia="Andale Sans UI"/>
                  <w:szCs w:val="24"/>
                  <w:lang w:bidi="en-US"/>
                </w:rPr>
                <w:t xml:space="preserve"> </w:t>
              </w:r>
            </w:p>
            <w:p>
              <w:pPr>
                <w:widowControl w:val="0"/>
                <w:suppressAutoHyphens/>
                <w:spacing w:line="276" w:lineRule="auto"/>
                <w:ind w:firstLine="567"/>
                <w:jc w:val="both"/>
                <w:rPr>
                  <w:rFonts w:eastAsia="Andale Sans UI" w:cs="Tahoma"/>
                  <w:szCs w:val="22"/>
                  <w:lang w:eastAsia="lt-LT" w:bidi="en-US"/>
                </w:rPr>
              </w:pPr>
              <w:r>
                <w:rPr>
                  <w:rFonts w:eastAsia="Andale Sans UI" w:cs="Tahoma"/>
                  <w:szCs w:val="24"/>
                  <w:lang w:eastAsia="en-GB" w:bidi="en-US"/>
                </w:rPr>
                <w:t xml:space="preserve">Projektu siekiama reglamentuoti Įstatymo </w:t>
              </w:r>
              <w:r>
                <w:rPr>
                  <w:rFonts w:eastAsia="Andale Sans UI" w:cs="Tahoma"/>
                  <w:b/>
                  <w:bCs/>
                  <w:szCs w:val="24"/>
                  <w:lang w:eastAsia="en-GB" w:bidi="en-US"/>
                </w:rPr>
                <w:t xml:space="preserve">3 straipsnio 1 dalies 7 punkto nuostatas, kuriose </w:t>
              </w:r>
              <w:r>
                <w:rPr>
                  <w:rFonts w:eastAsia="Andale Sans UI" w:cs="Tahoma"/>
                  <w:b/>
                  <w:bCs/>
                  <w:color w:val="000000"/>
                  <w:szCs w:val="24"/>
                  <w:lang w:eastAsia="lt-LT" w:bidi="en-US"/>
                </w:rPr>
                <w:t>nustatyta nauja valstybės paramos rūšis</w:t>
              </w:r>
              <w:r>
                <w:rPr>
                  <w:rFonts w:eastAsia="Andale Sans UI" w:cs="Tahoma"/>
                  <w:color w:val="000000"/>
                  <w:szCs w:val="24"/>
                  <w:lang w:eastAsia="lt-LT" w:bidi="en-US"/>
                </w:rPr>
                <w:t xml:space="preserve"> – </w:t>
              </w:r>
              <w:r>
                <w:rPr>
                  <w:rFonts w:eastAsia="Andale Sans UI" w:cs="Tahoma"/>
                  <w:szCs w:val="24"/>
                  <w:lang w:eastAsia="en-GB" w:bidi="en-US"/>
                </w:rPr>
                <w:t>valstybės paramos teikimas Lietuvos Respublikos nepriklausomybės gynėjams, nukentėjusiems nuo 1991 m. sausio 11–13 d. ir po to vykdytos SSRS agresijos, žuvusių ir nukentėjusių Lietuvos Respublikos nepriklausomybės gynėjų šeimos nariams (vaikams (įvaikiams), našliams (našlėms) ir tėvams (įtėviams)).</w:t>
              </w:r>
            </w:p>
          </w:sdtContent>
        </w:sdt>
        <w:sdt>
          <w:sdtPr>
            <w:alias w:val="2 p."/>
            <w:tag w:val="part_fa028bc9aecb4256b64eff58273ce2d8"/>
            <w:lock w:val="sdtLocked"/>
            <w:richText/>
          </w:sdtPr>
          <w:sdtContent>
            <w:p>
              <w:pPr>
                <w:shd w:val="clear" w:color="auto" w:fill="FFFFFF"/>
                <w:spacing w:line="276" w:lineRule="auto"/>
                <w:ind w:firstLine="567"/>
                <w:jc w:val="both"/>
                <w:textAlignment w:val="center"/>
                <w:rPr>
                  <w:rFonts w:eastAsia="Andale Sans UI"/>
                  <w:b/>
                  <w:bCs/>
                  <w:szCs w:val="24"/>
                  <w:lang w:bidi="en-US"/>
                </w:rPr>
              </w:pPr>
              <w:sdt>
                <w:sdtPr>
                  <w:alias w:val="Numeris"/>
                  <w:tag w:val="nr_fa028bc9aecb4256b64eff58273ce2d8"/>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widowControl w:val="0"/>
                <w:suppressAutoHyphens/>
                <w:spacing w:line="276" w:lineRule="auto"/>
                <w:ind w:firstLine="567"/>
                <w:jc w:val="both"/>
                <w:rPr>
                  <w:color w:val="000000"/>
                  <w:lang w:eastAsia="lt-LT"/>
                </w:rPr>
              </w:pPr>
              <w:r>
                <w:t xml:space="preserve">2022 m. birželio 30 d. Seimui priėmus Valstybės paramos daugiabučiams namams atnaujinti (modernizuoti) įstatymo Nr. I-2455 3 straipsnio pakeitimo įstatymą, sudaryta galimybė taikyti  </w:t>
              </w:r>
              <w:r>
                <w:rPr>
                  <w:lang w:eastAsia="en-GB"/>
                </w:rPr>
                <w:t xml:space="preserve">įvairius valstybės paramos apmokėjimo būdus – </w:t>
              </w:r>
              <w:r>
                <w:rPr>
                  <w:rFonts w:eastAsia="Andale Sans UI" w:cs="Tahoma"/>
                  <w:b/>
                  <w:bCs/>
                  <w:szCs w:val="24"/>
                  <w:lang w:bidi="en-US"/>
                </w:rPr>
                <w:t xml:space="preserve">fiksuotojo projekto išlaidų vieneto įkainio   </w:t>
              </w:r>
              <w:r>
                <w:rPr>
                  <w:rFonts w:eastAsia="Andale Sans UI" w:cs="Tahoma"/>
                  <w:szCs w:val="24"/>
                  <w:lang w:bidi="en-US"/>
                </w:rPr>
                <w:t xml:space="preserve">(toliau – </w:t>
              </w:r>
              <w:r>
                <w:rPr>
                  <w:lang w:eastAsia="en-GB"/>
                </w:rPr>
                <w:t xml:space="preserve">fiksuotasis įkainis), </w:t>
              </w:r>
              <w:r>
                <w:rPr>
                  <w:color w:val="000000"/>
                  <w:lang w:eastAsia="lt-LT"/>
                </w:rPr>
                <w:t xml:space="preserve">avansinio mokėjimo, sąskaitų apmokėjimo ir (ar) kompensavimo. </w:t>
              </w:r>
            </w:p>
            <w:p>
              <w:pPr>
                <w:tabs>
                  <w:tab w:val="left" w:pos="720"/>
                  <w:tab w:val="left" w:pos="993"/>
                </w:tabs>
                <w:spacing w:line="276" w:lineRule="auto"/>
                <w:ind w:firstLine="720"/>
                <w:jc w:val="both"/>
                <w:rPr>
                  <w:szCs w:val="24"/>
                  <w:lang w:eastAsia="en-GB"/>
                </w:rPr>
              </w:pPr>
              <w:r>
                <w:rPr>
                  <w:szCs w:val="24"/>
                  <w:lang w:eastAsia="en-GB"/>
                </w:rPr>
                <w:t>Siekiant pakeisti daugiabučių namų atnaujinimo (modernizavimo)</w:t>
              </w:r>
              <w:r>
                <w:rPr>
                  <w:szCs w:val="24"/>
                  <w:vertAlign w:val="superscript"/>
                  <w:lang w:eastAsia="en-GB"/>
                </w:rPr>
                <w:footnoteReference w:id="2"/>
              </w:r>
              <w:r>
                <w:rPr>
                  <w:szCs w:val="24"/>
                  <w:lang w:eastAsia="en-GB"/>
                </w:rPr>
                <w:t xml:space="preserve"> finansavimo schemą, kuri nustatyta Lietuvos Respublikos valstybės paramos daugiabučiams namams atnaujinti (modernizuoti) įstatyme, nuspręsta išanalizuoti kaimyninių užsienio šalių</w:t>
              </w:r>
              <w:r>
                <w:rPr>
                  <w:szCs w:val="24"/>
                  <w:vertAlign w:val="superscript"/>
                  <w:lang w:eastAsia="en-GB"/>
                </w:rPr>
                <w:footnoteReference w:id="3"/>
              </w:r>
              <w:r>
                <w:rPr>
                  <w:szCs w:val="24"/>
                  <w:lang w:eastAsia="en-GB"/>
                </w:rPr>
                <w:t>, artimų savo klimatu Lietuvai, praktiką ir taikomas finansavimo schemas, taip pat – išanalizuoti duomenis, susijusius su daugiabučių renovacijos (modernizavimo) kainomis, atlikti tyrimą ir nustatyti daugiabučių namų atnaujinimo (modernizavimo) išlaidų fiksuotuosius valstybės paramos įkainius</w:t>
              </w:r>
              <w:r>
                <w:rPr>
                  <w:szCs w:val="24"/>
                  <w:vertAlign w:val="superscript"/>
                  <w:lang w:eastAsia="en-GB"/>
                </w:rPr>
                <w:footnoteReference w:id="4"/>
              </w:r>
              <w:r>
                <w:rPr>
                  <w:szCs w:val="24"/>
                  <w:lang w:eastAsia="en-GB"/>
                </w:rPr>
                <w:t xml:space="preserve">. </w:t>
              </w:r>
            </w:p>
            <w:p>
              <w:pPr>
                <w:widowControl w:val="0"/>
                <w:suppressLineNumbers/>
                <w:suppressAutoHyphens/>
                <w:ind w:firstLine="567"/>
                <w:jc w:val="both"/>
                <w:rPr>
                  <w:rFonts w:eastAsia="Andale Sans UI" w:cs="Tahoma"/>
                  <w:i/>
                  <w:iCs/>
                  <w:color w:val="000000"/>
                  <w:szCs w:val="24"/>
                  <w:lang w:bidi="en-US"/>
                </w:rPr>
              </w:pPr>
              <w:r>
                <w:rPr>
                  <w:rFonts w:eastAsia="Andale Sans UI" w:cs="Tahoma"/>
                  <w:szCs w:val="24"/>
                  <w:lang w:eastAsia="en-GB" w:bidi="en-US"/>
                </w:rPr>
                <w:t xml:space="preserve">Projektu siekiama įgyvendinti Įstatymo </w:t>
              </w:r>
              <w:r>
                <w:rPr>
                  <w:rFonts w:eastAsia="Andale Sans UI" w:cs="Tahoma"/>
                  <w:b/>
                  <w:bCs/>
                  <w:szCs w:val="24"/>
                  <w:lang w:eastAsia="en-GB" w:bidi="en-US"/>
                </w:rPr>
                <w:t xml:space="preserve">3 straipsnio 1 dalies 7 punktą, kuriame </w:t>
              </w:r>
              <w:r>
                <w:rPr>
                  <w:rFonts w:eastAsia="Andale Sans UI" w:cs="Tahoma"/>
                  <w:b/>
                  <w:bCs/>
                  <w:color w:val="000000"/>
                  <w:szCs w:val="24"/>
                  <w:lang w:eastAsia="lt-LT" w:bidi="en-US"/>
                </w:rPr>
                <w:t>nustatyta nauja valstybės paramos rūšis</w:t>
              </w:r>
              <w:r>
                <w:rPr>
                  <w:rFonts w:eastAsia="Andale Sans UI" w:cs="Tahoma"/>
                  <w:color w:val="000000"/>
                  <w:szCs w:val="24"/>
                  <w:lang w:eastAsia="lt-LT" w:bidi="en-US"/>
                </w:rPr>
                <w:t xml:space="preserve"> –</w:t>
              </w:r>
              <w:r>
                <w:rPr>
                  <w:rFonts w:eastAsia="Andale Sans UI" w:cs="Tahoma"/>
                  <w:szCs w:val="24"/>
                  <w:lang w:eastAsia="en-GB" w:bidi="en-US"/>
                </w:rPr>
                <w:t xml:space="preserve"> valstybės paramos teikimas Lietuvos Respublikos nepriklausomybės gynėjams, nukentėjusiems nuo 1991 m. sausio 11–13 d. ir po to vykdytos SSRS agresijos, žuvusių ir nukentėjusių Lietuvos Respublikos nepriklausomybės gynėjų šeimos nariams (vaikams (įvaikiams), našliams (našlėms) ir tėvams (įtėviams)). Įgyvendinant šią nuostatą, valstybės parama teikiama </w:t>
              </w:r>
              <w:r>
                <w:rPr>
                  <w:rFonts w:eastAsia="Andale Sans UI" w:cs="Tahoma"/>
                  <w:i/>
                  <w:iCs/>
                  <w:szCs w:val="24"/>
                  <w:lang w:eastAsia="en-GB" w:bidi="en-US"/>
                </w:rPr>
                <w:t>„</w:t>
              </w:r>
              <w:r>
                <w:rPr>
                  <w:rFonts w:eastAsia="Andale Sans UI" w:cs="Tahoma"/>
                  <w:i/>
                  <w:iCs/>
                  <w:color w:val="000000"/>
                  <w:szCs w:val="24"/>
                  <w:lang w:bidi="en-US"/>
                </w:rPr>
                <w:t xml:space="preserve">apmokant Lietuvos Respublikos nepriklausomybės gynėjams, nukentėjusiems nuo 1991 m. sausio 11–13 d. ir po to vykdytos SSRS agresijos, žuvusių Lietuvos Respublikos nepriklausomybės gynėjų šeimos nariams (vaikams (įvaikiams), našliams (našlėms) ir tėvams (įtėviams), Lietuvos Respublikos nepriklausomybės gynėjų, </w:t>
              </w:r>
              <w:r>
                <w:rPr>
                  <w:rFonts w:eastAsia="Andale Sans UI" w:cs="Tahoma"/>
                  <w:i/>
                  <w:iCs/>
                  <w:szCs w:val="24"/>
                  <w:lang w:bidi="en-US"/>
                </w:rPr>
                <w:t>netekusių 45  ir daugiau procentų dalyvumo (iki 2023 m. gruodžio 31 d. – 45  ir daugiau procentų darbingumo; iki 2005 m. birželio 30 d. – pripažintų invalidais) </w:t>
              </w:r>
              <w:r>
                <w:rPr>
                  <w:rFonts w:eastAsia="Andale Sans UI" w:cs="Tahoma"/>
                  <w:i/>
                  <w:iCs/>
                  <w:color w:val="000000"/>
                  <w:szCs w:val="24"/>
                  <w:lang w:bidi="en-US"/>
                </w:rPr>
                <w:t xml:space="preserve">dėl 1991 m. sausio 11–13 d. ir po to vykdytos SSRS agresijos, šeimos nariams (nepilnamečiams vaikams (įvaikiams), sutuoktiniams ir tėvams (įtėviams), tenkančias atnaujinimo projekto parengimo, įskaitant atnaujinimo projekto vykdymo priežiūrą ir atnaujinimo projekto ekspertizės, kai ji privaloma pagal Statybos įstatymą, atlikimą, jo įgyvendinimo administravimo, statybos techninės priežiūros išlaidas, kredito draudimo įmoką ir išmokant vienkartinę kompensaciją už kreditą, paimtą daugiabučiam namui atnaujinti (modernizuoti), ir (ar) palūkanas, jeigu jos buvo apskaičiuotos. Vienkartinė kompensacija išmokama </w:t>
              </w:r>
              <w:r>
                <w:rPr>
                  <w:rFonts w:eastAsia="Andale Sans UI" w:cs="Tahoma"/>
                  <w:i/>
                  <w:iCs/>
                  <w:szCs w:val="24"/>
                  <w:lang w:bidi="en-US"/>
                </w:rPr>
                <w:t xml:space="preserve">šiame punkte nurodytiems </w:t>
              </w:r>
              <w:r>
                <w:rPr>
                  <w:rFonts w:eastAsia="Andale Sans UI" w:cs="Tahoma"/>
                  <w:i/>
                  <w:iCs/>
                  <w:color w:val="000000"/>
                  <w:szCs w:val="24"/>
                  <w:lang w:bidi="en-US"/>
                </w:rPr>
                <w:t>asmenims ir tuo atveju, jeigu daugiabučiam namui atnaujinti (modernizuoti) kreditas nebuvo paimtas, tačiau buvo apmokėtas nuosavomis lėšomis. Valstybės parama teikiama asmenims, kurie yra būsto savininkai, tik už vieną nuosavybės teise valdomą būstą.“</w:t>
              </w:r>
            </w:p>
            <w:p>
              <w:pPr>
                <w:widowControl w:val="0"/>
                <w:suppressLineNumbers/>
                <w:suppressAutoHyphens/>
                <w:spacing w:line="276" w:lineRule="auto"/>
                <w:ind w:firstLine="567"/>
                <w:jc w:val="both"/>
                <w:rPr>
                  <w:rFonts w:eastAsia="Andale Sans UI" w:cs="Tahoma"/>
                  <w:color w:val="000000"/>
                  <w:szCs w:val="24"/>
                  <w:lang w:bidi="en-US"/>
                </w:rPr>
              </w:pPr>
              <w:r>
                <w:rPr>
                  <w:rFonts w:eastAsia="Andale Sans UI" w:cs="Tahoma"/>
                  <w:color w:val="000000"/>
                  <w:szCs w:val="24"/>
                  <w:lang w:bidi="en-US"/>
                </w:rPr>
                <w:t>“</w:t>
              </w:r>
            </w:p>
            <w:p>
              <w:pPr>
                <w:widowControl w:val="0"/>
                <w:suppressLineNumbers/>
                <w:suppressAutoHyphens/>
                <w:spacing w:line="276" w:lineRule="auto"/>
                <w:ind w:firstLine="567"/>
                <w:jc w:val="both"/>
                <w:rPr>
                  <w:lang w:eastAsia="en-GB"/>
                </w:rPr>
              </w:pPr>
              <w:r>
                <w:rPr>
                  <w:lang w:eastAsia="en-GB"/>
                </w:rPr>
                <w:t xml:space="preserve">Projektu siekiama nustatyti, kad Vyriausybei įgaliojus aplinkos ministrą tvirtinti Taisykles, iš jų ir konkrečius valstybės paramos dydžius (pvz., 30 proc. investicijų, tenkančių Vyriausybės nustatytoms energinio efektyvumo didinimo priemonėms, kompensavimas) ir kiekybinę jų išraišką procentais (pvz., 30 proc. investicijų) įvairioms paramos priemonėms. </w:t>
              </w:r>
            </w:p>
            <w:p>
              <w:pPr>
                <w:widowControl w:val="0"/>
                <w:suppressLineNumbers/>
                <w:suppressAutoHyphens/>
                <w:spacing w:line="276" w:lineRule="auto"/>
                <w:ind w:firstLine="567"/>
                <w:jc w:val="both"/>
                <w:rPr>
                  <w:rFonts w:eastAsia="Andale Sans UI"/>
                  <w:i/>
                  <w:iCs/>
                  <w:lang w:bidi="en-US"/>
                </w:rPr>
              </w:pPr>
              <w:r>
                <w:rPr>
                  <w:rFonts w:eastAsia="Andale Sans UI"/>
                  <w:lang w:bidi="en-US"/>
                </w:rPr>
                <w:t>Lietuvos statistikos departamento duomenimis</w:t>
              </w:r>
              <w:r>
                <w:rPr>
                  <w:rFonts w:eastAsia="Andale Sans UI"/>
                  <w:vertAlign w:val="superscript"/>
                  <w:lang w:bidi="en-US"/>
                </w:rPr>
                <w:footnoteReference w:id="5"/>
              </w:r>
              <w:r>
                <w:rPr>
                  <w:rFonts w:eastAsia="Andale Sans UI"/>
                  <w:lang w:bidi="en-US"/>
                </w:rPr>
                <w:t>, dėl statybinių medžiagų, gaminių kainų, vidutinio darbo užmokesčio didėjimo per metus (2023 m. gruodį, palyginti su 2022 m. gruodžiu) statybos sąnaudų elementų (žr. išnašą</w:t>
              </w:r>
              <w:r>
                <w:rPr>
                  <w:rFonts w:eastAsia="Andale Sans UI"/>
                  <w:vertAlign w:val="superscript"/>
                  <w:lang w:bidi="en-US"/>
                </w:rPr>
                <w:t>1</w:t>
              </w:r>
              <w:r>
                <w:rPr>
                  <w:rFonts w:eastAsia="Andale Sans UI"/>
                  <w:lang w:bidi="en-US"/>
                </w:rPr>
                <w:t xml:space="preserve">) kainos padidėjo 2,9 proc. </w:t>
              </w:r>
              <w:r>
                <w:t xml:space="preserve">Būtina turimomis lėšomis didinti atnaujinamų (modernizuojamų) daugiabučių namų skaičių, o šį tikslą galima pasiekti tik nustatant tam tikrus kriterijus, kurie tiesiogiai turės įtakos skiriamam valstybės paramos dydžiui, pavyzdžiui, kriterijus aukštesnei energinio naudingumo klasei pasiekti. </w:t>
              </w:r>
            </w:p>
            <w:p>
              <w:pPr>
                <w:widowControl w:val="0"/>
                <w:suppressAutoHyphens/>
                <w:spacing w:line="276" w:lineRule="auto"/>
                <w:ind w:firstLine="567"/>
                <w:jc w:val="both"/>
                <w:rPr>
                  <w:rFonts w:eastAsia="Andale Sans UI" w:cs="Tahoma"/>
                  <w:szCs w:val="24"/>
                  <w:lang w:eastAsia="en-GB" w:bidi="en-US"/>
                </w:rPr>
              </w:pPr>
              <w:r>
                <w:rPr>
                  <w:rFonts w:eastAsia="Andale Sans UI" w:cs="Tahoma"/>
                  <w:szCs w:val="24"/>
                  <w:lang w:eastAsia="en-GB" w:bidi="en-US"/>
                </w:rPr>
                <w:t>Projektu siūloma:</w:t>
              </w:r>
            </w:p>
          </w:sdtContent>
        </w:sdt>
        <w:sdt>
          <w:sdtPr>
            <w:alias w:val="1 p."/>
            <w:tag w:val="part_296bba2913af441cb012b438d642d6a9"/>
            <w:lock w:val="sdtLocked"/>
            <w:richText/>
          </w:sdtPr>
          <w:sdtContent>
            <w:p>
              <w:pPr>
                <w:widowControl w:val="0"/>
                <w:suppressLineNumbers/>
                <w:tabs>
                  <w:tab w:val="left" w:pos="709"/>
                  <w:tab w:val="left" w:pos="1418"/>
                  <w:tab w:val="left" w:pos="1843"/>
                  <w:tab w:val="left" w:pos="6237"/>
                  <w:tab w:val="right" w:pos="8306"/>
                </w:tabs>
                <w:suppressAutoHyphens/>
                <w:spacing w:line="276" w:lineRule="auto"/>
                <w:ind w:firstLine="567"/>
                <w:jc w:val="both"/>
                <w:rPr>
                  <w:b/>
                  <w:bCs/>
                </w:rPr>
              </w:pPr>
              <w:sdt>
                <w:sdtPr>
                  <w:alias w:val="Numeris"/>
                  <w:tag w:val="nr_296bba2913af441cb012b438d642d6a9"/>
                  <w:lock w:val="sdtLocked"/>
                  <w:richText/>
                </w:sdtPr>
                <w:sdtContent>
                  <w:r>
                    <w:rPr>
                      <w:b/>
                      <w:bCs/>
                    </w:rPr>
                    <w:t>1</w:t>
                  </w:r>
                </w:sdtContent>
              </w:sdt>
              <w:r>
                <w:rPr>
                  <w:b/>
                  <w:bCs/>
                </w:rPr>
                <w:t>.</w:t>
                <w:tab/>
              </w:r>
              <w:r>
                <w:rPr>
                  <w:rFonts w:eastAsia="Andale Sans UI" w:cs="Tahoma"/>
                  <w:color w:val="000000"/>
                  <w:szCs w:val="24"/>
                  <w:lang w:bidi="en-US"/>
                </w:rPr>
                <w:t xml:space="preserve">nutarimo </w:t>
              </w:r>
              <w:r>
                <w:rPr>
                  <w:rFonts w:eastAsia="Andale Sans UI" w:cs="Tahoma"/>
                  <w:szCs w:val="24"/>
                  <w:lang w:eastAsia="en-GB" w:bidi="en-US"/>
                </w:rPr>
                <w:t xml:space="preserve">Nr. 1725 </w:t>
              </w:r>
              <w:r>
                <w:rPr>
                  <w:rFonts w:eastAsia="Andale Sans UI" w:cs="Tahoma"/>
                  <w:color w:val="000000"/>
                  <w:szCs w:val="24"/>
                  <w:lang w:bidi="en-US"/>
                </w:rPr>
                <w:t xml:space="preserve">ir </w:t>
              </w:r>
              <w:r>
                <w:rPr>
                  <w:rFonts w:eastAsia="Andale Sans UI" w:cs="Tahoma"/>
                  <w:szCs w:val="24"/>
                  <w:lang w:eastAsia="en-GB" w:bidi="en-US"/>
                </w:rPr>
                <w:t xml:space="preserve">Nutarimu Nr. 1725 </w:t>
              </w:r>
              <w:r>
                <w:rPr>
                  <w:rFonts w:eastAsia="Andale Sans UI" w:cs="Tahoma"/>
                  <w:color w:val="000000"/>
                  <w:szCs w:val="24"/>
                  <w:lang w:bidi="en-US"/>
                </w:rPr>
                <w:t xml:space="preserve">patvirtintų Taisyklių </w:t>
              </w:r>
              <w:r>
                <w:rPr>
                  <w:b/>
                  <w:bCs/>
                  <w:lang w:eastAsia="en-GB"/>
                </w:rPr>
                <w:t>nuostatas perkelti į Projektą;</w:t>
              </w:r>
              <w:r>
                <w:rPr>
                  <w:lang w:eastAsia="en-GB"/>
                </w:rPr>
                <w:t xml:space="preserve"> </w:t>
              </w:r>
            </w:p>
          </w:sdtContent>
        </w:sdt>
        <w:sdt>
          <w:sdtPr>
            <w:alias w:val="2 p."/>
            <w:tag w:val="part_cc06adfd023a484f820e5ce79aea0405"/>
            <w:lock w:val="sdtLocked"/>
            <w:richText/>
          </w:sdtPr>
          <w:sdtContent>
            <w:p>
              <w:pPr>
                <w:widowControl w:val="0"/>
                <w:suppressLineNumbers/>
                <w:tabs>
                  <w:tab w:val="left" w:pos="709"/>
                  <w:tab w:val="left" w:pos="1418"/>
                  <w:tab w:val="left" w:pos="1843"/>
                  <w:tab w:val="left" w:pos="6237"/>
                  <w:tab w:val="right" w:pos="8306"/>
                </w:tabs>
                <w:suppressAutoHyphens/>
                <w:spacing w:line="276" w:lineRule="auto"/>
                <w:ind w:firstLine="567"/>
                <w:jc w:val="both"/>
                <w:rPr>
                  <w:b/>
                  <w:bCs/>
                </w:rPr>
              </w:pPr>
              <w:sdt>
                <w:sdtPr>
                  <w:alias w:val="Numeris"/>
                  <w:tag w:val="nr_cc06adfd023a484f820e5ce79aea0405"/>
                  <w:lock w:val="sdtLocked"/>
                  <w:richText/>
                </w:sdtPr>
                <w:sdtContent>
                  <w:r>
                    <w:rPr>
                      <w:b/>
                      <w:bCs/>
                    </w:rPr>
                    <w:t>2</w:t>
                  </w:r>
                </w:sdtContent>
              </w:sdt>
              <w:r>
                <w:rPr>
                  <w:b/>
                  <w:bCs/>
                </w:rPr>
                <w:t>.</w:t>
                <w:tab/>
              </w:r>
              <w:r>
                <w:rPr>
                  <w:lang w:eastAsia="en-GB"/>
                </w:rPr>
                <w:t>papildyti valstybės paramos apmokėjimo būdų sąrašą ir naujame V skyriuje „</w:t>
              </w:r>
              <w:r>
                <w:rPr>
                  <w:b/>
                  <w:bCs/>
                </w:rPr>
                <w:t>Valstybės parama taikant fiksuotąjį projekto išlaidų vieneto įkainį“</w:t>
              </w:r>
              <w:r>
                <w:rPr>
                  <w:lang w:eastAsia="en-GB"/>
                </w:rPr>
                <w:t xml:space="preserve"> nustatyti:</w:t>
              </w:r>
            </w:p>
            <w:sdt>
              <w:sdtPr>
                <w:alias w:val="2.1 pp."/>
                <w:tag w:val="part_2991b5360a8a4e2faaf86cf90e9b574a"/>
                <w:lock w:val="sdtLocked"/>
                <w:richText/>
              </w:sdtPr>
              <w:sdtContent>
                <w:p>
                  <w:pPr>
                    <w:widowControl w:val="0"/>
                    <w:suppressLineNumbers/>
                    <w:tabs>
                      <w:tab w:val="left" w:pos="709"/>
                      <w:tab w:val="left" w:pos="1418"/>
                      <w:tab w:val="left" w:pos="1843"/>
                      <w:tab w:val="left" w:pos="6237"/>
                      <w:tab w:val="right" w:pos="8306"/>
                    </w:tabs>
                    <w:suppressAutoHyphens/>
                    <w:spacing w:line="276" w:lineRule="auto"/>
                    <w:ind w:firstLine="567"/>
                    <w:jc w:val="both"/>
                  </w:pPr>
                  <w:sdt>
                    <w:sdtPr>
                      <w:alias w:val="Numeris"/>
                      <w:tag w:val="nr_2991b5360a8a4e2faaf86cf90e9b574a"/>
                      <w:lock w:val="sdtLocked"/>
                      <w:richText/>
                    </w:sdtPr>
                    <w:sdtContent>
                      <w:r>
                        <w:t>2.1</w:t>
                      </w:r>
                    </w:sdtContent>
                  </w:sdt>
                  <w:r>
                    <w:t>.</w:t>
                    <w:tab/>
                  </w:r>
                  <w:r>
                    <w:rPr>
                      <w:lang w:eastAsia="en-GB"/>
                    </w:rPr>
                    <w:t xml:space="preserve"> </w:t>
                  </w:r>
                  <w:r>
                    <w:t xml:space="preserve">daugiabučio namo atnaujinimo (modernizavimo) projekto ar jo dalies parengimo, projekto įgyvendinimo administravimui, techninei priežiūrai vykdyti ir energinį efektyvumą  didinančioms priemonėms įgyvendinti </w:t>
                  </w:r>
                  <w:r>
                    <w:rPr>
                      <w:lang w:eastAsia="lt-LT"/>
                    </w:rPr>
                    <w:t>fiksuotuosius įkainius;</w:t>
                  </w:r>
                </w:p>
              </w:sdtContent>
            </w:sdt>
            <w:sdt>
              <w:sdtPr>
                <w:alias w:val="2.2 pp."/>
                <w:tag w:val="part_0cd33580a1a244238561ef081c43a438"/>
                <w:lock w:val="sdtLocked"/>
                <w:richText/>
              </w:sdtPr>
              <w:sdtContent>
                <w:p>
                  <w:pPr>
                    <w:widowControl w:val="0"/>
                    <w:suppressLineNumbers/>
                    <w:tabs>
                      <w:tab w:val="left" w:pos="709"/>
                      <w:tab w:val="left" w:pos="1418"/>
                      <w:tab w:val="left" w:pos="1843"/>
                      <w:tab w:val="left" w:pos="6237"/>
                      <w:tab w:val="right" w:pos="8306"/>
                    </w:tabs>
                    <w:suppressAutoHyphens/>
                    <w:spacing w:line="276" w:lineRule="auto"/>
                    <w:ind w:firstLine="567"/>
                    <w:jc w:val="both"/>
                  </w:pPr>
                  <w:sdt>
                    <w:sdtPr>
                      <w:alias w:val="Numeris"/>
                      <w:tag w:val="nr_0cd33580a1a244238561ef081c43a438"/>
                      <w:lock w:val="sdtLocked"/>
                      <w:richText/>
                    </w:sdtPr>
                    <w:sdtContent>
                      <w:r>
                        <w:t>2.2</w:t>
                      </w:r>
                    </w:sdtContent>
                  </w:sdt>
                  <w:r>
                    <w:t>.</w:t>
                    <w:tab/>
                    <w:t xml:space="preserve">kad Valstybės parama </w:t>
                  </w:r>
                  <w:r>
                    <w:rPr>
                      <w:b/>
                      <w:bCs/>
                    </w:rPr>
                    <w:t>projektui ar jo daliai parengti, projekto įgyvendinimui</w:t>
                  </w:r>
                  <w:r>
                    <w:t xml:space="preserve"> </w:t>
                  </w:r>
                  <w:r>
                    <w:rPr>
                      <w:b/>
                      <w:bCs/>
                    </w:rPr>
                    <w:t>administruoti ir statybos techninei priežiūrai vykdyti teikiama</w:t>
                  </w:r>
                  <w:r>
                    <w:t xml:space="preserve"> ir apskaičiuojama pagal Taisyklių 1 priede nustatytus 1 kvadratinio metro fiksuotuosius įkainius ir pagal pasiektą daugiabučio namo energinio efektyvumo klasę,</w:t>
                  </w:r>
                  <w:r>
                    <w:rPr>
                      <w:rFonts w:eastAsia="Andale Sans UI" w:cs="Tahoma"/>
                      <w:szCs w:val="24"/>
                      <w:lang w:eastAsia="lt-LT" w:bidi="en-US"/>
                    </w:rPr>
                    <w:t xml:space="preserve"> skaičiuojamosios šiluminės energijos sąnaudų sumažinimą, įgyvendinus projektą ir į </w:t>
                  </w:r>
                  <w:r>
                    <w:t>atnaujinamo (modernizuojamo) daugiabučio namo</w:t>
                  </w:r>
                  <w:r>
                    <w:rPr>
                      <w:lang w:eastAsia="lt-LT"/>
                    </w:rPr>
                    <w:t xml:space="preserve"> naudingąjį plotą (kvadratiniai metrai), iki butų ir kitų patalpų savininkų investicijų plano, </w:t>
                  </w:r>
                  <w:r>
                    <w:t xml:space="preserve">registruoto valstybės įmonės Registrų centro Nekilnojamojo turto registre, </w:t>
                  </w:r>
                  <w:r>
                    <w:rPr>
                      <w:lang w:eastAsia="lt-LT"/>
                    </w:rPr>
                    <w:t>patvirtinimo dienos;</w:t>
                  </w:r>
                </w:p>
              </w:sdtContent>
            </w:sdt>
            <w:sdt>
              <w:sdtPr>
                <w:alias w:val="2.3 pp."/>
                <w:tag w:val="part_d21d3f19f45047648ab335f82f1a9430"/>
                <w:lock w:val="sdtLocked"/>
                <w:richText/>
              </w:sdtPr>
              <w:sdtContent>
                <w:p>
                  <w:pPr>
                    <w:widowControl w:val="0"/>
                    <w:suppressLineNumbers/>
                    <w:tabs>
                      <w:tab w:val="left" w:pos="709"/>
                      <w:tab w:val="left" w:pos="1418"/>
                      <w:tab w:val="left" w:pos="1843"/>
                      <w:tab w:val="left" w:pos="6237"/>
                      <w:tab w:val="right" w:pos="8306"/>
                    </w:tabs>
                    <w:suppressAutoHyphens/>
                    <w:spacing w:line="276" w:lineRule="auto"/>
                    <w:ind w:firstLine="567"/>
                    <w:jc w:val="both"/>
                  </w:pPr>
                  <w:sdt>
                    <w:sdtPr>
                      <w:alias w:val="Numeris"/>
                      <w:tag w:val="nr_d21d3f19f45047648ab335f82f1a9430"/>
                      <w:lock w:val="sdtLocked"/>
                      <w:richText/>
                    </w:sdtPr>
                    <w:sdtContent>
                      <w:r>
                        <w:t>2.3</w:t>
                      </w:r>
                    </w:sdtContent>
                  </w:sdt>
                  <w:r>
                    <w:t>.</w:t>
                    <w:tab/>
                  </w:r>
                  <w:r>
                    <w:rPr>
                      <w:lang w:eastAsia="lt-LT"/>
                    </w:rPr>
                    <w:t xml:space="preserve">kad Valstybės parama </w:t>
                  </w:r>
                  <w:r>
                    <w:rPr>
                      <w:b/>
                      <w:bCs/>
                    </w:rPr>
                    <w:t>energinį efektyvumą didinančioms</w:t>
                  </w:r>
                  <w:r>
                    <w:t xml:space="preserve"> priemonėms įgyvendinti</w:t>
                  </w:r>
                  <w:r>
                    <w:rPr>
                      <w:u w:val="single"/>
                    </w:rPr>
                    <w:t xml:space="preserve"> </w:t>
                  </w:r>
                  <w:r>
                    <w:t xml:space="preserve"> teikiama pagal Taisyklių 2 priede nustatytus 1 kvadratinio metro fiksuotuosius įkainius, pasiektą daugiabučio namo energinio efektyvumo klasę ir skaičiuojamosios šiluminės energijos sąnaudų sumažėjimą, įgyvendinus projektą, palyginant su skaičiuojamosiomis šiluminės energijos sąnaudomis iki daugiabučio namo atnaujinimo projekto įgyvendinimo, atsižvelgiant į atnaujinamo (modernizuojamo) daugiabučio namo </w:t>
                  </w:r>
                  <w:r>
                    <w:rPr>
                      <w:lang w:eastAsia="lt-LT"/>
                    </w:rPr>
                    <w:t>naudingąjį plotą, iki butų ir kitų patalpų savininkų investicijų plano, registruoto valstybės įmonės Registrų centro Nekilnojamojo turto registre, patvirtinimo dienos;</w:t>
                  </w:r>
                </w:p>
              </w:sdtContent>
            </w:sdt>
            <w:sdt>
              <w:sdtPr>
                <w:alias w:val="2.4 pp."/>
                <w:tag w:val="part_5e79762dfa8e48d79e53492405f3cfa1"/>
                <w:lock w:val="sdtLocked"/>
                <w:richText/>
              </w:sdtPr>
              <w:sdtContent>
                <w:p>
                  <w:pPr>
                    <w:widowControl w:val="0"/>
                    <w:suppressLineNumbers/>
                    <w:tabs>
                      <w:tab w:val="left" w:pos="1418"/>
                      <w:tab w:val="left" w:pos="1843"/>
                      <w:tab w:val="left" w:pos="6237"/>
                      <w:tab w:val="right" w:pos="8306"/>
                    </w:tabs>
                    <w:suppressAutoHyphens/>
                    <w:spacing w:line="276" w:lineRule="auto"/>
                    <w:ind w:firstLine="567"/>
                    <w:jc w:val="both"/>
                    <w:rPr>
                      <w:rFonts w:eastAsia="MS Mincho"/>
                    </w:rPr>
                  </w:pPr>
                  <w:sdt>
                    <w:sdtPr>
                      <w:alias w:val="Numeris"/>
                      <w:tag w:val="nr_5e79762dfa8e48d79e53492405f3cfa1"/>
                      <w:lock w:val="sdtLocked"/>
                      <w:richText/>
                    </w:sdtPr>
                    <w:sdtContent>
                      <w:r>
                        <w:rPr>
                          <w:rFonts w:eastAsia="MS Mincho"/>
                        </w:rPr>
                        <w:t>2.4</w:t>
                      </w:r>
                    </w:sdtContent>
                  </w:sdt>
                  <w:r>
                    <w:rPr>
                      <w:rFonts w:eastAsia="MS Mincho"/>
                    </w:rPr>
                    <w:t>.</w:t>
                    <w:tab/>
                  </w:r>
                  <w:r>
                    <w:rPr>
                      <w:b/>
                      <w:bCs/>
                      <w:color w:val="000000"/>
                      <w:lang w:val="lt"/>
                    </w:rPr>
                    <w:t>kad fiksuotuoju įkainiu apskaičiuota suma</w:t>
                  </w:r>
                  <w:r>
                    <w:rPr>
                      <w:color w:val="000000"/>
                      <w:lang w:val="lt"/>
                    </w:rPr>
                    <w:t xml:space="preserve"> projektui ar jo daliai parengti, projekto įgyvendinimui administruoti ir statybos techninei priežiūrai vykdyti</w:t>
                  </w:r>
                  <w:r>
                    <w:rPr>
                      <w:color w:val="000000"/>
                      <w:lang w:eastAsia="lt-LT"/>
                    </w:rPr>
                    <w:t xml:space="preserve"> </w:t>
                  </w:r>
                  <w:r>
                    <w:rPr>
                      <w:b/>
                      <w:bCs/>
                      <w:color w:val="000000"/>
                      <w:lang w:eastAsia="lt-LT"/>
                    </w:rPr>
                    <w:t>apskaičiuojama</w:t>
                  </w:r>
                  <w:r>
                    <w:rPr>
                      <w:lang w:eastAsia="lt-LT"/>
                    </w:rPr>
                    <w:t xml:space="preserve">, </w:t>
                  </w:r>
                  <w:r>
                    <w:t xml:space="preserve">projekto ar jo dalies parengimo, administravimo ir </w:t>
                  </w:r>
                  <w:r>
                    <w:rPr>
                      <w:color w:val="000000"/>
                      <w:lang w:val="lt"/>
                    </w:rPr>
                    <w:t xml:space="preserve">statybos techninės </w:t>
                  </w:r>
                  <w:r>
                    <w:t>priežiūros išlaidų fiksuotąjį įkainį (Eur/m</w:t>
                  </w:r>
                  <w:r>
                    <w:rPr>
                      <w:vertAlign w:val="superscript"/>
                    </w:rPr>
                    <w:t>2</w:t>
                  </w:r>
                  <w:r>
                    <w:t>), nustatytą Taisyklių 1 priede, padauginus iš atnaujinamo (modernizuojamo) daugiabučio namo naudingojo ploto (m)</w:t>
                  </w:r>
                  <w:r>
                    <w:rPr>
                      <w:color w:val="000000"/>
                      <w:lang w:eastAsia="lt-LT"/>
                    </w:rPr>
                    <w:t xml:space="preserve">, </w:t>
                  </w:r>
                  <w:r>
                    <w:rPr>
                      <w:rFonts w:eastAsia="Andale Sans UI" w:cs="Tahoma"/>
                      <w:szCs w:val="24"/>
                      <w:lang w:eastAsia="lt-LT" w:bidi="en-US"/>
                    </w:rPr>
                    <w:t>numatyto daugiabučio namo Nekilnojamojo turto registro išraše</w:t>
                  </w:r>
                  <w:r>
                    <w:rPr>
                      <w:color w:val="000000"/>
                      <w:lang w:eastAsia="lt-LT"/>
                    </w:rPr>
                    <w:t>;</w:t>
                  </w:r>
                </w:p>
              </w:sdtContent>
            </w:sdt>
            <w:sdt>
              <w:sdtPr>
                <w:alias w:val="2.5 pp."/>
                <w:tag w:val="part_a72560be41404464ba5cfd9a125e779d"/>
                <w:lock w:val="sdtLocked"/>
                <w:richText/>
              </w:sdtPr>
              <w:sdtContent>
                <w:p>
                  <w:pPr>
                    <w:widowControl w:val="0"/>
                    <w:suppressLineNumbers/>
                    <w:tabs>
                      <w:tab w:val="left" w:pos="1418"/>
                      <w:tab w:val="left" w:pos="1843"/>
                      <w:tab w:val="left" w:pos="6237"/>
                      <w:tab w:val="right" w:pos="8306"/>
                    </w:tabs>
                    <w:suppressAutoHyphens/>
                    <w:spacing w:line="276" w:lineRule="auto"/>
                    <w:ind w:firstLine="567"/>
                    <w:jc w:val="both"/>
                    <w:rPr>
                      <w:rFonts w:eastAsia="MS Mincho"/>
                    </w:rPr>
                  </w:pPr>
                  <w:sdt>
                    <w:sdtPr>
                      <w:alias w:val="Numeris"/>
                      <w:tag w:val="nr_a72560be41404464ba5cfd9a125e779d"/>
                      <w:lock w:val="sdtLocked"/>
                      <w:richText/>
                    </w:sdtPr>
                    <w:sdtContent>
                      <w:r>
                        <w:rPr>
                          <w:rFonts w:eastAsia="MS Mincho"/>
                        </w:rPr>
                        <w:t>2.5</w:t>
                      </w:r>
                    </w:sdtContent>
                  </w:sdt>
                  <w:r>
                    <w:rPr>
                      <w:rFonts w:eastAsia="MS Mincho"/>
                    </w:rPr>
                    <w:t>.</w:t>
                    <w:tab/>
                  </w:r>
                  <w:r>
                    <w:rPr>
                      <w:b/>
                      <w:bCs/>
                      <w:color w:val="000000"/>
                      <w:lang w:val="lt"/>
                    </w:rPr>
                    <w:t>kad fiksuotuoju įkainiu apskaičiuota suma</w:t>
                  </w:r>
                  <w:r>
                    <w:rPr>
                      <w:color w:val="000000"/>
                      <w:lang w:val="lt"/>
                    </w:rPr>
                    <w:t xml:space="preserve"> </w:t>
                  </w:r>
                  <w:r>
                    <w:t xml:space="preserve">energinį efektyvumą didinančioms  priemonėms įgyvendinti</w:t>
                  </w:r>
                  <w:r>
                    <w:rPr>
                      <w:color w:val="000000"/>
                      <w:lang w:eastAsia="lt-LT"/>
                    </w:rPr>
                    <w:t xml:space="preserve"> </w:t>
                  </w:r>
                  <w:r>
                    <w:rPr>
                      <w:b/>
                      <w:bCs/>
                      <w:color w:val="000000"/>
                      <w:lang w:eastAsia="lt-LT"/>
                    </w:rPr>
                    <w:t>apskaičiuojama</w:t>
                  </w:r>
                  <w:r>
                    <w:rPr>
                      <w:lang w:eastAsia="lt-LT"/>
                    </w:rPr>
                    <w:t xml:space="preserve">, </w:t>
                  </w:r>
                  <w:r>
                    <w:t>energinį efektyvumą didinančioms priemonėms įgyvendinti fiksuotąjį įkainį (Eur/m</w:t>
                  </w:r>
                  <w:r>
                    <w:rPr>
                      <w:vertAlign w:val="superscript"/>
                    </w:rPr>
                    <w:t>2</w:t>
                  </w:r>
                  <w:r>
                    <w:t xml:space="preserve">), nustatytą Taisyklių 2 priede, padauginus iš  atnaujinamo (modernizuojamo) daugiabučio namo naudingojo ploto (m)</w:t>
                  </w:r>
                  <w:r>
                    <w:rPr>
                      <w:color w:val="000000"/>
                      <w:lang w:eastAsia="lt-LT"/>
                    </w:rPr>
                    <w:t xml:space="preserve">, </w:t>
                  </w:r>
                  <w:r>
                    <w:rPr>
                      <w:rFonts w:eastAsia="Andale Sans UI" w:cs="Tahoma"/>
                      <w:szCs w:val="24"/>
                      <w:lang w:eastAsia="lt-LT" w:bidi="en-US"/>
                    </w:rPr>
                    <w:t>numatyto daugiabučio namo Nekilnojamojo turto registro išraše</w:t>
                  </w:r>
                  <w:r>
                    <w:rPr>
                      <w:color w:val="000000"/>
                      <w:lang w:eastAsia="lt-LT"/>
                    </w:rPr>
                    <w:t>;</w:t>
                  </w:r>
                </w:p>
              </w:sdtContent>
            </w:sdt>
          </w:sdtContent>
        </w:sdt>
        <w:sdt>
          <w:sdtPr>
            <w:alias w:val="3 p."/>
            <w:tag w:val="part_3fb89b92ec87495a913cc89de67976e5"/>
            <w:lock w:val="sdtLocked"/>
            <w:richText/>
          </w:sdtPr>
          <w:sdtContent>
            <w:p>
              <w:pPr>
                <w:spacing w:line="276" w:lineRule="auto"/>
                <w:ind w:firstLine="567"/>
                <w:jc w:val="both"/>
              </w:pPr>
              <w:sdt>
                <w:sdtPr>
                  <w:alias w:val="Numeris"/>
                  <w:tag w:val="nr_3fb89b92ec87495a913cc89de67976e5"/>
                  <w:lock w:val="sdtLocked"/>
                  <w:richText/>
                </w:sdtPr>
                <w:sdtContent>
                  <w:r>
                    <w:t>3</w:t>
                  </w:r>
                </w:sdtContent>
              </w:sdt>
              <w:r>
                <w:t>.</w:t>
                <w:tab/>
              </w:r>
              <w:r>
                <w:rPr>
                  <w:lang w:eastAsia="en-GB"/>
                </w:rPr>
                <w:t xml:space="preserve">išplėsti valstybės paramos apmokėjimo būdų sąrašą ir </w:t>
              </w:r>
              <w:r>
                <w:rPr>
                  <w:color w:val="000000"/>
                  <w:lang w:eastAsia="lt-LT"/>
                </w:rPr>
                <w:t>taikyti įvairius apmokėjimo būdus – avansinio mokėjimo, sąskaitų apmokėjimo ir (ar) kompensavimo</w:t>
              </w:r>
              <w:r>
                <w:t xml:space="preserve">; </w:t>
              </w:r>
            </w:p>
          </w:sdtContent>
        </w:sdt>
        <w:sdt>
          <w:sdtPr>
            <w:alias w:val="4 p."/>
            <w:tag w:val="part_2a3956d068bc48f8b2abcbed3289a908"/>
            <w:lock w:val="sdtLocked"/>
            <w:richText/>
          </w:sdtPr>
          <w:sdtContent>
            <w:p>
              <w:pPr>
                <w:spacing w:line="276" w:lineRule="auto"/>
                <w:ind w:firstLine="567"/>
                <w:jc w:val="both"/>
              </w:pPr>
              <w:sdt>
                <w:sdtPr>
                  <w:alias w:val="Numeris"/>
                  <w:tag w:val="nr_2a3956d068bc48f8b2abcbed3289a908"/>
                  <w:lock w:val="sdtLocked"/>
                  <w:richText/>
                </w:sdtPr>
                <w:sdtContent>
                  <w:r>
                    <w:t>4</w:t>
                  </w:r>
                </w:sdtContent>
              </w:sdt>
              <w:r>
                <w:t>.</w:t>
                <w:tab/>
              </w:r>
              <w:r>
                <w:rPr>
                  <w:lang w:eastAsia="en-GB"/>
                </w:rPr>
                <w:t xml:space="preserve">papildyti nauja </w:t>
              </w:r>
              <w:r>
                <w:rPr>
                  <w:b/>
                  <w:bCs/>
                  <w:color w:val="000000"/>
                  <w:lang w:eastAsia="lt-LT"/>
                </w:rPr>
                <w:t>valstybės paramos rūšimi, nustatyta</w:t>
              </w:r>
              <w:r>
                <w:rPr>
                  <w:color w:val="000000"/>
                  <w:lang w:eastAsia="lt-LT"/>
                </w:rPr>
                <w:t xml:space="preserve"> </w:t>
              </w:r>
              <w:r>
                <w:rPr>
                  <w:lang w:eastAsia="en-GB"/>
                </w:rPr>
                <w:t xml:space="preserve">Įstatymo </w:t>
              </w:r>
              <w:r>
                <w:rPr>
                  <w:b/>
                  <w:bCs/>
                  <w:lang w:eastAsia="en-GB"/>
                </w:rPr>
                <w:t xml:space="preserve">3 straipsnio 1 dalies 7 punkte ir reglamentuota projekto VI skyriuje, </w:t>
              </w:r>
              <w:r>
                <w:rPr>
                  <w:color w:val="000000"/>
                  <w:lang w:eastAsia="lt-LT"/>
                </w:rPr>
                <w:t xml:space="preserve">– </w:t>
              </w:r>
              <w:r>
                <w:rPr>
                  <w:lang w:eastAsia="en-GB"/>
                </w:rPr>
                <w:t>valstybės paramos teikimas Lietuvos Respublikos nepriklausomybės gynėjams, nukentėjusiems nuo 1991 m. sausio 11–13 d. ir po to vykdytos SSRS agresijos, žuvusių ir nukentėjusių Lietuvos Respublikos nepriklausomybės gynėjų šeimos nariams (vaikams (įvaikiams), našliams (našlėms) ir tėvams (įtėviams));</w:t>
              </w:r>
            </w:p>
          </w:sdtContent>
        </w:sdt>
        <w:sdt>
          <w:sdtPr>
            <w:alias w:val="5 p."/>
            <w:tag w:val="part_17791de1bac94fbf9d621015f2f2ce7e"/>
            <w:lock w:val="sdtLocked"/>
            <w:richText/>
          </w:sdtPr>
          <w:sdtContent>
            <w:p>
              <w:pPr>
                <w:widowControl w:val="0"/>
                <w:suppressAutoHyphens/>
                <w:spacing w:line="276" w:lineRule="auto"/>
                <w:ind w:firstLine="567"/>
                <w:jc w:val="both"/>
                <w:rPr>
                  <w:rFonts w:eastAsia="Andale Sans UI" w:cs="Tahoma"/>
                  <w:i/>
                  <w:szCs w:val="24"/>
                  <w:lang w:eastAsia="en-GB" w:bidi="en-US"/>
                </w:rPr>
              </w:pPr>
              <w:sdt>
                <w:sdtPr>
                  <w:alias w:val="Numeris"/>
                  <w:tag w:val="nr_17791de1bac94fbf9d621015f2f2ce7e"/>
                  <w:lock w:val="sdtLocked"/>
                  <w:richText/>
                </w:sdtPr>
                <w:sdtContent>
                  <w:r>
                    <w:rPr>
                      <w:rFonts w:eastAsia="Andale Sans UI" w:cs="Tahoma"/>
                      <w:i/>
                      <w:szCs w:val="24"/>
                      <w:lang w:eastAsia="en-GB" w:bidi="en-US"/>
                    </w:rPr>
                    <w:t>5</w:t>
                  </w:r>
                </w:sdtContent>
              </w:sdt>
              <w:r>
                <w:rPr>
                  <w:rFonts w:eastAsia="Andale Sans UI" w:cs="Tahoma"/>
                  <w:i/>
                  <w:szCs w:val="24"/>
                  <w:lang w:eastAsia="en-GB" w:bidi="en-US"/>
                </w:rPr>
                <w:t>.</w:t>
                <w:tab/>
              </w:r>
              <w:r>
                <w:rPr>
                  <w:lang w:eastAsia="lt-LT"/>
                </w:rPr>
                <w:t xml:space="preserve"> k</w:t>
              </w:r>
              <w:r>
                <w:rPr>
                  <w:lang w:eastAsia="en-GB"/>
                </w:rPr>
                <w:t xml:space="preserve">onkrečius valstybės paramos dydžius (pvz., 30 proc. investicijų, tenkančių Vyriausybės nustatytoms energinio efektyvumo didinimo priemonėms, kompensavimas) ir kiekybinę jų išraišką procentais (pvz., 30 proc. investicijų) įvairioms paramos priemonėms </w:t>
              </w:r>
              <w:r>
                <w:rPr>
                  <w:b/>
                  <w:bCs/>
                  <w:lang w:eastAsia="en-GB"/>
                </w:rPr>
                <w:t xml:space="preserve">nustatyti kvietimuose </w:t>
              </w:r>
              <w:r>
                <w:rPr>
                  <w:rFonts w:eastAsia="Calibri"/>
                  <w:lang w:eastAsia="lt-LT"/>
                </w:rPr>
                <w:t>teikti paraiškas atnaujinti (modernizuoti) daugiabučius namus</w:t>
              </w:r>
              <w:r>
                <w:rPr>
                  <w:lang w:eastAsia="en-GB"/>
                </w:rPr>
                <w:t xml:space="preserve">. </w:t>
              </w:r>
            </w:p>
            <w:p>
              <w:pPr>
                <w:widowControl w:val="0"/>
                <w:suppressAutoHyphens/>
                <w:spacing w:line="276" w:lineRule="auto"/>
                <w:ind w:left="567"/>
                <w:jc w:val="both"/>
                <w:rPr>
                  <w:rFonts w:eastAsia="Andale Sans UI" w:cs="Tahoma"/>
                  <w:i/>
                  <w:szCs w:val="24"/>
                  <w:lang w:eastAsia="en-GB" w:bidi="en-US"/>
                </w:rPr>
              </w:pPr>
              <w:r>
                <w:rPr>
                  <w:rFonts w:eastAsia="Andale Sans UI" w:cs="Tahoma"/>
                  <w:i/>
                  <w:szCs w:val="24"/>
                  <w:lang w:eastAsia="en-GB" w:bidi="en-US"/>
                </w:rPr>
                <w:t>Nauda</w:t>
              </w:r>
            </w:p>
            <w:p>
              <w:pPr>
                <w:spacing w:line="276" w:lineRule="auto"/>
                <w:ind w:firstLine="567"/>
                <w:jc w:val="both"/>
                <w:rPr>
                  <w:rFonts w:eastAsia="Andale Sans UI" w:cs="Tahoma"/>
                  <w:szCs w:val="24"/>
                  <w:lang w:eastAsia="en-GB" w:bidi="en-US"/>
                </w:rPr>
              </w:pPr>
              <w:r>
                <w:rPr>
                  <w:rFonts w:eastAsia="Andale Sans UI" w:cs="Tahoma"/>
                  <w:szCs w:val="24"/>
                  <w:lang w:eastAsia="en-GB" w:bidi="en-US"/>
                </w:rPr>
                <w:t xml:space="preserve">Priėmus teikiamą projektą, būtų sudaromos sąlygos veiksmingiau ir greičiau įgyvendinti pastatų renovacijos procesą, rečiau vykdyti apmokėjimus, teikti projekto administravimo paslaugas, </w:t>
              </w:r>
              <w:r>
                <w:rPr>
                  <w:rFonts w:eastAsia="Andale Sans UI" w:cs="Tahoma"/>
                  <w:color w:val="000000"/>
                  <w:szCs w:val="24"/>
                  <w:lang w:eastAsia="lt-LT" w:bidi="en-US"/>
                </w:rPr>
                <w:t>projekto ar jo dalies parengimo, projekto vykdymo priežiūros ir projekto ekspertizės paslaugas</w:t>
              </w:r>
              <w:r>
                <w:rPr>
                  <w:rFonts w:eastAsia="Andale Sans UI" w:cs="Tahoma"/>
                  <w:szCs w:val="24"/>
                  <w:lang w:eastAsia="en-GB" w:bidi="en-US"/>
                </w:rPr>
                <w:t>.</w:t>
              </w:r>
            </w:p>
            <w:p>
              <w:pPr>
                <w:spacing w:line="276" w:lineRule="auto"/>
                <w:ind w:firstLine="567"/>
                <w:jc w:val="both"/>
                <w:rPr>
                  <w:rFonts w:eastAsia="Andale Sans UI" w:cs="Tahoma"/>
                  <w:szCs w:val="24"/>
                  <w:lang w:eastAsia="en-GB" w:bidi="en-US"/>
                </w:rPr>
              </w:pPr>
              <w:r>
                <w:rPr>
                  <w:rFonts w:eastAsia="Andale Sans UI" w:cs="Tahoma"/>
                  <w:szCs w:val="24"/>
                  <w:lang w:eastAsia="en-GB" w:bidi="en-US"/>
                </w:rPr>
                <w:t xml:space="preserve">Pasiūlymais pakeisti daugiabučių namų atnaujinimo (modernizavimo) finansavimo schemą, nustačius daugiabučių namų atnaujinimo (modernizavimo) išlaidų fiksuotuosius valstybės paramos įkainius, būtų prisidedama prie  IRS, kuriai Vyriausybė pritarė 2021-03-31, įgyvendinimo.</w:t>
              </w:r>
            </w:p>
            <w:p>
              <w:pPr>
                <w:widowControl w:val="0"/>
                <w:suppressAutoHyphens/>
                <w:spacing w:line="276" w:lineRule="auto"/>
                <w:ind w:firstLine="567"/>
                <w:jc w:val="both"/>
                <w:rPr>
                  <w:rFonts w:eastAsia="Andale Sans UI" w:cs="Tahoma"/>
                  <w:i/>
                  <w:szCs w:val="24"/>
                  <w:lang w:eastAsia="en-GB" w:bidi="en-US"/>
                </w:rPr>
              </w:pPr>
              <w:r>
                <w:rPr>
                  <w:rFonts w:eastAsia="Andale Sans UI" w:cs="Tahoma"/>
                  <w:i/>
                  <w:szCs w:val="24"/>
                  <w:lang w:eastAsia="en-GB" w:bidi="en-US"/>
                </w:rPr>
                <w:t>Įgyvendinimo sąnaudos</w:t>
              </w:r>
            </w:p>
            <w:p>
              <w:pPr>
                <w:widowControl w:val="0"/>
                <w:tabs>
                  <w:tab w:val="left" w:pos="851"/>
                </w:tabs>
                <w:suppressAutoHyphens/>
                <w:spacing w:line="276" w:lineRule="auto"/>
                <w:ind w:firstLine="567"/>
                <w:jc w:val="both"/>
                <w:rPr>
                  <w:rFonts w:eastAsia="Andale Sans UI" w:cs="Tahoma"/>
                  <w:szCs w:val="24"/>
                  <w:lang w:bidi="en-US"/>
                </w:rPr>
              </w:pPr>
              <w:r>
                <w:rPr>
                  <w:rFonts w:eastAsia="Andale Sans UI" w:cs="Tahoma"/>
                  <w:szCs w:val="24"/>
                  <w:lang w:bidi="en-US"/>
                </w:rPr>
                <w:t>Projektui įgyvendinti reikės papildomų valstybės biudžeto lėšų</w:t>
              </w:r>
              <w:r>
                <w:rPr>
                  <w:rFonts w:eastAsia="Andale Sans UI" w:cs="Tahoma"/>
                  <w:szCs w:val="24"/>
                  <w:vertAlign w:val="superscript"/>
                  <w:lang w:bidi="en-US"/>
                </w:rPr>
                <w:footnoteReference w:id="6"/>
              </w:r>
              <w:r>
                <w:rPr>
                  <w:rFonts w:eastAsia="Andale Sans UI" w:cs="Tahoma"/>
                  <w:szCs w:val="24"/>
                  <w:lang w:bidi="en-US"/>
                </w:rPr>
                <w:t xml:space="preserve"> poreikis teikiamai valstybės paramai vienkartinėms kompensacijoms: </w:t>
              </w:r>
              <w:r>
                <w:rPr>
                  <w:rFonts w:eastAsia="Andale Sans UI" w:cs="Tahoma"/>
                  <w:b/>
                  <w:bCs/>
                  <w:szCs w:val="24"/>
                  <w:lang w:bidi="en-US"/>
                </w:rPr>
                <w:t>maksimalus galimas</w:t>
              </w:r>
              <w:r>
                <w:rPr>
                  <w:rFonts w:eastAsia="Andale Sans UI" w:cs="Tahoma"/>
                  <w:szCs w:val="24"/>
                  <w:lang w:bidi="en-US"/>
                </w:rPr>
                <w:t xml:space="preserve"> 370 (</w:t>
              </w:r>
              <w:r>
                <w:rPr>
                  <w:rFonts w:eastAsia="Andale Sans UI" w:cs="Tahoma"/>
                  <w:szCs w:val="24"/>
                  <w:lang w:eastAsia="lt-LT" w:bidi="en-US"/>
                </w:rPr>
                <w:t>180+20+170)</w:t>
              </w:r>
              <w:r>
                <w:rPr>
                  <w:rFonts w:eastAsia="Andale Sans UI" w:cs="Tahoma"/>
                  <w:szCs w:val="24"/>
                  <w:lang w:bidi="en-US"/>
                </w:rPr>
                <w:t xml:space="preserve"> asmenims mokamos vienkartinės kompensacijos dydis sudarytų 4,87 </w:t>
              </w:r>
              <w:r>
                <w:rPr>
                  <w:rFonts w:eastAsia="Andale Sans UI" w:cs="Tahoma"/>
                  <w:b/>
                  <w:bCs/>
                  <w:szCs w:val="24"/>
                  <w:lang w:bidi="en-US"/>
                </w:rPr>
                <w:t>mln. eurų</w:t>
              </w:r>
              <w:r>
                <w:rPr>
                  <w:rFonts w:eastAsia="Andale Sans UI" w:cs="Tahoma"/>
                  <w:szCs w:val="24"/>
                  <w:lang w:bidi="en-US"/>
                </w:rPr>
                <w:t xml:space="preserve">, iš jų </w:t>
              </w:r>
              <w:r>
                <w:rPr>
                  <w:rFonts w:eastAsia="Andale Sans UI" w:cs="Tahoma"/>
                  <w:b/>
                  <w:bCs/>
                  <w:szCs w:val="24"/>
                  <w:lang w:bidi="en-US"/>
                </w:rPr>
                <w:t>papildomai</w:t>
              </w:r>
              <w:r>
                <w:rPr>
                  <w:rFonts w:eastAsia="Andale Sans UI" w:cs="Tahoma"/>
                  <w:szCs w:val="24"/>
                  <w:lang w:bidi="en-US"/>
                </w:rPr>
                <w:t xml:space="preserve"> asmenų grupei (nukentėjusių asmenų šeimos nariams) – </w:t>
              </w:r>
              <w:r>
                <w:rPr>
                  <w:rFonts w:eastAsia="Andale Sans UI" w:cs="Tahoma"/>
                  <w:b/>
                  <w:bCs/>
                  <w:szCs w:val="24"/>
                  <w:lang w:bidi="en-US"/>
                </w:rPr>
                <w:t xml:space="preserve">190 asmenims – 2,5 mln. eurų. </w:t>
              </w:r>
              <w:r>
                <w:rPr>
                  <w:rFonts w:eastAsia="Andale Sans UI" w:cs="Tahoma"/>
                  <w:szCs w:val="24"/>
                  <w:lang w:bidi="en-US"/>
                </w:rPr>
                <w:t>Galimas asmenų skaičius per metus galėtų sudaryti apie 10 procentų nuo bendro asmenų skaičiaus (370), t. y</w:t>
              </w:r>
              <w:r>
                <w:rPr>
                  <w:rFonts w:eastAsia="Andale Sans UI" w:cs="Tahoma"/>
                  <w:b/>
                  <w:bCs/>
                  <w:szCs w:val="24"/>
                  <w:lang w:bidi="en-US"/>
                </w:rPr>
                <w:t>. apie 37 asmenims papildomas metinis mokamos kompensacijos dydis būtų apie 487 tūkst. eurų.</w:t>
              </w:r>
            </w:p>
            <w:p>
              <w:pPr>
                <w:widowControl w:val="0"/>
                <w:suppressAutoHyphens/>
                <w:spacing w:line="276" w:lineRule="auto"/>
                <w:ind w:firstLine="567"/>
                <w:jc w:val="both"/>
                <w:rPr>
                  <w:rFonts w:eastAsia="Andale Sans UI" w:cs="Tahoma"/>
                  <w:szCs w:val="24"/>
                  <w:lang w:val="en-GB" w:bidi="en-US"/>
                </w:rPr>
              </w:pPr>
              <w:r>
                <w:rPr>
                  <w:rFonts w:eastAsia="Andale Sans UI" w:cs="Tahoma"/>
                  <w:szCs w:val="24"/>
                  <w:lang w:bidi="en-US"/>
                </w:rPr>
                <w:t>Aplinkos projektų valdymo agentūros preliminariais skaičiavimais, šiai valstybės paramai administruoti 2024 m. reikėtų apie 40 tūkst. eurų (papildomam moduliui Aplinkos projektų valdymo informacinėje sistemoje sukurti – 5,9 tūkst. eurų, žmogiškųjų išteklių šiai socialinei asmenų grupei vertinti, vienkartinei kompensacijai apskaičiuoti ir išmokėti reikia 1 etato – 31,6 tūkst. eurų, paslaugoms – 2 tūkst. eurų).</w:t>
              </w:r>
            </w:p>
          </w:sdtContent>
        </w:sdt>
        <w:sdt>
          <w:sdtPr>
            <w:alias w:val="4 p."/>
            <w:tag w:val="part_ef3aaae4dc51451388ce05bb5762d707"/>
            <w:lock w:val="sdtLocked"/>
            <w:richText/>
          </w:sdtPr>
          <w:sdtContent>
            <w:p>
              <w:pPr>
                <w:spacing w:line="276" w:lineRule="auto"/>
                <w:ind w:firstLine="567"/>
                <w:jc w:val="both"/>
                <w:rPr>
                  <w:rFonts w:eastAsia="Andale Sans UI"/>
                  <w:b/>
                  <w:bCs/>
                  <w:szCs w:val="24"/>
                  <w:lang w:bidi="en-US"/>
                </w:rPr>
              </w:pPr>
              <w:sdt>
                <w:sdtPr>
                  <w:alias w:val="Numeris"/>
                  <w:tag w:val="nr_ef3aaae4dc51451388ce05bb5762d707"/>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hd w:val="clear" w:color="auto" w:fill="FFFFFF"/>
                <w:spacing w:line="276" w:lineRule="auto"/>
                <w:ind w:firstLine="567"/>
                <w:jc w:val="both"/>
                <w:textAlignment w:val="center"/>
                <w:rPr>
                  <w:rFonts w:eastAsia="Andale Sans UI" w:cs="Tahoma"/>
                  <w:color w:val="000000"/>
                  <w:szCs w:val="24"/>
                  <w:lang w:eastAsia="lt-LT" w:bidi="en-US"/>
                </w:rPr>
              </w:pPr>
              <w:r>
                <w:rPr>
                  <w:rFonts w:eastAsia="Andale Sans UI" w:cs="Tahoma"/>
                  <w:color w:val="000000"/>
                  <w:szCs w:val="24"/>
                  <w:lang w:eastAsia="lt-LT" w:bidi="en-US"/>
                </w:rPr>
                <w:t>Rodikliai Projekte nenurodomi ir nestebimi.</w:t>
              </w:r>
            </w:p>
          </w:sdtContent>
        </w:sdt>
        <w:sdt>
          <w:sdtPr>
            <w:alias w:val="5 p."/>
            <w:tag w:val="part_8d05b7fa737c40488ba33453b0e880fe"/>
            <w:lock w:val="sdtLocked"/>
            <w:richText/>
          </w:sdtPr>
          <w:sdtContent>
            <w:p>
              <w:pPr>
                <w:shd w:val="clear" w:color="auto" w:fill="FFFFFF"/>
                <w:spacing w:line="276" w:lineRule="auto"/>
                <w:ind w:firstLine="567"/>
                <w:jc w:val="both"/>
                <w:textAlignment w:val="center"/>
                <w:rPr>
                  <w:rFonts w:eastAsia="Andale Sans UI"/>
                  <w:szCs w:val="24"/>
                  <w:lang w:bidi="en-US"/>
                </w:rPr>
              </w:pPr>
              <w:sdt>
                <w:sdtPr>
                  <w:alias w:val="Numeris"/>
                  <w:tag w:val="nr_8d05b7fa737c40488ba33453b0e880fe"/>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7"/>
              </w:r>
              <w:r>
                <w:rPr>
                  <w:b/>
                  <w:bCs/>
                  <w:szCs w:val="24"/>
                  <w:lang w:eastAsia="lt-LT" w:bidi="en-US"/>
                </w:rPr>
                <w:t xml:space="preserve"> nuostatų įgyvendinimas</w:t>
              </w:r>
            </w:p>
            <w:p>
              <w:pPr>
                <w:shd w:val="clear" w:color="auto" w:fill="FFFFFF"/>
                <w:spacing w:line="276" w:lineRule="auto"/>
                <w:ind w:firstLine="567"/>
                <w:jc w:val="both"/>
                <w:textAlignment w:val="center"/>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p>
            <w:sdt>
              <w:sdtPr>
                <w:alias w:val="157.5 pp."/>
                <w:tag w:val="part_0bb47a3287cf4c21be1727e593335628"/>
                <w:lock w:val="sdtLocked"/>
                <w:richText/>
              </w:sdtPr>
              <w:sdtContent>
                <w:p>
                  <w:pPr>
                    <w:shd w:val="clear" w:color="auto" w:fill="FFFFFF"/>
                    <w:spacing w:line="276" w:lineRule="auto"/>
                    <w:ind w:firstLine="567"/>
                    <w:jc w:val="both"/>
                    <w:textAlignment w:val="center"/>
                    <w:rPr>
                      <w:rFonts w:eastAsia="Andale Sans UI"/>
                      <w:szCs w:val="24"/>
                      <w:lang w:bidi="en-US"/>
                    </w:rPr>
                  </w:pPr>
                  <w:sdt>
                    <w:sdtPr>
                      <w:alias w:val="Numeris"/>
                      <w:tag w:val="nr_0bb47a3287cf4c21be1727e593335628"/>
                      <w:lock w:val="sdtLocked"/>
                      <w:richText/>
                    </w:sdtPr>
                    <w:sdtContent>
                      <w:r>
                        <w:rPr>
                          <w:rFonts w:eastAsia="Andale Sans UI" w:cs="Tahoma"/>
                          <w:szCs w:val="24"/>
                          <w:lang w:bidi="en-US"/>
                        </w:rPr>
                        <w:t>157.5</w:t>
                      </w:r>
                    </w:sdtContent>
                  </w:sdt>
                  <w:r>
                    <w:rPr>
                      <w:rFonts w:eastAsia="Andale Sans UI" w:cs="Tahoma"/>
                      <w:szCs w:val="24"/>
                      <w:lang w:bidi="en-US"/>
                    </w:rPr>
                    <w:t xml:space="preserve"> papunktyje nustatytas tikslas „Renovacijos banga – 1 000 renovuotų daugiabučių per metus“</w:t>
                  </w:r>
                  <w:r>
                    <w:rPr>
                      <w:rFonts w:eastAsia="Andale Sans UI"/>
                      <w:szCs w:val="24"/>
                      <w:lang w:bidi="en-US"/>
                    </w:rPr>
                    <w:t>.</w:t>
                  </w:r>
                </w:p>
                <w:p>
                  <w:pPr>
                    <w:shd w:val="clear" w:color="auto" w:fill="FFFFFF"/>
                    <w:spacing w:line="276" w:lineRule="auto"/>
                    <w:ind w:firstLine="567"/>
                    <w:jc w:val="both"/>
                    <w:textAlignment w:val="center"/>
                    <w:rPr>
                      <w:b/>
                      <w:bCs/>
                      <w:szCs w:val="24"/>
                      <w:lang w:eastAsia="lt-LT"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Content>
        </w:sdt>
        <w:sdt>
          <w:sdtPr>
            <w:alias w:val="6 p."/>
            <w:tag w:val="part_0a6d5750493f4f2d98dcde8843e8671a"/>
            <w:lock w:val="sdtLocked"/>
            <w:richText/>
          </w:sdtPr>
          <w:sdtContent>
            <w:p>
              <w:pPr>
                <w:spacing w:line="276" w:lineRule="auto"/>
                <w:ind w:firstLine="567"/>
                <w:jc w:val="both"/>
                <w:rPr>
                  <w:b/>
                  <w:bCs/>
                  <w:szCs w:val="24"/>
                  <w:lang w:eastAsia="lt-LT" w:bidi="en-US"/>
                </w:rPr>
              </w:pPr>
              <w:sdt>
                <w:sdtPr>
                  <w:alias w:val="Numeris"/>
                  <w:tag w:val="nr_0a6d5750493f4f2d98dcde8843e8671a"/>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color w:val="000000"/>
                  <w:szCs w:val="24"/>
                  <w:lang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Kartu teikiama atitikties lentelė</w:t>
              </w:r>
              <w:r>
                <w:rPr>
                  <w:rFonts w:eastAsia="Andale Sans UI"/>
                  <w:szCs w:val="24"/>
                  <w:vertAlign w:val="superscript"/>
                  <w:lang w:eastAsia="lt-LT" w:bidi="en-US"/>
                </w:rPr>
                <w:footnoteReference w:id="8"/>
              </w:r>
              <w:r>
                <w:rPr>
                  <w:rFonts w:eastAsia="Andale Sans UI"/>
                  <w:szCs w:val="24"/>
                  <w:lang w:eastAsia="lt-LT" w:bidi="en-US"/>
                </w:rPr>
                <w:t>, kuri paskelbta ir Lietuvos narystės Europos Sąjungoje informacinėje sistemoje (LINESIS)</w:t>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w:t>
              </w:r>
            </w:p>
          </w:sdtContent>
        </w:sdt>
        <w:sdt>
          <w:sdtPr>
            <w:alias w:val="7 p."/>
            <w:tag w:val="part_16c9e006f6c84ed5a251bf0dc7c3aa36"/>
            <w:lock w:val="sdtLocked"/>
            <w:richText/>
          </w:sdtPr>
          <w:sdtContent>
            <w:p>
              <w:pPr>
                <w:spacing w:line="276" w:lineRule="auto"/>
                <w:ind w:firstLine="567"/>
                <w:jc w:val="both"/>
                <w:rPr>
                  <w:rFonts w:eastAsia="Andale Sans UI"/>
                  <w:b/>
                  <w:bCs/>
                  <w:szCs w:val="24"/>
                  <w:lang w:bidi="en-US"/>
                </w:rPr>
              </w:pPr>
              <w:sdt>
                <w:sdtPr>
                  <w:alias w:val="Numeris"/>
                  <w:tag w:val="nr_16c9e006f6c84ed5a251bf0dc7c3aa36"/>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9"/>
              </w:r>
              <w:r>
                <w:rPr>
                  <w:rFonts w:eastAsia="Andale Sans UI"/>
                  <w:b/>
                  <w:bCs/>
                  <w:szCs w:val="24"/>
                  <w:lang w:bidi="en-US"/>
                </w:rPr>
                <w:t xml:space="preserve"> Europos Komisijai</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9cb97735d0bb4bf8a13ee11a4f047133"/>
            <w:lock w:val="sdtLocked"/>
            <w:richText/>
          </w:sdtPr>
          <w:sdtContent>
            <w:p>
              <w:pPr>
                <w:spacing w:line="276" w:lineRule="auto"/>
                <w:ind w:firstLine="567"/>
                <w:jc w:val="both"/>
                <w:rPr>
                  <w:rFonts w:eastAsia="Andale Sans UI"/>
                  <w:b/>
                  <w:bCs/>
                  <w:szCs w:val="24"/>
                  <w:lang w:bidi="en-US"/>
                </w:rPr>
              </w:pPr>
              <w:sdt>
                <w:sdtPr>
                  <w:alias w:val="Numeris"/>
                  <w:tag w:val="nr_9cb97735d0bb4bf8a13ee11a4f047133"/>
                  <w:lock w:val="sdtLocked"/>
                  <w:richText/>
                </w:sdtPr>
                <w:sdtContent>
                  <w:r>
                    <w:rPr>
                      <w:rFonts w:eastAsia="Andale Sans UI"/>
                      <w:b/>
                      <w:bCs/>
                      <w:szCs w:val="24"/>
                      <w:lang w:bidi="en-US"/>
                    </w:rPr>
                    <w:t>8</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10"/>
              </w:r>
              <w:r>
                <w:rPr>
                  <w:rFonts w:eastAsia="Andale Sans UI"/>
                  <w:b/>
                  <w:bCs/>
                  <w:szCs w:val="24"/>
                  <w:lang w:bidi="en-US"/>
                </w:rPr>
                <w:t xml:space="preserve"> </w:t>
              </w:r>
              <w:r>
                <w:rPr>
                  <w:color w:val="000000"/>
                  <w:szCs w:val="24"/>
                  <w:lang w:bidi="en-US"/>
                </w:rPr>
                <w:t>(pažymimas tinkamas variantas)</w:t>
              </w:r>
            </w:p>
            <w:p>
              <w:pPr>
                <w:widowControl w:val="0"/>
                <w:spacing w:line="276" w:lineRule="auto"/>
                <w:ind w:firstLine="567"/>
                <w:jc w:val="both"/>
                <w:rPr>
                  <w:rFonts w:eastAsia="Andale Sans UI"/>
                  <w:i/>
                  <w:iCs/>
                  <w:color w:val="000000"/>
                  <w:szCs w:val="24"/>
                  <w:lang w:bidi="en-US"/>
                </w:rPr>
              </w:pPr>
              <w:r>
                <w:rPr>
                  <w:rFonts w:ascii="MS Gothic" w:eastAsia="MS Gothic" w:hAnsi="MS Gothic"/>
                  <w:szCs w:val="24"/>
                  <w:lang w:bidi="en-US"/>
                </w:rPr>
                <w:t>☐</w:t>
              </w:r>
              <w:r>
                <w:rPr>
                  <w:rFonts w:eastAsia="Andale Sans UI"/>
                  <w:szCs w:val="24"/>
                  <w:lang w:bidi="en-US"/>
                </w:rPr>
                <w:t xml:space="preserve"> Atliktas Projekto numatomo teisinio reguliavimo poveikio vertinimas.</w:t>
              </w:r>
            </w:p>
            <w:p>
              <w:pPr>
                <w:widowControl w:val="0"/>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p>
              <w:pPr>
                <w:widowControl w:val="0"/>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w:t>
              </w:r>
              <w:r>
                <w:rPr>
                  <w:rFonts w:eastAsia="Andale Sans UI"/>
                  <w:color w:val="000000"/>
                  <w:szCs w:val="24"/>
                  <w:lang w:bidi="en-US"/>
                </w:rPr>
                <w:t>.</w:t>
              </w:r>
            </w:p>
          </w:sdtContent>
        </w:sdt>
        <w:sdt>
          <w:sdtPr>
            <w:alias w:val="9 p."/>
            <w:tag w:val="part_437900e1730848879f33b6090ca5bf00"/>
            <w:lock w:val="sdtLocked"/>
            <w:richText/>
          </w:sdtPr>
          <w:sdtContent>
            <w:p>
              <w:pPr>
                <w:widowControl w:val="0"/>
                <w:spacing w:line="276" w:lineRule="auto"/>
                <w:ind w:firstLine="567"/>
                <w:jc w:val="both"/>
                <w:rPr>
                  <w:rFonts w:eastAsia="Andale Sans UI"/>
                  <w:b/>
                  <w:bCs/>
                  <w:szCs w:val="24"/>
                  <w:lang w:bidi="en-US"/>
                </w:rPr>
              </w:pPr>
              <w:sdt>
                <w:sdtPr>
                  <w:alias w:val="Numeris"/>
                  <w:tag w:val="nr_437900e1730848879f33b6090ca5bf00"/>
                  <w:lock w:val="sdtLocked"/>
                  <w:richText/>
                </w:sdtPr>
                <w:sdtContent>
                  <w:r>
                    <w:rPr>
                      <w:rFonts w:eastAsia="Andale Sans UI"/>
                      <w:b/>
                      <w:bCs/>
                      <w:szCs w:val="24"/>
                      <w:lang w:bidi="en-US"/>
                    </w:rPr>
                    <w:t>9</w:t>
                  </w:r>
                </w:sdtContent>
              </w:sdt>
              <w:r>
                <w:rPr>
                  <w:rFonts w:eastAsia="Andale Sans UI"/>
                  <w:b/>
                  <w:bCs/>
                  <w:szCs w:val="24"/>
                  <w:lang w:bidi="en-US"/>
                </w:rPr>
                <w:t>. Teisės aktai, kuriuos reikės priimti, pakeisti arba pripažinti netekusiais galios</w:t>
              </w:r>
            </w:p>
            <w:p>
              <w:pPr>
                <w:widowControl w:val="0"/>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widowControl w:val="0"/>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reikės priimti šiuos teisės aktus:</w:t>
              </w:r>
            </w:p>
            <w:p>
              <w:pPr>
                <w:widowControl w:val="0"/>
                <w:spacing w:line="276" w:lineRule="auto"/>
                <w:ind w:firstLine="567"/>
                <w:jc w:val="both"/>
                <w:rPr>
                  <w:rFonts w:eastAsia="Andale Sans UI"/>
                  <w:i/>
                  <w:szCs w:val="24"/>
                  <w:lang w:bidi="en-US"/>
                </w:rPr>
              </w:pPr>
              <w:r>
                <w:rPr>
                  <w:rFonts w:eastAsia="Andale Sans UI" w:cs="Tahoma"/>
                  <w:color w:val="000000"/>
                  <w:szCs w:val="24"/>
                  <w:lang w:eastAsia="lt-LT" w:bidi="en-US"/>
                </w:rPr>
                <w:t>Lietuvos Respublikos aplinkos ministro 2010 m. rugsėjo 14 d. įsakymo Nr. D1-762 „Dėl Ūkio subjektų, kurie nėra perkančiosios organizacijos pagal Lietuvos Respublikos viešųjų pirkimų įstatymą ir nėra perkantieji subjektai pagal Lietuvos Respublikos pirkimų, atliekamų vandentvarkos, energetikos, transporto ar pašto paslaugų srities perkančiųjų subjektų, įstatymą, pirkimų vykdymo tvarkos aprašo patvirtinimo“ pakeitimas.</w:t>
              </w:r>
            </w:p>
            <w:p>
              <w:pPr>
                <w:widowControl w:val="0"/>
                <w:spacing w:line="276" w:lineRule="auto"/>
                <w:ind w:firstLine="567"/>
                <w:jc w:val="both"/>
                <w:rPr>
                  <w:rFonts w:eastAsia="Andale Sans UI"/>
                  <w:b/>
                  <w:bCs/>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0 p."/>
            <w:tag w:val="part_127ede1569504d65b2ed338ae78d01c0"/>
            <w:lock w:val="sdtLocked"/>
            <w:richText/>
          </w:sdtPr>
          <w:sdtContent>
            <w:p>
              <w:pPr>
                <w:spacing w:line="276" w:lineRule="auto"/>
                <w:ind w:firstLine="567"/>
                <w:jc w:val="both"/>
                <w:rPr>
                  <w:rFonts w:eastAsia="Andale Sans UI"/>
                  <w:b/>
                  <w:bCs/>
                  <w:szCs w:val="24"/>
                  <w:lang w:bidi="en-US"/>
                </w:rPr>
              </w:pPr>
              <w:sdt>
                <w:sdtPr>
                  <w:alias w:val="Numeris"/>
                  <w:tag w:val="nr_127ede1569504d65b2ed338ae78d01c0"/>
                  <w:lock w:val="sdtLocked"/>
                  <w:richText/>
                </w:sdtPr>
                <w:sdtContent>
                  <w:r>
                    <w:rPr>
                      <w:rFonts w:eastAsia="Andale Sans UI"/>
                      <w:b/>
                      <w:bCs/>
                      <w:szCs w:val="24"/>
                      <w:lang w:bidi="en-US"/>
                    </w:rPr>
                    <w:t>10</w:t>
                  </w:r>
                </w:sdtContent>
              </w:sdt>
              <w:r>
                <w:rPr>
                  <w:rFonts w:eastAsia="Andale Sans UI"/>
                  <w:b/>
                  <w:bCs/>
                  <w:szCs w:val="24"/>
                  <w:lang w:bidi="en-US"/>
                </w:rPr>
                <w:t>. Informacija apie sąvokų įvertinimą Lietuvos Respublikos terminų banko įstatymo ir jo įgyvendinamųjų teisės aktų nustatyta tvarka</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1 p."/>
            <w:tag w:val="part_2686105a254541ffa4a68fd273075103"/>
            <w:lock w:val="sdtLocked"/>
            <w:richText/>
          </w:sdtPr>
          <w:sdtContent>
            <w:p>
              <w:pPr>
                <w:ind w:firstLine="567"/>
                <w:jc w:val="both"/>
                <w:rPr>
                  <w:rFonts w:eastAsia="Andale Sans UI"/>
                  <w:b/>
                  <w:bCs/>
                  <w:szCs w:val="24"/>
                  <w:lang w:bidi="en-US"/>
                </w:rPr>
              </w:pPr>
              <w:sdt>
                <w:sdtPr>
                  <w:alias w:val="Numeris"/>
                  <w:tag w:val="nr_2686105a254541ffa4a68fd273075103"/>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Projekte nereglamentuojamas asmens duomenų naudojimas</w:t>
              </w:r>
              <w:r>
                <w:rPr>
                  <w:rFonts w:eastAsia="Andale Sans UI"/>
                  <w:szCs w:val="24"/>
                  <w:lang w:eastAsia="lt-LT" w:bidi="en-US"/>
                </w:rPr>
                <w:t>.</w:t>
              </w:r>
            </w:p>
          </w:sdtContent>
        </w:sdt>
        <w:sdt>
          <w:sdtPr>
            <w:alias w:val="12 p."/>
            <w:tag w:val="part_e606f75ca99e47018ef9a6a9f4682b8e"/>
            <w:lock w:val="sdtLocked"/>
            <w:richText/>
          </w:sdtPr>
          <w:sdtContent>
            <w:p>
              <w:pPr>
                <w:ind w:firstLine="567"/>
                <w:jc w:val="both"/>
                <w:rPr>
                  <w:rFonts w:eastAsia="Andale Sans UI"/>
                  <w:b/>
                  <w:bCs/>
                  <w:i/>
                  <w:color w:val="000000"/>
                  <w:szCs w:val="24"/>
                  <w:lang w:bidi="en-US"/>
                </w:rPr>
              </w:pPr>
              <w:sdt>
                <w:sdtPr>
                  <w:alias w:val="Numeris"/>
                  <w:tag w:val="nr_e606f75ca99e47018ef9a6a9f4682b8e"/>
                  <w:lock w:val="sdtLocked"/>
                  <w:richText/>
                </w:sdtPr>
                <w:sdtContent>
                  <w:r>
                    <w:rPr>
                      <w:rFonts w:eastAsia="Andale Sans UI"/>
                      <w:b/>
                      <w:bCs/>
                      <w:szCs w:val="24"/>
                      <w:lang w:bidi="en-US"/>
                    </w:rPr>
                    <w:t>12</w:t>
                  </w:r>
                </w:sdtContent>
              </w:sdt>
              <w:r>
                <w:rPr>
                  <w:rFonts w:eastAsia="Andale Sans UI"/>
                  <w:b/>
                  <w:bCs/>
                  <w:szCs w:val="24"/>
                  <w:lang w:bidi="en-US"/>
                </w:rPr>
                <w:t>. Konsultavimasis su visuomene portalo</w:t>
              </w:r>
              <w:r>
                <w:rPr>
                  <w:rFonts w:eastAsia="Andale Sans UI"/>
                  <w:i/>
                  <w:color w:val="000000"/>
                  <w:szCs w:val="24"/>
                  <w:lang w:bidi="en-US"/>
                </w:rPr>
                <w:t xml:space="preserve"> </w:t>
              </w:r>
              <w:r>
                <w:rPr>
                  <w:rFonts w:eastAsia="Andale Sans UI"/>
                  <w:b/>
                  <w:bCs/>
                  <w:i/>
                  <w:color w:val="000000"/>
                  <w:szCs w:val="24"/>
                  <w:lang w:bidi="en-US"/>
                </w:rPr>
                <w:t>Mano Vyriausybė</w:t>
              </w:r>
              <w:r>
                <w:rPr>
                  <w:rFonts w:eastAsia="Andale Sans UI"/>
                  <w:b/>
                  <w:bCs/>
                  <w:color w:val="000000"/>
                  <w:szCs w:val="24"/>
                  <w:lang w:bidi="en-US"/>
                </w:rPr>
                <w:t xml:space="preserve"> interneto svetainėje </w:t>
              </w:r>
              <w:r>
                <w:rPr>
                  <w:rFonts w:eastAsia="Andale Sans UI"/>
                  <w:b/>
                  <w:bCs/>
                  <w:i/>
                  <w:color w:val="000000"/>
                  <w:szCs w:val="24"/>
                  <w:lang w:bidi="en-US"/>
                </w:rPr>
                <w:t>E. pilietis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skelbtas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color w:val="000000"/>
                  <w:szCs w:val="24"/>
                  <w:lang w:bidi="en-US"/>
                </w:rPr>
                <w:t>, kur pastabas ir pasiūlymus nuo 202.. m. ... ... d. iki 202.. m. ... ... d. galėjo teikti visi suinteresuoti asmenys</w:t>
              </w:r>
              <w:r>
                <w:rPr>
                  <w:i/>
                  <w:iCs/>
                  <w:color w:val="000000"/>
                  <w:szCs w:val="24"/>
                  <w:lang w:eastAsia="lt-LT" w:bidi="en-US"/>
                </w:rPr>
                <w:t>.</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szCs w:val="24"/>
                  <w:lang w:bidi="en-US"/>
                </w:rPr>
                <w:t xml:space="preserve"> </w:t>
              </w:r>
              <w:r>
                <w:rPr>
                  <w:color w:val="000000"/>
                  <w:szCs w:val="24"/>
                  <w:lang w:eastAsia="lt-LT" w:bidi="en-US"/>
                </w:rPr>
                <w:t>neskelbtas.</w:t>
              </w:r>
            </w:p>
          </w:sdtContent>
        </w:sdt>
        <w:sdt>
          <w:sdtPr>
            <w:alias w:val="13 p."/>
            <w:tag w:val="part_7849ba6ab2cd474fa1a992d033547208"/>
            <w:lock w:val="sdtLocked"/>
            <w:richText/>
          </w:sdtPr>
          <w:sdtContent>
            <w:p>
              <w:pPr>
                <w:ind w:firstLine="567"/>
                <w:jc w:val="both"/>
                <w:rPr>
                  <w:rFonts w:eastAsia="Andale Sans UI"/>
                  <w:b/>
                  <w:bCs/>
                  <w:color w:val="000000"/>
                  <w:szCs w:val="24"/>
                  <w:lang w:bidi="en-US"/>
                </w:rPr>
              </w:pPr>
              <w:sdt>
                <w:sdtPr>
                  <w:alias w:val="Numeris"/>
                  <w:tag w:val="nr_7849ba6ab2cd474fa1a992d033547208"/>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visuomene</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 (</w:t>
              </w:r>
              <w:r>
                <w:rPr>
                  <w:rFonts w:eastAsia="Andale Sans UI"/>
                  <w:i/>
                  <w:iCs/>
                  <w:szCs w:val="24"/>
                  <w:lang w:bidi="en-US"/>
                </w:rPr>
                <w:t>dėl Vyriausybės nutarimų projektų, kuriuose teikiamos Vyriausybės išvados dėl Seime svarstomų teisės aktų projektų,</w:t>
              </w:r>
              <w:r>
                <w:rPr>
                  <w:rFonts w:ascii="Segoe UI" w:eastAsia="Andale Sans UI" w:hAnsi="Segoe UI"/>
                  <w:i/>
                  <w:iCs/>
                  <w:szCs w:val="24"/>
                  <w:lang w:bidi="en-US"/>
                </w:rPr>
                <w:t xml:space="preserve"> </w:t>
              </w:r>
              <w:r>
                <w:rPr>
                  <w:rFonts w:eastAsia="Andale Sans UI"/>
                  <w:i/>
                  <w:iCs/>
                  <w:szCs w:val="24"/>
                  <w:lang w:bidi="en-US"/>
                </w:rPr>
                <w:t xml:space="preserve">arba surašomas motyvuotas prašymas </w:t>
              </w:r>
              <w:r>
                <w:rPr>
                  <w:rFonts w:eastAsia="Andale Sans UI"/>
                  <w:i/>
                  <w:iCs/>
                  <w:color w:val="000000"/>
                  <w:szCs w:val="24"/>
                  <w:lang w:bidi="en-US"/>
                </w:rPr>
                <w:t xml:space="preserve">pateikti išvadas dėl Projekto skubos tvarka </w:t>
              </w:r>
              <w:r>
                <w:rPr>
                  <w:rFonts w:eastAsia="Andale Sans UI"/>
                  <w:i/>
                  <w:iCs/>
                  <w:szCs w:val="24"/>
                  <w:lang w:bidi="en-US"/>
                </w:rPr>
                <w:t>Vyriausybės darbo reglamento</w:t>
              </w:r>
              <w:r>
                <w:rPr>
                  <w:rFonts w:eastAsia="Andale Sans UI"/>
                  <w:i/>
                  <w:iCs/>
                  <w:szCs w:val="24"/>
                  <w:vertAlign w:val="superscript"/>
                  <w:lang w:bidi="en-US"/>
                </w:rPr>
                <w:footnoteReference w:id="11"/>
              </w:r>
              <w:r>
                <w:rPr>
                  <w:rFonts w:eastAsia="Andale Sans UI"/>
                  <w:i/>
                  <w:iCs/>
                  <w:szCs w:val="24"/>
                  <w:lang w:bidi="en-US"/>
                </w:rPr>
                <w:t xml:space="preserve"> 28 punkte išvardytais išimtiniais atvejais </w:t>
              </w:r>
              <w:r>
                <w:rPr>
                  <w:rFonts w:eastAsia="Andale Sans UI"/>
                  <w:szCs w:val="24"/>
                  <w:lang w:bidi="en-US"/>
                </w:rPr>
                <w:t>)</w:t>
              </w:r>
              <w:r>
                <w:rPr>
                  <w:rFonts w:eastAsia="Andale Sans UI"/>
                  <w:i/>
                  <w:iCs/>
                  <w:szCs w:val="24"/>
                  <w:lang w:bidi="en-US"/>
                </w:rPr>
                <w:t>.</w:t>
              </w:r>
            </w:p>
            <w:p>
              <w:pPr>
                <w:ind w:firstLine="567"/>
                <w:jc w:val="both"/>
                <w:rPr>
                  <w:rFonts w:eastAsia="Andale Sans UI"/>
                  <w:szCs w:val="24"/>
                  <w:lang w:bidi="en-US"/>
                </w:rPr>
              </w:pPr>
              <w:r>
                <w:rPr>
                  <w:rFonts w:ascii="MS Gothic" w:eastAsia="MS Gothic" w:hAnsi="MS Gothic"/>
                  <w:szCs w:val="24"/>
                  <w:lang w:bidi="en-US"/>
                </w:rPr>
                <w:t xml:space="preserve">☐ </w:t>
              </w:r>
              <w:r>
                <w:rPr>
                  <w:rFonts w:eastAsia="Andale Sans UI"/>
                  <w:szCs w:val="24"/>
                  <w:lang w:bidi="en-US"/>
                </w:rPr>
                <w:t>10 darbo dienų.</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15 darbo dienų (</w:t>
              </w:r>
              <w:r>
                <w:rPr>
                  <w:rFonts w:eastAsia="Andale Sans UI"/>
                  <w:i/>
                  <w:iCs/>
                  <w:szCs w:val="24"/>
                  <w:lang w:bidi="en-US"/>
                </w:rPr>
                <w:t>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sdtContent>
        </w:sdt>
        <w:sdt>
          <w:sdtPr>
            <w:alias w:val="14 p."/>
            <w:tag w:val="part_9732252c38ab48c39002ef0eb54486b6"/>
            <w:lock w:val="sdtLocked"/>
            <w:richText/>
          </w:sdtPr>
          <w:sdtContent>
            <w:p>
              <w:pPr>
                <w:ind w:firstLine="567"/>
                <w:jc w:val="both"/>
                <w:textAlignment w:val="baseline"/>
                <w:rPr>
                  <w:b/>
                  <w:bCs/>
                  <w:szCs w:val="24"/>
                  <w:lang w:eastAsia="lt-LT"/>
                </w:rPr>
              </w:pPr>
              <w:sdt>
                <w:sdtPr>
                  <w:alias w:val="Numeris"/>
                  <w:tag w:val="nr_9732252c38ab48c39002ef0eb54486b6"/>
                  <w:lock w:val="sdtLocked"/>
                  <w:richText/>
                </w:sdtPr>
                <w:sdtContent>
                  <w:r>
                    <w:rPr>
                      <w:b/>
                      <w:bCs/>
                      <w:szCs w:val="24"/>
                      <w:lang w:eastAsia="lt-LT"/>
                    </w:rPr>
                    <w:t>14</w:t>
                  </w:r>
                </w:sdtContent>
              </w:sdt>
              <w:r>
                <w:rPr>
                  <w:b/>
                  <w:bCs/>
                  <w:szCs w:val="24"/>
                  <w:lang w:eastAsia="lt-LT"/>
                </w:rPr>
                <w:t>. Projekto rengėjai</w:t>
              </w:r>
            </w:p>
            <w:p>
              <w:pPr>
                <w:ind w:firstLine="567"/>
                <w:jc w:val="both"/>
                <w:textAlignment w:val="baseline"/>
                <w:rPr>
                  <w:rFonts w:eastAsia="StarSymbol"/>
                  <w:color w:val="000000"/>
                  <w:szCs w:val="24"/>
                  <w:lang w:eastAsia="lt-LT"/>
                </w:rPr>
              </w:pPr>
              <w:r>
                <w:rPr>
                  <w:szCs w:val="24"/>
                  <w:lang w:eastAsia="lt-LT"/>
                </w:rPr>
                <w:t>Projektą parengė Aplinkos ministerijos Būsto politikos grupės (vadovė – Laura Lukoševičienė, tel. +370 695 48 717, el. p. laura.lukoseviciene@am.lt) patarėjai Živilė Liberienė (tel. +370 677 55 774, el. p. zivile.liberiene@am.lt).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23b404ee2b0e43b0aa3489ff8f0a9062"/>
            <w:lock w:val="sdtLocked"/>
            <w:richText/>
          </w:sdtPr>
          <w:sdtContent>
            <w:p>
              <w:pPr>
                <w:ind w:firstLine="567"/>
                <w:jc w:val="both"/>
                <w:rPr>
                  <w:rFonts w:eastAsia="Andale Sans UI" w:cs="Tahoma"/>
                  <w:szCs w:val="24"/>
                  <w:lang w:eastAsia="lt-LT" w:bidi="en-US"/>
                </w:rPr>
              </w:pPr>
              <w:sdt>
                <w:sdtPr>
                  <w:alias w:val="Numeris"/>
                  <w:tag w:val="nr_23b404ee2b0e43b0aa3489ff8f0a9062"/>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cs="Tahoma"/>
                  <w:szCs w:val="24"/>
                  <w:lang w:eastAsia="lt-LT" w:bidi="en-US"/>
                </w:rPr>
                <w:t>Projektas, 45 lapai.</w:t>
              </w:r>
            </w:p>
          </w:sdtContent>
        </w:sdt>
        <w:sdt>
          <w:sdtPr>
            <w:alias w:val="2 p."/>
            <w:tag w:val="part_794168ecff6a480e9074d6aa3ede29c6"/>
            <w:lock w:val="sdtLocked"/>
            <w:richText/>
          </w:sdtPr>
          <w:sdtContent>
            <w:p>
              <w:pPr>
                <w:ind w:firstLine="567"/>
                <w:jc w:val="both"/>
                <w:rPr>
                  <w:rFonts w:eastAsia="Andale Sans UI" w:cs="Tahoma"/>
                  <w:szCs w:val="24"/>
                  <w:lang w:val="en-GB" w:eastAsia="lt-LT" w:bidi="en-US"/>
                </w:rPr>
              </w:pPr>
              <w:sdt>
                <w:sdtPr>
                  <w:alias w:val="Numeris"/>
                  <w:tag w:val="nr_794168ecff6a480e9074d6aa3ede29c6"/>
                  <w:lock w:val="sdtLocked"/>
                  <w:richText/>
                </w:sdtPr>
                <w:sdtContent>
                  <w:r>
                    <w:rPr>
                      <w:rFonts w:eastAsia="Andale Sans UI" w:cs="Tahoma"/>
                      <w:szCs w:val="24"/>
                      <w:lang w:eastAsia="lt-LT" w:bidi="en-US"/>
                    </w:rPr>
                    <w:t>2</w:t>
                  </w:r>
                </w:sdtContent>
              </w:sdt>
              <w:r>
                <w:rPr>
                  <w:rFonts w:eastAsia="Andale Sans UI" w:cs="Tahoma"/>
                  <w:szCs w:val="24"/>
                  <w:lang w:eastAsia="lt-LT" w:bidi="en-US"/>
                </w:rPr>
                <w:t>. Antikorupcinio vertinimo pažyma, 6 l</w:t>
              </w:r>
              <w:r>
                <w:rPr>
                  <w:rFonts w:eastAsia="Andale Sans UI" w:cs="Tahoma"/>
                  <w:szCs w:val="24"/>
                  <w:lang w:val="en-GB" w:eastAsia="lt-LT" w:bidi="en-US"/>
                </w:rPr>
                <w:t>apai.</w:t>
              </w:r>
            </w:p>
            <w:p>
              <w:pPr>
                <w:ind w:firstLine="567"/>
                <w:jc w:val="both"/>
                <w:rPr>
                  <w:color w:val="000000"/>
                  <w:szCs w:val="24"/>
                  <w:lang w:eastAsia="lt-LT" w:bidi="en-US"/>
                </w:rPr>
              </w:pPr>
            </w:p>
            <w:p>
              <w:pPr>
                <w:suppressLineNumbers/>
                <w:jc w:val="both"/>
                <w:rPr>
                  <w:rFonts w:eastAsia="Andale Sans UI"/>
                  <w:bCs/>
                  <w:szCs w:val="24"/>
                  <w:lang w:bidi="en-US"/>
                </w:rPr>
              </w:pPr>
            </w:p>
            <w:p>
              <w:pPr>
                <w:tabs>
                  <w:tab w:val="left" w:pos="993"/>
                </w:tabs>
                <w:jc w:val="both"/>
                <w:textAlignment w:val="baseline"/>
                <w:rPr>
                  <w:rFonts w:eastAsia="Andale Sans UI" w:cs="Tahoma"/>
                  <w:bCs/>
                  <w:szCs w:val="24"/>
                  <w:lang w:eastAsia="lt-LT" w:bidi="en-US"/>
                </w:rPr>
              </w:pPr>
              <w:r>
                <w:rPr>
                  <w:rFonts w:eastAsia="Andale Sans UI" w:cs="Tahoma"/>
                  <w:bCs/>
                  <w:szCs w:val="24"/>
                  <w:lang w:eastAsia="lt-LT" w:bidi="en-US"/>
                </w:rPr>
                <w:t>Laikinai einantis aplinkos ministro pareigas</w:t>
                <w:tab/>
                <w:tab/>
                <w:t xml:space="preserve">                                            Simonas Gentvilas</w:t>
              </w:r>
            </w:p>
            <w:p>
              <w:pPr>
                <w:suppressLineNumbers/>
                <w:jc w:val="both"/>
                <w:rPr>
                  <w:rFonts w:eastAsia="Andale Sans UI"/>
                  <w:bCs/>
                  <w:szCs w:val="24"/>
                  <w:lang w:bidi="en-US"/>
                </w:rPr>
              </w:pPr>
            </w:p>
            <w:p>
              <w:pPr>
                <w:suppressLineNumbers/>
                <w:jc w:val="both"/>
                <w:rPr>
                  <w:rFonts w:eastAsia="Andale Sans UI"/>
                  <w:bCs/>
                  <w:szCs w:val="24"/>
                  <w:lang w:bidi="en-US"/>
                </w:rPr>
              </w:pPr>
            </w:p>
            <w:p>
              <w:pPr>
                <w:suppressLineNumbers/>
                <w:jc w:val="both"/>
                <w:rPr>
                  <w:rFonts w:eastAsia="Andale Sans UI"/>
                  <w:bCs/>
                  <w:szCs w:val="24"/>
                  <w:lang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p>
                </w:tc>
                <w:tc>
                  <w:tcPr>
                    <w:tcW w:w="4826" w:type="dxa"/>
                    <w:vAlign w:val="bottom"/>
                  </w:tcPr>
                  <w:p>
                    <w:pPr>
                      <w:ind w:right="34"/>
                      <w:jc w:val="right"/>
                      <w:rPr>
                        <w:rFonts w:eastAsia="Andale Sans UI"/>
                        <w:szCs w:val="24"/>
                        <w:lang w:bidi="en-US"/>
                      </w:rPr>
                    </w:pPr>
                  </w:p>
                </w:tc>
              </w:tr>
              <w:tr>
                <w:trPr>
                  <w:cantSplit/>
                  <w:trHeight w:val="340"/>
                </w:trPr>
                <w:tc>
                  <w:tcPr>
                    <w:tcW w:w="9643" w:type="dxa"/>
                    <w:gridSpan w:val="2"/>
                  </w:tcPr>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r>
                      <w:rPr>
                        <w:rFonts w:eastAsia="Andale Sans UI" w:cs="Tahoma"/>
                        <w:szCs w:val="24"/>
                        <w:lang w:bidi="en-US"/>
                      </w:rPr>
                      <w:t>Ž. Liberienė, +370 677 55 774, el. p. zivile.liberiene@am.lt,</w:t>
                    </w:r>
                  </w:p>
                  <w:p>
                    <w:pPr>
                      <w:rPr>
                        <w:rFonts w:eastAsia="Andale Sans UI"/>
                        <w:szCs w:val="24"/>
                        <w:lang w:bidi="en-US"/>
                      </w:rPr>
                    </w:pPr>
                  </w:p>
                </w:tc>
              </w:tr>
            </w:tbl>
            <w:p>
              <w:pPr>
                <w:rPr>
                  <w:rFonts w:eastAsia="Andale Sans UI" w:cs="Tahoma"/>
                  <w:szCs w:val="22"/>
                  <w:lang w:val="en-GB" w:bidi="en-US"/>
                </w:rPr>
              </w:pPr>
            </w:p>
            <w:p>
              <w:pPr>
                <w:rPr>
                  <w:rFonts w:eastAsia="Andale Sans UI" w:cs="Tahoma"/>
                  <w:szCs w:val="22"/>
                  <w:lang w:val="en-GB" w:bidi="en-US"/>
                </w:rPr>
              </w:pPr>
              <w:r>
                <w:rPr>
                  <w:rFonts w:eastAsia="Andale Sans UI" w:cs="Tahoma"/>
                  <w:szCs w:val="22"/>
                  <w:lang w:val="en-GB" w:bidi="en-US"/>
                </w:rPr>
                <w:br w:type="page"/>
              </w:r>
            </w:p>
            <w:p>
              <w:pPr>
                <w:jc w:val="both"/>
                <w:rPr>
                  <w:rFonts w:eastAsia="Andale Sans UI" w:cs="Tahoma"/>
                  <w:szCs w:val="22"/>
                  <w:lang w:bidi="en-US"/>
                </w:rPr>
              </w:pPr>
              <w:r>
                <w:rPr>
                  <w:rFonts w:eastAsia="Andale Sans UI" w:cs="Tahoma"/>
                  <w:szCs w:val="22"/>
                  <w:lang w:bidi="en-US"/>
                </w:rPr>
                <w:t xml:space="preserve">ADRESATŲ SĄRAŠAS </w:t>
              </w:r>
            </w:p>
            <w:p>
              <w:pPr>
                <w:jc w:val="both"/>
                <w:rPr>
                  <w:rFonts w:eastAsia="Andale Sans UI" w:cs="Tahoma"/>
                  <w:sz w:val="18"/>
                  <w:szCs w:val="18"/>
                  <w:lang w:bidi="en-US"/>
                </w:rPr>
              </w:pP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Teisingumo ministerija,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StarSymbol"/>
                  <w:szCs w:val="24"/>
                  <w:lang w:eastAsia="lt-LT" w:bidi="en-US"/>
                </w:rPr>
                <w:t>Vidaus reikalų ministerija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Ekonomikos ir inovacijų ministerija,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Energetikos ministerija,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Finansų ministerija,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Socialinės apsaugos ir darbo ministerija,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Specialiųjų tyrimų tarnyba,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Aplinkos projektų valdymo agentūra,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VšĮ CPO LT,</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Valstybinė teritorijų planavimo ir statybos inspekcija,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Lietuvos savivaldybių asociacija,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Lietuvos statybininkų asociacija,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UAB „Investicijų ir verslo garantijos“</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AB „Šiaulių bankas“,</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Europos investicijų banko atstovybė Lietuvoje,</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Savivaldybių komunalinių įmonių asociacija,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Lietuvos respublikiniai būsto valdymo ir priežiūros rūmai,</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Nacionalinė pastatų priežiūros asociacija PREMA,</w:t>
              </w:r>
            </w:p>
            <w:p>
              <w:pPr>
                <w:jc w:val="both"/>
                <w:rPr>
                  <w:rFonts w:eastAsia="Andale Sans UI" w:cs="Tahoma"/>
                  <w:sz w:val="18"/>
                  <w:szCs w:val="18"/>
                  <w:lang w:bidi="en-US"/>
                </w:rPr>
              </w:pPr>
            </w:p>
            <w:p>
              <w:pPr>
                <w:ind w:left="360"/>
                <w:jc w:val="both"/>
                <w:rPr>
                  <w:rFonts w:eastAsia="Andale Sans UI" w:cs="Tahoma"/>
                  <w:szCs w:val="24"/>
                  <w:lang w:bidi="en-US"/>
                </w:rPr>
              </w:pPr>
              <w:r>
                <w:rPr>
                  <w:rFonts w:eastAsia="Andale Sans UI" w:cs="Tahoma"/>
                  <w:szCs w:val="24"/>
                  <w:lang w:bidi="en-US"/>
                </w:rPr>
                <w:t>Asociacija „Lietuvos butų ūkis“.</w:t>
              </w:r>
            </w:p>
            <w:p>
              <w:pPr>
                <w:widowControl w:val="0"/>
                <w:suppressAutoHyphens/>
                <w:jc w:val="both"/>
                <w:rPr>
                  <w:rFonts w:eastAsia="Andale Sans UI" w:cs="Tahoma"/>
                  <w:color w:val="000080"/>
                  <w:szCs w:val="24"/>
                  <w:u w:val="single"/>
                  <w:lang w:bidi="en-US"/>
                </w:rPr>
              </w:pPr>
            </w:p>
            <w:p>
              <w:pPr>
                <w:ind w:left="567"/>
                <w:jc w:val="both"/>
                <w:rPr>
                  <w:rFonts w:eastAsia="Andale Sans UI" w:cs="Tahoma"/>
                  <w:szCs w:val="24"/>
                  <w:lang w:eastAsia="lt-LT" w:bidi="en-US"/>
                </w:rPr>
              </w:pPr>
            </w:p>
            <w:p>
              <w:pPr>
                <w:ind w:left="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szCs w:val="24"/>
                  <w:lang w:bidi="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Times">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BA"/>
    <w:family w:val="swiss"/>
    <w:pitch w:val="variable"/>
    <w:sig w:usb0="E4002EFF" w:usb1="C000E47F" w:usb2="00000009" w:usb3="00000000" w:csb0="000001FF" w:csb1="00000000"/>
  </w:font>
  <w:font w:name="StarSymbol">
    <w:altName w:val="Arial Unicode MS"/>
    <w:charset w:val="00"/>
    <w:family w:val="auto"/>
    <w:pitch w:val="variable"/>
    <w:sig w:usb0="00000003" w:usb1="10008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rPr>
          <w:rFonts w:eastAsia="Andale Sans UI"/>
          <w:sz w:val="20"/>
        </w:rPr>
      </w:pPr>
      <w:r>
        <w:rPr>
          <w:rFonts w:eastAsia="Andale Sans UI"/>
          <w:sz w:val="20"/>
          <w:vertAlign w:val="superscript"/>
        </w:rPr>
        <w:footnoteRef/>
      </w:r>
      <w:r>
        <w:rPr>
          <w:rFonts w:eastAsia="Andale Sans UI"/>
          <w:sz w:val="20"/>
        </w:rPr>
        <w:t xml:space="preserve"> Lietuvos Respublikos Vyriausybės 2015 m. sausio 7 d. nutarimo Nr. 19 „Dėl įgaliojimų suteikimo įgyvendinant Lietuvos Respublikos valstybės paramos daugiabučiams namams atnaujinti (modernizuoti) įstatymą“ pakeitimo“ projektas (toliau – Nutarimo Nr. 19 projektas). </w:t>
      </w:r>
    </w:p>
  </w:footnote>
  <w:footnote w:id="2">
    <w:p>
      <w:pPr>
        <w:rPr>
          <w:rFonts w:eastAsia="Andale Sans UI" w:cs="Tahoma"/>
          <w:sz w:val="20"/>
        </w:rPr>
      </w:pPr>
      <w:r>
        <w:rPr>
          <w:rFonts w:eastAsia="Andale Sans UI" w:cs="Tahoma"/>
          <w:sz w:val="20"/>
          <w:vertAlign w:val="superscript"/>
        </w:rPr>
        <w:footnoteRef/>
      </w:r>
      <w:r>
        <w:rPr>
          <w:rFonts w:eastAsia="Andale Sans UI" w:cs="Tahoma"/>
          <w:sz w:val="20"/>
        </w:rPr>
        <w:t xml:space="preserve"> </w:t>
      </w:r>
      <w:r>
        <w:rPr>
          <w:rFonts w:eastAsia="Andale Sans UI" w:cs="Tahoma"/>
          <w:b/>
          <w:bCs/>
          <w:sz w:val="20"/>
        </w:rPr>
        <w:t>Daugiabučio namo atnaujinimas (modernizavimas)</w:t>
      </w:r>
      <w:r>
        <w:rPr>
          <w:rFonts w:eastAsia="Andale Sans UI" w:cs="Tahoma"/>
          <w:sz w:val="20"/>
        </w:rPr>
        <w:t xml:space="preserve">  – statybos darbai, kuriais atkuriamos ar pagerinamos daugiabučio namo ir (ar) jo inžinerinių sistemų fizinės ir energinės savybės ir (ar) kuriais užtikrinamas iš atsinaujinančių energijos šaltinių gaunamos energijos naudojimas. Šaltinis: Lietuvos Respublikos valstybės paramos daugiabučiams namams atnaujinti (modernizuoti) įstatymas, </w:t>
      </w:r>
      <w:hyperlink r:id="rId1" w:history="1">
        <w:r>
          <w:rPr>
            <w:rFonts w:eastAsia="Andale Sans UI" w:cs="Tahoma"/>
            <w:color w:val="000080"/>
            <w:sz w:val="20"/>
            <w:u w:val="single"/>
          </w:rPr>
          <w:t>https://www.e-tar.lt/portal/lt/legalAct/TAR.9D04F98F7C14/asr</w:t>
        </w:r>
      </w:hyperlink>
      <w:r>
        <w:rPr>
          <w:rFonts w:eastAsia="Andale Sans UI" w:cs="Tahoma"/>
          <w:sz w:val="20"/>
        </w:rPr>
        <w:t xml:space="preserve"> </w:t>
      </w:r>
    </w:p>
  </w:footnote>
  <w:footnote w:id="3">
    <w:p>
      <w:pPr>
        <w:rPr>
          <w:rFonts w:eastAsia="Andale Sans UI" w:cs="Tahoma"/>
          <w:sz w:val="20"/>
        </w:rPr>
      </w:pPr>
      <w:r>
        <w:rPr>
          <w:rFonts w:eastAsia="Andale Sans UI" w:cs="Tahoma"/>
          <w:sz w:val="20"/>
          <w:vertAlign w:val="superscript"/>
        </w:rPr>
        <w:footnoteRef/>
      </w:r>
      <w:r>
        <w:rPr>
          <w:rFonts w:eastAsia="Andale Sans UI" w:cs="Tahoma"/>
          <w:sz w:val="20"/>
        </w:rPr>
        <w:t xml:space="preserve"> Šalių, artimų savo klimatu Lietuvai, praktika ir taikomos finansavimo schemos. Analizei buvo pasirinktos Estija, Čekija, Vokietija. Dėl informacijos prieinamumo papildomai buvo analizuoti Maltos, Nyderlandų ir Prancūzijos pavyzdžiai.</w:t>
      </w:r>
    </w:p>
  </w:footnote>
  <w:footnote w:id="4">
    <w:p>
      <w:pPr>
        <w:widowControl w:val="0"/>
        <w:suppressLineNumbers/>
        <w:suppressAutoHyphens/>
        <w:ind w:firstLine="340"/>
        <w:jc w:val="both"/>
        <w:rPr>
          <w:rFonts w:eastAsia="Andale Sans UI" w:cs="Tahoma"/>
          <w:color w:val="000000"/>
          <w:sz w:val="20"/>
          <w:szCs w:val="24"/>
          <w:lang w:eastAsia="lt-LT" w:bidi="en-US"/>
        </w:rPr>
      </w:pPr>
      <w:r>
        <w:rPr>
          <w:rFonts w:eastAsia="Andale Sans UI" w:cs="Tahoma"/>
          <w:sz w:val="20"/>
          <w:szCs w:val="24"/>
          <w:vertAlign w:val="superscript"/>
          <w:lang w:bidi="en-US"/>
        </w:rPr>
        <w:footnoteRef/>
      </w:r>
      <w:r>
        <w:rPr>
          <w:rFonts w:eastAsia="Andale Sans UI" w:cs="Tahoma"/>
          <w:sz w:val="20"/>
          <w:szCs w:val="24"/>
          <w:lang w:bidi="en-US"/>
        </w:rPr>
        <w:t xml:space="preserve"> </w:t>
      </w:r>
      <w:r>
        <w:rPr>
          <w:rFonts w:eastAsia="Andale Sans UI" w:cs="Tahoma"/>
          <w:color w:val="000000"/>
          <w:sz w:val="20"/>
          <w:szCs w:val="24"/>
          <w:lang w:eastAsia="lt-LT" w:bidi="en-US"/>
        </w:rPr>
        <w:t xml:space="preserve">2023 m. spalio mėn. Europos socialinio  fondo agentūra apskaičiavo fiksuotuosius įkainius.</w:t>
      </w:r>
    </w:p>
    <w:p>
      <w:pPr>
        <w:rPr>
          <w:rFonts w:eastAsia="Andale Sans UI" w:cs="Tahoma"/>
          <w:sz w:val="20"/>
        </w:rPr>
      </w:pPr>
    </w:p>
  </w:footnote>
  <w:footnote w:id="5">
    <w:p>
      <w:pPr>
        <w:widowControl w:val="0"/>
        <w:suppressAutoHyphens/>
        <w:ind w:firstLine="340"/>
        <w:jc w:val="both"/>
        <w:rPr>
          <w:rFonts w:eastAsia="Andale Sans UI" w:cs="Tahoma"/>
          <w:sz w:val="20"/>
          <w:szCs w:val="24"/>
          <w:lang w:bidi="en-US"/>
        </w:rPr>
      </w:pPr>
      <w:r>
        <w:rPr>
          <w:rFonts w:eastAsia="Andale Sans UI" w:cs="Tahoma"/>
          <w:sz w:val="20"/>
          <w:szCs w:val="24"/>
          <w:vertAlign w:val="superscript"/>
          <w:lang w:bidi="en-US"/>
        </w:rPr>
        <w:footnoteRef/>
      </w:r>
      <w:r>
        <w:rPr>
          <w:rFonts w:eastAsia="Andale Sans UI" w:cs="Tahoma"/>
          <w:sz w:val="20"/>
          <w:szCs w:val="24"/>
          <w:lang w:bidi="en-US"/>
        </w:rPr>
        <w:t xml:space="preserve"> </w:t>
      </w:r>
      <w:r>
        <w:rPr>
          <w:rFonts w:eastAsia="Andale Sans UI" w:cs="Tahoma"/>
          <w:color w:val="000080"/>
          <w:sz w:val="20"/>
          <w:szCs w:val="24"/>
          <w:u w:val="single"/>
          <w:lang w:bidi="en-US"/>
        </w:rPr>
        <w:t>https://osp.stat.gov.lt/statistiniu-rodikliu-analize?indicator=S7R097#/</w:t>
      </w:r>
    </w:p>
    <w:p>
      <w:pPr>
        <w:widowControl w:val="0"/>
        <w:suppressAutoHyphens/>
        <w:jc w:val="both"/>
        <w:rPr>
          <w:rFonts w:eastAsia="Andale Sans UI" w:cs="Tahoma"/>
          <w:sz w:val="20"/>
          <w:szCs w:val="24"/>
          <w:lang w:bidi="en-US"/>
        </w:rPr>
      </w:pPr>
    </w:p>
  </w:footnote>
  <w:footnote w:id="6">
    <w:p>
      <w:pPr>
        <w:widowControl w:val="0"/>
        <w:suppressAutoHyphens/>
        <w:ind w:firstLine="567"/>
        <w:jc w:val="both"/>
        <w:rPr>
          <w:rFonts w:eastAsia="Andale Sans UI"/>
          <w:sz w:val="18"/>
          <w:szCs w:val="18"/>
          <w:lang w:bidi="en-US"/>
        </w:rPr>
      </w:pPr>
      <w:r>
        <w:rPr>
          <w:rFonts w:eastAsia="Andale Sans UI" w:cs="Tahoma"/>
          <w:szCs w:val="24"/>
          <w:vertAlign w:val="superscript"/>
          <w:lang w:bidi="en-US"/>
        </w:rPr>
        <w:footnoteRef/>
      </w:r>
      <w:r>
        <w:rPr>
          <w:rFonts w:eastAsia="Andale Sans UI" w:cs="Tahoma"/>
          <w:szCs w:val="24"/>
          <w:lang w:bidi="en-US"/>
        </w:rPr>
        <w:t xml:space="preserve"> </w:t>
      </w:r>
      <w:r>
        <w:rPr>
          <w:rFonts w:eastAsia="Andale Sans UI"/>
          <w:sz w:val="18"/>
          <w:szCs w:val="18"/>
          <w:lang w:bidi="en-US"/>
        </w:rPr>
        <w:t>Vertinant Įstatymo projekto papildomo finansavimo poreikį ir trejų metų galimą poveikį valstybės biudžetui, remiamasi faktiniais daugiabučių atnaujinimo (modernizavimo) 2020 metų duomenimis:</w:t>
      </w:r>
    </w:p>
    <w:p>
      <w:pPr>
        <w:widowControl w:val="0"/>
        <w:tabs>
          <w:tab w:val="left" w:pos="851"/>
        </w:tabs>
        <w:suppressAutoHyphens/>
        <w:ind w:firstLine="567"/>
        <w:contextualSpacing/>
        <w:jc w:val="both"/>
        <w:rPr>
          <w:rFonts w:eastAsia="Andale Sans UI"/>
          <w:sz w:val="18"/>
          <w:szCs w:val="18"/>
          <w:lang w:bidi="en-US"/>
        </w:rPr>
      </w:pPr>
      <w:r>
        <w:rPr>
          <w:rFonts w:ascii="Symbol" w:eastAsia="Andale Sans UI" w:hAnsi="Symbol"/>
          <w:sz w:val="18"/>
          <w:szCs w:val="18"/>
          <w:lang w:bidi="en-US"/>
        </w:rPr>
        <w:t></w:t>
      </w:r>
      <w:r>
        <w:rPr>
          <w:rFonts w:eastAsia="Andale Sans UI"/>
          <w:sz w:val="18"/>
          <w:szCs w:val="18"/>
          <w:lang w:bidi="en-US"/>
        </w:rPr>
        <w:t>2020 m. vidutiniškai asmeniui, t. y. butui tenkanti suma už jo atnaujinimą (modernizavimą) (įskaitant projekto ir jo dalies parengimo ir statybos rangos darbams tenkančias išlaidas) – 20 685 eurų;</w:t>
      </w:r>
    </w:p>
    <w:p>
      <w:pPr>
        <w:widowControl w:val="0"/>
        <w:tabs>
          <w:tab w:val="left" w:pos="851"/>
        </w:tabs>
        <w:suppressAutoHyphens/>
        <w:ind w:firstLine="567"/>
        <w:contextualSpacing/>
        <w:jc w:val="both"/>
        <w:rPr>
          <w:rFonts w:eastAsia="Andale Sans UI"/>
          <w:sz w:val="18"/>
          <w:szCs w:val="18"/>
          <w:lang w:bidi="en-US"/>
        </w:rPr>
      </w:pPr>
      <w:r>
        <w:rPr>
          <w:rFonts w:ascii="Symbol" w:eastAsia="Andale Sans UI" w:hAnsi="Symbol"/>
          <w:sz w:val="18"/>
          <w:szCs w:val="18"/>
          <w:lang w:bidi="en-US"/>
        </w:rPr>
        <w:t></w:t>
      </w:r>
      <w:r>
        <w:rPr>
          <w:rFonts w:eastAsia="Andale Sans UI"/>
          <w:sz w:val="18"/>
          <w:szCs w:val="18"/>
          <w:lang w:bidi="en-US"/>
        </w:rPr>
        <w:t>projekto ir jo dalies parengimo išlaidos, kurios visiems įgyvendinamiems projektams apmokamos 100 procentų, – 1 881 eurų, ši suma sudaro 10 procentų projekto vertės;</w:t>
      </w:r>
    </w:p>
    <w:p>
      <w:pPr>
        <w:widowControl w:val="0"/>
        <w:tabs>
          <w:tab w:val="left" w:pos="851"/>
        </w:tabs>
        <w:suppressAutoHyphens/>
        <w:ind w:firstLine="567"/>
        <w:contextualSpacing/>
        <w:jc w:val="both"/>
        <w:rPr>
          <w:rFonts w:eastAsia="Andale Sans UI"/>
          <w:sz w:val="18"/>
          <w:szCs w:val="18"/>
          <w:lang w:bidi="en-US"/>
        </w:rPr>
      </w:pPr>
      <w:r>
        <w:rPr>
          <w:rFonts w:ascii="Symbol" w:eastAsia="Andale Sans UI" w:hAnsi="Symbol"/>
          <w:sz w:val="18"/>
          <w:szCs w:val="18"/>
          <w:lang w:bidi="en-US"/>
        </w:rPr>
        <w:t></w:t>
      </w:r>
      <w:r>
        <w:rPr>
          <w:rFonts w:eastAsia="Andale Sans UI"/>
          <w:sz w:val="18"/>
          <w:szCs w:val="18"/>
          <w:lang w:bidi="en-US"/>
        </w:rPr>
        <w:t>18 805 eurų sudaro rangos darbų kaina, kuri apmokama kredito lėšomis ir vidutiniškai išmokama per 20 metų. Pagal įprastą valstybės paramos schemą šios sumos 30 procentų kompensuojama valstybės biudžeto lėšomis. Atsižvelgus į tai, papildomos lėšos vienam asmeniui būtų 13 164 eurų (70 procentų);</w:t>
      </w:r>
    </w:p>
    <w:p>
      <w:pPr>
        <w:widowControl w:val="0"/>
        <w:tabs>
          <w:tab w:val="left" w:pos="851"/>
        </w:tabs>
        <w:suppressAutoHyphens/>
        <w:ind w:firstLine="567"/>
        <w:contextualSpacing/>
        <w:jc w:val="both"/>
        <w:rPr>
          <w:rFonts w:eastAsia="Andale Sans UI"/>
          <w:sz w:val="18"/>
          <w:szCs w:val="18"/>
          <w:lang w:bidi="en-US"/>
        </w:rPr>
      </w:pPr>
      <w:r>
        <w:rPr>
          <w:rFonts w:ascii="Symbol" w:eastAsia="Andale Sans UI" w:hAnsi="Symbol"/>
          <w:sz w:val="18"/>
          <w:szCs w:val="18"/>
          <w:lang w:bidi="en-US"/>
        </w:rPr>
        <w:t></w:t>
      </w:r>
      <w:r>
        <w:rPr>
          <w:rFonts w:eastAsia="Andale Sans UI"/>
          <w:sz w:val="18"/>
          <w:szCs w:val="18"/>
          <w:lang w:bidi="en-US"/>
        </w:rPr>
        <w:t xml:space="preserve">vidutiniškai projektai įgyvendinami per 2 ar 3 metus, tada pradedama mokėti </w:t>
      </w:r>
      <w:r>
        <w:rPr>
          <w:rFonts w:eastAsia="Andale Sans UI"/>
          <w:color w:val="000000"/>
          <w:sz w:val="18"/>
          <w:szCs w:val="18"/>
          <w:lang w:eastAsia="lt-LT"/>
        </w:rPr>
        <w:t>kredito draudimo įmoka, kiekvieno mėnesio kredito ir palūkanų įmoka;</w:t>
      </w:r>
    </w:p>
    <w:p>
      <w:pPr>
        <w:widowControl w:val="0"/>
        <w:tabs>
          <w:tab w:val="left" w:pos="851"/>
        </w:tabs>
        <w:suppressAutoHyphens/>
        <w:ind w:firstLine="567"/>
        <w:contextualSpacing/>
        <w:jc w:val="both"/>
        <w:rPr>
          <w:rFonts w:eastAsia="Andale Sans UI"/>
          <w:sz w:val="18"/>
          <w:szCs w:val="18"/>
          <w:lang w:bidi="en-US"/>
        </w:rPr>
      </w:pPr>
      <w:r>
        <w:rPr>
          <w:rFonts w:ascii="Symbol" w:eastAsia="Andale Sans UI" w:hAnsi="Symbol"/>
          <w:sz w:val="18"/>
          <w:szCs w:val="18"/>
          <w:lang w:bidi="en-US"/>
        </w:rPr>
        <w:t></w:t>
      </w:r>
      <w:r>
        <w:rPr>
          <w:rFonts w:eastAsia="Andale Sans UI"/>
          <w:sz w:val="18"/>
          <w:szCs w:val="18"/>
          <w:lang w:eastAsia="lt-LT"/>
        </w:rPr>
        <w:t xml:space="preserve">atsižvelgus į skaičiavimus, papildomai vienam asmeniui reikėtų </w:t>
      </w:r>
      <w:r>
        <w:rPr>
          <w:rFonts w:eastAsia="Andale Sans UI"/>
          <w:b/>
          <w:bCs/>
          <w:sz w:val="18"/>
          <w:szCs w:val="18"/>
          <w:lang w:eastAsia="lt-LT"/>
        </w:rPr>
        <w:t xml:space="preserve">13 164 </w:t>
      </w:r>
      <w:r>
        <w:rPr>
          <w:rFonts w:eastAsia="Andale Sans UI"/>
          <w:b/>
          <w:bCs/>
          <w:sz w:val="18"/>
          <w:szCs w:val="18"/>
          <w:lang w:bidi="en-US"/>
        </w:rPr>
        <w:t>eurų</w:t>
      </w:r>
      <w:r>
        <w:rPr>
          <w:rFonts w:eastAsia="Andale Sans UI"/>
          <w:sz w:val="18"/>
          <w:szCs w:val="18"/>
          <w:lang w:eastAsia="lt-LT"/>
        </w:rPr>
        <w:t xml:space="preserve"> (70 procentų),</w:t>
      </w:r>
      <w:r>
        <w:rPr>
          <w:rFonts w:eastAsia="Andale Sans UI"/>
          <w:sz w:val="18"/>
          <w:szCs w:val="18"/>
        </w:rPr>
        <w:t xml:space="preserve"> </w:t>
      </w:r>
      <w:r>
        <w:rPr>
          <w:rFonts w:eastAsia="Andale Sans UI"/>
          <w:b/>
          <w:bCs/>
          <w:sz w:val="18"/>
          <w:szCs w:val="18"/>
        </w:rPr>
        <w:t xml:space="preserve">t. y. </w:t>
      </w:r>
      <w:r>
        <w:rPr>
          <w:rFonts w:eastAsia="Andale Sans UI"/>
          <w:b/>
          <w:bCs/>
          <w:sz w:val="18"/>
          <w:szCs w:val="18"/>
          <w:u w:val="single"/>
        </w:rPr>
        <w:t>po 658 eurų per metus</w:t>
      </w:r>
      <w:r>
        <w:rPr>
          <w:rFonts w:eastAsia="Andale Sans UI"/>
          <w:b/>
          <w:bCs/>
          <w:sz w:val="18"/>
          <w:szCs w:val="18"/>
        </w:rPr>
        <w:t xml:space="preserve">. </w:t>
      </w:r>
      <w:r>
        <w:rPr>
          <w:rFonts w:eastAsia="Andale Sans UI"/>
          <w:sz w:val="18"/>
          <w:szCs w:val="18"/>
          <w:lang w:bidi="en-US"/>
        </w:rPr>
        <w:t>Remiantis minėtais skaičiavimais, maksimalus galimas 370 (</w:t>
      </w:r>
      <w:r>
        <w:rPr>
          <w:rFonts w:eastAsia="Andale Sans UI"/>
          <w:sz w:val="18"/>
          <w:szCs w:val="18"/>
          <w:lang w:eastAsia="lt-LT"/>
        </w:rPr>
        <w:t>180+20+170)</w:t>
      </w:r>
      <w:r>
        <w:rPr>
          <w:rFonts w:eastAsia="Andale Sans UI"/>
          <w:sz w:val="18"/>
          <w:szCs w:val="18"/>
          <w:lang w:bidi="en-US"/>
        </w:rPr>
        <w:t xml:space="preserve"> asmenims mokamos vienkartinės kompensacijos dydis sudarytų 4,87 mln. Eurų (370 unikalūs butai * 13164 eurų), iš jų papildomai asmenų grupei (žuvusių šeimos nariams) 20 asmenų – 0,26 mln. eurų (20 unikalių butų * 13164 eurų) ir (nežuvusių gynėjų šeimos nariams) 170 asmenims (skaičiuojami unikalūs butai) – 2,2 mln. eurų (170 unikalių butų * 13164 eurų).</w:t>
      </w:r>
    </w:p>
    <w:p>
      <w:pPr>
        <w:widowControl w:val="0"/>
        <w:tabs>
          <w:tab w:val="left" w:pos="851"/>
        </w:tabs>
        <w:suppressAutoHyphens/>
        <w:ind w:firstLine="567"/>
        <w:jc w:val="both"/>
        <w:rPr>
          <w:rFonts w:eastAsia="Andale Sans UI"/>
          <w:sz w:val="18"/>
          <w:szCs w:val="18"/>
          <w:lang w:bidi="en-US"/>
        </w:rPr>
      </w:pPr>
      <w:r>
        <w:rPr>
          <w:rFonts w:eastAsia="Andale Sans UI"/>
          <w:sz w:val="18"/>
          <w:szCs w:val="18"/>
          <w:lang w:bidi="en-US"/>
        </w:rPr>
        <w:t>Siekiant nustatyti kuo tikslesnį galimą potencialių asmenų skaičių, daromos prielaidos, kad dalis asmenų jau atnaujino savo būstą, kad visi vienu metu negali pradėti renovuoti savo būsto, kad tik dalis asmenų gyvena daugiabučiuose namuose, pastatytuose pagal galiojusius iki 1993 metų statybos techninius normatyvus, kad kasmet papildomas vidutinis renovuojamų daugiabučių namų skaičius ribinis – siekia apie 500 namų. Įvertinus šias prielaidas, manoma, kad potencialus asmenų skaičius per metus galėtų sudaryti apie 10 procentų nuo bendro asmenų skaičiaus (370), t. y</w:t>
      </w:r>
      <w:r>
        <w:rPr>
          <w:rFonts w:eastAsia="Andale Sans UI"/>
          <w:b/>
          <w:bCs/>
          <w:sz w:val="18"/>
          <w:szCs w:val="18"/>
          <w:lang w:bidi="en-US"/>
        </w:rPr>
        <w:t>. apie 37 asmenys, kuriems papildomas metinis mokamos kompensacijos dydis būtų apie 487 tūkst. eurų.</w:t>
      </w:r>
    </w:p>
    <w:p>
      <w:pPr>
        <w:rPr>
          <w:rFonts w:eastAsia="Andale Sans UI" w:cs="Tahoma"/>
          <w:sz w:val="20"/>
        </w:rPr>
      </w:pPr>
    </w:p>
  </w:footnote>
  <w:footnote w:id="7">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8">
    <w:p>
      <w:pPr>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4"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9">
    <w:p>
      <w:pPr>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10">
    <w:p>
      <w:pPr>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11">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Lietuvos Respublikos Vyriausybės darbo reglamentas</w:t>
      </w:r>
      <w:r>
        <w:rPr>
          <w:rFonts w:eastAsia="Andale Sans UI"/>
          <w:sz w:val="20"/>
        </w:rPr>
        <w:t>, patvirtintas Lietuvos Respublikos Vyriausybės 1994 m. rugpjūčio 11 d. nutarimu Nr. 728 „Dėl Lietuvos Respublikos Vyriausybės darbo reglamento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8</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2549772">
      <w:bodyDiv w:val="1"/>
      <w:marLeft w:val="0"/>
      <w:marRight w:val="0"/>
      <w:marTop w:val="0"/>
      <w:marBottom w:val="0"/>
      <w:divBdr>
        <w:top w:val="none" w:sz="0" w:space="0" w:color="auto"/>
        <w:left w:val="none" w:sz="0" w:space="0" w:color="auto"/>
        <w:bottom w:val="none" w:sz="0" w:space="0" w:color="auto"/>
        <w:right w:val="none" w:sz="0" w:space="0" w:color="auto"/>
      </w:divBdr>
      <w:divsChild>
        <w:div w:id="86969238">
          <w:marLeft w:val="0"/>
          <w:marRight w:val="0"/>
          <w:marTop w:val="0"/>
          <w:marBottom w:val="0"/>
          <w:divBdr>
            <w:top w:val="none" w:sz="0" w:space="0" w:color="auto"/>
            <w:left w:val="none" w:sz="0" w:space="0" w:color="auto"/>
            <w:bottom w:val="none" w:sz="0" w:space="0" w:color="auto"/>
            <w:right w:val="none" w:sz="0" w:space="0" w:color="auto"/>
          </w:divBdr>
        </w:div>
        <w:div w:id="626274624">
          <w:marLeft w:val="0"/>
          <w:marRight w:val="0"/>
          <w:marTop w:val="0"/>
          <w:marBottom w:val="0"/>
          <w:divBdr>
            <w:top w:val="none" w:sz="0" w:space="0" w:color="auto"/>
            <w:left w:val="none" w:sz="0" w:space="0" w:color="auto"/>
            <w:bottom w:val="none" w:sz="0" w:space="0" w:color="auto"/>
            <w:right w:val="none" w:sz="0" w:space="0" w:color="auto"/>
          </w:divBdr>
        </w:div>
        <w:div w:id="808328079">
          <w:marLeft w:val="0"/>
          <w:marRight w:val="0"/>
          <w:marTop w:val="0"/>
          <w:marBottom w:val="0"/>
          <w:divBdr>
            <w:top w:val="none" w:sz="0" w:space="0" w:color="auto"/>
            <w:left w:val="none" w:sz="0" w:space="0" w:color="auto"/>
            <w:bottom w:val="none" w:sz="0" w:space="0" w:color="auto"/>
            <w:right w:val="none" w:sz="0" w:space="0" w:color="auto"/>
          </w:divBdr>
        </w:div>
        <w:div w:id="851648302">
          <w:marLeft w:val="0"/>
          <w:marRight w:val="0"/>
          <w:marTop w:val="0"/>
          <w:marBottom w:val="0"/>
          <w:divBdr>
            <w:top w:val="none" w:sz="0" w:space="0" w:color="auto"/>
            <w:left w:val="none" w:sz="0" w:space="0" w:color="auto"/>
            <w:bottom w:val="none" w:sz="0" w:space="0" w:color="auto"/>
            <w:right w:val="none" w:sz="0" w:space="0" w:color="auto"/>
          </w:divBdr>
        </w:div>
        <w:div w:id="1046760848">
          <w:marLeft w:val="0"/>
          <w:marRight w:val="0"/>
          <w:marTop w:val="0"/>
          <w:marBottom w:val="0"/>
          <w:divBdr>
            <w:top w:val="none" w:sz="0" w:space="0" w:color="auto"/>
            <w:left w:val="none" w:sz="0" w:space="0" w:color="auto"/>
            <w:bottom w:val="none" w:sz="0" w:space="0" w:color="auto"/>
            <w:right w:val="none" w:sz="0" w:space="0" w:color="auto"/>
          </w:divBdr>
        </w:div>
        <w:div w:id="1445538919">
          <w:marLeft w:val="0"/>
          <w:marRight w:val="0"/>
          <w:marTop w:val="0"/>
          <w:marBottom w:val="0"/>
          <w:divBdr>
            <w:top w:val="none" w:sz="0" w:space="0" w:color="auto"/>
            <w:left w:val="none" w:sz="0" w:space="0" w:color="auto"/>
            <w:bottom w:val="none" w:sz="0" w:space="0" w:color="auto"/>
            <w:right w:val="none" w:sz="0" w:space="0" w:color="auto"/>
          </w:divBdr>
        </w:div>
        <w:div w:id="1457407296">
          <w:marLeft w:val="0"/>
          <w:marRight w:val="0"/>
          <w:marTop w:val="0"/>
          <w:marBottom w:val="0"/>
          <w:divBdr>
            <w:top w:val="none" w:sz="0" w:space="0" w:color="auto"/>
            <w:left w:val="none" w:sz="0" w:space="0" w:color="auto"/>
            <w:bottom w:val="none" w:sz="0" w:space="0" w:color="auto"/>
            <w:right w:val="none" w:sz="0" w:space="0" w:color="auto"/>
          </w:divBdr>
        </w:div>
        <w:div w:id="1971131903">
          <w:marLeft w:val="0"/>
          <w:marRight w:val="0"/>
          <w:marTop w:val="0"/>
          <w:marBottom w:val="0"/>
          <w:divBdr>
            <w:top w:val="none" w:sz="0" w:space="0" w:color="auto"/>
            <w:left w:val="none" w:sz="0" w:space="0" w:color="auto"/>
            <w:bottom w:val="none" w:sz="0" w:space="0" w:color="auto"/>
            <w:right w:val="none" w:sz="0" w:space="0" w:color="auto"/>
          </w:divBdr>
        </w:div>
        <w:div w:id="2064988414">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498158795">
      <w:bodyDiv w:val="1"/>
      <w:marLeft w:val="0"/>
      <w:marRight w:val="0"/>
      <w:marTop w:val="0"/>
      <w:marBottom w:val="0"/>
      <w:divBdr>
        <w:top w:val="none" w:sz="0" w:space="0" w:color="auto"/>
        <w:left w:val="none" w:sz="0" w:space="0" w:color="auto"/>
        <w:bottom w:val="none" w:sz="0" w:space="0" w:color="auto"/>
        <w:right w:val="none" w:sz="0" w:space="0" w:color="auto"/>
      </w:divBdr>
    </w:div>
    <w:div w:id="505948475">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16942521">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80864459">
      <w:bodyDiv w:val="1"/>
      <w:marLeft w:val="0"/>
      <w:marRight w:val="0"/>
      <w:marTop w:val="0"/>
      <w:marBottom w:val="0"/>
      <w:divBdr>
        <w:top w:val="none" w:sz="0" w:space="0" w:color="auto"/>
        <w:left w:val="none" w:sz="0" w:space="0" w:color="auto"/>
        <w:bottom w:val="none" w:sz="0" w:space="0" w:color="auto"/>
        <w:right w:val="none" w:sz="0" w:space="0" w:color="auto"/>
      </w:divBdr>
      <w:divsChild>
        <w:div w:id="38738572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TAR.9D04F98F7C14/asr"/>
  <Relationship Id="rId3" Type="http://schemas.openxmlformats.org/officeDocument/2006/relationships/hyperlink" TargetMode="External" Target="https://www.e-tar.lt/portal/lt/legalAct/ed22bb703bc311eb8d9fe110e148c770"/>
  <Relationship Id="rId4" Type="http://schemas.openxmlformats.org/officeDocument/2006/relationships/hyperlink" TargetMode="External" Target="https://www.e-tar.lt/portal/lt/legalAct/TAR.DB68BCA9E3A0/asr"/>
  <Relationship Id="rId5" Type="http://schemas.openxmlformats.org/officeDocument/2006/relationships/hyperlink" TargetMode="External" Target="https://www.e-tar.lt/portal/lt/legalAct/TAR.EDD5FD371B32/asr"/>
  <Relationship Id="rId6" Type="http://schemas.openxmlformats.org/officeDocument/2006/relationships/hyperlink" TargetMode="External" Target="https://www.e-tar.lt/portal/lt/legalAct/TAR.814F485EB18B/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143</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8000dd64de34ad4bb6277c96b757948" PartId="39f2c04567944595baabb0874a48a018"/>
  <Part Type="pastraipa" DocPartId="bc766fcff29941ffbe7c4fbeebfa3855" PartId="89dc992a00ea46c284a74ccf3d50e358">
    <Part Type="punktas" Nr="1" Abbr="1 p." DocPartId="404ea5129e8443eaa81d1e04add7a3df" PartId="ce8c8819abd24b6fa42302581144a2dd"/>
    <Part Type="punktas" Nr="2" Abbr="2 p." DocPartId="47986788f4f140dcb907218e3e3d30e4" PartId="fa028bc9aecb4256b64eff58273ce2d8"/>
    <Part Type="punktas" Nr="1" Abbr="1 p." Notes="Numeris ne iš eilės. Trūksta dalių? [DocDalys]" DocPartId="0fa74be5d86647e89e058458547f151c" PartId="296bba2913af441cb012b438d642d6a9"/>
    <Part Type="punktas" Nr="2" Abbr="2 p." DocPartId="5117c459f1b24602a730adfb3a72d4cc" PartId="cc06adfd023a484f820e5ce79aea0405">
      <Part Type="papunktis" Nr="2.1" Abbr="2.1 pp." DocPartId="b349c393d06847c7a8346f3f29d4e7ba" PartId="2991b5360a8a4e2faaf86cf90e9b574a"/>
      <Part Type="papunktis" Nr="2.2" Abbr="2.2 pp." DocPartId="078e151e77204fb29dd28af85e3b7e37" PartId="0cd33580a1a244238561ef081c43a438"/>
      <Part Type="papunktis" Nr="2.3" Abbr="2.3 pp." DocPartId="445fdc6318de48ba85074246736dcd45" PartId="d21d3f19f45047648ab335f82f1a9430"/>
      <Part Type="papunktis" Nr="2.4" Abbr="2.4 pp." DocPartId="2a100f24dd3940ddbe5ddd2a361d2482" PartId="5e79762dfa8e48d79e53492405f3cfa1"/>
      <Part Type="papunktis" Nr="2.5" Abbr="2.5 pp." DocPartId="ed270f7880974f43882ce3d40ff77607" PartId="a72560be41404464ba5cfd9a125e779d"/>
    </Part>
    <Part Type="punktas" Nr="3" Abbr="3 p." DocPartId="7918dee05aba4fa18e0b868973bc560f" PartId="3fb89b92ec87495a913cc89de67976e5"/>
    <Part Type="punktas" Nr="4" Abbr="4 p." DocPartId="a20f7abf120845939ce3e197e2ac294e" PartId="2a3956d068bc48f8b2abcbed3289a908"/>
    <Part Type="punktas" Nr="5" Abbr="5 p." DocPartId="b152ae5af61b4a32b96eceb144b1a3f0" PartId="17791de1bac94fbf9d621015f2f2ce7e"/>
    <Part Type="punktas" Nr="4" Abbr="4 p." Notes="Numeris ne iš eilės. Trūksta dalių? [DocDalys]" DocPartId="3cbe2877d3864460bdfc76b060aa6ed2" PartId="ef3aaae4dc51451388ce05bb5762d707"/>
    <Part Type="punktas" Nr="5" Abbr="5 p." DocPartId="710ef07edeeb4f5eabac7b46614571e2" PartId="8d05b7fa737c40488ba33453b0e880fe">
      <Part Type="papunktis" Nr="157.5" Abbr="157.5 pp." Notes="Numeris ne iš eilės. Trūksta dalių? [DocDalys]" DocPartId="48fa578572164703917239208caf7a76" PartId="0bb47a3287cf4c21be1727e593335628"/>
    </Part>
    <Part Type="punktas" Nr="6" Abbr="6 p." DocPartId="f1fcdf623bb84030ab69a66bae0d54ba" PartId="0a6d5750493f4f2d98dcde8843e8671a"/>
    <Part Type="punktas" Nr="7" Abbr="7 p." DocPartId="d44228717a334de8b96fedb7d9153027" PartId="16c9e006f6c84ed5a251bf0dc7c3aa36"/>
    <Part Type="punktas" Nr="8" Abbr="8 p." DocPartId="c9edbf7d98c54638b869ca8d06769c5a" PartId="9cb97735d0bb4bf8a13ee11a4f047133"/>
    <Part Type="punktas" Nr="9" Abbr="9 p." DocPartId="cfbda2926c6f4944ae974c69975ee233" PartId="437900e1730848879f33b6090ca5bf00"/>
    <Part Type="punktas" Nr="10" Abbr="10 p." DocPartId="76419026036d4976a2f136bf43eeaa7c" PartId="127ede1569504d65b2ed338ae78d01c0"/>
    <Part Type="punktas" Nr="11" Abbr="11 p." DocPartId="bc6ba3967fb840c2b29e38ee2d5ac3c5" PartId="2686105a254541ffa4a68fd273075103"/>
    <Part Type="punktas" Nr="12" Abbr="12 p." DocPartId="62b3128ac7d94b28ad7b28dd5feee4a8" PartId="e606f75ca99e47018ef9a6a9f4682b8e"/>
    <Part Type="punktas" Nr="13" Abbr="13 p." DocPartId="21870133e66a40cc858f9e13fdd547dd" PartId="7849ba6ab2cd474fa1a992d033547208"/>
    <Part Type="punktas" Nr="14" Abbr="14 p." DocPartId="be83e324ef8c4307a16dcddd33e6814b" PartId="9732252c38ab48c39002ef0eb54486b6"/>
    <Part Type="punktas" Nr="1" Abbr="1 p." Notes="Numeris ne iš eilės. Trūksta dalių? [DocDalys]" DocPartId="72dff6d1368a44de9ad7a36943cd6cd4" PartId="23b404ee2b0e43b0aa3489ff8f0a9062"/>
    <Part Type="punktas" Nr="2" Abbr="2 p." DocPartId="e217e3e0e83b4a1fac74283a33e8f53b" PartId="794168ecff6a480e9074d6aa3ede29c6"/>
  </Part>
</Parts>
</file>

<file path=customXml/itemProps1.xml><?xml version="1.0" encoding="utf-8"?>
<ds:datastoreItem xmlns:ds="http://schemas.openxmlformats.org/officeDocument/2006/customXml" ds:itemID="{2ECC1323-9F72-4681-9895-5BB6B34E3FBB}">
  <ds:schemaRefs>
    <ds:schemaRef ds:uri="http://schemas.microsoft.com/office/2006/documentManagement/types"/>
    <ds:schemaRef ds:uri="19cf09c5-daa1-4028-a0ff-74a0be4ec5cc"/>
    <ds:schemaRef ds:uri="http://purl.org/dc/elements/1.1/"/>
    <ds:schemaRef ds:uri="http://schemas.openxmlformats.org/package/2006/metadata/core-properties"/>
    <ds:schemaRef ds:uri="http://schemas.microsoft.com/office/2006/metadata/properties"/>
    <ds:schemaRef ds:uri="http://schemas.microsoft.com/sharepoint/v3"/>
    <ds:schemaRef ds:uri="http://schemas.microsoft.com/office/infopath/2007/PartnerControls"/>
    <ds:schemaRef ds:uri="http://purl.org/dc/terms/"/>
    <ds:schemaRef ds:uri="f5aad5d0-9c26-490e-8743-a6c7ceabd501"/>
    <ds:schemaRef ds:uri="http://www.w3.org/XML/1998/namespace"/>
    <ds:schemaRef ds:uri="http://purl.org/dc/dcmitype/"/>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788F6122-3F49-4466-A2E6-FD32FD7AEA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AC47FA-D57C-4AAB-8C1D-994316B6D2D8}">
  <ds:schemaRefs>
    <ds:schemaRef ds:uri="http://schemas.openxmlformats.org/officeDocument/2006/bibliography"/>
  </ds:schemaRefs>
</ds:datastoreItem>
</file>

<file path=customXml/itemProps5.xml><?xml version="1.0" encoding="utf-8"?>
<ds:datastoreItem xmlns:ds="http://schemas.openxmlformats.org/officeDocument/2006/customXml" ds:itemID="{E8BC1C7D-DF4C-4D06-86B6-E600626AEB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2113</Words>
  <Characters>15489</Characters>
  <Application>Microsoft Office Word</Application>
  <DocSecurity>4</DocSecurity>
  <Lines>297</Lines>
  <Paragraphs>121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17481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2024-08-01T13:47:00Z</dcterms:created>
  <dcterms:modified xsi:type="dcterms:W3CDTF">2024-08-01T13:47:00Z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3308900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MediaServiceImageTags">
    <vt:lpwstr/>
  </property>
</Properties>
</file>