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adcbb27d824d41548d499d9c5f2a4cf5"/>
        <w:lock w:val="sdtLocked"/>
        <w:richText/>
      </w:sdtPr>
      <w:sdtContent>
        <w:p w14:paraId="564110ED" w14:textId="77777777">
          <w:pPr>
            <w:tabs>
              <w:tab w:val="center" w:pos="4513"/>
              <w:tab w:val="right" w:pos="9026"/>
            </w:tabs>
            <w:rPr>
              <w:sz w:val="22"/>
              <w:szCs w:val="22"/>
              <w:lang w:val="en-GB"/>
            </w:rPr>
          </w:pPr>
        </w:p>
        <w:p w14:paraId="1871E31C" w14:textId="564E4365">
          <w:pPr>
            <w:ind w:right="-31"/>
            <w:jc w:val="center"/>
            <w:rPr>
              <w:b/>
              <w:bCs/>
              <w:caps/>
              <w:sz w:val="22"/>
              <w:szCs w:val="22"/>
            </w:rPr>
          </w:pPr>
          <w:r>
            <w:rPr>
              <w:b/>
              <w:bCs/>
              <w:caps/>
              <w:sz w:val="22"/>
              <w:szCs w:val="22"/>
            </w:rPr>
            <w:t xml:space="preserve">2023 m. gegužės 10 d. Europos Parlamento ir Tarybos direktyvos (ES) 2023/959 kuria iš dalies keičiama Direktyva </w:t>
          </w:r>
          <w:fldSimple w:instr="HYPERLINK http://eur-lex.europa.eu/legal-content/LIT/TXT/?uri=CELEX:32003L0087&amp;locale=lt \t _blank">
            <w:r>
              <w:rPr>
                <w:b/>
                <w:bCs/>
                <w:caps/>
                <w:sz w:val="22"/>
                <w:szCs w:val="22"/>
                <w:u w:val="single"/>
                <w:color w:val="0000FF" w:themeColor="hyperlink"/>
              </w:rPr>
              <w:t>2003/87/EB</w:t>
            </w:r>
          </w:fldSimple>
          <w:r>
            <w:rPr>
              <w:b/>
              <w:bCs/>
              <w:caps/>
              <w:sz w:val="22"/>
              <w:szCs w:val="22"/>
            </w:rPr>
            <w:t>, nustatanti šiltnamio efektą sukeliančių dujų emisijos leidimų sistemą Sąjungoje, ir Sprendimas (ES) 2015/1814 dėl Sąjungos šiltnamio efektą sukeliančių dujų apyvartinių taršos leidimų prekybos sistemos rinkos stabilumo rezervo sukūrimo ir veikimo IR NACIONALINIŲ TEISĖS AKTŲ</w:t>
          </w:r>
          <w:r>
            <w:rPr>
              <w:caps/>
              <w:sz w:val="22"/>
              <w:szCs w:val="22"/>
            </w:rPr>
            <w:t xml:space="preserve"> </w:t>
          </w:r>
          <w:r>
            <w:rPr>
              <w:b/>
              <w:bCs/>
              <w:caps/>
              <w:sz w:val="22"/>
              <w:szCs w:val="22"/>
            </w:rPr>
            <w:t>ATITIKTIES LENTELĖ</w:t>
          </w:r>
        </w:p>
        <w:p w14:paraId="7A8D43E0" w14:textId="199084E2">
          <w:pPr>
            <w:jc w:val="center"/>
            <w:rPr>
              <w:b/>
              <w:bCs/>
              <w:szCs w:val="24"/>
              <w:lang w:eastAsia="lt-LT"/>
            </w:rPr>
          </w:pPr>
        </w:p>
        <w:tbl>
          <w:tblPr>
            <w:tblW w:w="15583" w:type="dxa"/>
            <w:tblInd w:w="-289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000" w:firstRow="0" w:lastRow="0" w:firstColumn="0" w:lastColumn="0" w:noHBand="0" w:noVBand="0"/>
          </w:tblPr>
          <w:tblGrid>
            <w:gridCol w:w="6379"/>
            <w:gridCol w:w="7098"/>
            <w:gridCol w:w="2106"/>
          </w:tblGrid>
          <w:tr w14:paraId="40C3E148" w14:textId="77777777">
            <w:trPr>
              <w:trHeight w:val="529"/>
            </w:trPr>
            <w:tc>
              <w:tcPr>
                <w:tcW w:w="6379" w:type="dxa"/>
                <w:tcBorders>
                  <w:bottom w:val="single" w:sz="4" w:space="0" w:color="auto"/>
                </w:tcBorders>
              </w:tcPr>
              <w:p w14:paraId="604CF2EF" w14:textId="3AB02A14">
                <w:pPr>
                  <w:tabs>
                    <w:tab w:val="left" w:pos="5724"/>
                  </w:tabs>
                  <w:ind w:right="300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 xml:space="preserve">2023 m. gegužės 10 d.  Europos Parlamento ir Tarybos direktyva (ES) 2023/959 kuria iš dalies keičiama Direktyva </w:t>
                </w:r>
                <w:fldSimple w:instr="HYPERLINK http://eur-lex.europa.eu/legal-content/LIT/TXT/?uri=CELEX:32003L0087&amp;locale=lt \t _blank">
                  <w:r>
                    <w:rPr>
                      <w:b/>
                      <w:sz w:val="22"/>
                      <w:szCs w:val="22"/>
                      <w:lang w:eastAsia="lt-LT"/>
                      <w:u w:val="single"/>
                      <w:color w:val="0000FF" w:themeColor="hyperlink"/>
                    </w:rPr>
                    <w:t>2003/87/EB</w:t>
                  </w:r>
                </w:fldSimple>
                <w:r>
                  <w:rPr>
                    <w:b/>
                    <w:sz w:val="22"/>
                    <w:szCs w:val="22"/>
                    <w:lang w:eastAsia="lt-LT"/>
                  </w:rPr>
                  <w:t>, nustatanti šiltnamio efektą sukeliančių dujų emisijos leidimų sistemą Sąjungoje, ir Sprendimas (ES) 2015/1814 dėl Sąjungos šiltnamio efektą sukeliančių dujų apyvartinių taršos leidimų prekybos sistemos rinkos stabilumo rezervo sukūrimo ir veikimo (toliau – Direktyva)</w:t>
                </w:r>
              </w:p>
            </w:tc>
            <w:tc>
              <w:tcPr>
                <w:tcW w:w="7098" w:type="dxa"/>
              </w:tcPr>
              <w:p w14:paraId="6BB7993A" w14:textId="49B5B6C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 xml:space="preserve">Lietuvos Respublikos aplinkos ministro įsakymo „Dėl </w:t>
                </w:r>
                <w:r>
                  <w:rPr>
                    <w:b/>
                    <w:bCs/>
                    <w:color w:val="000000"/>
                    <w:sz w:val="22"/>
                    <w:szCs w:val="22"/>
                    <w:bdr w:val="none" w:sz="0" w:space="0" w:color="auto" w:frame="1"/>
                  </w:rPr>
                  <w:t>Lietuvos Respublikos aplinkos ministro 2013 m. liepos 15 d. įsakymo Nr. D1-528 „Dėl Taršos integruotos prevencijos ir kontrolės leidimų išdavimo, pakeitimo ir galiojimo panaikinimo taisyklių patvirtinimo</w:t>
                </w: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“ pakeitimo“ projektas (toliau – TIPK taisyklių pakeitimo projektas)</w:t>
                </w:r>
              </w:p>
              <w:p w14:paraId="4FFE27C3" w14:textId="7E7FEEB7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Lietuvos Respublikos aplinkos ministro įsakymo „Dėl Lietuvos Respublikos aplinkos ministro 2014 m. kovo 6 d. įsakymo Nr. D1-259 „Dėl Taršos leidimų išdavimo, pakeitimo ir galiojimo panaikinimo taisyklių patvirtinimo“ pakeitimo“ projektas (toliau – Taršos leidimų taisyklių pakeitimo projektas)</w:t>
                </w:r>
              </w:p>
            </w:tc>
            <w:tc>
              <w:tcPr>
                <w:tcW w:w="2106" w:type="dxa"/>
              </w:tcPr>
              <w:p w14:paraId="64483270" w14:textId="77777777">
                <w:pPr>
                  <w:tabs>
                    <w:tab w:val="left" w:pos="916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Direktyvos perkėlimo (įgyvendinimo) lygis (visiškas, dalinis)</w:t>
                </w:r>
              </w:p>
            </w:tc>
          </w:tr>
          <w:tr w14:paraId="702AE638" w14:textId="77777777">
            <w:trPr>
              <w:trHeight w:val="70"/>
            </w:trPr>
            <w:tc>
              <w:tcPr>
                <w:tcW w:w="6379" w:type="dxa"/>
              </w:tcPr>
              <w:p w14:paraId="19279415" w14:textId="78703936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iCs/>
                    <w:sz w:val="22"/>
                    <w:szCs w:val="22"/>
                    <w:lang w:eastAsia="lt-LT"/>
                  </w:rPr>
                  <w:t xml:space="preserve">1 straipsnis. Direktyvos </w:t>
                </w:r>
                <w:fldSimple w:instr="HYPERLINK http://eur-lex.europa.eu/legal-content/LIT/TXT/?uri=CELEX:32003L0087&amp;locale=lt \t _blank">
                  <w:r>
                    <w:rPr>
                      <w:b/>
                      <w:iCs/>
                      <w:sz w:val="22"/>
                      <w:szCs w:val="22"/>
                      <w:lang w:eastAsia="lt-LT"/>
                      <w:u w:val="single"/>
                      <w:color w:val="0000FF" w:themeColor="hyperlink"/>
                    </w:rPr>
                    <w:t>2003/87/EB</w:t>
                  </w:r>
                </w:fldSimple>
                <w:r>
                  <w:rPr>
                    <w:b/>
                    <w:iCs/>
                    <w:sz w:val="22"/>
                    <w:szCs w:val="22"/>
                    <w:lang w:eastAsia="lt-LT"/>
                  </w:rPr>
                  <w:t xml:space="preserve"> daliniai pakeitimai</w:t>
                </w:r>
              </w:p>
              <w:p w14:paraId="04D041B2" w14:textId="768D62E7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Direktyva </w:t>
                </w:r>
                <w:fldSimple w:instr="HYPERLINK http://eur-lex.europa.eu/legal-content/LIT/TXT/?uri=CELEX:32003L0087&amp;locale=lt \t _blank">
                  <w:r>
                    <w:rPr>
                      <w:iCs/>
                      <w:sz w:val="22"/>
                      <w:szCs w:val="22"/>
                      <w:lang w:eastAsia="lt-LT"/>
                      <w:u w:val="single"/>
                      <w:color w:val="0000FF" w:themeColor="hyperlink"/>
                    </w:rPr>
                    <w:t>2003/87/EB</w:t>
                  </w:r>
                </w:fldSimple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iš dalies keičiama taip:</w:t>
                </w:r>
              </w:p>
              <w:p w14:paraId="1CFD9F53" w14:textId="74753F78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&lt;...&gt;</w:t>
                </w:r>
              </w:p>
              <w:p w14:paraId="102BBF41" w14:textId="60777B4B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21) 12 straipsnis iš dalies keičiamas taip:</w:t>
                </w:r>
              </w:p>
              <w:p w14:paraId="02414DFE" w14:textId="77777777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&lt;...&gt;</w:t>
                </w:r>
              </w:p>
              <w:p w14:paraId="0B924354" w14:textId="7B5895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c) 3 dalis pakeičiama taip:</w:t>
                </w:r>
              </w:p>
              <w:p w14:paraId="44632C7A" w14:textId="77777777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„3.   Valstybės narės, administruojančios valstybės narės ir laivybos bendrovę administruojančios institucijos užtikrina, kad iki kiekvienų metų rugsėjo 30 d.:</w:t>
                </w:r>
              </w:p>
              <w:p w14:paraId="1B80BAB1" w14:textId="1B087B63">
                <w:pPr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a)</w:t>
                  <w:tab/>
                  <w:t>kiekvienas įrenginių operatorius atsisakytų apyvartinių taršos leidimų skaičiaus, atitinkančio bendrą tų įrenginių ankstesniais kalendoriniais metais išmestą teršalų kiekį, patikrintą pagal 15 straipsnį;</w:t>
                </w:r>
              </w:p>
              <w:p w14:paraId="60472409" w14:textId="5D538509">
                <w:pPr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b)</w:t>
                  <w:tab/>
                  <w:t>kiekvienas orlaivio naudotojas atsisakytų apyvartinių taršos leidimų skaičiaus, atitinkančio jo bendrą ankstesniais kalendoriniais metais išmestą teršalų kiekį, patikrintą pagal 15 straipsnį;</w:t>
                </w:r>
              </w:p>
              <w:p w14:paraId="2DBF13A9" w14:textId="5B3C10EF">
                <w:pPr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c)</w:t>
                  <w:tab/>
                  <w:t>kiekviena laivybos bendrovė atsisakytų apyvartinių taršos leidimų skaičiaus, atitinkančio jos bendrą ankstesniais kalendoriniais metais išmestą teršalų kiekį, patikrintą pagal 3ge straipsnį.</w:t>
                </w:r>
              </w:p>
              <w:p w14:paraId="18B69C4B" w14:textId="4D5FFB5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narės, administruojančios valstybės narės ir laivybos bendrovę administruojančios institucijos užtikrina, kad pagal pirmą pastraipą atsisakyti apyvartiniai taršos leidimai vėliau būtų panaikinti.“;</w:t>
                </w:r>
              </w:p>
            </w:tc>
            <w:tc>
              <w:tcPr>
                <w:tcW w:w="7098" w:type="dxa"/>
              </w:tcPr>
              <w:p w14:paraId="6D117446" w14:textId="57FFA489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TIPK taisyklių pakeitimo projektas</w:t>
                </w:r>
              </w:p>
              <w:p w14:paraId="7D951501" w14:textId="5861CB4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1.9 papunktis</w:t>
                </w:r>
              </w:p>
              <w:p w14:paraId="2DAD1A7F" w14:textId="1811DFEB">
                <w:pPr>
                  <w:tabs>
                    <w:tab w:val="left" w:pos="993"/>
                  </w:tabs>
                  <w:jc w:val="both"/>
                  <w:textAlignment w:val="baseline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„1.9. Pakeičiu 4 priedo 1 priedėlio ketvirtąją pastraipą ir ją išdėstau taip:</w:t>
                </w:r>
              </w:p>
              <w:p w14:paraId="64DE3CAC" w14:textId="77777777">
                <w:pPr>
                  <w:tabs>
                    <w:tab w:val="left" w:pos="993"/>
                  </w:tabs>
                  <w:jc w:val="both"/>
                  <w:textAlignment w:val="baseline"/>
                  <w:rPr>
                    <w:b/>
                    <w:bCs/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</w:t>
                </w: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Įsipareigoju</w:t>
                </w:r>
                <w:r>
                  <w:rPr>
                    <w:b/>
                    <w:bCs/>
                    <w:sz w:val="22"/>
                    <w:szCs w:val="22"/>
                    <w:lang w:eastAsia="ar-SA"/>
                  </w:rPr>
                  <w:t xml:space="preserve"> nustatytais terminais:</w:t>
                </w:r>
              </w:p>
              <w:p w14:paraId="3CCA77B7" w14:textId="77777777">
                <w:pPr>
                  <w:tabs>
                    <w:tab w:val="left" w:pos="993"/>
                  </w:tabs>
                  <w:jc w:val="both"/>
                  <w:textAlignment w:val="baseline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ar-SA"/>
                  </w:rPr>
                  <w:t xml:space="preserve">1) </w:t>
                </w: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deklaruoti per praėjusius kalendorinius metus į aplinkos orą išmestą ir su nuotekomis išleistą teršalų kiekį;</w:t>
                </w:r>
              </w:p>
              <w:p w14:paraId="3E5F6A2B" w14:textId="77777777">
                <w:pPr>
                  <w:tabs>
                    <w:tab w:val="left" w:pos="993"/>
                  </w:tabs>
                  <w:jc w:val="both"/>
                  <w:textAlignment w:val="baseline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2) raštu pranešti apie bet kokius įrenginio pobūdžio arba veikimo pakeitimus ar išplėtimą, kurie gali daryti neigiamą poveikį aplinkai;</w:t>
                </w:r>
              </w:p>
              <w:p w14:paraId="2B58B4B6" w14:textId="05F08300">
                <w:pPr>
                  <w:tabs>
                    <w:tab w:val="left" w:pos="993"/>
                  </w:tabs>
                  <w:jc w:val="both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3) kiekvienais kalendoriniais metais iki rugsėjo 30 d. atsisakyti tokio ŠESD apyvartinių taršos leidimų kiekio, kuris yra lygiavertis per praėjusius kalendorinius metus išmestam į atmosferą anglies dioksido kiekiui, išreikštam tonomis, ir (ar) anglies dioksido ekvivalento kiekiui</w:t>
                </w:r>
                <w:r>
                  <w:rPr>
                    <w:sz w:val="22"/>
                    <w:szCs w:val="22"/>
                    <w:lang w:eastAsia="lt-LT"/>
                  </w:rPr>
                  <w:t>.</w:t>
                </w:r>
                <w:r>
                  <w:rPr>
                    <w:sz w:val="22"/>
                    <w:szCs w:val="22"/>
                  </w:rPr>
                  <w:t>“</w:t>
                </w:r>
              </w:p>
              <w:p w14:paraId="6FD6D62A" w14:textId="77777777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535D8570" w14:textId="377843CA">
                <w:pPr>
                  <w:jc w:val="both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 xml:space="preserve">Taršos leidimų taisyklių pakeitimo projektas </w:t>
                </w:r>
              </w:p>
              <w:p w14:paraId="5FBBB5FB" w14:textId="519C953F">
                <w:pPr>
                  <w:jc w:val="both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1.6.10 papunktis</w:t>
                </w:r>
              </w:p>
              <w:p w14:paraId="2A24FA33" w14:textId="77777777">
                <w:pPr>
                  <w:tabs>
                    <w:tab w:val="left" w:pos="993"/>
                  </w:tabs>
                  <w:jc w:val="both"/>
                  <w:textAlignment w:val="baseline"/>
                  <w:rPr>
                    <w:bCs/>
                    <w:sz w:val="22"/>
                    <w:szCs w:val="24"/>
                  </w:rPr>
                </w:pPr>
                <w:r>
                  <w:rPr>
                    <w:sz w:val="22"/>
                    <w:szCs w:val="22"/>
                  </w:rPr>
                  <w:t>„</w:t>
                </w:r>
                <w:r>
                  <w:rPr>
                    <w:bCs/>
                    <w:sz w:val="22"/>
                    <w:szCs w:val="24"/>
                  </w:rPr>
                  <w:t>1.6.10. Pakeičiu 31.3.2 papunktį ir jį išdėstau taip:</w:t>
                </w:r>
              </w:p>
              <w:p w14:paraId="05449A20" w14:textId="47E34305">
                <w:pPr>
                  <w:tabs>
                    <w:tab w:val="left" w:pos="993"/>
                  </w:tabs>
                  <w:jc w:val="both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„31.3.2. veiklos vykdytojo įsipareigojimas, nurodytas Taisyklių 2 priedo 9 priedėlyje, teikti iki kiekvienų metų kovo 31 d. ŠESD ataskaitas ir kiekvienais kalendoriniais metais iki </w:t>
                </w:r>
                <w:r>
                  <w:rPr>
                    <w:bCs/>
                    <w:sz w:val="22"/>
                    <w:szCs w:val="22"/>
                  </w:rPr>
                  <w:t>rugsėjo</w:t>
                </w:r>
                <w:r>
                  <w:rPr>
                    <w:b/>
                    <w:sz w:val="22"/>
                    <w:szCs w:val="22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30 d. atsisakyti tokio ŠESD apyvartinių taršos leidimų kiekio, kuris lygus per praėjusius kalendorinius metus išmestam į atmosferą anglies dioksido kiekiui, išreikštam tonomis, ir (ar) anglies dioksido ekvivalento kiekiui.“</w:t>
                </w:r>
              </w:p>
              <w:p w14:paraId="285DC21E" w14:textId="77777777">
                <w:pPr>
                  <w:jc w:val="both"/>
                  <w:textAlignment w:val="baseline"/>
                  <w:rPr>
                    <w:sz w:val="22"/>
                    <w:szCs w:val="22"/>
                    <w:lang w:eastAsia="lt-LT"/>
                  </w:rPr>
                </w:pPr>
              </w:p>
              <w:p w14:paraId="45B2A341" w14:textId="2CA7E42A">
                <w:pPr>
                  <w:jc w:val="both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Taršos leidimų taisyklių pakeitimo projektas</w:t>
                </w:r>
              </w:p>
              <w:p w14:paraId="1FF45999" w14:textId="6410164B">
                <w:pPr>
                  <w:jc w:val="both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1.6.21 papunktis</w:t>
                </w:r>
              </w:p>
              <w:p w14:paraId="39682D7B" w14:textId="77777777">
                <w:pPr>
                  <w:tabs>
                    <w:tab w:val="center" w:pos="5102"/>
                  </w:tabs>
                  <w:jc w:val="both"/>
                  <w:rPr>
                    <w:sz w:val="22"/>
                    <w:szCs w:val="24"/>
                  </w:rPr>
                </w:pPr>
                <w:r>
                  <w:rPr>
                    <w:sz w:val="22"/>
                    <w:szCs w:val="22"/>
                  </w:rPr>
                  <w:t>„</w:t>
                </w:r>
                <w:r>
                  <w:rPr>
                    <w:sz w:val="22"/>
                    <w:szCs w:val="24"/>
                  </w:rPr>
                  <w:t>1.6.21. Pakeičiu 2 priedo 9 priedėlio pirmąją pastraipą ir ją išdėstau taip:</w:t>
                </w:r>
              </w:p>
              <w:p w14:paraId="2A6E7948" w14:textId="31A54097">
                <w:pPr>
                  <w:tabs>
                    <w:tab w:val="left" w:pos="993"/>
                  </w:tabs>
                  <w:jc w:val="both"/>
                  <w:textAlignment w:val="baseline"/>
                  <w:rPr>
                    <w:bCs/>
                    <w:sz w:val="22"/>
                    <w:szCs w:val="24"/>
                  </w:rPr>
                </w:pPr>
                <w:r>
                  <w:rPr>
                    <w:sz w:val="22"/>
                    <w:szCs w:val="24"/>
                  </w:rPr>
                  <w:t xml:space="preserve">„Įsipareigoju nustatytais terminais deklaruoti per praėjusius kalendorinius metus į atmosferą išmestą ŠESD kiekį, teikti ataskaitas ir kiekvienais kalendoriniais metais iki rugsėjo 30 d. atsisakyti ŠESD apyvartinių taršos leidimų kiekio, kuris yra lygiavertis per praėjusius kalendorinius metus </w:t>
                </w:r>
                <w:r>
                  <w:rPr>
                    <w:bCs/>
                    <w:sz w:val="22"/>
                    <w:szCs w:val="24"/>
                  </w:rPr>
                  <w:t>išmestam į atmosferą anglies dioksido kiekiui, išreikštam tonomis, ir (ar) anglies dioksido ekvivalento kiekiui.“</w:t>
                </w:r>
              </w:p>
            </w:tc>
            <w:tc>
              <w:tcPr>
                <w:tcW w:w="2106" w:type="dxa"/>
              </w:tcPr>
              <w:p w14:paraId="71BCD8A4" w14:textId="77777777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 xml:space="preserve">Dalinis </w:t>
                </w:r>
              </w:p>
              <w:p w14:paraId="170E19DD" w14:textId="3EF4023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(perkeliama nuostata susijusį su įrenginių operatoriais, kadangi TIPK ir Taršos leidimų taisyklės taikomos tik įrenginių operatoriams. Kitiems šiltnamio efektą sukeliančių dujų emisijos leidimų sistemoje dalyvaujantiems veiklos vykdytojams nuostatos bus perkeliamos į kitus nacionalinius teisės aktus, apie kuriuos bus atitinkamai notifikuota Komisija)</w:t>
                </w:r>
              </w:p>
              <w:p w14:paraId="1302DED2" w14:textId="77777777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</w:tbl>
        <w:p w14:paraId="1D75C846" w14:textId="1B02A91A">
          <w:pPr>
            <w:jc w:val="center"/>
            <w:rPr>
              <w:sz w:val="22"/>
              <w:szCs w:val="22"/>
            </w:rPr>
          </w:pPr>
        </w:p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footnotePr>
        <w:numFmt w:val="chicago"/>
      </w:footnotePr>
      <w:pgSz w:w="16838" w:h="11906" w:orient="landscape" w:code="9"/>
      <w:pgMar w:top="1285" w:right="567" w:bottom="993" w:left="1134" w:header="0" w:footer="0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F5C65F" w14:textId="77777777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endnote>
  <w:endnote w:type="continuationSeparator" w:id="0">
    <w:p w14:paraId="6F7CA884" w14:textId="77777777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endnote>
  <w:endnote w:type="continuationNotice" w:id="1">
    <w:p w14:paraId="453B21DC" w14:textId="77777777">
      <w:pPr>
        <w:rPr>
          <w:sz w:val="22"/>
          <w:szCs w:val="22"/>
          <w:lang w:val="en-GB"/>
        </w:rPr>
      </w:pP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F78341" w14:textId="77777777">
    <w:pPr>
      <w:tabs>
        <w:tab w:val="center" w:pos="4513"/>
        <w:tab w:val="right" w:pos="9026"/>
      </w:tabs>
      <w:rPr>
        <w:sz w:val="22"/>
        <w:szCs w:val="22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452D3C" w14:textId="77777777">
    <w:pPr>
      <w:tabs>
        <w:tab w:val="center" w:pos="4513"/>
        <w:tab w:val="right" w:pos="9026"/>
      </w:tabs>
      <w:rPr>
        <w:sz w:val="22"/>
        <w:szCs w:val="22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3AE8B8" w14:textId="77777777">
    <w:pPr>
      <w:tabs>
        <w:tab w:val="center" w:pos="4513"/>
        <w:tab w:val="right" w:pos="9026"/>
      </w:tabs>
      <w:rPr>
        <w:sz w:val="22"/>
        <w:szCs w:val="22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710FB6" w14:textId="77777777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footnote>
  <w:footnote w:type="continuationSeparator" w:id="0">
    <w:p w14:paraId="68E3B8F4" w14:textId="77777777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footnote>
  <w:footnote w:type="continuationNotice" w:id="1">
    <w:p w14:paraId="7EA6E607" w14:textId="77777777">
      <w:pPr>
        <w:rPr>
          <w:sz w:val="22"/>
          <w:szCs w:val="22"/>
          <w:lang w:val="en-GB"/>
        </w:rPr>
      </w:pP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3BF247" w14:textId="61090F90">
    <w:pPr>
      <w:framePr w:wrap="auto" w:vAnchor="text" w:hAnchor="margin" w:xAlign="center" w:y="1"/>
      <w:tabs>
        <w:tab w:val="center" w:pos="4513"/>
        <w:tab w:val="right" w:pos="9026"/>
      </w:tabs>
      <w:rPr>
        <w:sz w:val="22"/>
        <w:szCs w:val="22"/>
        <w:lang w:val="en-GB"/>
      </w:rPr>
    </w:pPr>
    <w:r>
      <w:rPr>
        <w:sz w:val="22"/>
        <w:szCs w:val="22"/>
        <w:lang w:val="en-GB"/>
      </w:rPr>
      <w:fldChar w:fldCharType="begin"/>
    </w:r>
    <w:r>
      <w:rPr>
        <w:sz w:val="22"/>
        <w:szCs w:val="22"/>
        <w:lang w:val="en-GB"/>
      </w:rPr>
      <w:instrText xml:space="preserve">PAGE  </w:instrText>
    </w:r>
    <w:r>
      <w:rPr>
        <w:sz w:val="22"/>
        <w:szCs w:val="22"/>
        <w:lang w:val="en-GB"/>
      </w:rPr>
      <w:fldChar w:fldCharType="separate"/>
    </w:r>
    <w:r>
      <w:rPr>
        <w:sz w:val="22"/>
        <w:szCs w:val="22"/>
        <w:lang w:val="en-GB"/>
      </w:rPr>
      <w:t>1</w:t>
    </w:r>
    <w:r>
      <w:rPr>
        <w:sz w:val="22"/>
        <w:szCs w:val="22"/>
        <w:lang w:val="en-GB"/>
      </w:rPr>
      <w:fldChar w:fldCharType="end"/>
    </w:r>
  </w:p>
  <w:p w14:paraId="38CA4F46" w14:textId="77777777">
    <w:pPr>
      <w:tabs>
        <w:tab w:val="center" w:pos="4513"/>
        <w:tab w:val="right" w:pos="9026"/>
      </w:tabs>
      <w:rPr>
        <w:sz w:val="22"/>
        <w:szCs w:val="22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9DCC86" w14:textId="77777777">
    <w:pPr>
      <w:tabs>
        <w:tab w:val="center" w:pos="4513"/>
        <w:tab w:val="right" w:pos="9026"/>
      </w:tabs>
      <w:jc w:val="center"/>
      <w:rPr>
        <w:sz w:val="22"/>
        <w:szCs w:val="22"/>
        <w:lang w:val="en-GB"/>
      </w:rPr>
    </w:pPr>
  </w:p>
  <w:p w14:paraId="3C86ACD2" w14:textId="77777777">
    <w:pPr>
      <w:tabs>
        <w:tab w:val="center" w:pos="4513"/>
        <w:tab w:val="right" w:pos="9026"/>
      </w:tabs>
      <w:jc w:val="center"/>
      <w:rPr>
        <w:sz w:val="22"/>
        <w:szCs w:val="22"/>
        <w:lang w:val="en-GB"/>
      </w:rPr>
    </w:pPr>
  </w:p>
  <w:p w14:paraId="38D46624" w14:textId="6C0D3995">
    <w:pPr>
      <w:tabs>
        <w:tab w:val="center" w:pos="4513"/>
        <w:tab w:val="right" w:pos="9026"/>
      </w:tabs>
      <w:jc w:val="center"/>
      <w:rPr>
        <w:sz w:val="22"/>
        <w:szCs w:val="22"/>
        <w:lang w:val="en-GB"/>
      </w:rPr>
    </w:pPr>
    <w:r>
      <w:rPr>
        <w:sz w:val="22"/>
        <w:szCs w:val="22"/>
        <w:lang w:val="en-GB"/>
      </w:rPr>
      <w:fldChar w:fldCharType="begin"/>
    </w:r>
    <w:r>
      <w:rPr>
        <w:sz w:val="22"/>
        <w:szCs w:val="22"/>
        <w:lang w:val="en-GB"/>
      </w:rPr>
      <w:instrText>PAGE   \* MERGEFORMAT</w:instrText>
    </w:r>
    <w:r>
      <w:rPr>
        <w:sz w:val="22"/>
        <w:szCs w:val="22"/>
        <w:lang w:val="en-GB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  <w:lang w:val="en-GB"/>
      </w:rPr>
      <w:fldChar w:fldCharType="end"/>
    </w:r>
  </w:p>
  <w:p w14:paraId="1D85E2C3" w14:textId="77777777">
    <w:pPr>
      <w:tabs>
        <w:tab w:val="center" w:pos="4513"/>
        <w:tab w:val="right" w:pos="9026"/>
      </w:tabs>
      <w:rPr>
        <w:sz w:val="22"/>
        <w:szCs w:val="22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3500AE" w14:textId="77777777">
    <w:pPr>
      <w:tabs>
        <w:tab w:val="center" w:pos="4513"/>
        <w:tab w:val="right" w:pos="9026"/>
      </w:tabs>
      <w:rPr>
        <w:sz w:val="22"/>
        <w:szCs w:val="22"/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hdrShapeDefaults>
    <o:shapedefaults v:ext="edit" spidmax="2050"/>
  </w:hdrShapeDefaults>
  <w:footnotePr>
    <w:numFmt w:val="chicago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B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22E5AC1"/>
  <w15:chartTrackingRefBased/>
  <w15:docId w15:val="{20736992-2949-45AE-8DE1-D8B90057F5C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0948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07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777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02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984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83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522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462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69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308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520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25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287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09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994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541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79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42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236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433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056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655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008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51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885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479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207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53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999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32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059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18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17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52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634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790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275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47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25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69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61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636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870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990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583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78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296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75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65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87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562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07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1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901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732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4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5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2765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183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35F418FAC7144FAA4B23E9B077A1A0" ma:contentTypeVersion="5" ma:contentTypeDescription="Create a new document." ma:contentTypeScope="" ma:versionID="fb8b163e87e8ddefa3d5797c657ba98e">
  <xsd:schema xmlns:xsd="http://www.w3.org/2001/XMLSchema" xmlns:xs="http://www.w3.org/2001/XMLSchema" xmlns:p="http://schemas.microsoft.com/office/2006/metadata/properties" xmlns:ns3="65ee1eb2-efb2-4534-8d64-1f874ce7824c" targetNamespace="http://schemas.microsoft.com/office/2006/metadata/properties" ma:root="true" ma:fieldsID="05d88e90d2c45c80aab7a77507191b36" ns3:_="">
    <xsd:import namespace="65ee1eb2-efb2-4534-8d64-1f874ce7824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ee1eb2-efb2-4534-8d64-1f874ce7824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lentele" DocPartId="b468850c0e9647ffa01bc1becb0270fa" PartId="adcbb27d824d41548d499d9c5f2a4cf5"/>
</Parts>
</file>

<file path=customXml/itemProps1.xml><?xml version="1.0" encoding="utf-8"?>
<ds:datastoreItem xmlns:ds="http://schemas.openxmlformats.org/officeDocument/2006/customXml" ds:itemID="{B95E385C-A660-4B72-BFDB-C697A13C614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BC1448E-7F9D-4275-AC20-2FEBAE09CBA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A50965E-F3AC-4A3D-A344-862F72AD53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5ee1eb2-efb2-4534-8d64-1f874ce7824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C13D3B9-92AB-4DE0-8756-7488C6080A07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901781F4-B126-4843-BDE9-F7311AF23AA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593</Words>
  <Characters>4193</Characters>
  <Application>Microsoft Office Word</Application>
  <DocSecurity>4</DocSecurity>
  <Lines>107</Lines>
  <Paragraphs>37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2023-10-25T08:08:00Z</dcterms:created>
  <dc:creator>Ausra Kliukaite</dc:creator>
  <lastModifiedBy>adlibuser</lastModifiedBy>
  <dcterms:modified xsi:type="dcterms:W3CDTF">2023-10-25T08:08:00Z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0x0101009A35F418FAC7144FAA4B23E9B077A1A0</vt:lpwstr>
  </property>
</Properties>
</file>